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1990B" w14:textId="77777777" w:rsidR="00874DB6" w:rsidRPr="00C82B09" w:rsidRDefault="00874DB6" w:rsidP="00117041">
      <w:pPr>
        <w:spacing w:line="240" w:lineRule="auto"/>
        <w:jc w:val="center"/>
        <w:rPr>
          <w:rFonts w:ascii="Times New Roman" w:hAnsi="Times New Roman" w:cs="Times New Roman"/>
          <w:b/>
          <w:bCs/>
          <w:sz w:val="28"/>
          <w:szCs w:val="28"/>
        </w:rPr>
      </w:pPr>
      <w:r w:rsidRPr="00C82B09">
        <w:rPr>
          <w:rFonts w:ascii="Times New Roman" w:hAnsi="Times New Roman" w:cs="Times New Roman"/>
          <w:b/>
          <w:bCs/>
          <w:sz w:val="28"/>
          <w:szCs w:val="28"/>
        </w:rPr>
        <w:t>Lead and arsenic induced carotenoid responses in Calothrix species for environmental monitoring</w:t>
      </w:r>
    </w:p>
    <w:p w14:paraId="03C90E52" w14:textId="77777777" w:rsidR="00933D2B" w:rsidRPr="00C82B09" w:rsidRDefault="00933D2B" w:rsidP="00117041">
      <w:pPr>
        <w:spacing w:line="240" w:lineRule="auto"/>
        <w:ind w:firstLine="720"/>
        <w:rPr>
          <w:rFonts w:ascii="Times New Roman" w:hAnsi="Times New Roman" w:cs="Times New Roman"/>
          <w:b/>
          <w:sz w:val="24"/>
          <w:szCs w:val="24"/>
        </w:rPr>
      </w:pPr>
    </w:p>
    <w:p w14:paraId="533712AA" w14:textId="77777777" w:rsidR="00933D2B" w:rsidRPr="00C82B09" w:rsidRDefault="00933D2B" w:rsidP="00117041">
      <w:pPr>
        <w:spacing w:line="240" w:lineRule="auto"/>
        <w:ind w:firstLine="720"/>
        <w:rPr>
          <w:rFonts w:ascii="Times New Roman" w:hAnsi="Times New Roman" w:cs="Times New Roman"/>
          <w:b/>
          <w:sz w:val="24"/>
          <w:szCs w:val="24"/>
        </w:rPr>
      </w:pPr>
    </w:p>
    <w:p w14:paraId="02D3EA6A" w14:textId="77777777" w:rsidR="00BB4DE8" w:rsidRPr="00C82B09" w:rsidRDefault="00F7089C" w:rsidP="00117041">
      <w:pPr>
        <w:spacing w:line="240" w:lineRule="auto"/>
        <w:ind w:firstLine="720"/>
        <w:rPr>
          <w:rFonts w:ascii="Times New Roman" w:hAnsi="Times New Roman" w:cs="Times New Roman"/>
          <w:b/>
          <w:sz w:val="24"/>
          <w:szCs w:val="24"/>
        </w:rPr>
      </w:pPr>
      <w:r w:rsidRPr="00C82B09">
        <w:rPr>
          <w:rFonts w:ascii="Times New Roman" w:hAnsi="Times New Roman" w:cs="Times New Roman"/>
          <w:b/>
          <w:sz w:val="24"/>
          <w:szCs w:val="24"/>
        </w:rPr>
        <w:t>ABSTRACT</w:t>
      </w:r>
    </w:p>
    <w:p w14:paraId="677F32C4" w14:textId="77777777" w:rsidR="00C82B09" w:rsidRPr="00C82B09" w:rsidRDefault="00C82B09" w:rsidP="00117041">
      <w:pPr>
        <w:autoSpaceDE w:val="0"/>
        <w:autoSpaceDN w:val="0"/>
        <w:adjustRightInd w:val="0"/>
        <w:spacing w:after="0" w:line="240" w:lineRule="auto"/>
        <w:ind w:firstLine="720"/>
        <w:jc w:val="both"/>
      </w:pPr>
      <w:r w:rsidRPr="00C82B09">
        <w:t xml:space="preserve">Heavy-metal contamination can alter cyanobacterial physiology and pigment composition, making carotenoid responses potentially useful for environmental monitoring. This study evaluated time-dependent carotenoid responses in </w:t>
      </w:r>
      <w:r w:rsidRPr="00C82B09">
        <w:rPr>
          <w:rStyle w:val="Emphasis"/>
        </w:rPr>
        <w:t>Calothrix</w:t>
      </w:r>
      <w:r w:rsidRPr="00C82B09">
        <w:t xml:space="preserve"> sp., </w:t>
      </w:r>
      <w:r w:rsidRPr="00C82B09">
        <w:rPr>
          <w:rStyle w:val="Emphasis"/>
        </w:rPr>
        <w:t xml:space="preserve">C. </w:t>
      </w:r>
      <w:proofErr w:type="spellStart"/>
      <w:r w:rsidRPr="00C82B09">
        <w:rPr>
          <w:rStyle w:val="Emphasis"/>
        </w:rPr>
        <w:t>brevissima</w:t>
      </w:r>
      <w:proofErr w:type="spellEnd"/>
      <w:r w:rsidRPr="00C82B09">
        <w:t xml:space="preserve"> CCCNO:65, and </w:t>
      </w:r>
      <w:r w:rsidRPr="00C82B09">
        <w:rPr>
          <w:rStyle w:val="Emphasis"/>
        </w:rPr>
        <w:t xml:space="preserve">C. </w:t>
      </w:r>
      <w:proofErr w:type="spellStart"/>
      <w:r w:rsidRPr="00C82B09">
        <w:rPr>
          <w:rStyle w:val="Emphasis"/>
        </w:rPr>
        <w:t>maechica</w:t>
      </w:r>
      <w:proofErr w:type="spellEnd"/>
      <w:r w:rsidRPr="00C82B09">
        <w:t xml:space="preserve"> 19 following exposure to lead (Pb) and arsenic (As). Cultures were maintained in BG-11 medium under controlled light, temperature, and aeration conditions and exposed independently to 0, 2, or 5 ppm of each metal for six days. Carotenoid content was quantified spectrophotometrically at 450 nm, with measurements taken on Days 0, 3, and 6. The three cultures showed distinct temporal responses. In </w:t>
      </w:r>
      <w:r w:rsidRPr="00C82B09">
        <w:rPr>
          <w:rStyle w:val="Emphasis"/>
        </w:rPr>
        <w:t>Calothrix</w:t>
      </w:r>
      <w:r w:rsidRPr="00C82B09">
        <w:t xml:space="preserve"> sp., carotenoid content declined by Day 3 and partially recovered by Day 6, with Pb at 2 ppm approaching the control value. </w:t>
      </w:r>
      <w:r w:rsidRPr="00C82B09">
        <w:rPr>
          <w:rStyle w:val="Emphasis"/>
        </w:rPr>
        <w:t xml:space="preserve">C. </w:t>
      </w:r>
      <w:proofErr w:type="spellStart"/>
      <w:r w:rsidRPr="00C82B09">
        <w:rPr>
          <w:rStyle w:val="Emphasis"/>
        </w:rPr>
        <w:t>brevissima</w:t>
      </w:r>
      <w:proofErr w:type="spellEnd"/>
      <w:r w:rsidRPr="00C82B09">
        <w:t xml:space="preserve"> CCCNO:65 showed increases under both arsenic treatments by Day 3, and by Day 6 the As-treated values were higher than the control; Pb at 5 ppm also showed recovery after an earlier decrease. </w:t>
      </w:r>
      <w:r w:rsidRPr="00C82B09">
        <w:rPr>
          <w:rStyle w:val="Emphasis"/>
        </w:rPr>
        <w:t xml:space="preserve">C. </w:t>
      </w:r>
      <w:proofErr w:type="spellStart"/>
      <w:r w:rsidRPr="00C82B09">
        <w:rPr>
          <w:rStyle w:val="Emphasis"/>
        </w:rPr>
        <w:t>maechica</w:t>
      </w:r>
      <w:proofErr w:type="spellEnd"/>
      <w:r w:rsidRPr="00C82B09">
        <w:t xml:space="preserve"> 19 exhibited a different pattern, with Pb at 5 ppm increasing by Day 6 while </w:t>
      </w:r>
      <w:proofErr w:type="gramStart"/>
      <w:r w:rsidRPr="00C82B09">
        <w:t>As</w:t>
      </w:r>
      <w:proofErr w:type="gramEnd"/>
      <w:r w:rsidRPr="00C82B09">
        <w:t xml:space="preserve"> at 5 ppm declined to the lowest recorded Day 6 value. These findings show that carotenoid responses to Pb and </w:t>
      </w:r>
      <w:proofErr w:type="gramStart"/>
      <w:r w:rsidRPr="00C82B09">
        <w:t>As</w:t>
      </w:r>
      <w:proofErr w:type="gramEnd"/>
      <w:r w:rsidRPr="00C82B09">
        <w:t xml:space="preserve"> were culture-, dose-, and time-dependent. Carotenoid measurements may therefore provide a useful stress-responsive endpoint, although their interpretation for bioremediation or bioindicator applications requires additional physiological and metal-uptake measurements.</w:t>
      </w:r>
    </w:p>
    <w:p w14:paraId="51D6F60C" w14:textId="50FC99A0" w:rsidR="00C82B09" w:rsidRPr="00C82B09" w:rsidRDefault="00F7089C" w:rsidP="00C82B09">
      <w:pPr>
        <w:autoSpaceDE w:val="0"/>
        <w:autoSpaceDN w:val="0"/>
        <w:adjustRightInd w:val="0"/>
        <w:spacing w:after="0" w:line="240" w:lineRule="auto"/>
        <w:jc w:val="both"/>
      </w:pPr>
      <w:r w:rsidRPr="00C82B09">
        <w:rPr>
          <w:rFonts w:ascii="Times New Roman" w:hAnsi="Times New Roman" w:cs="Times New Roman"/>
          <w:b/>
          <w:sz w:val="24"/>
          <w:szCs w:val="24"/>
        </w:rPr>
        <w:t>Keywords</w:t>
      </w:r>
      <w:r w:rsidRPr="00C82B09">
        <w:rPr>
          <w:rFonts w:ascii="Times New Roman" w:hAnsi="Times New Roman" w:cs="Times New Roman"/>
          <w:sz w:val="24"/>
          <w:szCs w:val="24"/>
        </w:rPr>
        <w:t xml:space="preserve">: </w:t>
      </w:r>
      <w:r w:rsidR="00C82B09" w:rsidRPr="00C82B09">
        <w:t xml:space="preserve">Cyanobacteria; </w:t>
      </w:r>
      <w:r w:rsidR="00C82B09" w:rsidRPr="00C82B09">
        <w:rPr>
          <w:rStyle w:val="Emphasis"/>
        </w:rPr>
        <w:t>Calothrix</w:t>
      </w:r>
      <w:r w:rsidR="00C82B09" w:rsidRPr="00C82B09">
        <w:t>; lead; arsenic; heavy-metal stress; pigment response; bioindication; environmental monitoring</w:t>
      </w:r>
    </w:p>
    <w:p w14:paraId="1EF0C1DA" w14:textId="77777777" w:rsidR="00C82B09" w:rsidRPr="00C82B09" w:rsidRDefault="00C82B09" w:rsidP="00C82B09">
      <w:pPr>
        <w:autoSpaceDE w:val="0"/>
        <w:autoSpaceDN w:val="0"/>
        <w:adjustRightInd w:val="0"/>
        <w:spacing w:after="0" w:line="240" w:lineRule="auto"/>
        <w:ind w:firstLine="720"/>
        <w:jc w:val="both"/>
        <w:rPr>
          <w:rFonts w:ascii="Times New Roman" w:hAnsi="Times New Roman" w:cs="Times New Roman"/>
          <w:b/>
          <w:sz w:val="24"/>
          <w:szCs w:val="24"/>
        </w:rPr>
      </w:pPr>
    </w:p>
    <w:p w14:paraId="41D1E7DC" w14:textId="77777777" w:rsidR="00C82B09" w:rsidRPr="00C82B09" w:rsidRDefault="00C82B09" w:rsidP="00C82B09">
      <w:pPr>
        <w:autoSpaceDE w:val="0"/>
        <w:autoSpaceDN w:val="0"/>
        <w:adjustRightInd w:val="0"/>
        <w:spacing w:after="0" w:line="240" w:lineRule="auto"/>
        <w:ind w:firstLine="720"/>
        <w:jc w:val="both"/>
        <w:rPr>
          <w:rFonts w:ascii="Times New Roman" w:hAnsi="Times New Roman" w:cs="Times New Roman"/>
          <w:b/>
          <w:sz w:val="24"/>
          <w:szCs w:val="24"/>
        </w:rPr>
      </w:pPr>
    </w:p>
    <w:p w14:paraId="6E84C143" w14:textId="15498DCE" w:rsidR="00F7089C" w:rsidRPr="00C82B09" w:rsidRDefault="00F7089C" w:rsidP="00C82B09">
      <w:pPr>
        <w:autoSpaceDE w:val="0"/>
        <w:autoSpaceDN w:val="0"/>
        <w:adjustRightInd w:val="0"/>
        <w:spacing w:after="0" w:line="240" w:lineRule="auto"/>
        <w:ind w:firstLine="720"/>
        <w:jc w:val="both"/>
        <w:rPr>
          <w:rFonts w:ascii="Times New Roman" w:hAnsi="Times New Roman" w:cs="Times New Roman"/>
          <w:b/>
          <w:sz w:val="24"/>
          <w:szCs w:val="24"/>
        </w:rPr>
      </w:pPr>
      <w:r w:rsidRPr="00C82B09">
        <w:rPr>
          <w:rFonts w:ascii="Times New Roman" w:hAnsi="Times New Roman" w:cs="Times New Roman"/>
          <w:b/>
          <w:sz w:val="24"/>
          <w:szCs w:val="24"/>
        </w:rPr>
        <w:t>INTRODUCTION</w:t>
      </w:r>
    </w:p>
    <w:p w14:paraId="75F71C26" w14:textId="77777777" w:rsidR="00F7089C" w:rsidRPr="00C82B09" w:rsidRDefault="00F7089C" w:rsidP="00117041">
      <w:pPr>
        <w:spacing w:after="0" w:line="240" w:lineRule="auto"/>
        <w:ind w:firstLine="720"/>
        <w:jc w:val="both"/>
        <w:rPr>
          <w:rFonts w:ascii="Times New Roman" w:hAnsi="Times New Roman" w:cs="Times New Roman"/>
          <w:b/>
          <w:sz w:val="24"/>
          <w:szCs w:val="24"/>
        </w:rPr>
      </w:pPr>
      <w:r w:rsidRPr="00C82B09">
        <w:rPr>
          <w:rFonts w:ascii="Times New Roman" w:hAnsi="Times New Roman"/>
          <w:sz w:val="24"/>
        </w:rPr>
        <w:t xml:space="preserve">Rapidly expanding urban populations and industrial growth release heavy metals, sewage effluents, and organic toxins into water bodies. Although contaminated water is a more serious problem in some countries than in others, it is essentially a global issue (Javed &amp; Mahmood, 2000). Toxic heavy metals have detrimental effects on aquatic animals, including plankton, aquatic plants, invertebrates, and vertebrates, even at very low concentrations (Atici et al., 2008). Cyanobacteria are a vast and diverse group of photosynthetic prokaryotes that are vital to global photosynthetic production. Cyanobacteria, a large and varied group of photosynthetic prokaryotes, are an important component of the world's photosynthetic productivity. This diverse group of microorganisms plays a major role in the fixation of atmospheric carbon through photosynthesis because cyanobacteria are components of both freshwater and marine phytoplankton. Ancient cyanobacteria are thought to have contributed to the creation of the Earth's oil reserves. Many cyanobacterial species are easier to genetically modify than eukaryotic algae and other photosynthetic organisms. Cyanobacteria occur in nearly every terrestrial and aquatic environment, including freshwater, oceans, bare rock, soil, and even Antarctic rocks. They may occur as planktonic cells or phototrophic biofilms (Quiblier et al., 2013). In freshwater and marine habitats, aquatic cyanobacteria are recognised for their large, conspicuous blooms. According to Sanità di Toppi and Gabbrielli (1999), the bioaccumulation of heavy metals in the aquatic food chain is extremely hazardous; therefore, their response to harmful metals is of considerable concern. According to Wang et al. (1998), </w:t>
      </w:r>
      <w:r w:rsidRPr="00C82B09">
        <w:rPr>
          <w:rFonts w:ascii="Times New Roman" w:hAnsi="Times New Roman"/>
          <w:sz w:val="24"/>
        </w:rPr>
        <w:lastRenderedPageBreak/>
        <w:t>biosorption and metabolism-dependent bioaccumulation are two mechanisms through which aquatic plants and microbes can extract metals from water.</w:t>
      </w:r>
    </w:p>
    <w:p w14:paraId="23FFE4E7" w14:textId="77777777" w:rsidR="00F7089C" w:rsidRPr="00C82B09" w:rsidRDefault="00F7089C" w:rsidP="00117041">
      <w:pPr>
        <w:spacing w:line="240" w:lineRule="auto"/>
        <w:ind w:firstLine="720"/>
        <w:jc w:val="both"/>
        <w:rPr>
          <w:rFonts w:ascii="Times New Roman" w:hAnsi="Times New Roman" w:cs="Times New Roman"/>
          <w:b/>
          <w:bCs/>
          <w:color w:val="000000"/>
          <w:sz w:val="24"/>
          <w:szCs w:val="24"/>
        </w:rPr>
      </w:pPr>
      <w:r w:rsidRPr="00C82B09">
        <w:rPr>
          <w:rFonts w:ascii="Times New Roman" w:hAnsi="Times New Roman"/>
          <w:sz w:val="24"/>
        </w:rPr>
        <w:t>Bioremediation is the use of biological organisms to remove dangerous contaminants from the environment (Kumar et al., 2011). Cyanobacterial biodiversity and its application in the treatment of domestic and industrial wastewater have received increasing attention in recent years (Bender &amp; Phillips, 2004; Chen &amp; Pan, 2005; Dubey et al., 2011; Gadd, 2004; Havens, 2008; Liu et al., 2010). Because some immobilised cyanobacteria can utilise phosphates, ammonia, and nitrogenous compounds, they may have greater potential than free cells. They are also capable of effectively accumulating metal ions such as Cr, Co, Cu, and Zn. Some researchers established laboratory-scale bioremediation of Yamuna water using Effective Microbes (EM) Technology (Shrivastava et al., 2015). To eliminate ROS, plants, algae, and several other organisms exhibit a variety of responses to metal toxicity, including the synthesis of carotenoids, glutathione, phenolics, and ascorbic acid (Pinto et al., 2003; Qian et al., 2011). Metal efflux, storage in vacuoles, and exclusion through complex formation with different ligands are examples of metal detoxification pathways (Andosch et al., 2012).</w:t>
      </w:r>
    </w:p>
    <w:p w14:paraId="2AFD3894" w14:textId="77777777" w:rsidR="00760131" w:rsidRPr="00C82B09" w:rsidRDefault="00000000">
      <w:pPr>
        <w:spacing w:line="240" w:lineRule="auto"/>
        <w:ind w:firstLine="720"/>
        <w:jc w:val="both"/>
        <w:rPr>
          <w:rFonts w:ascii="Times New Roman" w:hAnsi="Times New Roman" w:cs="Times New Roman"/>
          <w:b/>
          <w:bCs/>
          <w:color w:val="000000"/>
          <w:sz w:val="24"/>
          <w:szCs w:val="24"/>
        </w:rPr>
      </w:pPr>
      <w:r w:rsidRPr="00C82B09">
        <w:rPr>
          <w:rFonts w:ascii="Times New Roman" w:eastAsia="Times New Roman" w:hAnsi="Times New Roman"/>
          <w:sz w:val="24"/>
        </w:rPr>
        <w:t>Because oxygenic photosynthesis can generate reactive oxygen species (ROS), cyanobacteria must continuously balance photosynthetic electron transport with antioxidant protection, and this balance can be further challenged by metal exposure (Latifi et al., 2009). Carotenoids are relevant to this response because they contribute to the structural and functional integrity of cyanobacterial photosystems and can participate in quenching excess excitation energy and reactive oxygen species (Sedoud et al., 2014; Zakar et al., 2016). Experimental work with cyanobacteria exposed to arsenic has shown that physiological effects vary with arsenic species, concentration, and exposure duration, including both inhibition and partial recovery of cellular functions (Bhattacharya &amp; Pal, 2011; Patel et al., 2021a, 2021b). These observations support the use of time-resolved carotenoid measurements as a stress-responsive physiological endpoint, while also indicating that pigment changes should not be interpreted alone as direct evidence of metal removal or whole-cell tolerance.</w:t>
      </w:r>
    </w:p>
    <w:p w14:paraId="4F704441" w14:textId="77777777" w:rsidR="00A64450" w:rsidRPr="00C82B09" w:rsidRDefault="00000000">
      <w:pPr>
        <w:spacing w:line="240" w:lineRule="auto"/>
        <w:ind w:firstLine="720"/>
        <w:jc w:val="both"/>
        <w:rPr>
          <w:rFonts w:ascii="Times New Roman" w:hAnsi="Times New Roman" w:cs="Times New Roman"/>
          <w:bCs/>
          <w:color w:val="000000"/>
          <w:sz w:val="24"/>
          <w:szCs w:val="24"/>
        </w:rPr>
      </w:pPr>
      <w:r w:rsidRPr="00C82B09">
        <w:rPr>
          <w:rFonts w:ascii="Times New Roman" w:hAnsi="Times New Roman" w:cs="Times New Roman"/>
          <w:bCs/>
          <w:sz w:val="24"/>
        </w:rPr>
        <w:t xml:space="preserve">Recent evidence supports the use of microalgal and cyanobacterial systems for wastewater treatment and heavy-metal management, including heavy-metal scavenging by </w:t>
      </w:r>
      <w:r w:rsidRPr="00C82B09">
        <w:rPr>
          <w:rFonts w:ascii="Times New Roman" w:hAnsi="Times New Roman" w:cs="Times New Roman"/>
          <w:bCs/>
          <w:i/>
          <w:sz w:val="24"/>
        </w:rPr>
        <w:t>Spirulina</w:t>
      </w:r>
      <w:r w:rsidRPr="00C82B09">
        <w:rPr>
          <w:rFonts w:ascii="Times New Roman" w:hAnsi="Times New Roman" w:cs="Times New Roman"/>
          <w:bCs/>
          <w:sz w:val="24"/>
        </w:rPr>
        <w:t xml:space="preserve"> and </w:t>
      </w:r>
      <w:r w:rsidRPr="00C82B09">
        <w:rPr>
          <w:rFonts w:ascii="Times New Roman" w:hAnsi="Times New Roman" w:cs="Times New Roman"/>
          <w:bCs/>
          <w:i/>
          <w:sz w:val="24"/>
        </w:rPr>
        <w:t>Chlorella</w:t>
      </w:r>
      <w:r w:rsidRPr="00C82B09">
        <w:rPr>
          <w:rFonts w:ascii="Times New Roman" w:hAnsi="Times New Roman" w:cs="Times New Roman"/>
          <w:bCs/>
          <w:sz w:val="24"/>
        </w:rPr>
        <w:t xml:space="preserve"> in textile effluent and wastewater-based </w:t>
      </w:r>
      <w:r w:rsidRPr="00C82B09">
        <w:rPr>
          <w:rFonts w:ascii="Times New Roman" w:hAnsi="Times New Roman" w:cs="Times New Roman"/>
          <w:bCs/>
          <w:i/>
          <w:sz w:val="24"/>
        </w:rPr>
        <w:t>Spirulina</w:t>
      </w:r>
      <w:r w:rsidRPr="00C82B09">
        <w:rPr>
          <w:rFonts w:ascii="Times New Roman" w:hAnsi="Times New Roman" w:cs="Times New Roman"/>
          <w:bCs/>
          <w:sz w:val="24"/>
        </w:rPr>
        <w:t xml:space="preserve"> cultivation (Haque et al., 2024; Palanivel et al., 2022).</w:t>
      </w:r>
    </w:p>
    <w:p w14:paraId="20F75E30" w14:textId="77777777" w:rsidR="00A64450" w:rsidRPr="00C82B09" w:rsidRDefault="00000000">
      <w:pPr>
        <w:spacing w:line="240" w:lineRule="auto"/>
        <w:ind w:firstLine="720"/>
        <w:jc w:val="both"/>
        <w:rPr>
          <w:rFonts w:ascii="Times New Roman" w:hAnsi="Times New Roman" w:cs="Times New Roman"/>
          <w:bCs/>
          <w:color w:val="000000"/>
          <w:sz w:val="24"/>
          <w:szCs w:val="24"/>
        </w:rPr>
      </w:pPr>
      <w:r w:rsidRPr="00C82B09">
        <w:rPr>
          <w:rFonts w:ascii="Times New Roman" w:hAnsi="Times New Roman" w:cs="Times New Roman"/>
          <w:bCs/>
          <w:sz w:val="24"/>
        </w:rPr>
        <w:t xml:space="preserve">Studies focused more directly on cyanobacteria further indicate that heavy-metal remediation may involve biosorption and related cellular mechanisms, while exposure to Pb and </w:t>
      </w:r>
      <w:proofErr w:type="gramStart"/>
      <w:r w:rsidRPr="00C82B09">
        <w:rPr>
          <w:rFonts w:ascii="Times New Roman" w:hAnsi="Times New Roman" w:cs="Times New Roman"/>
          <w:bCs/>
          <w:sz w:val="24"/>
        </w:rPr>
        <w:t>As</w:t>
      </w:r>
      <w:proofErr w:type="gramEnd"/>
      <w:r w:rsidRPr="00C82B09">
        <w:rPr>
          <w:rFonts w:ascii="Times New Roman" w:hAnsi="Times New Roman" w:cs="Times New Roman"/>
          <w:bCs/>
          <w:sz w:val="24"/>
        </w:rPr>
        <w:t xml:space="preserve"> can alter growth and carotenoid production and heavy-metal contamination can constrain pigment-related applications in wastewater-grown biomass (Hossain &amp; Okino, 2024; Lourembam et al., 2024; Thevarajah et al., 2023).</w:t>
      </w:r>
    </w:p>
    <w:p w14:paraId="4CE5127B" w14:textId="77777777" w:rsidR="00A64450" w:rsidRPr="00C82B09" w:rsidRDefault="00000000">
      <w:pPr>
        <w:spacing w:line="240" w:lineRule="auto"/>
        <w:ind w:firstLine="720"/>
        <w:jc w:val="both"/>
        <w:rPr>
          <w:rFonts w:ascii="Times New Roman" w:hAnsi="Times New Roman" w:cs="Times New Roman"/>
          <w:bCs/>
          <w:color w:val="000000"/>
          <w:sz w:val="24"/>
          <w:szCs w:val="24"/>
        </w:rPr>
      </w:pPr>
      <w:r w:rsidRPr="00C82B09">
        <w:rPr>
          <w:rFonts w:ascii="Times New Roman" w:hAnsi="Times New Roman" w:cs="Times New Roman"/>
          <w:bCs/>
          <w:sz w:val="24"/>
        </w:rPr>
        <w:t xml:space="preserve">Within the scope of the present study, a direct comparison of carotenoid responses among </w:t>
      </w:r>
      <w:r w:rsidRPr="00C82B09">
        <w:rPr>
          <w:rFonts w:ascii="Times New Roman" w:hAnsi="Times New Roman" w:cs="Times New Roman"/>
          <w:bCs/>
          <w:i/>
          <w:sz w:val="24"/>
        </w:rPr>
        <w:t>Calothrix</w:t>
      </w:r>
      <w:r w:rsidRPr="00C82B09">
        <w:rPr>
          <w:rFonts w:ascii="Times New Roman" w:hAnsi="Times New Roman" w:cs="Times New Roman"/>
          <w:bCs/>
          <w:sz w:val="24"/>
        </w:rPr>
        <w:t xml:space="preserve"> sp., </w:t>
      </w:r>
      <w:r w:rsidRPr="00C82B09">
        <w:rPr>
          <w:rFonts w:ascii="Times New Roman" w:hAnsi="Times New Roman" w:cs="Times New Roman"/>
          <w:bCs/>
          <w:i/>
          <w:sz w:val="24"/>
        </w:rPr>
        <w:t>C. brevissima</w:t>
      </w:r>
      <w:r w:rsidRPr="00C82B09">
        <w:rPr>
          <w:rFonts w:ascii="Times New Roman" w:hAnsi="Times New Roman" w:cs="Times New Roman"/>
          <w:bCs/>
          <w:sz w:val="24"/>
        </w:rPr>
        <w:t xml:space="preserve"> CCCNO:65, and </w:t>
      </w:r>
      <w:r w:rsidRPr="00C82B09">
        <w:rPr>
          <w:rFonts w:ascii="Times New Roman" w:hAnsi="Times New Roman" w:cs="Times New Roman"/>
          <w:bCs/>
          <w:i/>
          <w:sz w:val="24"/>
        </w:rPr>
        <w:t>C. maechica</w:t>
      </w:r>
      <w:r w:rsidRPr="00C82B09">
        <w:rPr>
          <w:rFonts w:ascii="Times New Roman" w:hAnsi="Times New Roman" w:cs="Times New Roman"/>
          <w:bCs/>
          <w:sz w:val="24"/>
        </w:rPr>
        <w:t xml:space="preserve"> 19 under the same lead and arsenic exposure conditions is needed to determine whether the temporal pigment pattern is shared or culture-specific.</w:t>
      </w:r>
    </w:p>
    <w:p w14:paraId="0B02D79F" w14:textId="77777777" w:rsidR="00A64450" w:rsidRPr="00C82B09" w:rsidRDefault="00000000">
      <w:pPr>
        <w:autoSpaceDE w:val="0"/>
        <w:autoSpaceDN w:val="0"/>
        <w:adjustRightInd w:val="0"/>
        <w:spacing w:after="0" w:line="240" w:lineRule="auto"/>
        <w:ind w:firstLine="720"/>
        <w:jc w:val="both"/>
        <w:rPr>
          <w:rFonts w:ascii="TimesNewRoman" w:hAnsi="TimesNewRoman" w:cs="TimesNewRoman"/>
          <w:bCs/>
          <w:sz w:val="24"/>
          <w:szCs w:val="24"/>
        </w:rPr>
      </w:pPr>
      <w:r w:rsidRPr="00C82B09">
        <w:rPr>
          <w:rFonts w:ascii="TimesNewRoman" w:hAnsi="TimesNewRoman" w:cs="TimesNewRoman"/>
          <w:bCs/>
          <w:sz w:val="24"/>
        </w:rPr>
        <w:t>Objective</w:t>
      </w:r>
    </w:p>
    <w:p w14:paraId="0716A790" w14:textId="77777777" w:rsidR="00A64450" w:rsidRPr="00C82B09" w:rsidRDefault="00000000">
      <w:pPr>
        <w:spacing w:line="240" w:lineRule="auto"/>
        <w:ind w:firstLine="720"/>
        <w:jc w:val="both"/>
        <w:rPr>
          <w:rFonts w:ascii="Times New Roman" w:hAnsi="Times New Roman" w:cs="Times New Roman"/>
          <w:bCs/>
          <w:color w:val="000000"/>
          <w:sz w:val="24"/>
          <w:szCs w:val="24"/>
        </w:rPr>
      </w:pPr>
      <w:r w:rsidRPr="00C82B09">
        <w:rPr>
          <w:rFonts w:ascii="Times New Roman" w:hAnsi="Times New Roman" w:cs="Times New Roman"/>
          <w:bCs/>
          <w:sz w:val="24"/>
        </w:rPr>
        <w:t xml:space="preserve">Accordingly, the objective of this study was to evaluate and compare the carotenoid responses of </w:t>
      </w:r>
      <w:r w:rsidRPr="00C82B09">
        <w:rPr>
          <w:rFonts w:ascii="Times New Roman" w:hAnsi="Times New Roman" w:cs="Times New Roman"/>
          <w:bCs/>
          <w:i/>
          <w:sz w:val="24"/>
        </w:rPr>
        <w:t>Calothrix</w:t>
      </w:r>
      <w:r w:rsidRPr="00C82B09">
        <w:rPr>
          <w:rFonts w:ascii="Times New Roman" w:hAnsi="Times New Roman" w:cs="Times New Roman"/>
          <w:bCs/>
          <w:sz w:val="24"/>
        </w:rPr>
        <w:t xml:space="preserve"> sp., </w:t>
      </w:r>
      <w:r w:rsidRPr="00C82B09">
        <w:rPr>
          <w:rFonts w:ascii="Times New Roman" w:hAnsi="Times New Roman" w:cs="Times New Roman"/>
          <w:bCs/>
          <w:i/>
          <w:sz w:val="24"/>
        </w:rPr>
        <w:t>C. brevissima</w:t>
      </w:r>
      <w:r w:rsidRPr="00C82B09">
        <w:rPr>
          <w:rFonts w:ascii="Times New Roman" w:hAnsi="Times New Roman" w:cs="Times New Roman"/>
          <w:bCs/>
          <w:sz w:val="24"/>
        </w:rPr>
        <w:t xml:space="preserve"> CCCNO:65, and </w:t>
      </w:r>
      <w:r w:rsidRPr="00C82B09">
        <w:rPr>
          <w:rFonts w:ascii="Times New Roman" w:hAnsi="Times New Roman" w:cs="Times New Roman"/>
          <w:bCs/>
          <w:i/>
          <w:sz w:val="24"/>
        </w:rPr>
        <w:t>C. maechica</w:t>
      </w:r>
      <w:r w:rsidRPr="00C82B09">
        <w:rPr>
          <w:rFonts w:ascii="Times New Roman" w:hAnsi="Times New Roman" w:cs="Times New Roman"/>
          <w:bCs/>
          <w:sz w:val="24"/>
        </w:rPr>
        <w:t xml:space="preserve"> 19 exposed to Pb and </w:t>
      </w:r>
      <w:proofErr w:type="gramStart"/>
      <w:r w:rsidRPr="00C82B09">
        <w:rPr>
          <w:rFonts w:ascii="Times New Roman" w:hAnsi="Times New Roman" w:cs="Times New Roman"/>
          <w:bCs/>
          <w:sz w:val="24"/>
        </w:rPr>
        <w:t>As</w:t>
      </w:r>
      <w:proofErr w:type="gramEnd"/>
      <w:r w:rsidRPr="00C82B09">
        <w:rPr>
          <w:rFonts w:ascii="Times New Roman" w:hAnsi="Times New Roman" w:cs="Times New Roman"/>
          <w:bCs/>
          <w:sz w:val="24"/>
        </w:rPr>
        <w:t xml:space="preserve"> at 2 and 5 ppm over a six-day period.</w:t>
      </w:r>
    </w:p>
    <w:p w14:paraId="0B26E6A7" w14:textId="77777777" w:rsidR="00F7089C" w:rsidRPr="00C82B09" w:rsidRDefault="00F7089C" w:rsidP="00117041">
      <w:pPr>
        <w:autoSpaceDE w:val="0"/>
        <w:autoSpaceDN w:val="0"/>
        <w:adjustRightInd w:val="0"/>
        <w:spacing w:after="0" w:line="240" w:lineRule="auto"/>
        <w:ind w:firstLine="720"/>
        <w:jc w:val="both"/>
        <w:rPr>
          <w:rFonts w:ascii="TimesNewRoman" w:hAnsi="TimesNewRoman" w:cs="TimesNewRoman"/>
          <w:b/>
          <w:sz w:val="24"/>
          <w:szCs w:val="24"/>
        </w:rPr>
      </w:pPr>
      <w:r w:rsidRPr="00C82B09">
        <w:rPr>
          <w:rFonts w:ascii="TimesNewRoman" w:hAnsi="TimesNewRoman" w:cs="TimesNewRoman"/>
          <w:b/>
          <w:sz w:val="24"/>
          <w:szCs w:val="24"/>
        </w:rPr>
        <w:t>MATERIALS AND METHODS</w:t>
      </w:r>
    </w:p>
    <w:p w14:paraId="6E6B5601" w14:textId="77777777" w:rsidR="00874DB6" w:rsidRPr="00C82B09" w:rsidRDefault="00F7089C" w:rsidP="00117041">
      <w:pPr>
        <w:autoSpaceDE w:val="0"/>
        <w:autoSpaceDN w:val="0"/>
        <w:adjustRightInd w:val="0"/>
        <w:spacing w:after="0" w:line="240" w:lineRule="auto"/>
        <w:ind w:firstLine="720"/>
        <w:jc w:val="both"/>
        <w:rPr>
          <w:rFonts w:ascii="Times New Roman" w:hAnsi="Times New Roman" w:cs="Times New Roman"/>
          <w:b/>
          <w:bCs/>
          <w:sz w:val="24"/>
          <w:szCs w:val="24"/>
        </w:rPr>
      </w:pPr>
      <w:r w:rsidRPr="00C82B09">
        <w:rPr>
          <w:rFonts w:ascii="TimesNewRoman,Bold" w:hAnsi="TimesNewRoman,Bold" w:cs="TimesNewRoman,Bold"/>
          <w:b/>
          <w:bCs/>
          <w:sz w:val="24"/>
          <w:szCs w:val="24"/>
        </w:rPr>
        <w:t xml:space="preserve"> </w:t>
      </w:r>
      <w:r w:rsidRPr="00C82B09">
        <w:rPr>
          <w:rFonts w:ascii="Times New Roman" w:hAnsi="Times New Roman" w:cs="Times New Roman"/>
          <w:b/>
          <w:bCs/>
          <w:sz w:val="24"/>
          <w:szCs w:val="24"/>
        </w:rPr>
        <w:t>Strain, media and culture procedures</w:t>
      </w:r>
    </w:p>
    <w:p w14:paraId="26CF4D31" w14:textId="77777777" w:rsidR="00874DB6" w:rsidRPr="00C82B09" w:rsidRDefault="00874DB6" w:rsidP="00117041">
      <w:pPr>
        <w:spacing w:after="160" w:line="240" w:lineRule="auto"/>
        <w:ind w:firstLine="720"/>
        <w:jc w:val="both"/>
        <w:rPr>
          <w:rFonts w:ascii="Times New Roman" w:hAnsi="Times New Roman" w:cs="Times New Roman"/>
          <w:sz w:val="24"/>
          <w:szCs w:val="24"/>
        </w:rPr>
      </w:pPr>
      <w:r w:rsidRPr="00C82B09">
        <w:rPr>
          <w:rFonts w:ascii="Times New Roman" w:hAnsi="Times New Roman"/>
          <w:b/>
          <w:sz w:val="24"/>
        </w:rPr>
        <w:lastRenderedPageBreak/>
        <w:t>Name of the person who identified the strains</w:t>
      </w:r>
      <w:r w:rsidRPr="00C82B09">
        <w:rPr>
          <w:rFonts w:ascii="Times New Roman" w:hAnsi="Times New Roman"/>
          <w:sz w:val="24"/>
        </w:rPr>
        <w:t xml:space="preserve">: The strains </w:t>
      </w:r>
      <w:r w:rsidRPr="00C82B09">
        <w:rPr>
          <w:rFonts w:ascii="Times New Roman" w:hAnsi="Times New Roman"/>
          <w:i/>
          <w:sz w:val="24"/>
        </w:rPr>
        <w:t>Calothrix maechica 19</w:t>
      </w:r>
      <w:r w:rsidRPr="00C82B09">
        <w:rPr>
          <w:rFonts w:ascii="Times New Roman" w:hAnsi="Times New Roman"/>
          <w:sz w:val="24"/>
        </w:rPr>
        <w:t xml:space="preserve"> (NAIMCC-C-00006) and </w:t>
      </w:r>
      <w:r w:rsidRPr="00C82B09">
        <w:rPr>
          <w:rFonts w:ascii="Times New Roman" w:hAnsi="Times New Roman"/>
          <w:i/>
          <w:sz w:val="24"/>
        </w:rPr>
        <w:t>Calothrix brevissima</w:t>
      </w:r>
      <w:r w:rsidRPr="00C82B09">
        <w:rPr>
          <w:rFonts w:ascii="Times New Roman" w:hAnsi="Times New Roman"/>
          <w:sz w:val="24"/>
        </w:rPr>
        <w:t xml:space="preserve"> (CCCNO: 65, NAIMCC-C-00048) were procured from NAIMCC, ICAR-NBAIM, Mau, while </w:t>
      </w:r>
      <w:r w:rsidRPr="00C82B09">
        <w:rPr>
          <w:rFonts w:ascii="Times New Roman" w:hAnsi="Times New Roman"/>
          <w:i/>
          <w:sz w:val="24"/>
        </w:rPr>
        <w:t>Calothrix sp.</w:t>
      </w:r>
      <w:r w:rsidRPr="00C82B09">
        <w:rPr>
          <w:rFonts w:ascii="Times New Roman" w:hAnsi="Times New Roman"/>
          <w:sz w:val="24"/>
        </w:rPr>
        <w:t xml:space="preserve"> was procured from the University of Allahabad. The strains were verified by Dr Kirti Raje Singh, Phycology Laboratory, C M P Degree College, University of Allahabad.</w:t>
      </w:r>
    </w:p>
    <w:p w14:paraId="79D108C5" w14:textId="77777777" w:rsidR="00874DB6" w:rsidRPr="00C82B09" w:rsidRDefault="00874DB6" w:rsidP="00117041">
      <w:pPr>
        <w:spacing w:after="160" w:line="240" w:lineRule="auto"/>
        <w:ind w:firstLine="720"/>
        <w:jc w:val="both"/>
        <w:rPr>
          <w:rFonts w:ascii="Times New Roman" w:hAnsi="Times New Roman" w:cs="Times New Roman"/>
          <w:sz w:val="24"/>
          <w:szCs w:val="24"/>
        </w:rPr>
      </w:pPr>
      <w:r w:rsidRPr="00C82B09">
        <w:rPr>
          <w:rFonts w:ascii="Times New Roman" w:hAnsi="Times New Roman"/>
          <w:b/>
          <w:sz w:val="24"/>
        </w:rPr>
        <w:t>Herbarium Details / Voucher specimens</w:t>
      </w:r>
      <w:r w:rsidRPr="00C82B09">
        <w:rPr>
          <w:rFonts w:ascii="Times New Roman" w:hAnsi="Times New Roman"/>
          <w:sz w:val="24"/>
        </w:rPr>
        <w:t>: Voucher specimens are not relevant. The National Agriculturally Important Microbial Culture Collection, ICAR-NBAIM, Mau, India, maintains the strains as live cultures under accession numbers NAIMCC-C-00006 and NAIMCC-C-00048.</w:t>
      </w:r>
    </w:p>
    <w:p w14:paraId="634A61B4" w14:textId="77777777" w:rsidR="00874DB6" w:rsidRPr="00C82B09" w:rsidRDefault="00874DB6" w:rsidP="00117041">
      <w:pPr>
        <w:spacing w:after="160" w:line="240" w:lineRule="auto"/>
        <w:ind w:firstLine="720"/>
        <w:jc w:val="both"/>
        <w:rPr>
          <w:rFonts w:ascii="Times New Roman" w:hAnsi="Times New Roman" w:cs="Times New Roman"/>
          <w:sz w:val="24"/>
          <w:szCs w:val="24"/>
        </w:rPr>
      </w:pPr>
      <w:r w:rsidRPr="00C82B09">
        <w:rPr>
          <w:rFonts w:ascii="Times New Roman" w:hAnsi="Times New Roman"/>
          <w:b/>
          <w:sz w:val="24"/>
        </w:rPr>
        <w:t>Permissions</w:t>
      </w:r>
      <w:r w:rsidRPr="00C82B09">
        <w:rPr>
          <w:rFonts w:ascii="Times New Roman" w:hAnsi="Times New Roman"/>
          <w:sz w:val="24"/>
        </w:rPr>
        <w:t>: Not relevant. No wild collection was undertaken. The strains were obtained from a national culture collection that is open to the public.</w:t>
      </w:r>
    </w:p>
    <w:p w14:paraId="37932536" w14:textId="77777777" w:rsidR="00F7089C" w:rsidRPr="00C82B09" w:rsidRDefault="00F7089C" w:rsidP="00117041">
      <w:pPr>
        <w:spacing w:after="160" w:line="240" w:lineRule="auto"/>
        <w:jc w:val="both"/>
        <w:rPr>
          <w:rFonts w:ascii="Times New Roman" w:hAnsi="Times New Roman" w:cs="Times New Roman"/>
          <w:sz w:val="24"/>
          <w:szCs w:val="24"/>
        </w:rPr>
      </w:pPr>
      <w:r w:rsidRPr="00C82B09">
        <w:rPr>
          <w:rFonts w:ascii="Times New Roman" w:hAnsi="Times New Roman"/>
          <w:sz w:val="24"/>
        </w:rPr>
        <w:t xml:space="preserve">The experiment was conducted using axenic stock cultures of different species of the cyanobacterium </w:t>
      </w:r>
      <w:r w:rsidRPr="00C82B09">
        <w:rPr>
          <w:rFonts w:ascii="Times New Roman" w:hAnsi="Times New Roman"/>
          <w:i/>
          <w:sz w:val="24"/>
        </w:rPr>
        <w:t>Calothrix</w:t>
      </w:r>
      <w:r w:rsidRPr="00C82B09">
        <w:rPr>
          <w:rFonts w:ascii="Times New Roman" w:hAnsi="Times New Roman"/>
          <w:sz w:val="24"/>
        </w:rPr>
        <w:t xml:space="preserve"> that were obtained from ICAR-NBAIM and the University of Allahabad, Uttar Pradesh. The cultures were maintained under a 14:10 h </w:t>
      </w:r>
      <w:proofErr w:type="gramStart"/>
      <w:r w:rsidRPr="00C82B09">
        <w:rPr>
          <w:rFonts w:ascii="Times New Roman" w:hAnsi="Times New Roman"/>
          <w:sz w:val="24"/>
        </w:rPr>
        <w:t>light:dark</w:t>
      </w:r>
      <w:proofErr w:type="gramEnd"/>
      <w:r w:rsidRPr="00C82B09">
        <w:rPr>
          <w:rFonts w:ascii="Times New Roman" w:hAnsi="Times New Roman"/>
          <w:sz w:val="24"/>
        </w:rPr>
        <w:t xml:space="preserve"> period at 30 ± 2 °C and a light intensity of 5000 lux. For the metal treatments, seven-day-old cultures were centrifuged at 4,000 rpm for ten minutes, and the pellets were then resuspended in fresh BG-11 medium.</w:t>
      </w:r>
    </w:p>
    <w:p w14:paraId="230754E5" w14:textId="77777777" w:rsidR="00F7089C" w:rsidRPr="00C82B09" w:rsidRDefault="00F7089C" w:rsidP="00117041">
      <w:pPr>
        <w:autoSpaceDE w:val="0"/>
        <w:autoSpaceDN w:val="0"/>
        <w:adjustRightInd w:val="0"/>
        <w:spacing w:line="240" w:lineRule="auto"/>
        <w:ind w:firstLine="720"/>
        <w:jc w:val="both"/>
        <w:rPr>
          <w:sz w:val="24"/>
          <w:szCs w:val="24"/>
        </w:rPr>
      </w:pPr>
      <w:r w:rsidRPr="00C82B09">
        <w:rPr>
          <w:rFonts w:ascii="Times New Roman" w:hAnsi="Times New Roman" w:cs="Times New Roman"/>
          <w:b/>
          <w:bCs/>
          <w:sz w:val="24"/>
          <w:szCs w:val="24"/>
        </w:rPr>
        <w:t>Chemicals and analytical methods</w:t>
      </w:r>
    </w:p>
    <w:p w14:paraId="6B50AB95" w14:textId="77777777" w:rsidR="00F7089C" w:rsidRPr="00C82B09" w:rsidRDefault="00F7089C" w:rsidP="00117041">
      <w:pPr>
        <w:spacing w:line="240" w:lineRule="auto"/>
        <w:ind w:firstLine="720"/>
        <w:jc w:val="both"/>
        <w:rPr>
          <w:rFonts w:ascii="Times New Roman" w:hAnsi="Times New Roman" w:cs="Times New Roman"/>
          <w:sz w:val="24"/>
          <w:szCs w:val="24"/>
        </w:rPr>
      </w:pPr>
      <w:r w:rsidRPr="00C82B09">
        <w:rPr>
          <w:rFonts w:ascii="Times New Roman" w:hAnsi="Times New Roman"/>
          <w:sz w:val="24"/>
        </w:rPr>
        <w:t>Analytical-grade compounds were utilised without additional purification. The experiment was conducted using deionised water. The sources of Pb2+ and As3+ were lead nitrate [</w:t>
      </w:r>
      <w:proofErr w:type="gramStart"/>
      <w:r w:rsidRPr="00C82B09">
        <w:rPr>
          <w:rFonts w:ascii="Times New Roman" w:hAnsi="Times New Roman"/>
          <w:sz w:val="24"/>
        </w:rPr>
        <w:t>Pb(</w:t>
      </w:r>
      <w:proofErr w:type="gramEnd"/>
      <w:r w:rsidRPr="00C82B09">
        <w:rPr>
          <w:rFonts w:ascii="Times New Roman" w:hAnsi="Times New Roman"/>
          <w:sz w:val="24"/>
        </w:rPr>
        <w:t>NO3)2] and arsenic trioxide [As2O3], respectively. Before use, the stock solutions (1000 mg/L) were prepared and refrigerated at 4 °C. These stock solutions were appropriately diluted to prepare all working solutions. Optical density was measured using a spectrophotometer (UV-2102). Weighing was performed using a digital balance (Sartorins, BS 210 S).</w:t>
      </w:r>
    </w:p>
    <w:p w14:paraId="10D35D88" w14:textId="77777777" w:rsidR="00F7089C" w:rsidRPr="00C82B09" w:rsidRDefault="00F7089C" w:rsidP="00117041">
      <w:pPr>
        <w:autoSpaceDE w:val="0"/>
        <w:autoSpaceDN w:val="0"/>
        <w:adjustRightInd w:val="0"/>
        <w:spacing w:after="0" w:line="240" w:lineRule="auto"/>
        <w:ind w:firstLine="720"/>
        <w:rPr>
          <w:sz w:val="24"/>
          <w:szCs w:val="24"/>
        </w:rPr>
      </w:pPr>
      <w:r w:rsidRPr="00C82B09">
        <w:rPr>
          <w:rFonts w:ascii="Times New Roman" w:hAnsi="Times New Roman" w:cs="Times New Roman"/>
          <w:b/>
          <w:bCs/>
          <w:sz w:val="24"/>
          <w:szCs w:val="24"/>
        </w:rPr>
        <w:t>Metal treatments</w:t>
      </w:r>
    </w:p>
    <w:p w14:paraId="17B7DB30" w14:textId="77777777" w:rsidR="00F7089C" w:rsidRPr="00C82B09" w:rsidRDefault="00F7089C" w:rsidP="00117041">
      <w:pPr>
        <w:autoSpaceDE w:val="0"/>
        <w:autoSpaceDN w:val="0"/>
        <w:adjustRightInd w:val="0"/>
        <w:spacing w:after="0" w:line="240" w:lineRule="auto"/>
        <w:ind w:firstLine="720"/>
        <w:jc w:val="both"/>
        <w:rPr>
          <w:rFonts w:ascii="Times New Roman" w:hAnsi="Times New Roman" w:cs="Times New Roman"/>
          <w:sz w:val="24"/>
          <w:szCs w:val="24"/>
        </w:rPr>
      </w:pPr>
      <w:r w:rsidRPr="00C82B09">
        <w:rPr>
          <w:rFonts w:ascii="Times New Roman" w:hAnsi="Times New Roman"/>
          <w:sz w:val="24"/>
        </w:rPr>
        <w:t>Toxicity tests were conducted independently for the two metals using 150 mL flasks. One hundred millilitres of algal suspension with varying initial metal concentrations (0, 2, and 5 ppm) was added to each flask. Under the previously described conditions, the suspensions were continuously homogenised on a rotary shaker at 100 rpm and cultivated for six days. OD750nm was initially set at 0.1.</w:t>
      </w:r>
    </w:p>
    <w:p w14:paraId="03607D6F" w14:textId="77777777" w:rsidR="00F7089C" w:rsidRPr="00C82B09" w:rsidRDefault="00F7089C" w:rsidP="00117041">
      <w:pPr>
        <w:pStyle w:val="Default"/>
        <w:ind w:firstLine="720"/>
      </w:pPr>
      <w:r w:rsidRPr="00C82B09">
        <w:rPr>
          <w:b/>
        </w:rPr>
        <w:t>Carotenoids:</w:t>
      </w:r>
      <w:r w:rsidRPr="00C82B09">
        <w:t xml:space="preserve"> Carotenoids were determined using the Jensen technique (1978).</w:t>
      </w:r>
    </w:p>
    <w:p w14:paraId="27B8B942" w14:textId="77777777" w:rsidR="00F7089C" w:rsidRPr="00C82B09" w:rsidRDefault="00F7089C" w:rsidP="00117041">
      <w:pPr>
        <w:spacing w:line="240" w:lineRule="auto"/>
        <w:ind w:firstLine="720"/>
        <w:jc w:val="both"/>
        <w:rPr>
          <w:rFonts w:ascii="Times New Roman" w:hAnsi="Times New Roman" w:cs="Times New Roman"/>
          <w:sz w:val="24"/>
          <w:szCs w:val="24"/>
        </w:rPr>
      </w:pPr>
      <w:r w:rsidRPr="00C82B09">
        <w:rPr>
          <w:rFonts w:ascii="Times New Roman" w:hAnsi="Times New Roman"/>
          <w:b/>
          <w:sz w:val="24"/>
        </w:rPr>
        <w:t>Procedure:</w:t>
      </w:r>
      <w:r w:rsidRPr="00C82B09">
        <w:rPr>
          <w:rFonts w:ascii="Times New Roman" w:hAnsi="Times New Roman"/>
          <w:sz w:val="24"/>
        </w:rPr>
        <w:t xml:space="preserve"> The blue-green algal suspension was centrifuged for 20 minutes at 3000–5000 rpm. The algal pellet was washed twice with glass-distilled water. The washed algal pellet was then placed in a test tube with ten millilitres of acetone (Jensen, 1978). The test tube was covered with a cotton plug and subjected to repeated freezing and thawing while remaining in the freezer overnight. The tube was then removed from the freezer and kept at room temperature. After centrifugation of the extract, the supernatant was collected. A UV-visible spectrophotometer was used to measure absorbance at 450 nm against an acetone blank.</w:t>
      </w:r>
    </w:p>
    <w:p w14:paraId="74A7D9B6" w14:textId="77777777" w:rsidR="00F7089C" w:rsidRPr="00C82B09" w:rsidRDefault="00F7089C" w:rsidP="00117041">
      <w:pPr>
        <w:pStyle w:val="Default"/>
        <w:ind w:firstLine="720"/>
      </w:pPr>
      <w:r w:rsidRPr="00C82B09">
        <w:rPr>
          <w:b/>
        </w:rPr>
        <w:t>Calculation:</w:t>
      </w:r>
      <w:r w:rsidRPr="00C82B09">
        <w:t xml:space="preserve"> The following formula was used to calculate total carotenoids.</w:t>
      </w:r>
    </w:p>
    <w:p w14:paraId="665818EB" w14:textId="77777777" w:rsidR="00F7089C" w:rsidRPr="00C82B09" w:rsidRDefault="00F7089C" w:rsidP="00117041">
      <w:pPr>
        <w:pStyle w:val="Default"/>
        <w:ind w:firstLine="720"/>
      </w:pPr>
      <w:r w:rsidRPr="00C82B09">
        <w:rPr>
          <w:b/>
        </w:rPr>
        <w:t>Formula</w:t>
      </w:r>
    </w:p>
    <w:p w14:paraId="5CC0EEAC" w14:textId="77777777" w:rsidR="00F7089C" w:rsidRPr="00C82B09" w:rsidRDefault="00F7089C" w:rsidP="00117041">
      <w:pPr>
        <w:pStyle w:val="Default"/>
        <w:ind w:firstLine="720"/>
      </w:pPr>
      <w:r w:rsidRPr="00C82B09">
        <w:rPr>
          <w:b/>
          <w:bCs/>
        </w:rPr>
        <w:t>Carotenoid C (</w:t>
      </w:r>
      <w:proofErr w:type="spellStart"/>
      <w:r w:rsidRPr="00C82B09">
        <w:rPr>
          <w:b/>
          <w:bCs/>
        </w:rPr>
        <w:t>μg</w:t>
      </w:r>
      <w:proofErr w:type="spellEnd"/>
      <w:r w:rsidRPr="00C82B09">
        <w:rPr>
          <w:b/>
          <w:bCs/>
        </w:rPr>
        <w:t xml:space="preserve">/ml)  </w:t>
      </w:r>
      <m:oMath>
        <m:r>
          <w:rPr>
            <w:rFonts w:ascii="Cambria Math"/>
          </w:rPr>
          <m:t>=</m:t>
        </m:r>
        <m:f>
          <m:fPr>
            <m:ctrlPr>
              <w:rPr>
                <w:rFonts w:ascii="Cambria Math" w:hAnsi="Cambria Math"/>
                <w:b/>
                <w:bCs/>
              </w:rPr>
            </m:ctrlPr>
          </m:fPr>
          <m:num>
            <m:r>
              <m:rPr>
                <m:sty m:val="bi"/>
              </m:rPr>
              <w:rPr>
                <w:rFonts w:ascii="Cambria Math" w:hAnsi="Cambria Math"/>
              </w:rPr>
              <m:t>D</m:t>
            </m:r>
            <m:r>
              <m:rPr>
                <m:sty m:val="bi"/>
              </m:rPr>
              <w:rPr>
                <w:rFonts w:hAnsi="Cambria Math"/>
              </w:rPr>
              <m:t>*</m:t>
            </m:r>
            <m:r>
              <m:rPr>
                <m:sty m:val="bi"/>
              </m:rPr>
              <w:rPr>
                <w:rFonts w:ascii="Cambria Math" w:hAnsi="Cambria Math"/>
              </w:rPr>
              <m:t>V</m:t>
            </m:r>
            <m:r>
              <m:rPr>
                <m:sty m:val="bi"/>
              </m:rPr>
              <w:rPr>
                <w:rFonts w:hAnsi="Cambria Math"/>
              </w:rPr>
              <m:t>*</m:t>
            </m:r>
            <m:r>
              <m:rPr>
                <m:sty m:val="bi"/>
              </m:rPr>
              <w:rPr>
                <w:rFonts w:ascii="Cambria Math" w:hAnsi="Cambria Math"/>
              </w:rPr>
              <m:t>F</m:t>
            </m:r>
            <m:r>
              <m:rPr>
                <m:sty m:val="bi"/>
              </m:rPr>
              <w:rPr>
                <w:rFonts w:hAnsi="Cambria Math"/>
              </w:rPr>
              <m:t>*</m:t>
            </m:r>
            <m:r>
              <m:rPr>
                <m:sty m:val="bi"/>
              </m:rPr>
              <w:rPr>
                <w:rFonts w:ascii="Cambria Math"/>
              </w:rPr>
              <m:t>10</m:t>
            </m:r>
          </m:num>
          <m:den>
            <m:r>
              <m:rPr>
                <m:sty m:val="bi"/>
              </m:rPr>
              <w:rPr>
                <w:rFonts w:ascii="Cambria Math"/>
              </w:rPr>
              <m:t>2500</m:t>
            </m:r>
          </m:den>
        </m:f>
      </m:oMath>
    </w:p>
    <w:p w14:paraId="70912DA0" w14:textId="77777777" w:rsidR="00F7089C" w:rsidRPr="00C82B09" w:rsidRDefault="00F7089C" w:rsidP="00117041">
      <w:pPr>
        <w:pStyle w:val="Default"/>
      </w:pPr>
      <w:r w:rsidRPr="00C82B09">
        <w:t xml:space="preserve">Where C = the total amount of carotenoid in </w:t>
      </w:r>
      <w:proofErr w:type="spellStart"/>
      <w:r w:rsidRPr="00C82B09">
        <w:t>μg</w:t>
      </w:r>
      <w:proofErr w:type="spellEnd"/>
      <w:r w:rsidRPr="00C82B09">
        <w:t xml:space="preserve">/ml. </w:t>
      </w:r>
    </w:p>
    <w:p w14:paraId="0C90379B" w14:textId="77777777" w:rsidR="00F7089C" w:rsidRPr="00C82B09" w:rsidRDefault="00F7089C" w:rsidP="00117041">
      <w:pPr>
        <w:autoSpaceDE w:val="0"/>
        <w:autoSpaceDN w:val="0"/>
        <w:adjustRightInd w:val="0"/>
        <w:spacing w:after="0" w:line="240" w:lineRule="auto"/>
        <w:ind w:firstLine="720"/>
        <w:rPr>
          <w:rFonts w:ascii="Times New Roman" w:hAnsi="Times New Roman" w:cs="Times New Roman"/>
          <w:sz w:val="24"/>
          <w:szCs w:val="24"/>
        </w:rPr>
      </w:pPr>
      <w:r w:rsidRPr="00C82B09">
        <w:rPr>
          <w:rFonts w:ascii="Times New Roman" w:hAnsi="Times New Roman" w:cs="Times New Roman"/>
          <w:sz w:val="24"/>
          <w:szCs w:val="24"/>
        </w:rPr>
        <w:t>D = the absorption coefficient at 450 nm.</w:t>
      </w:r>
    </w:p>
    <w:p w14:paraId="13B1FF1E" w14:textId="77777777" w:rsidR="00F7089C" w:rsidRPr="00C82B09" w:rsidRDefault="00F7089C" w:rsidP="00117041">
      <w:pPr>
        <w:pStyle w:val="Default"/>
        <w:ind w:firstLine="720"/>
      </w:pPr>
      <w:r w:rsidRPr="00C82B09">
        <w:t xml:space="preserve">V = the volume of extract in ml. </w:t>
      </w:r>
    </w:p>
    <w:p w14:paraId="2E94D227" w14:textId="77777777" w:rsidR="00F7089C" w:rsidRPr="00C82B09" w:rsidRDefault="00F7089C" w:rsidP="00117041">
      <w:pPr>
        <w:autoSpaceDE w:val="0"/>
        <w:autoSpaceDN w:val="0"/>
        <w:adjustRightInd w:val="0"/>
        <w:spacing w:after="0" w:line="240" w:lineRule="auto"/>
        <w:ind w:firstLine="720"/>
        <w:rPr>
          <w:rFonts w:ascii="Times New Roman" w:hAnsi="Times New Roman" w:cs="Times New Roman"/>
          <w:b/>
          <w:bCs/>
          <w:sz w:val="24"/>
          <w:szCs w:val="24"/>
        </w:rPr>
      </w:pPr>
      <w:r w:rsidRPr="00C82B09">
        <w:rPr>
          <w:rFonts w:ascii="Times New Roman" w:hAnsi="Times New Roman" w:cs="Times New Roman"/>
          <w:sz w:val="24"/>
          <w:szCs w:val="24"/>
        </w:rPr>
        <w:lastRenderedPageBreak/>
        <w:t>F = the dilution factor</w:t>
      </w:r>
    </w:p>
    <w:p w14:paraId="1E4EFB1C" w14:textId="77777777" w:rsidR="00095F71" w:rsidRPr="00C82B09" w:rsidRDefault="00095F71" w:rsidP="00095F71">
      <w:pPr>
        <w:spacing w:line="240" w:lineRule="auto"/>
        <w:ind w:firstLine="720"/>
        <w:jc w:val="both"/>
        <w:rPr>
          <w:rFonts w:ascii="Times New Roman" w:hAnsi="Times New Roman" w:cs="Times New Roman"/>
          <w:b/>
          <w:sz w:val="24"/>
          <w:szCs w:val="24"/>
        </w:rPr>
      </w:pPr>
    </w:p>
    <w:p w14:paraId="57042BF3" w14:textId="77777777" w:rsidR="00095F71" w:rsidRPr="00C82B09" w:rsidRDefault="00095F71" w:rsidP="00095F71">
      <w:pPr>
        <w:spacing w:line="240" w:lineRule="auto"/>
        <w:ind w:firstLine="720"/>
        <w:jc w:val="both"/>
        <w:rPr>
          <w:rFonts w:ascii="Times New Roman" w:hAnsi="Times New Roman" w:cs="Times New Roman"/>
          <w:b/>
          <w:sz w:val="24"/>
          <w:szCs w:val="24"/>
        </w:rPr>
      </w:pPr>
      <w:r w:rsidRPr="00C82B09">
        <w:rPr>
          <w:rFonts w:ascii="Times New Roman" w:hAnsi="Times New Roman"/>
          <w:b/>
          <w:sz w:val="24"/>
        </w:rPr>
        <w:t>Statistical analysis</w:t>
      </w:r>
    </w:p>
    <w:p w14:paraId="5616EDC1" w14:textId="77777777" w:rsidR="00095F71" w:rsidRPr="00C82B09" w:rsidRDefault="00095F71" w:rsidP="00095F71">
      <w:pPr>
        <w:spacing w:line="240" w:lineRule="auto"/>
        <w:ind w:firstLine="720"/>
        <w:jc w:val="both"/>
        <w:rPr>
          <w:rFonts w:ascii="Times New Roman" w:hAnsi="Times New Roman" w:cs="Times New Roman"/>
          <w:sz w:val="24"/>
          <w:szCs w:val="24"/>
        </w:rPr>
      </w:pPr>
      <w:r w:rsidRPr="00C82B09">
        <w:rPr>
          <w:rFonts w:ascii="Times New Roman" w:hAnsi="Times New Roman"/>
          <w:sz w:val="24"/>
        </w:rPr>
        <w:t>The mean ± SD of three replicates (N = 3) was used to present the experimental values, whereas the mean ± SEM (N = 3) was used for the graphs. Using GraphPad Prism software, a two-way analysis of variance (ANOVA) was performed, followed by a least significant difference (LSD) test (P &lt; 0.05).</w:t>
      </w:r>
    </w:p>
    <w:p w14:paraId="48ABF535" w14:textId="77777777" w:rsidR="00095F71" w:rsidRPr="00C82B09" w:rsidRDefault="00095F71" w:rsidP="00117041">
      <w:pPr>
        <w:pStyle w:val="Caption"/>
        <w:keepNext/>
        <w:ind w:firstLine="720"/>
        <w:rPr>
          <w:rFonts w:ascii="Times New Roman" w:hAnsi="Times New Roman" w:cs="Times New Roman"/>
          <w:b/>
          <w:bCs/>
          <w:i w:val="0"/>
          <w:iCs w:val="0"/>
          <w:color w:val="auto"/>
          <w:sz w:val="24"/>
          <w:szCs w:val="24"/>
        </w:rPr>
      </w:pPr>
    </w:p>
    <w:p w14:paraId="07EAC1E8" w14:textId="77777777" w:rsidR="00095F71" w:rsidRPr="00C82B09" w:rsidRDefault="00095F71" w:rsidP="00117041">
      <w:pPr>
        <w:pStyle w:val="Caption"/>
        <w:keepNext/>
        <w:ind w:firstLine="720"/>
        <w:rPr>
          <w:rFonts w:ascii="Times New Roman" w:hAnsi="Times New Roman" w:cs="Times New Roman"/>
          <w:b/>
          <w:bCs/>
          <w:i w:val="0"/>
          <w:iCs w:val="0"/>
          <w:color w:val="auto"/>
          <w:sz w:val="24"/>
          <w:szCs w:val="24"/>
        </w:rPr>
      </w:pPr>
    </w:p>
    <w:p w14:paraId="541D97FA" w14:textId="77777777" w:rsidR="00F7089C" w:rsidRPr="00C82B09" w:rsidRDefault="00F7089C" w:rsidP="00117041">
      <w:pPr>
        <w:pStyle w:val="Caption"/>
        <w:keepNext/>
        <w:ind w:firstLine="720"/>
        <w:rPr>
          <w:rFonts w:ascii="Times New Roman" w:hAnsi="Times New Roman" w:cs="Times New Roman"/>
          <w:b/>
          <w:bCs/>
          <w:i w:val="0"/>
          <w:iCs w:val="0"/>
          <w:color w:val="auto"/>
          <w:sz w:val="24"/>
          <w:szCs w:val="24"/>
        </w:rPr>
      </w:pPr>
      <w:r w:rsidRPr="00C82B09">
        <w:rPr>
          <w:rFonts w:ascii="Times New Roman" w:hAnsi="Times New Roman"/>
          <w:b/>
          <w:i w:val="0"/>
          <w:sz w:val="24"/>
        </w:rPr>
        <w:t>Results</w:t>
      </w:r>
    </w:p>
    <w:p w14:paraId="0E5C4297" w14:textId="77777777" w:rsidR="00F7089C" w:rsidRPr="00C82B09" w:rsidRDefault="00F7089C" w:rsidP="00117041">
      <w:pPr>
        <w:pStyle w:val="Caption"/>
        <w:keepNext/>
        <w:ind w:firstLine="720"/>
        <w:rPr>
          <w:rFonts w:ascii="Times New Roman" w:hAnsi="Times New Roman" w:cs="Times New Roman"/>
          <w:sz w:val="24"/>
          <w:szCs w:val="24"/>
        </w:rPr>
      </w:pPr>
      <w:r w:rsidRPr="00C82B09">
        <w:rPr>
          <w:rFonts w:ascii="Times New Roman" w:hAnsi="Times New Roman" w:cs="Times New Roman"/>
          <w:i w:val="0"/>
          <w:iCs w:val="0"/>
          <w:sz w:val="24"/>
          <w:szCs w:val="24"/>
        </w:rPr>
        <w:t xml:space="preserve">Table </w:t>
      </w:r>
      <w:r w:rsidRPr="00C82B09">
        <w:rPr>
          <w:rFonts w:ascii="Times New Roman" w:hAnsi="Times New Roman" w:cs="Times New Roman"/>
          <w:i w:val="0"/>
          <w:iCs w:val="0"/>
          <w:sz w:val="24"/>
          <w:szCs w:val="24"/>
        </w:rPr>
        <w:fldChar w:fldCharType="begin"/>
      </w:r>
      <w:r w:rsidRPr="00C82B09">
        <w:rPr>
          <w:rFonts w:ascii="Times New Roman" w:hAnsi="Times New Roman" w:cs="Times New Roman"/>
          <w:i w:val="0"/>
          <w:iCs w:val="0"/>
          <w:sz w:val="24"/>
          <w:szCs w:val="24"/>
        </w:rPr>
        <w:instrText xml:space="preserve"> SEQ Table \* ARABIC </w:instrText>
      </w:r>
      <w:r w:rsidRPr="00C82B09">
        <w:rPr>
          <w:rFonts w:ascii="Times New Roman" w:hAnsi="Times New Roman" w:cs="Times New Roman"/>
          <w:i w:val="0"/>
          <w:iCs w:val="0"/>
          <w:sz w:val="24"/>
          <w:szCs w:val="24"/>
        </w:rPr>
        <w:fldChar w:fldCharType="separate"/>
      </w:r>
      <w:r w:rsidRPr="00C82B09">
        <w:rPr>
          <w:rFonts w:ascii="Times New Roman" w:hAnsi="Times New Roman" w:cs="Times New Roman"/>
          <w:i w:val="0"/>
          <w:iCs w:val="0"/>
          <w:noProof/>
          <w:sz w:val="24"/>
          <w:szCs w:val="24"/>
        </w:rPr>
        <w:t>1</w:t>
      </w:r>
      <w:r w:rsidRPr="00C82B09">
        <w:rPr>
          <w:rFonts w:ascii="Times New Roman" w:hAnsi="Times New Roman" w:cs="Times New Roman"/>
          <w:i w:val="0"/>
          <w:iCs w:val="0"/>
          <w:sz w:val="24"/>
          <w:szCs w:val="24"/>
        </w:rPr>
        <w:fldChar w:fldCharType="end"/>
      </w:r>
      <w:r w:rsidRPr="00C82B09">
        <w:rPr>
          <w:rFonts w:ascii="Times New Roman" w:hAnsi="Times New Roman" w:cs="Times New Roman"/>
          <w:i w:val="0"/>
          <w:iCs w:val="0"/>
          <w:sz w:val="24"/>
          <w:szCs w:val="24"/>
        </w:rPr>
        <w:t xml:space="preserve"> Carotenoid content in</w:t>
      </w:r>
      <w:r w:rsidRPr="00C82B09">
        <w:rPr>
          <w:rFonts w:ascii="Times New Roman" w:hAnsi="Times New Roman" w:cs="Times New Roman"/>
          <w:sz w:val="24"/>
          <w:szCs w:val="24"/>
        </w:rPr>
        <w:t xml:space="preserve"> Calothrix sp</w:t>
      </w:r>
      <w:r w:rsidRPr="00C82B09">
        <w:rPr>
          <w:rFonts w:ascii="Times New Roman" w:hAnsi="Times New Roman" w:cs="Times New Roman"/>
          <w:i w:val="0"/>
          <w:iCs w:val="0"/>
          <w:sz w:val="24"/>
          <w:szCs w:val="24"/>
        </w:rPr>
        <w:t>. in µg/ml.</w:t>
      </w:r>
      <w:r w:rsidRPr="00C82B09">
        <w:rPr>
          <w:rFonts w:ascii="Times New Roman" w:hAnsi="Times New Roman" w:cs="Times New Roman"/>
          <w:sz w:val="24"/>
          <w:szCs w:val="24"/>
        </w:rPr>
        <w:t xml:space="preserve"> </w:t>
      </w:r>
      <w:r w:rsidRPr="00C82B09">
        <w:rPr>
          <w:rFonts w:ascii="Times New Roman" w:hAnsi="Times New Roman" w:cs="Times New Roman"/>
          <w:i w:val="0"/>
          <w:iCs w:val="0"/>
          <w:sz w:val="24"/>
          <w:szCs w:val="24"/>
        </w:rPr>
        <w:t>Values are means</w:t>
      </w:r>
      <w:r w:rsidR="00874DB6" w:rsidRPr="00C82B09">
        <w:rPr>
          <w:rFonts w:ascii="Times New Roman" w:hAnsi="Times New Roman" w:cs="Times New Roman"/>
          <w:i w:val="0"/>
          <w:iCs w:val="0"/>
          <w:sz w:val="24"/>
          <w:szCs w:val="24"/>
        </w:rPr>
        <w:t xml:space="preserve"> </w:t>
      </w:r>
      <w:r w:rsidRPr="00C82B09">
        <w:rPr>
          <w:rFonts w:ascii="Times New Roman" w:hAnsi="Times New Roman" w:cs="Times New Roman"/>
          <w:i w:val="0"/>
          <w:iCs w:val="0"/>
          <w:sz w:val="24"/>
          <w:szCs w:val="24"/>
        </w:rPr>
        <w:t>±</w:t>
      </w:r>
      <w:r w:rsidR="00874DB6" w:rsidRPr="00C82B09">
        <w:rPr>
          <w:rFonts w:ascii="Times New Roman" w:hAnsi="Times New Roman" w:cs="Times New Roman"/>
          <w:i w:val="0"/>
          <w:iCs w:val="0"/>
          <w:sz w:val="24"/>
          <w:szCs w:val="24"/>
        </w:rPr>
        <w:t xml:space="preserve"> </w:t>
      </w:r>
      <w:r w:rsidRPr="00C82B09">
        <w:rPr>
          <w:rFonts w:ascii="Times New Roman" w:hAnsi="Times New Roman" w:cs="Times New Roman"/>
          <w:i w:val="0"/>
          <w:iCs w:val="0"/>
          <w:sz w:val="24"/>
          <w:szCs w:val="24"/>
        </w:rPr>
        <w:t>SD (n=3)</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1692"/>
        <w:gridCol w:w="1692"/>
        <w:gridCol w:w="1692"/>
        <w:gridCol w:w="1692"/>
        <w:gridCol w:w="1692"/>
      </w:tblGrid>
      <w:tr w:rsidR="00F7089C" w:rsidRPr="00C82B09" w14:paraId="057EE594" w14:textId="77777777" w:rsidTr="009F723B">
        <w:trPr>
          <w:trHeight w:val="288"/>
          <w:jc w:val="center"/>
        </w:trPr>
        <w:tc>
          <w:tcPr>
            <w:tcW w:w="289" w:type="pct"/>
            <w:tcBorders>
              <w:top w:val="single" w:sz="4" w:space="0" w:color="auto"/>
              <w:bottom w:val="single" w:sz="4" w:space="0" w:color="auto"/>
            </w:tcBorders>
            <w:noWrap/>
            <w:hideMark/>
          </w:tcPr>
          <w:p w14:paraId="04735C7F" w14:textId="77777777" w:rsidR="00F7089C" w:rsidRPr="00C82B09" w:rsidRDefault="00BB4DE8"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D</w:t>
            </w:r>
            <w:r w:rsidR="00F7089C" w:rsidRPr="00C82B09">
              <w:rPr>
                <w:rFonts w:ascii="Times New Roman" w:eastAsia="Times New Roman" w:hAnsi="Times New Roman" w:cs="Times New Roman"/>
                <w:color w:val="000000"/>
                <w:sz w:val="20"/>
                <w:szCs w:val="20"/>
                <w:lang w:eastAsia="en-IN"/>
              </w:rPr>
              <w:t>ay</w:t>
            </w:r>
          </w:p>
        </w:tc>
        <w:tc>
          <w:tcPr>
            <w:tcW w:w="909" w:type="pct"/>
            <w:tcBorders>
              <w:top w:val="single" w:sz="4" w:space="0" w:color="auto"/>
              <w:bottom w:val="single" w:sz="4" w:space="0" w:color="auto"/>
            </w:tcBorders>
            <w:noWrap/>
            <w:hideMark/>
          </w:tcPr>
          <w:p w14:paraId="58B02C1B"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Control</w:t>
            </w:r>
          </w:p>
        </w:tc>
        <w:tc>
          <w:tcPr>
            <w:tcW w:w="909" w:type="pct"/>
            <w:tcBorders>
              <w:top w:val="single" w:sz="4" w:space="0" w:color="auto"/>
              <w:bottom w:val="single" w:sz="4" w:space="0" w:color="auto"/>
            </w:tcBorders>
            <w:noWrap/>
            <w:hideMark/>
          </w:tcPr>
          <w:p w14:paraId="7998FBF2"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Pb 2ppm</w:t>
            </w:r>
          </w:p>
        </w:tc>
        <w:tc>
          <w:tcPr>
            <w:tcW w:w="909" w:type="pct"/>
            <w:tcBorders>
              <w:top w:val="single" w:sz="4" w:space="0" w:color="auto"/>
              <w:bottom w:val="single" w:sz="4" w:space="0" w:color="auto"/>
            </w:tcBorders>
            <w:noWrap/>
            <w:hideMark/>
          </w:tcPr>
          <w:p w14:paraId="7D066194"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Pb 5ppm</w:t>
            </w:r>
          </w:p>
        </w:tc>
        <w:tc>
          <w:tcPr>
            <w:tcW w:w="983" w:type="pct"/>
            <w:tcBorders>
              <w:top w:val="single" w:sz="4" w:space="0" w:color="auto"/>
              <w:bottom w:val="single" w:sz="4" w:space="0" w:color="auto"/>
            </w:tcBorders>
            <w:noWrap/>
            <w:hideMark/>
          </w:tcPr>
          <w:p w14:paraId="78DA75E8"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As 2ppm</w:t>
            </w:r>
          </w:p>
        </w:tc>
        <w:tc>
          <w:tcPr>
            <w:tcW w:w="1003" w:type="pct"/>
            <w:tcBorders>
              <w:top w:val="single" w:sz="4" w:space="0" w:color="auto"/>
              <w:bottom w:val="single" w:sz="4" w:space="0" w:color="auto"/>
            </w:tcBorders>
            <w:noWrap/>
            <w:hideMark/>
          </w:tcPr>
          <w:p w14:paraId="6FEA2AF5"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As 5ppm</w:t>
            </w:r>
          </w:p>
        </w:tc>
      </w:tr>
      <w:tr w:rsidR="00F7089C" w:rsidRPr="00C82B09" w14:paraId="40181055" w14:textId="77777777" w:rsidTr="009F723B">
        <w:trPr>
          <w:trHeight w:val="288"/>
          <w:jc w:val="center"/>
        </w:trPr>
        <w:tc>
          <w:tcPr>
            <w:tcW w:w="289" w:type="pct"/>
            <w:tcBorders>
              <w:top w:val="single" w:sz="4" w:space="0" w:color="auto"/>
            </w:tcBorders>
            <w:noWrap/>
            <w:hideMark/>
          </w:tcPr>
          <w:p w14:paraId="703A19E2" w14:textId="77777777" w:rsidR="00F7089C" w:rsidRPr="00C82B09" w:rsidRDefault="00431E87"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Day0</w:t>
            </w:r>
          </w:p>
        </w:tc>
        <w:tc>
          <w:tcPr>
            <w:tcW w:w="909" w:type="pct"/>
            <w:tcBorders>
              <w:top w:val="single" w:sz="4" w:space="0" w:color="auto"/>
            </w:tcBorders>
            <w:noWrap/>
            <w:hideMark/>
          </w:tcPr>
          <w:p w14:paraId="7FFFD900"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0.157±0.0012</w:t>
            </w:r>
          </w:p>
        </w:tc>
        <w:tc>
          <w:tcPr>
            <w:tcW w:w="909" w:type="pct"/>
            <w:tcBorders>
              <w:top w:val="single" w:sz="4" w:space="0" w:color="auto"/>
            </w:tcBorders>
            <w:noWrap/>
            <w:hideMark/>
          </w:tcPr>
          <w:p w14:paraId="1534D667"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0.104±0.0004</w:t>
            </w:r>
          </w:p>
        </w:tc>
        <w:tc>
          <w:tcPr>
            <w:tcW w:w="909" w:type="pct"/>
            <w:tcBorders>
              <w:top w:val="single" w:sz="4" w:space="0" w:color="auto"/>
            </w:tcBorders>
            <w:noWrap/>
            <w:hideMark/>
          </w:tcPr>
          <w:p w14:paraId="2711FB92"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0.110±0.0008</w:t>
            </w:r>
          </w:p>
        </w:tc>
        <w:tc>
          <w:tcPr>
            <w:tcW w:w="983" w:type="pct"/>
            <w:tcBorders>
              <w:top w:val="single" w:sz="4" w:space="0" w:color="auto"/>
            </w:tcBorders>
            <w:noWrap/>
            <w:hideMark/>
          </w:tcPr>
          <w:p w14:paraId="77ECD4D2"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0.105±0.0006</w:t>
            </w:r>
          </w:p>
        </w:tc>
        <w:tc>
          <w:tcPr>
            <w:tcW w:w="1003" w:type="pct"/>
            <w:tcBorders>
              <w:top w:val="single" w:sz="4" w:space="0" w:color="auto"/>
            </w:tcBorders>
            <w:noWrap/>
            <w:hideMark/>
          </w:tcPr>
          <w:p w14:paraId="53AD72C0"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0.107±0.0006</w:t>
            </w:r>
          </w:p>
        </w:tc>
      </w:tr>
      <w:tr w:rsidR="00F7089C" w:rsidRPr="00C82B09" w14:paraId="6EF4AA89" w14:textId="77777777" w:rsidTr="009F723B">
        <w:trPr>
          <w:trHeight w:val="288"/>
          <w:jc w:val="center"/>
        </w:trPr>
        <w:tc>
          <w:tcPr>
            <w:tcW w:w="289" w:type="pct"/>
            <w:noWrap/>
            <w:hideMark/>
          </w:tcPr>
          <w:p w14:paraId="76376BE3" w14:textId="77777777" w:rsidR="00F7089C" w:rsidRPr="00C82B09" w:rsidRDefault="00431E87"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Day3</w:t>
            </w:r>
          </w:p>
        </w:tc>
        <w:tc>
          <w:tcPr>
            <w:tcW w:w="909" w:type="pct"/>
            <w:noWrap/>
            <w:hideMark/>
          </w:tcPr>
          <w:p w14:paraId="4732C998"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0.098±0.0008</w:t>
            </w:r>
          </w:p>
        </w:tc>
        <w:tc>
          <w:tcPr>
            <w:tcW w:w="909" w:type="pct"/>
            <w:noWrap/>
            <w:hideMark/>
          </w:tcPr>
          <w:p w14:paraId="026C95E1"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0.090±0.0004</w:t>
            </w:r>
          </w:p>
        </w:tc>
        <w:tc>
          <w:tcPr>
            <w:tcW w:w="909" w:type="pct"/>
            <w:noWrap/>
            <w:hideMark/>
          </w:tcPr>
          <w:p w14:paraId="1ABE7B0F"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0.083±0.0004</w:t>
            </w:r>
          </w:p>
        </w:tc>
        <w:tc>
          <w:tcPr>
            <w:tcW w:w="983" w:type="pct"/>
            <w:noWrap/>
            <w:hideMark/>
          </w:tcPr>
          <w:p w14:paraId="1883A946"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0.086±0.0008</w:t>
            </w:r>
          </w:p>
        </w:tc>
        <w:tc>
          <w:tcPr>
            <w:tcW w:w="1003" w:type="pct"/>
            <w:noWrap/>
            <w:hideMark/>
          </w:tcPr>
          <w:p w14:paraId="0E019D1A"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0.103±0.0006</w:t>
            </w:r>
          </w:p>
        </w:tc>
      </w:tr>
      <w:tr w:rsidR="00F7089C" w:rsidRPr="00C82B09" w14:paraId="346A3AD4" w14:textId="77777777" w:rsidTr="009F723B">
        <w:trPr>
          <w:trHeight w:val="288"/>
          <w:jc w:val="center"/>
        </w:trPr>
        <w:tc>
          <w:tcPr>
            <w:tcW w:w="289" w:type="pct"/>
            <w:noWrap/>
            <w:hideMark/>
          </w:tcPr>
          <w:p w14:paraId="3B3F3D89" w14:textId="77777777" w:rsidR="00F7089C" w:rsidRPr="00C82B09" w:rsidRDefault="00431E87"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Day6</w:t>
            </w:r>
            <w:r w:rsidR="00BB4DE8" w:rsidRPr="00C82B09">
              <w:rPr>
                <w:rFonts w:ascii="Times New Roman" w:eastAsia="Times New Roman" w:hAnsi="Times New Roman" w:cs="Times New Roman"/>
                <w:color w:val="000000"/>
                <w:sz w:val="20"/>
                <w:szCs w:val="20"/>
                <w:lang w:eastAsia="en-IN"/>
              </w:rPr>
              <w:t xml:space="preserve"> </w:t>
            </w:r>
          </w:p>
        </w:tc>
        <w:tc>
          <w:tcPr>
            <w:tcW w:w="909" w:type="pct"/>
            <w:noWrap/>
            <w:hideMark/>
          </w:tcPr>
          <w:p w14:paraId="04287CAD"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0.121±0.0008</w:t>
            </w:r>
          </w:p>
        </w:tc>
        <w:tc>
          <w:tcPr>
            <w:tcW w:w="909" w:type="pct"/>
            <w:noWrap/>
            <w:hideMark/>
          </w:tcPr>
          <w:p w14:paraId="2043AC67"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0.117±0.0006</w:t>
            </w:r>
          </w:p>
        </w:tc>
        <w:tc>
          <w:tcPr>
            <w:tcW w:w="909" w:type="pct"/>
            <w:noWrap/>
            <w:hideMark/>
          </w:tcPr>
          <w:p w14:paraId="5F399DB1"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0.101±0.0004</w:t>
            </w:r>
          </w:p>
        </w:tc>
        <w:tc>
          <w:tcPr>
            <w:tcW w:w="983" w:type="pct"/>
            <w:noWrap/>
            <w:hideMark/>
          </w:tcPr>
          <w:p w14:paraId="40638AEF"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0.106±0.0008</w:t>
            </w:r>
          </w:p>
        </w:tc>
        <w:tc>
          <w:tcPr>
            <w:tcW w:w="1003" w:type="pct"/>
            <w:noWrap/>
            <w:hideMark/>
          </w:tcPr>
          <w:p w14:paraId="45D5C16D"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0.109±0.0006</w:t>
            </w:r>
          </w:p>
        </w:tc>
      </w:tr>
    </w:tbl>
    <w:p w14:paraId="6A5FB4C0" w14:textId="77777777" w:rsidR="00431E87" w:rsidRPr="00C82B09" w:rsidRDefault="00431E87" w:rsidP="00117041">
      <w:pPr>
        <w:pStyle w:val="Caption"/>
        <w:keepNext/>
        <w:ind w:firstLine="720"/>
        <w:rPr>
          <w:rFonts w:ascii="Times New Roman" w:hAnsi="Times New Roman" w:cs="Times New Roman"/>
          <w:sz w:val="20"/>
          <w:szCs w:val="20"/>
        </w:rPr>
      </w:pPr>
    </w:p>
    <w:p w14:paraId="74A60C81" w14:textId="77777777" w:rsidR="00F7089C" w:rsidRPr="00C82B09" w:rsidRDefault="00F7089C" w:rsidP="00117041">
      <w:pPr>
        <w:pStyle w:val="Caption"/>
        <w:keepNext/>
        <w:ind w:firstLine="720"/>
        <w:rPr>
          <w:rFonts w:ascii="Times New Roman" w:hAnsi="Times New Roman" w:cs="Times New Roman"/>
          <w:sz w:val="24"/>
          <w:szCs w:val="24"/>
        </w:rPr>
      </w:pPr>
      <w:r w:rsidRPr="00C82B09">
        <w:rPr>
          <w:rFonts w:ascii="Times New Roman" w:hAnsi="Times New Roman" w:cs="Times New Roman"/>
          <w:i w:val="0"/>
          <w:iCs w:val="0"/>
          <w:sz w:val="24"/>
          <w:szCs w:val="24"/>
        </w:rPr>
        <w:t xml:space="preserve">Table </w:t>
      </w:r>
      <w:r w:rsidRPr="00C82B09">
        <w:rPr>
          <w:rFonts w:ascii="Times New Roman" w:hAnsi="Times New Roman" w:cs="Times New Roman"/>
          <w:i w:val="0"/>
          <w:iCs w:val="0"/>
          <w:sz w:val="24"/>
          <w:szCs w:val="24"/>
        </w:rPr>
        <w:fldChar w:fldCharType="begin"/>
      </w:r>
      <w:r w:rsidRPr="00C82B09">
        <w:rPr>
          <w:rFonts w:ascii="Times New Roman" w:hAnsi="Times New Roman" w:cs="Times New Roman"/>
          <w:i w:val="0"/>
          <w:iCs w:val="0"/>
          <w:sz w:val="24"/>
          <w:szCs w:val="24"/>
        </w:rPr>
        <w:instrText xml:space="preserve"> SEQ Table \* ARABIC </w:instrText>
      </w:r>
      <w:r w:rsidRPr="00C82B09">
        <w:rPr>
          <w:rFonts w:ascii="Times New Roman" w:hAnsi="Times New Roman" w:cs="Times New Roman"/>
          <w:i w:val="0"/>
          <w:iCs w:val="0"/>
          <w:sz w:val="24"/>
          <w:szCs w:val="24"/>
        </w:rPr>
        <w:fldChar w:fldCharType="separate"/>
      </w:r>
      <w:r w:rsidRPr="00C82B09">
        <w:rPr>
          <w:rFonts w:ascii="Times New Roman" w:hAnsi="Times New Roman" w:cs="Times New Roman"/>
          <w:i w:val="0"/>
          <w:iCs w:val="0"/>
          <w:noProof/>
          <w:sz w:val="24"/>
          <w:szCs w:val="24"/>
        </w:rPr>
        <w:t>2</w:t>
      </w:r>
      <w:r w:rsidRPr="00C82B09">
        <w:rPr>
          <w:rFonts w:ascii="Times New Roman" w:hAnsi="Times New Roman" w:cs="Times New Roman"/>
          <w:i w:val="0"/>
          <w:iCs w:val="0"/>
          <w:sz w:val="24"/>
          <w:szCs w:val="24"/>
        </w:rPr>
        <w:fldChar w:fldCharType="end"/>
      </w:r>
      <w:r w:rsidRPr="00C82B09">
        <w:rPr>
          <w:rFonts w:ascii="Times New Roman" w:hAnsi="Times New Roman" w:cs="Times New Roman"/>
          <w:i w:val="0"/>
          <w:iCs w:val="0"/>
          <w:sz w:val="24"/>
          <w:szCs w:val="24"/>
        </w:rPr>
        <w:t xml:space="preserve"> Carotenoid content in</w:t>
      </w:r>
      <w:r w:rsidRPr="00C82B09">
        <w:rPr>
          <w:rFonts w:ascii="Times New Roman" w:hAnsi="Times New Roman" w:cs="Times New Roman"/>
          <w:sz w:val="24"/>
          <w:szCs w:val="24"/>
        </w:rPr>
        <w:t xml:space="preserve"> Calothrix </w:t>
      </w:r>
      <w:proofErr w:type="spellStart"/>
      <w:r w:rsidRPr="00C82B09">
        <w:rPr>
          <w:rFonts w:ascii="Times New Roman" w:hAnsi="Times New Roman" w:cs="Times New Roman"/>
          <w:sz w:val="24"/>
          <w:szCs w:val="24"/>
        </w:rPr>
        <w:t>brevissima</w:t>
      </w:r>
      <w:proofErr w:type="spellEnd"/>
      <w:r w:rsidRPr="00C82B09">
        <w:rPr>
          <w:rFonts w:ascii="Times New Roman" w:hAnsi="Times New Roman" w:cs="Times New Roman"/>
          <w:sz w:val="24"/>
          <w:szCs w:val="24"/>
        </w:rPr>
        <w:t xml:space="preserve"> CCCNO:65</w:t>
      </w:r>
      <w:r w:rsidRPr="00C82B09">
        <w:rPr>
          <w:rFonts w:ascii="Times New Roman" w:hAnsi="Times New Roman" w:cs="Times New Roman"/>
          <w:i w:val="0"/>
          <w:iCs w:val="0"/>
          <w:sz w:val="24"/>
          <w:szCs w:val="24"/>
        </w:rPr>
        <w:t xml:space="preserve"> in µg/ml. Values are means</w:t>
      </w:r>
      <w:r w:rsidR="00874DB6" w:rsidRPr="00C82B09">
        <w:rPr>
          <w:rFonts w:ascii="Times New Roman" w:hAnsi="Times New Roman" w:cs="Times New Roman"/>
          <w:i w:val="0"/>
          <w:iCs w:val="0"/>
          <w:sz w:val="24"/>
          <w:szCs w:val="24"/>
        </w:rPr>
        <w:t xml:space="preserve"> </w:t>
      </w:r>
      <w:r w:rsidRPr="00C82B09">
        <w:rPr>
          <w:rFonts w:ascii="Times New Roman" w:hAnsi="Times New Roman" w:cs="Times New Roman"/>
          <w:i w:val="0"/>
          <w:iCs w:val="0"/>
          <w:sz w:val="24"/>
          <w:szCs w:val="24"/>
        </w:rPr>
        <w:t>±</w:t>
      </w:r>
      <w:r w:rsidR="00874DB6" w:rsidRPr="00C82B09">
        <w:rPr>
          <w:rFonts w:ascii="Times New Roman" w:hAnsi="Times New Roman" w:cs="Times New Roman"/>
          <w:i w:val="0"/>
          <w:iCs w:val="0"/>
          <w:sz w:val="24"/>
          <w:szCs w:val="24"/>
        </w:rPr>
        <w:t xml:space="preserve"> </w:t>
      </w:r>
      <w:r w:rsidRPr="00C82B09">
        <w:rPr>
          <w:rFonts w:ascii="Times New Roman" w:hAnsi="Times New Roman" w:cs="Times New Roman"/>
          <w:i w:val="0"/>
          <w:iCs w:val="0"/>
          <w:sz w:val="24"/>
          <w:szCs w:val="24"/>
        </w:rPr>
        <w:t>SD (n=3)</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0"/>
        <w:gridCol w:w="1926"/>
        <w:gridCol w:w="1387"/>
        <w:gridCol w:w="1409"/>
        <w:gridCol w:w="1409"/>
        <w:gridCol w:w="1526"/>
      </w:tblGrid>
      <w:tr w:rsidR="00F7089C" w:rsidRPr="00C82B09" w14:paraId="4DD9B68C" w14:textId="77777777" w:rsidTr="009F723B">
        <w:trPr>
          <w:trHeight w:val="288"/>
          <w:jc w:val="center"/>
        </w:trPr>
        <w:tc>
          <w:tcPr>
            <w:tcW w:w="554" w:type="pct"/>
            <w:tcBorders>
              <w:top w:val="single" w:sz="4" w:space="0" w:color="auto"/>
              <w:bottom w:val="single" w:sz="4" w:space="0" w:color="auto"/>
            </w:tcBorders>
            <w:noWrap/>
            <w:hideMark/>
          </w:tcPr>
          <w:p w14:paraId="213A9A24" w14:textId="77777777" w:rsidR="00F7089C" w:rsidRPr="00C82B09" w:rsidRDefault="00F7089C" w:rsidP="00117041">
            <w:pPr>
              <w:spacing w:line="240" w:lineRule="auto"/>
              <w:ind w:firstLine="720"/>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Day</w:t>
            </w:r>
          </w:p>
        </w:tc>
        <w:tc>
          <w:tcPr>
            <w:tcW w:w="1096" w:type="pct"/>
            <w:tcBorders>
              <w:top w:val="single" w:sz="4" w:space="0" w:color="auto"/>
              <w:bottom w:val="single" w:sz="4" w:space="0" w:color="auto"/>
            </w:tcBorders>
            <w:noWrap/>
            <w:hideMark/>
          </w:tcPr>
          <w:p w14:paraId="6038127F" w14:textId="77777777" w:rsidR="00F7089C" w:rsidRPr="00C82B09" w:rsidRDefault="00431E87" w:rsidP="00117041">
            <w:pPr>
              <w:spacing w:line="240" w:lineRule="auto"/>
              <w:ind w:firstLine="720"/>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 xml:space="preserve">  </w:t>
            </w:r>
            <w:r w:rsidR="00F7089C" w:rsidRPr="00C82B09">
              <w:rPr>
                <w:rFonts w:ascii="Times New Roman" w:eastAsia="Times New Roman" w:hAnsi="Times New Roman" w:cs="Times New Roman"/>
                <w:color w:val="000000"/>
                <w:sz w:val="20"/>
                <w:szCs w:val="20"/>
                <w:lang w:eastAsia="en-IN"/>
              </w:rPr>
              <w:t>Control</w:t>
            </w:r>
          </w:p>
        </w:tc>
        <w:tc>
          <w:tcPr>
            <w:tcW w:w="828" w:type="pct"/>
            <w:tcBorders>
              <w:top w:val="single" w:sz="4" w:space="0" w:color="auto"/>
              <w:bottom w:val="single" w:sz="4" w:space="0" w:color="auto"/>
            </w:tcBorders>
            <w:noWrap/>
            <w:hideMark/>
          </w:tcPr>
          <w:p w14:paraId="622A6D8C" w14:textId="77777777" w:rsidR="00F7089C" w:rsidRPr="00C82B09" w:rsidRDefault="00431E87"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 xml:space="preserve">   </w:t>
            </w:r>
            <w:r w:rsidR="00F7089C" w:rsidRPr="00C82B09">
              <w:rPr>
                <w:rFonts w:ascii="Times New Roman" w:eastAsia="Times New Roman" w:hAnsi="Times New Roman" w:cs="Times New Roman"/>
                <w:color w:val="000000"/>
                <w:sz w:val="20"/>
                <w:szCs w:val="20"/>
                <w:lang w:eastAsia="en-IN"/>
              </w:rPr>
              <w:t>Pb 2ppm</w:t>
            </w:r>
          </w:p>
        </w:tc>
        <w:tc>
          <w:tcPr>
            <w:tcW w:w="828" w:type="pct"/>
            <w:tcBorders>
              <w:top w:val="single" w:sz="4" w:space="0" w:color="auto"/>
              <w:bottom w:val="single" w:sz="4" w:space="0" w:color="auto"/>
            </w:tcBorders>
            <w:noWrap/>
            <w:hideMark/>
          </w:tcPr>
          <w:p w14:paraId="10B984C8" w14:textId="77777777" w:rsidR="00F7089C" w:rsidRPr="00C82B09" w:rsidRDefault="00431E87"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 xml:space="preserve">  </w:t>
            </w:r>
            <w:r w:rsidR="00F7089C" w:rsidRPr="00C82B09">
              <w:rPr>
                <w:rFonts w:ascii="Times New Roman" w:eastAsia="Times New Roman" w:hAnsi="Times New Roman" w:cs="Times New Roman"/>
                <w:color w:val="000000"/>
                <w:sz w:val="20"/>
                <w:szCs w:val="20"/>
                <w:lang w:eastAsia="en-IN"/>
              </w:rPr>
              <w:t>Pb 5ppm</w:t>
            </w:r>
          </w:p>
        </w:tc>
        <w:tc>
          <w:tcPr>
            <w:tcW w:w="828" w:type="pct"/>
            <w:tcBorders>
              <w:top w:val="single" w:sz="4" w:space="0" w:color="auto"/>
              <w:bottom w:val="single" w:sz="4" w:space="0" w:color="auto"/>
            </w:tcBorders>
            <w:noWrap/>
            <w:hideMark/>
          </w:tcPr>
          <w:p w14:paraId="382795DE" w14:textId="77777777" w:rsidR="00F7089C" w:rsidRPr="00C82B09" w:rsidRDefault="00431E87"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 xml:space="preserve">     </w:t>
            </w:r>
            <w:r w:rsidR="00F7089C" w:rsidRPr="00C82B09">
              <w:rPr>
                <w:rFonts w:ascii="Times New Roman" w:eastAsia="Times New Roman" w:hAnsi="Times New Roman" w:cs="Times New Roman"/>
                <w:color w:val="000000"/>
                <w:sz w:val="20"/>
                <w:szCs w:val="20"/>
                <w:lang w:eastAsia="en-IN"/>
              </w:rPr>
              <w:t>As 2ppm</w:t>
            </w:r>
          </w:p>
        </w:tc>
        <w:tc>
          <w:tcPr>
            <w:tcW w:w="866" w:type="pct"/>
            <w:tcBorders>
              <w:top w:val="single" w:sz="4" w:space="0" w:color="auto"/>
              <w:bottom w:val="single" w:sz="4" w:space="0" w:color="auto"/>
            </w:tcBorders>
            <w:noWrap/>
            <w:hideMark/>
          </w:tcPr>
          <w:p w14:paraId="61AD3BBD" w14:textId="77777777" w:rsidR="00F7089C" w:rsidRPr="00C82B09" w:rsidRDefault="00431E87"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 xml:space="preserve">        </w:t>
            </w:r>
            <w:r w:rsidR="00F7089C" w:rsidRPr="00C82B09">
              <w:rPr>
                <w:rFonts w:ascii="Times New Roman" w:eastAsia="Times New Roman" w:hAnsi="Times New Roman" w:cs="Times New Roman"/>
                <w:color w:val="000000"/>
                <w:sz w:val="20"/>
                <w:szCs w:val="20"/>
                <w:lang w:eastAsia="en-IN"/>
              </w:rPr>
              <w:t>As 5ppm</w:t>
            </w:r>
            <w:r w:rsidRPr="00C82B09">
              <w:rPr>
                <w:rFonts w:ascii="Times New Roman" w:eastAsia="Times New Roman" w:hAnsi="Times New Roman" w:cs="Times New Roman"/>
                <w:color w:val="000000"/>
                <w:sz w:val="20"/>
                <w:szCs w:val="20"/>
                <w:lang w:eastAsia="en-IN"/>
              </w:rPr>
              <w:t xml:space="preserve">      </w:t>
            </w:r>
          </w:p>
        </w:tc>
      </w:tr>
      <w:tr w:rsidR="00F7089C" w:rsidRPr="00C82B09" w14:paraId="7CE14825" w14:textId="77777777" w:rsidTr="009F723B">
        <w:trPr>
          <w:trHeight w:val="288"/>
          <w:jc w:val="center"/>
        </w:trPr>
        <w:tc>
          <w:tcPr>
            <w:tcW w:w="554" w:type="pct"/>
            <w:tcBorders>
              <w:top w:val="single" w:sz="4" w:space="0" w:color="auto"/>
            </w:tcBorders>
            <w:noWrap/>
            <w:hideMark/>
          </w:tcPr>
          <w:p w14:paraId="343D007C"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Day0</w:t>
            </w:r>
          </w:p>
        </w:tc>
        <w:tc>
          <w:tcPr>
            <w:tcW w:w="1096" w:type="pct"/>
            <w:tcBorders>
              <w:top w:val="single" w:sz="4" w:space="0" w:color="auto"/>
            </w:tcBorders>
            <w:noWrap/>
            <w:hideMark/>
          </w:tcPr>
          <w:p w14:paraId="234876E8" w14:textId="77777777" w:rsidR="00F7089C" w:rsidRPr="00C82B09" w:rsidRDefault="00431E87"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 xml:space="preserve">            </w:t>
            </w:r>
            <w:r w:rsidR="00F7089C" w:rsidRPr="00C82B09">
              <w:rPr>
                <w:rFonts w:ascii="Times New Roman" w:eastAsia="Times New Roman" w:hAnsi="Times New Roman" w:cs="Times New Roman"/>
                <w:color w:val="000000"/>
                <w:sz w:val="20"/>
                <w:szCs w:val="20"/>
                <w:lang w:eastAsia="en-IN"/>
              </w:rPr>
              <w:t>0.087±0</w:t>
            </w:r>
            <w:r w:rsidR="00BB4DE8" w:rsidRPr="00C82B09">
              <w:rPr>
                <w:rFonts w:ascii="Times New Roman" w:eastAsia="Times New Roman" w:hAnsi="Times New Roman" w:cs="Times New Roman"/>
                <w:color w:val="000000"/>
                <w:sz w:val="20"/>
                <w:szCs w:val="20"/>
                <w:lang w:eastAsia="en-IN"/>
              </w:rPr>
              <w:t>.0</w:t>
            </w:r>
            <w:r w:rsidRPr="00C82B09">
              <w:rPr>
                <w:rFonts w:ascii="Times New Roman" w:eastAsia="Times New Roman" w:hAnsi="Times New Roman" w:cs="Times New Roman"/>
                <w:color w:val="000000"/>
                <w:sz w:val="20"/>
                <w:szCs w:val="20"/>
                <w:lang w:eastAsia="en-IN"/>
              </w:rPr>
              <w:t>0</w:t>
            </w:r>
            <w:r w:rsidR="00F7089C" w:rsidRPr="00C82B09">
              <w:rPr>
                <w:rFonts w:ascii="Times New Roman" w:eastAsia="Times New Roman" w:hAnsi="Times New Roman" w:cs="Times New Roman"/>
                <w:color w:val="000000"/>
                <w:sz w:val="20"/>
                <w:szCs w:val="20"/>
                <w:lang w:eastAsia="en-IN"/>
              </w:rPr>
              <w:t>06</w:t>
            </w:r>
          </w:p>
        </w:tc>
        <w:tc>
          <w:tcPr>
            <w:tcW w:w="828" w:type="pct"/>
            <w:tcBorders>
              <w:top w:val="single" w:sz="4" w:space="0" w:color="auto"/>
            </w:tcBorders>
            <w:noWrap/>
            <w:hideMark/>
          </w:tcPr>
          <w:p w14:paraId="2E065E4D" w14:textId="77777777" w:rsidR="00F7089C" w:rsidRPr="00C82B09" w:rsidRDefault="00F7089C"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0.085±0.0010</w:t>
            </w:r>
          </w:p>
        </w:tc>
        <w:tc>
          <w:tcPr>
            <w:tcW w:w="828" w:type="pct"/>
            <w:tcBorders>
              <w:top w:val="single" w:sz="4" w:space="0" w:color="auto"/>
            </w:tcBorders>
            <w:noWrap/>
            <w:hideMark/>
          </w:tcPr>
          <w:p w14:paraId="455C7668" w14:textId="77777777" w:rsidR="00F7089C" w:rsidRPr="00C82B09" w:rsidRDefault="00F7089C"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0.101±0.0008</w:t>
            </w:r>
          </w:p>
        </w:tc>
        <w:tc>
          <w:tcPr>
            <w:tcW w:w="828" w:type="pct"/>
            <w:tcBorders>
              <w:top w:val="single" w:sz="4" w:space="0" w:color="auto"/>
            </w:tcBorders>
            <w:noWrap/>
            <w:hideMark/>
          </w:tcPr>
          <w:p w14:paraId="073743BC" w14:textId="77777777" w:rsidR="00F7089C" w:rsidRPr="00C82B09" w:rsidRDefault="00F7089C"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0.079±0.0006</w:t>
            </w:r>
          </w:p>
        </w:tc>
        <w:tc>
          <w:tcPr>
            <w:tcW w:w="866" w:type="pct"/>
            <w:tcBorders>
              <w:top w:val="single" w:sz="4" w:space="0" w:color="auto"/>
            </w:tcBorders>
            <w:noWrap/>
            <w:hideMark/>
          </w:tcPr>
          <w:p w14:paraId="6E2E2F81" w14:textId="77777777" w:rsidR="00F7089C" w:rsidRPr="00C82B09" w:rsidRDefault="00431E87"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 xml:space="preserve">    </w:t>
            </w:r>
            <w:r w:rsidR="00F7089C" w:rsidRPr="00C82B09">
              <w:rPr>
                <w:rFonts w:ascii="Times New Roman" w:eastAsia="Times New Roman" w:hAnsi="Times New Roman" w:cs="Times New Roman"/>
                <w:color w:val="000000"/>
                <w:sz w:val="20"/>
                <w:szCs w:val="20"/>
                <w:lang w:eastAsia="en-IN"/>
              </w:rPr>
              <w:t>0.073±0.0010</w:t>
            </w:r>
          </w:p>
        </w:tc>
      </w:tr>
      <w:tr w:rsidR="00F7089C" w:rsidRPr="00C82B09" w14:paraId="4470379F" w14:textId="77777777" w:rsidTr="009F723B">
        <w:trPr>
          <w:trHeight w:val="288"/>
          <w:jc w:val="center"/>
        </w:trPr>
        <w:tc>
          <w:tcPr>
            <w:tcW w:w="554" w:type="pct"/>
            <w:noWrap/>
            <w:hideMark/>
          </w:tcPr>
          <w:p w14:paraId="69999D03"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Day3</w:t>
            </w:r>
          </w:p>
        </w:tc>
        <w:tc>
          <w:tcPr>
            <w:tcW w:w="1096" w:type="pct"/>
            <w:noWrap/>
            <w:hideMark/>
          </w:tcPr>
          <w:p w14:paraId="452979BF" w14:textId="77777777" w:rsidR="00F7089C" w:rsidRPr="00C82B09" w:rsidRDefault="00431E87"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 xml:space="preserve">            </w:t>
            </w:r>
            <w:r w:rsidR="00F7089C" w:rsidRPr="00C82B09">
              <w:rPr>
                <w:rFonts w:ascii="Times New Roman" w:eastAsia="Times New Roman" w:hAnsi="Times New Roman" w:cs="Times New Roman"/>
                <w:color w:val="000000"/>
                <w:sz w:val="20"/>
                <w:szCs w:val="20"/>
                <w:lang w:eastAsia="en-IN"/>
              </w:rPr>
              <w:t>0.090±0</w:t>
            </w:r>
            <w:r w:rsidRPr="00C82B09">
              <w:rPr>
                <w:rFonts w:ascii="Times New Roman" w:eastAsia="Times New Roman" w:hAnsi="Times New Roman" w:cs="Times New Roman"/>
                <w:color w:val="000000"/>
                <w:sz w:val="20"/>
                <w:szCs w:val="20"/>
                <w:lang w:eastAsia="en-IN"/>
              </w:rPr>
              <w:t>.00</w:t>
            </w:r>
            <w:r w:rsidR="00F7089C" w:rsidRPr="00C82B09">
              <w:rPr>
                <w:rFonts w:ascii="Times New Roman" w:eastAsia="Times New Roman" w:hAnsi="Times New Roman" w:cs="Times New Roman"/>
                <w:color w:val="000000"/>
                <w:sz w:val="20"/>
                <w:szCs w:val="20"/>
                <w:lang w:eastAsia="en-IN"/>
              </w:rPr>
              <w:t>06</w:t>
            </w:r>
          </w:p>
        </w:tc>
        <w:tc>
          <w:tcPr>
            <w:tcW w:w="828" w:type="pct"/>
            <w:noWrap/>
            <w:hideMark/>
          </w:tcPr>
          <w:p w14:paraId="63305F50" w14:textId="77777777" w:rsidR="00F7089C" w:rsidRPr="00C82B09" w:rsidRDefault="00F7089C"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0.092±0.0004</w:t>
            </w:r>
          </w:p>
        </w:tc>
        <w:tc>
          <w:tcPr>
            <w:tcW w:w="828" w:type="pct"/>
            <w:noWrap/>
            <w:hideMark/>
          </w:tcPr>
          <w:p w14:paraId="51C5727A" w14:textId="77777777" w:rsidR="00F7089C" w:rsidRPr="00C82B09" w:rsidRDefault="00F7089C"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0.073±0.0006</w:t>
            </w:r>
          </w:p>
        </w:tc>
        <w:tc>
          <w:tcPr>
            <w:tcW w:w="828" w:type="pct"/>
            <w:noWrap/>
            <w:hideMark/>
          </w:tcPr>
          <w:p w14:paraId="1EC59A2C" w14:textId="77777777" w:rsidR="00F7089C" w:rsidRPr="00C82B09" w:rsidRDefault="00F7089C"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0.107±0.0006</w:t>
            </w:r>
          </w:p>
        </w:tc>
        <w:tc>
          <w:tcPr>
            <w:tcW w:w="866" w:type="pct"/>
            <w:noWrap/>
            <w:hideMark/>
          </w:tcPr>
          <w:p w14:paraId="1DB85A63" w14:textId="77777777" w:rsidR="00F7089C" w:rsidRPr="00C82B09" w:rsidRDefault="00431E87"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 xml:space="preserve">    </w:t>
            </w:r>
            <w:r w:rsidR="00F7089C" w:rsidRPr="00C82B09">
              <w:rPr>
                <w:rFonts w:ascii="Times New Roman" w:eastAsia="Times New Roman" w:hAnsi="Times New Roman" w:cs="Times New Roman"/>
                <w:color w:val="000000"/>
                <w:sz w:val="20"/>
                <w:szCs w:val="20"/>
                <w:lang w:eastAsia="en-IN"/>
              </w:rPr>
              <w:t>0.117±0.0004</w:t>
            </w:r>
          </w:p>
        </w:tc>
      </w:tr>
      <w:tr w:rsidR="00F7089C" w:rsidRPr="00C82B09" w14:paraId="76DD7998" w14:textId="77777777" w:rsidTr="009F723B">
        <w:trPr>
          <w:trHeight w:val="288"/>
          <w:jc w:val="center"/>
        </w:trPr>
        <w:tc>
          <w:tcPr>
            <w:tcW w:w="554" w:type="pct"/>
            <w:noWrap/>
            <w:hideMark/>
          </w:tcPr>
          <w:p w14:paraId="20129652"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Day6</w:t>
            </w:r>
          </w:p>
        </w:tc>
        <w:tc>
          <w:tcPr>
            <w:tcW w:w="1096" w:type="pct"/>
            <w:noWrap/>
            <w:hideMark/>
          </w:tcPr>
          <w:p w14:paraId="041D8D2D" w14:textId="77777777" w:rsidR="00F7089C" w:rsidRPr="00C82B09" w:rsidRDefault="00431E87"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 xml:space="preserve">            </w:t>
            </w:r>
            <w:r w:rsidR="00F7089C" w:rsidRPr="00C82B09">
              <w:rPr>
                <w:rFonts w:ascii="Times New Roman" w:eastAsia="Times New Roman" w:hAnsi="Times New Roman" w:cs="Times New Roman"/>
                <w:color w:val="000000"/>
                <w:sz w:val="20"/>
                <w:szCs w:val="20"/>
                <w:lang w:eastAsia="en-IN"/>
              </w:rPr>
              <w:t>0.106±0.0004</w:t>
            </w:r>
          </w:p>
        </w:tc>
        <w:tc>
          <w:tcPr>
            <w:tcW w:w="828" w:type="pct"/>
            <w:noWrap/>
            <w:hideMark/>
          </w:tcPr>
          <w:p w14:paraId="7CBDB276" w14:textId="77777777" w:rsidR="00F7089C" w:rsidRPr="00C82B09" w:rsidRDefault="00F7089C"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0.094±0.0006</w:t>
            </w:r>
          </w:p>
        </w:tc>
        <w:tc>
          <w:tcPr>
            <w:tcW w:w="828" w:type="pct"/>
            <w:noWrap/>
            <w:hideMark/>
          </w:tcPr>
          <w:p w14:paraId="14746523" w14:textId="77777777" w:rsidR="00F7089C" w:rsidRPr="00C82B09" w:rsidRDefault="00F7089C"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0.117±0.006</w:t>
            </w:r>
          </w:p>
        </w:tc>
        <w:tc>
          <w:tcPr>
            <w:tcW w:w="828" w:type="pct"/>
            <w:noWrap/>
            <w:hideMark/>
          </w:tcPr>
          <w:p w14:paraId="5058A464" w14:textId="77777777" w:rsidR="00F7089C" w:rsidRPr="00C82B09" w:rsidRDefault="00F7089C"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0.110±0.0004</w:t>
            </w:r>
          </w:p>
        </w:tc>
        <w:tc>
          <w:tcPr>
            <w:tcW w:w="866" w:type="pct"/>
            <w:noWrap/>
            <w:hideMark/>
          </w:tcPr>
          <w:p w14:paraId="73A75E67" w14:textId="77777777" w:rsidR="00F7089C" w:rsidRPr="00C82B09" w:rsidRDefault="00431E87" w:rsidP="00117041">
            <w:pPr>
              <w:spacing w:line="240" w:lineRule="auto"/>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 xml:space="preserve">    </w:t>
            </w:r>
            <w:r w:rsidR="00F7089C" w:rsidRPr="00C82B09">
              <w:rPr>
                <w:rFonts w:ascii="Times New Roman" w:eastAsia="Times New Roman" w:hAnsi="Times New Roman" w:cs="Times New Roman"/>
                <w:color w:val="000000"/>
                <w:sz w:val="20"/>
                <w:szCs w:val="20"/>
                <w:lang w:eastAsia="en-IN"/>
              </w:rPr>
              <w:t>0.110±0.0013</w:t>
            </w:r>
          </w:p>
        </w:tc>
      </w:tr>
    </w:tbl>
    <w:p w14:paraId="298EB6E1" w14:textId="77777777" w:rsidR="00117041" w:rsidRPr="00C82B09" w:rsidRDefault="00117041" w:rsidP="00117041">
      <w:pPr>
        <w:pStyle w:val="Caption"/>
        <w:keepNext/>
        <w:ind w:firstLine="720"/>
        <w:rPr>
          <w:rFonts w:ascii="Times New Roman" w:hAnsi="Times New Roman" w:cs="Times New Roman"/>
          <w:i w:val="0"/>
          <w:iCs w:val="0"/>
          <w:sz w:val="24"/>
          <w:szCs w:val="24"/>
        </w:rPr>
      </w:pPr>
    </w:p>
    <w:p w14:paraId="630A968D" w14:textId="77777777" w:rsidR="00117041" w:rsidRPr="00C82B09" w:rsidRDefault="00117041" w:rsidP="00117041">
      <w:pPr>
        <w:pStyle w:val="Caption"/>
        <w:keepNext/>
        <w:ind w:firstLine="720"/>
        <w:rPr>
          <w:rFonts w:ascii="Times New Roman" w:hAnsi="Times New Roman" w:cs="Times New Roman"/>
          <w:i w:val="0"/>
          <w:iCs w:val="0"/>
          <w:sz w:val="24"/>
          <w:szCs w:val="24"/>
        </w:rPr>
      </w:pPr>
    </w:p>
    <w:p w14:paraId="283E7DA2" w14:textId="77777777" w:rsidR="00117041" w:rsidRPr="00C82B09" w:rsidRDefault="00F7089C" w:rsidP="00117041">
      <w:pPr>
        <w:pStyle w:val="Caption"/>
        <w:keepNext/>
        <w:ind w:firstLine="720"/>
        <w:rPr>
          <w:rFonts w:ascii="Times New Roman" w:hAnsi="Times New Roman" w:cs="Times New Roman"/>
          <w:i w:val="0"/>
          <w:iCs w:val="0"/>
          <w:sz w:val="24"/>
          <w:szCs w:val="24"/>
        </w:rPr>
      </w:pPr>
      <w:r w:rsidRPr="00C82B09">
        <w:rPr>
          <w:rFonts w:ascii="Times New Roman" w:hAnsi="Times New Roman" w:cs="Times New Roman"/>
          <w:i w:val="0"/>
          <w:iCs w:val="0"/>
          <w:sz w:val="24"/>
          <w:szCs w:val="24"/>
        </w:rPr>
        <w:t xml:space="preserve">Table </w:t>
      </w:r>
      <w:r w:rsidRPr="00C82B09">
        <w:rPr>
          <w:rFonts w:ascii="Times New Roman" w:hAnsi="Times New Roman" w:cs="Times New Roman"/>
          <w:i w:val="0"/>
          <w:iCs w:val="0"/>
          <w:sz w:val="24"/>
          <w:szCs w:val="24"/>
        </w:rPr>
        <w:fldChar w:fldCharType="begin"/>
      </w:r>
      <w:r w:rsidRPr="00C82B09">
        <w:rPr>
          <w:rFonts w:ascii="Times New Roman" w:hAnsi="Times New Roman" w:cs="Times New Roman"/>
          <w:i w:val="0"/>
          <w:iCs w:val="0"/>
          <w:sz w:val="24"/>
          <w:szCs w:val="24"/>
        </w:rPr>
        <w:instrText xml:space="preserve"> SEQ Table \* ARABIC </w:instrText>
      </w:r>
      <w:r w:rsidRPr="00C82B09">
        <w:rPr>
          <w:rFonts w:ascii="Times New Roman" w:hAnsi="Times New Roman" w:cs="Times New Roman"/>
          <w:i w:val="0"/>
          <w:iCs w:val="0"/>
          <w:sz w:val="24"/>
          <w:szCs w:val="24"/>
        </w:rPr>
        <w:fldChar w:fldCharType="separate"/>
      </w:r>
      <w:r w:rsidRPr="00C82B09">
        <w:rPr>
          <w:rFonts w:ascii="Times New Roman" w:hAnsi="Times New Roman" w:cs="Times New Roman"/>
          <w:i w:val="0"/>
          <w:iCs w:val="0"/>
          <w:noProof/>
          <w:sz w:val="24"/>
          <w:szCs w:val="24"/>
        </w:rPr>
        <w:t>3</w:t>
      </w:r>
      <w:r w:rsidRPr="00C82B09">
        <w:rPr>
          <w:rFonts w:ascii="Times New Roman" w:hAnsi="Times New Roman" w:cs="Times New Roman"/>
          <w:i w:val="0"/>
          <w:iCs w:val="0"/>
          <w:sz w:val="24"/>
          <w:szCs w:val="24"/>
        </w:rPr>
        <w:fldChar w:fldCharType="end"/>
      </w:r>
      <w:r w:rsidRPr="00C82B09">
        <w:rPr>
          <w:i w:val="0"/>
          <w:iCs w:val="0"/>
          <w:sz w:val="24"/>
          <w:szCs w:val="24"/>
        </w:rPr>
        <w:t xml:space="preserve"> </w:t>
      </w:r>
      <w:r w:rsidRPr="00C82B09">
        <w:rPr>
          <w:rFonts w:ascii="Times New Roman" w:hAnsi="Times New Roman" w:cs="Times New Roman"/>
          <w:i w:val="0"/>
          <w:iCs w:val="0"/>
          <w:sz w:val="24"/>
          <w:szCs w:val="24"/>
        </w:rPr>
        <w:t>Carotenoid content in</w:t>
      </w:r>
      <w:r w:rsidRPr="00C82B09">
        <w:rPr>
          <w:rFonts w:ascii="Times New Roman" w:hAnsi="Times New Roman" w:cs="Times New Roman"/>
          <w:sz w:val="24"/>
          <w:szCs w:val="24"/>
        </w:rPr>
        <w:t xml:space="preserve"> Calothrix maechica19 </w:t>
      </w:r>
      <w:r w:rsidRPr="00C82B09">
        <w:rPr>
          <w:rFonts w:ascii="Times New Roman" w:hAnsi="Times New Roman" w:cs="Times New Roman"/>
          <w:i w:val="0"/>
          <w:iCs w:val="0"/>
          <w:sz w:val="24"/>
          <w:szCs w:val="24"/>
        </w:rPr>
        <w:t>in µg/ml. Values are means</w:t>
      </w:r>
      <w:r w:rsidR="00874DB6" w:rsidRPr="00C82B09">
        <w:rPr>
          <w:rFonts w:ascii="Times New Roman" w:hAnsi="Times New Roman" w:cs="Times New Roman"/>
          <w:i w:val="0"/>
          <w:iCs w:val="0"/>
          <w:sz w:val="24"/>
          <w:szCs w:val="24"/>
        </w:rPr>
        <w:t xml:space="preserve"> </w:t>
      </w:r>
      <w:r w:rsidRPr="00C82B09">
        <w:rPr>
          <w:rFonts w:ascii="Times New Roman" w:hAnsi="Times New Roman" w:cs="Times New Roman"/>
          <w:i w:val="0"/>
          <w:iCs w:val="0"/>
          <w:sz w:val="24"/>
          <w:szCs w:val="24"/>
        </w:rPr>
        <w:t>±</w:t>
      </w:r>
      <w:r w:rsidR="00874DB6" w:rsidRPr="00C82B09">
        <w:rPr>
          <w:rFonts w:ascii="Times New Roman" w:hAnsi="Times New Roman" w:cs="Times New Roman"/>
          <w:i w:val="0"/>
          <w:iCs w:val="0"/>
          <w:sz w:val="24"/>
          <w:szCs w:val="24"/>
        </w:rPr>
        <w:t xml:space="preserve"> </w:t>
      </w:r>
      <w:r w:rsidRPr="00C82B09">
        <w:rPr>
          <w:rFonts w:ascii="Times New Roman" w:hAnsi="Times New Roman" w:cs="Times New Roman"/>
          <w:i w:val="0"/>
          <w:iCs w:val="0"/>
          <w:sz w:val="24"/>
          <w:szCs w:val="24"/>
        </w:rPr>
        <w:t>SD (n=3)</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2"/>
        <w:gridCol w:w="1589"/>
        <w:gridCol w:w="1589"/>
        <w:gridCol w:w="1589"/>
        <w:gridCol w:w="1589"/>
        <w:gridCol w:w="1589"/>
      </w:tblGrid>
      <w:tr w:rsidR="00F7089C" w:rsidRPr="00C82B09" w14:paraId="65B0B729" w14:textId="77777777" w:rsidTr="009F723B">
        <w:trPr>
          <w:trHeight w:val="288"/>
        </w:trPr>
        <w:tc>
          <w:tcPr>
            <w:tcW w:w="591" w:type="pct"/>
            <w:tcBorders>
              <w:top w:val="single" w:sz="4" w:space="0" w:color="auto"/>
              <w:bottom w:val="single" w:sz="4" w:space="0" w:color="auto"/>
            </w:tcBorders>
            <w:noWrap/>
            <w:hideMark/>
          </w:tcPr>
          <w:p w14:paraId="0066849A"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Day</w:t>
            </w:r>
          </w:p>
        </w:tc>
        <w:tc>
          <w:tcPr>
            <w:tcW w:w="882" w:type="pct"/>
            <w:tcBorders>
              <w:top w:val="single" w:sz="4" w:space="0" w:color="auto"/>
              <w:bottom w:val="single" w:sz="4" w:space="0" w:color="auto"/>
            </w:tcBorders>
            <w:noWrap/>
            <w:hideMark/>
          </w:tcPr>
          <w:p w14:paraId="77F9A5C4"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Control</w:t>
            </w:r>
          </w:p>
        </w:tc>
        <w:tc>
          <w:tcPr>
            <w:tcW w:w="882" w:type="pct"/>
            <w:tcBorders>
              <w:top w:val="single" w:sz="4" w:space="0" w:color="auto"/>
              <w:bottom w:val="single" w:sz="4" w:space="0" w:color="auto"/>
            </w:tcBorders>
            <w:noWrap/>
            <w:hideMark/>
          </w:tcPr>
          <w:p w14:paraId="3F593549"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Pb 2ppm</w:t>
            </w:r>
          </w:p>
        </w:tc>
        <w:tc>
          <w:tcPr>
            <w:tcW w:w="882" w:type="pct"/>
            <w:tcBorders>
              <w:top w:val="single" w:sz="4" w:space="0" w:color="auto"/>
              <w:bottom w:val="single" w:sz="4" w:space="0" w:color="auto"/>
            </w:tcBorders>
            <w:noWrap/>
            <w:hideMark/>
          </w:tcPr>
          <w:p w14:paraId="5C5DF4BB"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Pb 5ppm</w:t>
            </w:r>
          </w:p>
        </w:tc>
        <w:tc>
          <w:tcPr>
            <w:tcW w:w="882" w:type="pct"/>
            <w:tcBorders>
              <w:top w:val="single" w:sz="4" w:space="0" w:color="auto"/>
              <w:bottom w:val="single" w:sz="4" w:space="0" w:color="auto"/>
            </w:tcBorders>
            <w:noWrap/>
            <w:hideMark/>
          </w:tcPr>
          <w:p w14:paraId="1B828127"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As 2ppm</w:t>
            </w:r>
          </w:p>
        </w:tc>
        <w:tc>
          <w:tcPr>
            <w:tcW w:w="882" w:type="pct"/>
            <w:tcBorders>
              <w:top w:val="single" w:sz="4" w:space="0" w:color="auto"/>
              <w:bottom w:val="single" w:sz="4" w:space="0" w:color="auto"/>
            </w:tcBorders>
            <w:noWrap/>
            <w:hideMark/>
          </w:tcPr>
          <w:p w14:paraId="78A17920"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As 5ppm</w:t>
            </w:r>
          </w:p>
        </w:tc>
      </w:tr>
      <w:tr w:rsidR="00F7089C" w:rsidRPr="00C82B09" w14:paraId="3E34C807" w14:textId="77777777" w:rsidTr="009F723B">
        <w:trPr>
          <w:trHeight w:val="288"/>
        </w:trPr>
        <w:tc>
          <w:tcPr>
            <w:tcW w:w="591" w:type="pct"/>
            <w:tcBorders>
              <w:top w:val="single" w:sz="4" w:space="0" w:color="auto"/>
            </w:tcBorders>
            <w:noWrap/>
            <w:hideMark/>
          </w:tcPr>
          <w:p w14:paraId="476F8785"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Day0</w:t>
            </w:r>
          </w:p>
        </w:tc>
        <w:tc>
          <w:tcPr>
            <w:tcW w:w="882" w:type="pct"/>
            <w:tcBorders>
              <w:top w:val="single" w:sz="4" w:space="0" w:color="auto"/>
            </w:tcBorders>
            <w:noWrap/>
            <w:hideMark/>
          </w:tcPr>
          <w:p w14:paraId="1CAEDB2D"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0.141±0.0008</w:t>
            </w:r>
          </w:p>
        </w:tc>
        <w:tc>
          <w:tcPr>
            <w:tcW w:w="882" w:type="pct"/>
            <w:tcBorders>
              <w:top w:val="single" w:sz="4" w:space="0" w:color="auto"/>
            </w:tcBorders>
            <w:noWrap/>
            <w:hideMark/>
          </w:tcPr>
          <w:p w14:paraId="7B1B095D"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0.097±0.0008</w:t>
            </w:r>
          </w:p>
        </w:tc>
        <w:tc>
          <w:tcPr>
            <w:tcW w:w="882" w:type="pct"/>
            <w:tcBorders>
              <w:top w:val="single" w:sz="4" w:space="0" w:color="auto"/>
            </w:tcBorders>
            <w:noWrap/>
            <w:hideMark/>
          </w:tcPr>
          <w:p w14:paraId="57432194"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0.082±0.0006</w:t>
            </w:r>
          </w:p>
        </w:tc>
        <w:tc>
          <w:tcPr>
            <w:tcW w:w="882" w:type="pct"/>
            <w:tcBorders>
              <w:top w:val="single" w:sz="4" w:space="0" w:color="auto"/>
            </w:tcBorders>
            <w:noWrap/>
            <w:hideMark/>
          </w:tcPr>
          <w:p w14:paraId="456C2114"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0.095±0.0006</w:t>
            </w:r>
          </w:p>
        </w:tc>
        <w:tc>
          <w:tcPr>
            <w:tcW w:w="882" w:type="pct"/>
            <w:tcBorders>
              <w:top w:val="single" w:sz="4" w:space="0" w:color="auto"/>
            </w:tcBorders>
            <w:noWrap/>
            <w:hideMark/>
          </w:tcPr>
          <w:p w14:paraId="603DCED6"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0.085±0.0008</w:t>
            </w:r>
          </w:p>
        </w:tc>
      </w:tr>
      <w:tr w:rsidR="00F7089C" w:rsidRPr="00C82B09" w14:paraId="59361D99" w14:textId="77777777" w:rsidTr="009F723B">
        <w:trPr>
          <w:trHeight w:val="288"/>
        </w:trPr>
        <w:tc>
          <w:tcPr>
            <w:tcW w:w="591" w:type="pct"/>
            <w:noWrap/>
            <w:hideMark/>
          </w:tcPr>
          <w:p w14:paraId="09EA77AF"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Day3</w:t>
            </w:r>
          </w:p>
        </w:tc>
        <w:tc>
          <w:tcPr>
            <w:tcW w:w="882" w:type="pct"/>
            <w:noWrap/>
            <w:hideMark/>
          </w:tcPr>
          <w:p w14:paraId="02FE1E77"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0.099±0.0006</w:t>
            </w:r>
          </w:p>
        </w:tc>
        <w:tc>
          <w:tcPr>
            <w:tcW w:w="882" w:type="pct"/>
            <w:noWrap/>
            <w:hideMark/>
          </w:tcPr>
          <w:p w14:paraId="69E35CF2"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0.091±0.0006</w:t>
            </w:r>
          </w:p>
        </w:tc>
        <w:tc>
          <w:tcPr>
            <w:tcW w:w="882" w:type="pct"/>
            <w:noWrap/>
            <w:hideMark/>
          </w:tcPr>
          <w:p w14:paraId="5271A614"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0.087±0.0006</w:t>
            </w:r>
          </w:p>
        </w:tc>
        <w:tc>
          <w:tcPr>
            <w:tcW w:w="882" w:type="pct"/>
            <w:noWrap/>
            <w:hideMark/>
          </w:tcPr>
          <w:p w14:paraId="6CFD28E7"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0.102±0.0006</w:t>
            </w:r>
          </w:p>
        </w:tc>
        <w:tc>
          <w:tcPr>
            <w:tcW w:w="882" w:type="pct"/>
            <w:noWrap/>
            <w:hideMark/>
          </w:tcPr>
          <w:p w14:paraId="47170560"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0.097±0.0006</w:t>
            </w:r>
          </w:p>
        </w:tc>
      </w:tr>
      <w:tr w:rsidR="00F7089C" w:rsidRPr="00C82B09" w14:paraId="1B5F43E1" w14:textId="77777777" w:rsidTr="009F723B">
        <w:trPr>
          <w:trHeight w:val="288"/>
        </w:trPr>
        <w:tc>
          <w:tcPr>
            <w:tcW w:w="591" w:type="pct"/>
            <w:noWrap/>
            <w:hideMark/>
          </w:tcPr>
          <w:p w14:paraId="0C1A5BBD"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lastRenderedPageBreak/>
              <w:t>Day6</w:t>
            </w:r>
          </w:p>
        </w:tc>
        <w:tc>
          <w:tcPr>
            <w:tcW w:w="882" w:type="pct"/>
            <w:noWrap/>
            <w:hideMark/>
          </w:tcPr>
          <w:p w14:paraId="6A3E1D60"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0.094±0.0006</w:t>
            </w:r>
          </w:p>
        </w:tc>
        <w:tc>
          <w:tcPr>
            <w:tcW w:w="882" w:type="pct"/>
            <w:noWrap/>
            <w:hideMark/>
          </w:tcPr>
          <w:p w14:paraId="6BF9E329"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0.084±0.0006</w:t>
            </w:r>
          </w:p>
        </w:tc>
        <w:tc>
          <w:tcPr>
            <w:tcW w:w="882" w:type="pct"/>
            <w:noWrap/>
            <w:hideMark/>
          </w:tcPr>
          <w:p w14:paraId="6C8C7C53"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0.114±0.0008</w:t>
            </w:r>
          </w:p>
        </w:tc>
        <w:tc>
          <w:tcPr>
            <w:tcW w:w="882" w:type="pct"/>
            <w:noWrap/>
            <w:hideMark/>
          </w:tcPr>
          <w:p w14:paraId="648A73A9"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0.091±0.0008</w:t>
            </w:r>
          </w:p>
        </w:tc>
        <w:tc>
          <w:tcPr>
            <w:tcW w:w="882" w:type="pct"/>
            <w:noWrap/>
            <w:hideMark/>
          </w:tcPr>
          <w:p w14:paraId="2E840FCF" w14:textId="77777777" w:rsidR="00F7089C" w:rsidRPr="00C82B09"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C82B09">
              <w:rPr>
                <w:rFonts w:ascii="Times New Roman" w:eastAsia="Times New Roman" w:hAnsi="Times New Roman" w:cs="Times New Roman"/>
                <w:color w:val="000000"/>
                <w:sz w:val="20"/>
                <w:szCs w:val="20"/>
                <w:lang w:eastAsia="en-IN"/>
              </w:rPr>
              <w:t>0.082±0.0018</w:t>
            </w:r>
          </w:p>
        </w:tc>
      </w:tr>
    </w:tbl>
    <w:p w14:paraId="30BBD3C0" w14:textId="77777777" w:rsidR="00F7089C" w:rsidRPr="00C82B09" w:rsidRDefault="00F7089C" w:rsidP="00117041">
      <w:pPr>
        <w:spacing w:line="240" w:lineRule="auto"/>
        <w:ind w:firstLine="720"/>
        <w:jc w:val="both"/>
        <w:rPr>
          <w:rFonts w:ascii="Times New Roman" w:hAnsi="Times New Roman" w:cs="Times New Roman"/>
          <w:sz w:val="20"/>
          <w:szCs w:val="20"/>
        </w:rPr>
      </w:pPr>
    </w:p>
    <w:p w14:paraId="30B72B64" w14:textId="77777777" w:rsidR="00F7089C" w:rsidRPr="00C82B09" w:rsidRDefault="00F7089C" w:rsidP="00117041">
      <w:pPr>
        <w:keepNext/>
        <w:spacing w:line="240" w:lineRule="auto"/>
        <w:ind w:firstLine="720"/>
        <w:jc w:val="both"/>
      </w:pPr>
      <w:r w:rsidRPr="00C82B09">
        <w:object w:dxaOrig="7461" w:dyaOrig="4685" w14:anchorId="023B23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2.45pt;height:137.9pt" o:ole="">
            <v:imagedata r:id="rId7" o:title="" croptop="6554f" cropbottom="7177f" cropleft="-509f"/>
          </v:shape>
          <o:OLEObject Type="Embed" ProgID="Prism10.Document" ShapeID="_x0000_i1025" DrawAspect="Content" ObjectID="_1849511286" r:id="rId8"/>
        </w:object>
      </w:r>
    </w:p>
    <w:p w14:paraId="7E086F78" w14:textId="77777777" w:rsidR="00F7089C" w:rsidRPr="00C82B09" w:rsidRDefault="00F7089C" w:rsidP="00117041">
      <w:pPr>
        <w:pStyle w:val="Caption"/>
        <w:jc w:val="both"/>
        <w:rPr>
          <w:rFonts w:ascii="Times New Roman" w:hAnsi="Times New Roman" w:cs="Times New Roman"/>
          <w:i w:val="0"/>
          <w:iCs w:val="0"/>
          <w:sz w:val="20"/>
          <w:szCs w:val="20"/>
        </w:rPr>
      </w:pPr>
      <w:r w:rsidRPr="00C82B09">
        <w:rPr>
          <w:rFonts w:ascii="Times New Roman" w:hAnsi="Times New Roman" w:cs="Times New Roman"/>
          <w:i w:val="0"/>
          <w:iCs w:val="0"/>
          <w:sz w:val="20"/>
          <w:szCs w:val="20"/>
        </w:rPr>
        <w:t xml:space="preserve">Figure </w:t>
      </w:r>
      <w:r w:rsidRPr="00C82B09">
        <w:rPr>
          <w:rFonts w:ascii="Times New Roman" w:hAnsi="Times New Roman" w:cs="Times New Roman"/>
          <w:i w:val="0"/>
          <w:iCs w:val="0"/>
          <w:sz w:val="20"/>
          <w:szCs w:val="20"/>
        </w:rPr>
        <w:fldChar w:fldCharType="begin"/>
      </w:r>
      <w:r w:rsidRPr="00C82B09">
        <w:rPr>
          <w:rFonts w:ascii="Times New Roman" w:hAnsi="Times New Roman" w:cs="Times New Roman"/>
          <w:i w:val="0"/>
          <w:iCs w:val="0"/>
          <w:sz w:val="20"/>
          <w:szCs w:val="20"/>
        </w:rPr>
        <w:instrText xml:space="preserve"> SEQ Figure \* ARABIC </w:instrText>
      </w:r>
      <w:r w:rsidRPr="00C82B09">
        <w:rPr>
          <w:rFonts w:ascii="Times New Roman" w:hAnsi="Times New Roman" w:cs="Times New Roman"/>
          <w:i w:val="0"/>
          <w:iCs w:val="0"/>
          <w:sz w:val="20"/>
          <w:szCs w:val="20"/>
        </w:rPr>
        <w:fldChar w:fldCharType="separate"/>
      </w:r>
      <w:r w:rsidRPr="00C82B09">
        <w:rPr>
          <w:rFonts w:ascii="Times New Roman" w:hAnsi="Times New Roman" w:cs="Times New Roman"/>
          <w:i w:val="0"/>
          <w:iCs w:val="0"/>
          <w:noProof/>
          <w:sz w:val="20"/>
          <w:szCs w:val="20"/>
        </w:rPr>
        <w:t>1</w:t>
      </w:r>
      <w:r w:rsidRPr="00C82B09">
        <w:rPr>
          <w:rFonts w:ascii="Times New Roman" w:hAnsi="Times New Roman" w:cs="Times New Roman"/>
          <w:i w:val="0"/>
          <w:iCs w:val="0"/>
          <w:sz w:val="20"/>
          <w:szCs w:val="20"/>
        </w:rPr>
        <w:fldChar w:fldCharType="end"/>
      </w:r>
      <w:r w:rsidRPr="00C82B09">
        <w:rPr>
          <w:rFonts w:ascii="Times New Roman" w:hAnsi="Times New Roman" w:cs="Times New Roman"/>
          <w:i w:val="0"/>
          <w:iCs w:val="0"/>
          <w:sz w:val="20"/>
          <w:szCs w:val="20"/>
        </w:rPr>
        <w:t xml:space="preserve">  Effects of Lead, Arsenic on carotenoid content in</w:t>
      </w:r>
      <w:r w:rsidRPr="00C82B09">
        <w:rPr>
          <w:rFonts w:ascii="Times New Roman" w:hAnsi="Times New Roman" w:cs="Times New Roman"/>
          <w:sz w:val="20"/>
          <w:szCs w:val="20"/>
        </w:rPr>
        <w:t xml:space="preserve"> Calothrix sp. </w:t>
      </w:r>
      <w:r w:rsidRPr="00C82B09">
        <w:rPr>
          <w:rFonts w:ascii="Times New Roman" w:hAnsi="Times New Roman" w:cs="Times New Roman"/>
          <w:i w:val="0"/>
          <w:iCs w:val="0"/>
          <w:sz w:val="20"/>
          <w:szCs w:val="20"/>
        </w:rPr>
        <w:t>in µg/ml. Values are means</w:t>
      </w:r>
      <w:r w:rsidR="00F5652D" w:rsidRPr="00C82B09">
        <w:rPr>
          <w:rFonts w:ascii="Times New Roman" w:hAnsi="Times New Roman" w:cs="Times New Roman"/>
          <w:i w:val="0"/>
          <w:iCs w:val="0"/>
          <w:sz w:val="20"/>
          <w:szCs w:val="20"/>
        </w:rPr>
        <w:t xml:space="preserve"> </w:t>
      </w:r>
      <w:r w:rsidRPr="00C82B09">
        <w:rPr>
          <w:rFonts w:ascii="Times New Roman" w:hAnsi="Times New Roman" w:cs="Times New Roman"/>
          <w:i w:val="0"/>
          <w:iCs w:val="0"/>
          <w:sz w:val="20"/>
          <w:szCs w:val="20"/>
        </w:rPr>
        <w:t>±</w:t>
      </w:r>
      <w:r w:rsidR="00F5652D" w:rsidRPr="00C82B09">
        <w:rPr>
          <w:rFonts w:ascii="Times New Roman" w:hAnsi="Times New Roman" w:cs="Times New Roman"/>
          <w:i w:val="0"/>
          <w:iCs w:val="0"/>
          <w:sz w:val="20"/>
          <w:szCs w:val="20"/>
        </w:rPr>
        <w:t xml:space="preserve"> </w:t>
      </w:r>
      <w:r w:rsidRPr="00C82B09">
        <w:rPr>
          <w:rFonts w:ascii="Times New Roman" w:hAnsi="Times New Roman" w:cs="Times New Roman"/>
          <w:i w:val="0"/>
          <w:iCs w:val="0"/>
          <w:sz w:val="20"/>
          <w:szCs w:val="20"/>
        </w:rPr>
        <w:t>SEM (n=3)</w:t>
      </w:r>
    </w:p>
    <w:p w14:paraId="24A94E20" w14:textId="77777777" w:rsidR="00F7089C" w:rsidRPr="00C82B09" w:rsidRDefault="00F7089C" w:rsidP="00117041">
      <w:pPr>
        <w:keepNext/>
        <w:spacing w:line="240" w:lineRule="auto"/>
        <w:ind w:firstLine="720"/>
        <w:jc w:val="both"/>
      </w:pPr>
      <w:r w:rsidRPr="00C82B09">
        <w:object w:dxaOrig="7461" w:dyaOrig="4685" w14:anchorId="31C21E97">
          <v:shape id="_x0000_i1026" type="#_x0000_t75" style="width:324pt;height:123.6pt" o:ole="">
            <v:imagedata r:id="rId9" o:title="" croptop="7775f" cropbottom="6161f" cropleft="4475f"/>
          </v:shape>
          <o:OLEObject Type="Embed" ProgID="Prism10.Document" ShapeID="_x0000_i1026" DrawAspect="Content" ObjectID="_1849511287" r:id="rId10"/>
        </w:object>
      </w:r>
    </w:p>
    <w:p w14:paraId="0E26DB19" w14:textId="77777777" w:rsidR="00F7089C" w:rsidRPr="00C82B09" w:rsidRDefault="00F7089C" w:rsidP="00117041">
      <w:pPr>
        <w:pStyle w:val="Caption"/>
        <w:jc w:val="both"/>
        <w:rPr>
          <w:rFonts w:ascii="Times New Roman" w:hAnsi="Times New Roman" w:cs="Times New Roman"/>
          <w:i w:val="0"/>
          <w:iCs w:val="0"/>
          <w:sz w:val="20"/>
          <w:szCs w:val="20"/>
        </w:rPr>
      </w:pPr>
      <w:r w:rsidRPr="00C82B09">
        <w:rPr>
          <w:rFonts w:ascii="Times New Roman" w:hAnsi="Times New Roman" w:cs="Times New Roman"/>
          <w:i w:val="0"/>
          <w:iCs w:val="0"/>
          <w:sz w:val="20"/>
          <w:szCs w:val="20"/>
        </w:rPr>
        <w:t xml:space="preserve">Figure </w:t>
      </w:r>
      <w:r w:rsidRPr="00C82B09">
        <w:rPr>
          <w:rFonts w:ascii="Times New Roman" w:hAnsi="Times New Roman" w:cs="Times New Roman"/>
          <w:i w:val="0"/>
          <w:iCs w:val="0"/>
          <w:sz w:val="20"/>
          <w:szCs w:val="20"/>
        </w:rPr>
        <w:fldChar w:fldCharType="begin"/>
      </w:r>
      <w:r w:rsidRPr="00C82B09">
        <w:rPr>
          <w:rFonts w:ascii="Times New Roman" w:hAnsi="Times New Roman" w:cs="Times New Roman"/>
          <w:i w:val="0"/>
          <w:iCs w:val="0"/>
          <w:sz w:val="20"/>
          <w:szCs w:val="20"/>
        </w:rPr>
        <w:instrText xml:space="preserve"> SEQ Figure \* ARABIC </w:instrText>
      </w:r>
      <w:r w:rsidRPr="00C82B09">
        <w:rPr>
          <w:rFonts w:ascii="Times New Roman" w:hAnsi="Times New Roman" w:cs="Times New Roman"/>
          <w:i w:val="0"/>
          <w:iCs w:val="0"/>
          <w:sz w:val="20"/>
          <w:szCs w:val="20"/>
        </w:rPr>
        <w:fldChar w:fldCharType="separate"/>
      </w:r>
      <w:r w:rsidRPr="00C82B09">
        <w:rPr>
          <w:rFonts w:ascii="Times New Roman" w:hAnsi="Times New Roman" w:cs="Times New Roman"/>
          <w:i w:val="0"/>
          <w:iCs w:val="0"/>
          <w:noProof/>
          <w:sz w:val="20"/>
          <w:szCs w:val="20"/>
        </w:rPr>
        <w:t>2</w:t>
      </w:r>
      <w:r w:rsidRPr="00C82B09">
        <w:rPr>
          <w:rFonts w:ascii="Times New Roman" w:hAnsi="Times New Roman" w:cs="Times New Roman"/>
          <w:i w:val="0"/>
          <w:iCs w:val="0"/>
          <w:sz w:val="20"/>
          <w:szCs w:val="20"/>
        </w:rPr>
        <w:fldChar w:fldCharType="end"/>
      </w:r>
      <w:r w:rsidRPr="00C82B09">
        <w:rPr>
          <w:rFonts w:ascii="Times New Roman" w:hAnsi="Times New Roman" w:cs="Times New Roman"/>
          <w:i w:val="0"/>
          <w:iCs w:val="0"/>
          <w:sz w:val="20"/>
          <w:szCs w:val="20"/>
        </w:rPr>
        <w:t xml:space="preserve">  Effects of Lead, Arsenic on carotenoid content in</w:t>
      </w:r>
      <w:r w:rsidRPr="00C82B09">
        <w:rPr>
          <w:rFonts w:ascii="Times New Roman" w:hAnsi="Times New Roman" w:cs="Times New Roman"/>
          <w:sz w:val="20"/>
          <w:szCs w:val="20"/>
        </w:rPr>
        <w:t xml:space="preserve"> Calothrix </w:t>
      </w:r>
      <w:proofErr w:type="spellStart"/>
      <w:r w:rsidRPr="00C82B09">
        <w:rPr>
          <w:rFonts w:ascii="Times New Roman" w:hAnsi="Times New Roman" w:cs="Times New Roman"/>
          <w:sz w:val="20"/>
          <w:szCs w:val="20"/>
        </w:rPr>
        <w:t>brevissima</w:t>
      </w:r>
      <w:proofErr w:type="spellEnd"/>
      <w:r w:rsidRPr="00C82B09">
        <w:rPr>
          <w:rFonts w:ascii="Times New Roman" w:hAnsi="Times New Roman" w:cs="Times New Roman"/>
          <w:sz w:val="20"/>
          <w:szCs w:val="20"/>
        </w:rPr>
        <w:t xml:space="preserve"> CCCNO:65 </w:t>
      </w:r>
      <w:r w:rsidRPr="00C82B09">
        <w:rPr>
          <w:rFonts w:ascii="Times New Roman" w:hAnsi="Times New Roman" w:cs="Times New Roman"/>
          <w:i w:val="0"/>
          <w:iCs w:val="0"/>
          <w:sz w:val="20"/>
          <w:szCs w:val="20"/>
        </w:rPr>
        <w:t>in µg/ml. Values are means</w:t>
      </w:r>
      <w:r w:rsidR="00F5652D" w:rsidRPr="00C82B09">
        <w:rPr>
          <w:rFonts w:ascii="Times New Roman" w:hAnsi="Times New Roman" w:cs="Times New Roman"/>
          <w:i w:val="0"/>
          <w:iCs w:val="0"/>
          <w:sz w:val="20"/>
          <w:szCs w:val="20"/>
        </w:rPr>
        <w:t xml:space="preserve"> </w:t>
      </w:r>
      <w:r w:rsidRPr="00C82B09">
        <w:rPr>
          <w:rFonts w:ascii="Times New Roman" w:hAnsi="Times New Roman" w:cs="Times New Roman"/>
          <w:i w:val="0"/>
          <w:iCs w:val="0"/>
          <w:sz w:val="20"/>
          <w:szCs w:val="20"/>
        </w:rPr>
        <w:t>±</w:t>
      </w:r>
      <w:r w:rsidR="00F5652D" w:rsidRPr="00C82B09">
        <w:rPr>
          <w:rFonts w:ascii="Times New Roman" w:hAnsi="Times New Roman" w:cs="Times New Roman"/>
          <w:i w:val="0"/>
          <w:iCs w:val="0"/>
          <w:sz w:val="20"/>
          <w:szCs w:val="20"/>
        </w:rPr>
        <w:t xml:space="preserve"> </w:t>
      </w:r>
      <w:r w:rsidRPr="00C82B09">
        <w:rPr>
          <w:rFonts w:ascii="Times New Roman" w:hAnsi="Times New Roman" w:cs="Times New Roman"/>
          <w:i w:val="0"/>
          <w:iCs w:val="0"/>
          <w:sz w:val="20"/>
          <w:szCs w:val="20"/>
        </w:rPr>
        <w:t>SEM (n=3)</w:t>
      </w:r>
    </w:p>
    <w:p w14:paraId="03B00DC6" w14:textId="77777777" w:rsidR="00F7089C" w:rsidRPr="00C82B09" w:rsidRDefault="00F7089C" w:rsidP="00117041">
      <w:pPr>
        <w:keepNext/>
        <w:spacing w:line="240" w:lineRule="auto"/>
        <w:ind w:firstLine="720"/>
        <w:jc w:val="both"/>
      </w:pPr>
      <w:r w:rsidRPr="00C82B09">
        <w:object w:dxaOrig="7461" w:dyaOrig="4685" w14:anchorId="7F1C5022">
          <v:shape id="_x0000_i1027" type="#_x0000_t75" style="width:331.45pt;height:124.3pt" o:ole="">
            <v:imagedata r:id="rId11" o:title="" croptop="8906f" cropbottom="7418f" cropleft="4047f"/>
          </v:shape>
          <o:OLEObject Type="Embed" ProgID="Prism10.Document" ShapeID="_x0000_i1027" DrawAspect="Content" ObjectID="_1849511288" r:id="rId12"/>
        </w:object>
      </w:r>
    </w:p>
    <w:p w14:paraId="140D278B" w14:textId="77777777" w:rsidR="00F7089C" w:rsidRPr="00C82B09" w:rsidRDefault="00F7089C" w:rsidP="00117041">
      <w:pPr>
        <w:pStyle w:val="Caption"/>
        <w:jc w:val="both"/>
        <w:rPr>
          <w:rFonts w:ascii="Times New Roman" w:hAnsi="Times New Roman" w:cs="Times New Roman"/>
          <w:sz w:val="20"/>
          <w:szCs w:val="20"/>
        </w:rPr>
      </w:pPr>
      <w:r w:rsidRPr="00C82B09">
        <w:rPr>
          <w:rFonts w:ascii="Times New Roman" w:hAnsi="Times New Roman" w:cs="Times New Roman"/>
          <w:i w:val="0"/>
          <w:iCs w:val="0"/>
          <w:sz w:val="20"/>
          <w:szCs w:val="20"/>
        </w:rPr>
        <w:t xml:space="preserve">Figure </w:t>
      </w:r>
      <w:r w:rsidRPr="00C82B09">
        <w:rPr>
          <w:rFonts w:ascii="Times New Roman" w:hAnsi="Times New Roman" w:cs="Times New Roman"/>
          <w:i w:val="0"/>
          <w:iCs w:val="0"/>
          <w:sz w:val="20"/>
          <w:szCs w:val="20"/>
        </w:rPr>
        <w:fldChar w:fldCharType="begin"/>
      </w:r>
      <w:r w:rsidRPr="00C82B09">
        <w:rPr>
          <w:rFonts w:ascii="Times New Roman" w:hAnsi="Times New Roman" w:cs="Times New Roman"/>
          <w:i w:val="0"/>
          <w:iCs w:val="0"/>
          <w:sz w:val="20"/>
          <w:szCs w:val="20"/>
        </w:rPr>
        <w:instrText xml:space="preserve"> SEQ Figure \* ARABIC </w:instrText>
      </w:r>
      <w:r w:rsidRPr="00C82B09">
        <w:rPr>
          <w:rFonts w:ascii="Times New Roman" w:hAnsi="Times New Roman" w:cs="Times New Roman"/>
          <w:i w:val="0"/>
          <w:iCs w:val="0"/>
          <w:sz w:val="20"/>
          <w:szCs w:val="20"/>
        </w:rPr>
        <w:fldChar w:fldCharType="separate"/>
      </w:r>
      <w:r w:rsidRPr="00C82B09">
        <w:rPr>
          <w:rFonts w:ascii="Times New Roman" w:hAnsi="Times New Roman" w:cs="Times New Roman"/>
          <w:i w:val="0"/>
          <w:iCs w:val="0"/>
          <w:noProof/>
          <w:sz w:val="20"/>
          <w:szCs w:val="20"/>
        </w:rPr>
        <w:t>3</w:t>
      </w:r>
      <w:r w:rsidRPr="00C82B09">
        <w:rPr>
          <w:rFonts w:ascii="Times New Roman" w:hAnsi="Times New Roman" w:cs="Times New Roman"/>
          <w:i w:val="0"/>
          <w:iCs w:val="0"/>
          <w:sz w:val="20"/>
          <w:szCs w:val="20"/>
        </w:rPr>
        <w:fldChar w:fldCharType="end"/>
      </w:r>
      <w:r w:rsidRPr="00C82B09">
        <w:rPr>
          <w:rFonts w:ascii="Times New Roman" w:hAnsi="Times New Roman" w:cs="Times New Roman"/>
          <w:i w:val="0"/>
          <w:iCs w:val="0"/>
          <w:sz w:val="20"/>
          <w:szCs w:val="20"/>
        </w:rPr>
        <w:t xml:space="preserve">  Effects of Lead, Arsenic on carotenoid content in</w:t>
      </w:r>
      <w:r w:rsidRPr="00C82B09">
        <w:rPr>
          <w:rFonts w:ascii="Times New Roman" w:hAnsi="Times New Roman" w:cs="Times New Roman"/>
          <w:sz w:val="20"/>
          <w:szCs w:val="20"/>
        </w:rPr>
        <w:t xml:space="preserve"> Calothrix maechica19 </w:t>
      </w:r>
      <w:r w:rsidRPr="00C82B09">
        <w:rPr>
          <w:rFonts w:ascii="Times New Roman" w:hAnsi="Times New Roman" w:cs="Times New Roman"/>
          <w:i w:val="0"/>
          <w:iCs w:val="0"/>
          <w:sz w:val="20"/>
          <w:szCs w:val="20"/>
        </w:rPr>
        <w:t>in µg/ml. Values are means</w:t>
      </w:r>
      <w:r w:rsidR="00F5652D" w:rsidRPr="00C82B09">
        <w:rPr>
          <w:rFonts w:ascii="Times New Roman" w:hAnsi="Times New Roman" w:cs="Times New Roman"/>
          <w:i w:val="0"/>
          <w:iCs w:val="0"/>
          <w:sz w:val="20"/>
          <w:szCs w:val="20"/>
        </w:rPr>
        <w:t xml:space="preserve"> </w:t>
      </w:r>
      <w:r w:rsidRPr="00C82B09">
        <w:rPr>
          <w:rFonts w:ascii="Times New Roman" w:hAnsi="Times New Roman" w:cs="Times New Roman"/>
          <w:i w:val="0"/>
          <w:iCs w:val="0"/>
          <w:sz w:val="20"/>
          <w:szCs w:val="20"/>
        </w:rPr>
        <w:t>±</w:t>
      </w:r>
      <w:r w:rsidR="00F5652D" w:rsidRPr="00C82B09">
        <w:rPr>
          <w:rFonts w:ascii="Times New Roman" w:hAnsi="Times New Roman" w:cs="Times New Roman"/>
          <w:i w:val="0"/>
          <w:iCs w:val="0"/>
          <w:sz w:val="20"/>
          <w:szCs w:val="20"/>
        </w:rPr>
        <w:t xml:space="preserve"> </w:t>
      </w:r>
      <w:r w:rsidRPr="00C82B09">
        <w:rPr>
          <w:rFonts w:ascii="Times New Roman" w:hAnsi="Times New Roman" w:cs="Times New Roman"/>
          <w:i w:val="0"/>
          <w:iCs w:val="0"/>
          <w:sz w:val="20"/>
          <w:szCs w:val="20"/>
        </w:rPr>
        <w:t>SEM (n=3)</w:t>
      </w:r>
    </w:p>
    <w:p w14:paraId="57B2C554" w14:textId="77777777" w:rsidR="00F7089C" w:rsidRPr="00C82B09" w:rsidRDefault="00F7089C" w:rsidP="00117041">
      <w:pPr>
        <w:spacing w:line="240" w:lineRule="auto"/>
        <w:jc w:val="both"/>
        <w:rPr>
          <w:rFonts w:ascii="Times New Roman" w:hAnsi="Times New Roman" w:cs="Times New Roman"/>
          <w:sz w:val="24"/>
          <w:szCs w:val="24"/>
        </w:rPr>
      </w:pPr>
      <w:r w:rsidRPr="00C82B09">
        <w:rPr>
          <w:rFonts w:ascii="Times New Roman" w:hAnsi="Times New Roman"/>
          <w:sz w:val="24"/>
        </w:rPr>
        <w:t>Carotenoid content was monitored over a 6-day period during exposure to lead (Pb) and arsenic (As) at concentrations of 2 ppm and 5 ppm.</w:t>
      </w:r>
    </w:p>
    <w:p w14:paraId="00490C73" w14:textId="77777777" w:rsidR="00F7089C" w:rsidRPr="00C82B09" w:rsidRDefault="00F7089C" w:rsidP="00117041">
      <w:pPr>
        <w:spacing w:line="240" w:lineRule="auto"/>
        <w:ind w:firstLine="720"/>
        <w:jc w:val="both"/>
        <w:rPr>
          <w:rFonts w:ascii="Times New Roman" w:hAnsi="Times New Roman" w:cs="Times New Roman"/>
          <w:sz w:val="24"/>
          <w:szCs w:val="24"/>
        </w:rPr>
      </w:pPr>
      <w:r w:rsidRPr="00C82B09">
        <w:rPr>
          <w:rFonts w:ascii="Times New Roman" w:hAnsi="Times New Roman"/>
          <w:b/>
          <w:sz w:val="24"/>
        </w:rPr>
        <w:t xml:space="preserve">In the case of </w:t>
      </w:r>
      <w:r w:rsidRPr="00C82B09">
        <w:rPr>
          <w:rFonts w:ascii="Times New Roman" w:hAnsi="Times New Roman"/>
          <w:b/>
          <w:i/>
          <w:sz w:val="24"/>
        </w:rPr>
        <w:t>Calothrix sp.</w:t>
      </w:r>
    </w:p>
    <w:p w14:paraId="0D6F3E98" w14:textId="77777777" w:rsidR="00F7089C" w:rsidRPr="00C82B09" w:rsidRDefault="00F7089C" w:rsidP="00117041">
      <w:pPr>
        <w:spacing w:after="160" w:line="240" w:lineRule="auto"/>
        <w:jc w:val="both"/>
        <w:rPr>
          <w:sz w:val="24"/>
          <w:szCs w:val="24"/>
        </w:rPr>
      </w:pPr>
      <w:r w:rsidRPr="00C82B09">
        <w:rPr>
          <w:rFonts w:ascii="Times New Roman" w:hAnsi="Times New Roman"/>
          <w:b/>
          <w:sz w:val="24"/>
        </w:rPr>
        <w:t>Control group:</w:t>
      </w:r>
      <w:r w:rsidRPr="00C82B09">
        <w:rPr>
          <w:rFonts w:ascii="Times New Roman" w:hAnsi="Times New Roman"/>
          <w:sz w:val="24"/>
        </w:rPr>
        <w:t xml:space="preserve"> By Day 3, the control value had decreased markedly from its initial value, and by Day 6, it had partially recovered.</w:t>
      </w:r>
    </w:p>
    <w:p w14:paraId="7FC10424" w14:textId="77777777" w:rsidR="00F7089C" w:rsidRPr="00C82B09" w:rsidRDefault="00F7089C" w:rsidP="00117041">
      <w:pPr>
        <w:spacing w:after="160" w:line="240" w:lineRule="auto"/>
        <w:jc w:val="both"/>
        <w:rPr>
          <w:sz w:val="24"/>
          <w:szCs w:val="24"/>
        </w:rPr>
      </w:pPr>
      <w:r w:rsidRPr="00C82B09">
        <w:rPr>
          <w:rFonts w:ascii="Times New Roman" w:hAnsi="Times New Roman"/>
          <w:b/>
          <w:sz w:val="24"/>
        </w:rPr>
        <w:t>Lead (Pb) exposure:</w:t>
      </w:r>
      <w:r w:rsidRPr="00C82B09">
        <w:rPr>
          <w:rFonts w:ascii="Times New Roman" w:hAnsi="Times New Roman"/>
          <w:sz w:val="24"/>
        </w:rPr>
        <w:t xml:space="preserve"> The "decrease-then-increase" pattern was observed in both the 2 ppm and 5 ppm Pb treatments. The 2 ppm Pb group showed a high degree of recovery by Day 6, almost matching the final value of the control group.</w:t>
      </w:r>
    </w:p>
    <w:p w14:paraId="2AC8C6C2" w14:textId="77777777" w:rsidR="00F7089C" w:rsidRPr="00C82B09" w:rsidRDefault="00F7089C" w:rsidP="00117041">
      <w:pPr>
        <w:spacing w:after="160" w:line="240" w:lineRule="auto"/>
        <w:jc w:val="both"/>
        <w:rPr>
          <w:sz w:val="24"/>
          <w:szCs w:val="24"/>
        </w:rPr>
      </w:pPr>
      <w:r w:rsidRPr="00C82B09">
        <w:rPr>
          <w:rFonts w:ascii="Times New Roman" w:hAnsi="Times New Roman"/>
          <w:b/>
          <w:sz w:val="24"/>
        </w:rPr>
        <w:lastRenderedPageBreak/>
        <w:t>Arsenic (As) exposure:</w:t>
      </w:r>
      <w:r w:rsidRPr="00C82B09">
        <w:rPr>
          <w:rFonts w:ascii="Times New Roman" w:hAnsi="Times New Roman"/>
          <w:sz w:val="24"/>
        </w:rPr>
        <w:t xml:space="preserve"> Compared with the control, arsenic exposure produced a more stable carotenoid profile.</w:t>
      </w:r>
    </w:p>
    <w:p w14:paraId="737DB8E5" w14:textId="77777777" w:rsidR="00760131" w:rsidRPr="00C82B09" w:rsidRDefault="00000000">
      <w:pPr>
        <w:spacing w:after="160" w:line="240" w:lineRule="auto"/>
        <w:jc w:val="both"/>
        <w:rPr>
          <w:sz w:val="24"/>
          <w:szCs w:val="24"/>
        </w:rPr>
      </w:pPr>
      <w:r w:rsidRPr="00C82B09">
        <w:rPr>
          <w:rFonts w:ascii="Times New Roman" w:hAnsi="Times New Roman"/>
          <w:sz w:val="24"/>
        </w:rPr>
        <w:t xml:space="preserve">In </w:t>
      </w:r>
      <w:r w:rsidRPr="00C82B09">
        <w:rPr>
          <w:rFonts w:ascii="Times New Roman" w:hAnsi="Times New Roman"/>
          <w:i/>
          <w:sz w:val="24"/>
        </w:rPr>
        <w:t>Calothrix</w:t>
      </w:r>
      <w:r w:rsidRPr="00C82B09">
        <w:rPr>
          <w:rFonts w:ascii="Times New Roman" w:hAnsi="Times New Roman"/>
          <w:sz w:val="24"/>
        </w:rPr>
        <w:t xml:space="preserve"> sp., the Day 6 values show a near return of carotenoids under Pb at 2 ppm relative to the control, whereas the 5 ppm Pb and both </w:t>
      </w:r>
      <w:proofErr w:type="gramStart"/>
      <w:r w:rsidRPr="00C82B09">
        <w:rPr>
          <w:rFonts w:ascii="Times New Roman" w:hAnsi="Times New Roman"/>
          <w:sz w:val="24"/>
        </w:rPr>
        <w:t>As</w:t>
      </w:r>
      <w:proofErr w:type="gramEnd"/>
      <w:r w:rsidRPr="00C82B09">
        <w:rPr>
          <w:rFonts w:ascii="Times New Roman" w:hAnsi="Times New Roman"/>
          <w:sz w:val="24"/>
        </w:rPr>
        <w:t xml:space="preserve"> treatments remained numerically lower than the Day 6 control. A recovery-like pigment trajectory is compatible with the broader concept that cyanobacterial carotenoid pools can change during acclimation to stress and contribute to photoprotection, but carotenoid abundance alone does not establish the underlying mechanism (Canonico et al., 2021; Sedoud et al., 2014; Zakar et al., 2016). This observation is also consistent with evidence that </w:t>
      </w:r>
      <w:r w:rsidRPr="00C82B09">
        <w:rPr>
          <w:rFonts w:ascii="Times New Roman" w:hAnsi="Times New Roman"/>
          <w:i/>
          <w:sz w:val="24"/>
        </w:rPr>
        <w:t>Calothrix</w:t>
      </w:r>
      <w:r w:rsidRPr="00C82B09">
        <w:rPr>
          <w:rFonts w:ascii="Times New Roman" w:hAnsi="Times New Roman"/>
          <w:sz w:val="24"/>
        </w:rPr>
        <w:t xml:space="preserve"> can exhibit strain-specific pigment plasticity under environmental stressors, emphasising the need to interpret the present pattern at the strain and exposure level rather than as a genus-wide response (Zammit et al., 2026).</w:t>
      </w:r>
    </w:p>
    <w:p w14:paraId="392B20C7" w14:textId="77777777" w:rsidR="00F7089C" w:rsidRPr="00C82B09" w:rsidRDefault="00F7089C" w:rsidP="00117041">
      <w:pPr>
        <w:spacing w:line="240" w:lineRule="auto"/>
        <w:ind w:firstLine="720"/>
        <w:jc w:val="both"/>
        <w:rPr>
          <w:rFonts w:ascii="Times New Roman" w:hAnsi="Times New Roman" w:cs="Times New Roman"/>
          <w:sz w:val="24"/>
          <w:szCs w:val="24"/>
        </w:rPr>
      </w:pPr>
      <w:r w:rsidRPr="00C82B09">
        <w:rPr>
          <w:rFonts w:ascii="Times New Roman" w:hAnsi="Times New Roman"/>
          <w:b/>
          <w:sz w:val="24"/>
        </w:rPr>
        <w:t xml:space="preserve">In the case of </w:t>
      </w:r>
      <w:r w:rsidRPr="00C82B09">
        <w:rPr>
          <w:rFonts w:ascii="Times New Roman" w:hAnsi="Times New Roman"/>
          <w:b/>
          <w:i/>
          <w:sz w:val="24"/>
        </w:rPr>
        <w:t>Calothrix brevissima CCCNO:65</w:t>
      </w:r>
    </w:p>
    <w:p w14:paraId="4695483C" w14:textId="77777777" w:rsidR="00F7089C" w:rsidRPr="00C82B09" w:rsidRDefault="00F7089C" w:rsidP="00117041">
      <w:pPr>
        <w:spacing w:after="160" w:line="240" w:lineRule="auto"/>
        <w:jc w:val="both"/>
        <w:rPr>
          <w:sz w:val="24"/>
          <w:szCs w:val="24"/>
        </w:rPr>
      </w:pPr>
      <w:r w:rsidRPr="00C82B09">
        <w:rPr>
          <w:rFonts w:ascii="Times New Roman" w:hAnsi="Times New Roman"/>
          <w:b/>
          <w:sz w:val="24"/>
        </w:rPr>
        <w:t>Control group:</w:t>
      </w:r>
      <w:r w:rsidRPr="00C82B09">
        <w:rPr>
          <w:rFonts w:ascii="Times New Roman" w:hAnsi="Times New Roman"/>
          <w:sz w:val="24"/>
        </w:rPr>
        <w:t xml:space="preserve"> By Day 6, the control group's carotenoid content had increased steadily.</w:t>
      </w:r>
    </w:p>
    <w:p w14:paraId="68010CBF" w14:textId="77777777" w:rsidR="00F7089C" w:rsidRPr="00C82B09" w:rsidRDefault="00F7089C" w:rsidP="00117041">
      <w:pPr>
        <w:spacing w:after="160" w:line="240" w:lineRule="auto"/>
        <w:jc w:val="both"/>
        <w:rPr>
          <w:sz w:val="24"/>
          <w:szCs w:val="24"/>
        </w:rPr>
      </w:pPr>
      <w:r w:rsidRPr="00C82B09">
        <w:rPr>
          <w:rFonts w:ascii="Times New Roman" w:hAnsi="Times New Roman"/>
          <w:b/>
          <w:sz w:val="24"/>
        </w:rPr>
        <w:t>Lead (Pb) exposure:</w:t>
      </w:r>
      <w:r w:rsidRPr="00C82B09">
        <w:rPr>
          <w:rFonts w:ascii="Times New Roman" w:hAnsi="Times New Roman"/>
          <w:sz w:val="24"/>
        </w:rPr>
        <w:t xml:space="preserve"> Carotenoid concentration increased slightly at 2 ppm Pb but remained below the control. A noticeable variation occurred at 5 ppm Pb; levels decreased markedly on Day 3 but increased rapidly on Day 6.</w:t>
      </w:r>
    </w:p>
    <w:p w14:paraId="0B52EB42" w14:textId="77777777" w:rsidR="00F7089C" w:rsidRPr="00C82B09" w:rsidRDefault="00F7089C" w:rsidP="00117041">
      <w:pPr>
        <w:spacing w:after="160" w:line="240" w:lineRule="auto"/>
        <w:jc w:val="both"/>
        <w:rPr>
          <w:sz w:val="24"/>
          <w:szCs w:val="24"/>
        </w:rPr>
      </w:pPr>
      <w:r w:rsidRPr="00C82B09">
        <w:rPr>
          <w:rFonts w:ascii="Times New Roman" w:hAnsi="Times New Roman"/>
          <w:b/>
          <w:sz w:val="24"/>
        </w:rPr>
        <w:t>Arsenic (As) exposure:</w:t>
      </w:r>
      <w:r w:rsidRPr="00C82B09">
        <w:rPr>
          <w:rFonts w:ascii="Times New Roman" w:hAnsi="Times New Roman"/>
          <w:sz w:val="24"/>
        </w:rPr>
        <w:t xml:space="preserve"> By Day 3, both arsenic concentrations (2 ppm and 5 ppm) caused a sharp increase in carotenoid levels. By Day 6, both As-treated groups (2 ppm and 5 ppm) had carotenoid concentrations higher than that of the control group.</w:t>
      </w:r>
    </w:p>
    <w:p w14:paraId="0717FDB9" w14:textId="77777777" w:rsidR="00760131" w:rsidRPr="00C82B09" w:rsidRDefault="00000000">
      <w:pPr>
        <w:spacing w:after="160" w:line="240" w:lineRule="auto"/>
        <w:jc w:val="both"/>
        <w:rPr>
          <w:sz w:val="24"/>
          <w:szCs w:val="24"/>
        </w:rPr>
      </w:pPr>
      <w:r w:rsidRPr="00C82B09">
        <w:rPr>
          <w:rFonts w:ascii="Times New Roman" w:hAnsi="Times New Roman"/>
          <w:sz w:val="24"/>
        </w:rPr>
        <w:t xml:space="preserve">For </w:t>
      </w:r>
      <w:r w:rsidRPr="00C82B09">
        <w:rPr>
          <w:rFonts w:ascii="Times New Roman" w:hAnsi="Times New Roman"/>
          <w:i/>
          <w:sz w:val="24"/>
        </w:rPr>
        <w:t>C. brevissima</w:t>
      </w:r>
      <w:r w:rsidRPr="00C82B09">
        <w:rPr>
          <w:rFonts w:ascii="Times New Roman" w:hAnsi="Times New Roman"/>
          <w:sz w:val="24"/>
        </w:rPr>
        <w:t xml:space="preserve"> CCCNO:65, the increase in carotenoids under both </w:t>
      </w:r>
      <w:proofErr w:type="gramStart"/>
      <w:r w:rsidRPr="00C82B09">
        <w:rPr>
          <w:rFonts w:ascii="Times New Roman" w:hAnsi="Times New Roman"/>
          <w:sz w:val="24"/>
        </w:rPr>
        <w:t>As</w:t>
      </w:r>
      <w:proofErr w:type="gramEnd"/>
      <w:r w:rsidRPr="00C82B09">
        <w:rPr>
          <w:rFonts w:ascii="Times New Roman" w:hAnsi="Times New Roman"/>
          <w:sz w:val="24"/>
        </w:rPr>
        <w:t xml:space="preserve"> treatments by Day 3, followed by values above the Day 6 control, suggests a time-dependent pigment response rather than a simple monotonic toxicity pattern. Time-dependent arsenic studies in cyanobacteria have similarly reported that physiological inhibition and recovery can change across exposure intervals and between arsenite and arsenate conditions (Bhattacharya &amp; Pal, 2011; Patel et al., 2021a, 2021b). The decrease under 5 ppm Pb at Day 3 followed by a higher value at Day 6 may also reflect delayed acclimation; however, Pb can impair cyanobacterial photosynthetic processes, so the pigment response should be interpreted together with independent measures of growth, photosynthetic efficiency, oxidative damage, and metal accumulation in future work (Dixit &amp; Singh, 2015; Latifi et al., 2009).</w:t>
      </w:r>
    </w:p>
    <w:p w14:paraId="3E6D6545" w14:textId="77777777" w:rsidR="00F7089C" w:rsidRPr="00C82B09" w:rsidRDefault="00F7089C" w:rsidP="00117041">
      <w:pPr>
        <w:spacing w:line="240" w:lineRule="auto"/>
        <w:ind w:firstLine="720"/>
        <w:jc w:val="both"/>
        <w:rPr>
          <w:rFonts w:ascii="Times New Roman" w:hAnsi="Times New Roman" w:cs="Times New Roman"/>
          <w:b/>
          <w:bCs/>
          <w:sz w:val="24"/>
          <w:szCs w:val="24"/>
        </w:rPr>
      </w:pPr>
      <w:r w:rsidRPr="00C82B09">
        <w:rPr>
          <w:rFonts w:ascii="Times New Roman" w:hAnsi="Times New Roman"/>
          <w:b/>
          <w:sz w:val="24"/>
        </w:rPr>
        <w:t xml:space="preserve">In the case of </w:t>
      </w:r>
      <w:r w:rsidRPr="00C82B09">
        <w:rPr>
          <w:rFonts w:ascii="Times New Roman" w:hAnsi="Times New Roman"/>
          <w:b/>
          <w:i/>
          <w:sz w:val="24"/>
        </w:rPr>
        <w:t>Calothrix maechica 19</w:t>
      </w:r>
    </w:p>
    <w:p w14:paraId="05D2D15A" w14:textId="77777777" w:rsidR="00F7089C" w:rsidRPr="00C82B09" w:rsidRDefault="00F7089C" w:rsidP="00117041">
      <w:pPr>
        <w:spacing w:after="0" w:line="240" w:lineRule="auto"/>
        <w:jc w:val="both"/>
        <w:rPr>
          <w:rFonts w:ascii="Times New Roman" w:hAnsi="Times New Roman" w:cs="Times New Roman"/>
          <w:sz w:val="24"/>
          <w:szCs w:val="24"/>
        </w:rPr>
      </w:pPr>
      <w:r w:rsidRPr="00C82B09">
        <w:rPr>
          <w:rFonts w:ascii="Times New Roman" w:hAnsi="Times New Roman"/>
          <w:b/>
          <w:sz w:val="24"/>
        </w:rPr>
        <w:t>Control group:</w:t>
      </w:r>
      <w:r w:rsidRPr="00C82B09">
        <w:rPr>
          <w:rFonts w:ascii="Times New Roman" w:hAnsi="Times New Roman"/>
          <w:sz w:val="24"/>
        </w:rPr>
        <w:t xml:space="preserve"> From Day 0 to Day 6, the control group's carotenoid levels decreased steadily.</w:t>
      </w:r>
    </w:p>
    <w:p w14:paraId="03B60F8A" w14:textId="77777777" w:rsidR="00F7089C" w:rsidRPr="00C82B09" w:rsidRDefault="00F7089C" w:rsidP="00117041">
      <w:pPr>
        <w:spacing w:after="0" w:line="240" w:lineRule="auto"/>
        <w:jc w:val="both"/>
        <w:rPr>
          <w:rFonts w:ascii="Times New Roman" w:hAnsi="Times New Roman" w:cs="Times New Roman"/>
          <w:sz w:val="24"/>
          <w:szCs w:val="24"/>
        </w:rPr>
      </w:pPr>
      <w:r w:rsidRPr="00C82B09">
        <w:rPr>
          <w:rFonts w:ascii="Times New Roman" w:hAnsi="Times New Roman"/>
          <w:b/>
          <w:sz w:val="24"/>
        </w:rPr>
        <w:t>Lead (Pb) exposure:</w:t>
      </w:r>
      <w:r w:rsidRPr="00C82B09">
        <w:rPr>
          <w:rFonts w:ascii="Times New Roman" w:hAnsi="Times New Roman"/>
          <w:sz w:val="24"/>
        </w:rPr>
        <w:t xml:space="preserve"> On Day 0, carotenoid levels in the 2 ppm and 5 ppm Pb treatments were lower than those in the control. By Day 6, levels in the </w:t>
      </w:r>
      <w:proofErr w:type="gramStart"/>
      <w:r w:rsidRPr="00C82B09">
        <w:rPr>
          <w:rFonts w:ascii="Times New Roman" w:hAnsi="Times New Roman"/>
          <w:sz w:val="24"/>
        </w:rPr>
        <w:t>2 ppm</w:t>
      </w:r>
      <w:proofErr w:type="gramEnd"/>
      <w:r w:rsidRPr="00C82B09">
        <w:rPr>
          <w:rFonts w:ascii="Times New Roman" w:hAnsi="Times New Roman"/>
          <w:sz w:val="24"/>
        </w:rPr>
        <w:t xml:space="preserve"> group had decreased further. Notably, after Day 0, the 5 ppm Pb group increased and reached its highest value on Day 6, exceeding the control value at the same time point.</w:t>
      </w:r>
    </w:p>
    <w:p w14:paraId="7A7ECA31" w14:textId="77777777" w:rsidR="00F7089C" w:rsidRPr="00C82B09" w:rsidRDefault="00F7089C" w:rsidP="00117041">
      <w:pPr>
        <w:spacing w:after="0" w:line="240" w:lineRule="auto"/>
        <w:jc w:val="both"/>
        <w:rPr>
          <w:rFonts w:ascii="Times New Roman" w:hAnsi="Times New Roman" w:cs="Times New Roman"/>
          <w:sz w:val="24"/>
          <w:szCs w:val="24"/>
        </w:rPr>
      </w:pPr>
      <w:r w:rsidRPr="00C82B09">
        <w:rPr>
          <w:rFonts w:ascii="Times New Roman" w:hAnsi="Times New Roman"/>
          <w:b/>
          <w:sz w:val="24"/>
        </w:rPr>
        <w:t>Arsenic (As) exposure:</w:t>
      </w:r>
      <w:r w:rsidRPr="00C82B09">
        <w:rPr>
          <w:rFonts w:ascii="Times New Roman" w:hAnsi="Times New Roman"/>
          <w:sz w:val="24"/>
        </w:rPr>
        <w:t xml:space="preserve"> Exposure to arsenic resulted in variations in carotenoid levels. At 2 ppm, the levels remained comparatively stable by Day 6. The 5 ppm </w:t>
      </w:r>
      <w:proofErr w:type="gramStart"/>
      <w:r w:rsidRPr="00C82B09">
        <w:rPr>
          <w:rFonts w:ascii="Times New Roman" w:hAnsi="Times New Roman"/>
          <w:sz w:val="24"/>
        </w:rPr>
        <w:t>As</w:t>
      </w:r>
      <w:proofErr w:type="gramEnd"/>
      <w:r w:rsidRPr="00C82B09">
        <w:rPr>
          <w:rFonts w:ascii="Times New Roman" w:hAnsi="Times New Roman"/>
          <w:sz w:val="24"/>
        </w:rPr>
        <w:t xml:space="preserve"> treatment showed a modest increase on Day 3, but by Day 6 it had declined to the lowest recorded value.</w:t>
      </w:r>
    </w:p>
    <w:p w14:paraId="6D1FA851" w14:textId="77777777" w:rsidR="00760131" w:rsidRPr="00C82B09" w:rsidRDefault="00000000">
      <w:pPr>
        <w:spacing w:after="0" w:line="240" w:lineRule="auto"/>
        <w:jc w:val="both"/>
        <w:rPr>
          <w:rFonts w:ascii="Times New Roman" w:hAnsi="Times New Roman" w:cs="Times New Roman"/>
          <w:sz w:val="24"/>
          <w:szCs w:val="24"/>
        </w:rPr>
      </w:pPr>
      <w:r w:rsidRPr="00C82B09">
        <w:rPr>
          <w:rFonts w:ascii="Times New Roman" w:hAnsi="Times New Roman"/>
          <w:sz w:val="24"/>
        </w:rPr>
        <w:t xml:space="preserve">In </w:t>
      </w:r>
      <w:r w:rsidRPr="00C82B09">
        <w:rPr>
          <w:rFonts w:ascii="Times New Roman" w:hAnsi="Times New Roman"/>
          <w:i/>
          <w:sz w:val="24"/>
        </w:rPr>
        <w:t>C. maechica</w:t>
      </w:r>
      <w:r w:rsidRPr="00C82B09">
        <w:rPr>
          <w:rFonts w:ascii="Times New Roman" w:hAnsi="Times New Roman"/>
          <w:sz w:val="24"/>
        </w:rPr>
        <w:t xml:space="preserve"> 19, the divergent Day 6 responses to Pb at 5 ppm and </w:t>
      </w:r>
      <w:proofErr w:type="gramStart"/>
      <w:r w:rsidRPr="00C82B09">
        <w:rPr>
          <w:rFonts w:ascii="Times New Roman" w:hAnsi="Times New Roman"/>
          <w:sz w:val="24"/>
        </w:rPr>
        <w:t>As</w:t>
      </w:r>
      <w:proofErr w:type="gramEnd"/>
      <w:r w:rsidRPr="00C82B09">
        <w:rPr>
          <w:rFonts w:ascii="Times New Roman" w:hAnsi="Times New Roman"/>
          <w:sz w:val="24"/>
        </w:rPr>
        <w:t xml:space="preserve"> at 5 ppm indicate that carotenoid dynamics were metal- and dose-dependent within the experimental period. The higher carotenoid value under Pb at 5 ppm is compatible with an inducible photoprotective response, whereas the lower value under </w:t>
      </w:r>
      <w:proofErr w:type="gramStart"/>
      <w:r w:rsidRPr="00C82B09">
        <w:rPr>
          <w:rFonts w:ascii="Times New Roman" w:hAnsi="Times New Roman"/>
          <w:sz w:val="24"/>
        </w:rPr>
        <w:t>As</w:t>
      </w:r>
      <w:proofErr w:type="gramEnd"/>
      <w:r w:rsidRPr="00C82B09">
        <w:rPr>
          <w:rFonts w:ascii="Times New Roman" w:hAnsi="Times New Roman"/>
          <w:sz w:val="24"/>
        </w:rPr>
        <w:t xml:space="preserve"> at 5 ppm may indicate that carotenoid maintenance did not keep pace with stress; neither interpretation, however, demonstrates tolerance without complementary physiological endpoints (Dixit &amp; Singh, 2015; Latifi et al., 2009; Zakar et al., 2016). Arsenic studies in other cyanobacteria show that the balance between inhibition and </w:t>
      </w:r>
      <w:r w:rsidRPr="00C82B09">
        <w:rPr>
          <w:rFonts w:ascii="Times New Roman" w:hAnsi="Times New Roman"/>
          <w:sz w:val="24"/>
        </w:rPr>
        <w:lastRenderedPageBreak/>
        <w:t>recovery depends strongly on arsenic form, concentration, and exposure time, supporting a cautious interpretation of the present species-specific temporal pattern (Bhattacharya &amp; Pal, 2011; Patel et al., 2021a).</w:t>
      </w:r>
    </w:p>
    <w:p w14:paraId="728928A1" w14:textId="77777777" w:rsidR="000B3398" w:rsidRPr="00C82B09" w:rsidRDefault="00F7089C" w:rsidP="00117041">
      <w:pPr>
        <w:spacing w:line="240" w:lineRule="auto"/>
        <w:ind w:firstLine="720"/>
        <w:rPr>
          <w:b/>
          <w:bCs/>
          <w:sz w:val="24"/>
          <w:szCs w:val="24"/>
        </w:rPr>
      </w:pPr>
      <w:r w:rsidRPr="00C82B09">
        <w:rPr>
          <w:rFonts w:ascii="Times New Roman" w:hAnsi="Times New Roman" w:cs="Times New Roman"/>
          <w:b/>
          <w:bCs/>
          <w:sz w:val="24"/>
          <w:szCs w:val="24"/>
        </w:rPr>
        <w:t>Discussion</w:t>
      </w:r>
    </w:p>
    <w:p w14:paraId="12E89669" w14:textId="77777777" w:rsidR="00F7089C" w:rsidRPr="00C82B09" w:rsidRDefault="00F7089C" w:rsidP="00117041">
      <w:pPr>
        <w:spacing w:line="240" w:lineRule="auto"/>
        <w:ind w:firstLine="720"/>
        <w:jc w:val="both"/>
        <w:rPr>
          <w:b/>
          <w:bCs/>
          <w:sz w:val="24"/>
          <w:szCs w:val="24"/>
        </w:rPr>
      </w:pPr>
      <w:r w:rsidRPr="00C82B09">
        <w:rPr>
          <w:rFonts w:ascii="Times New Roman" w:hAnsi="Times New Roman"/>
          <w:i/>
          <w:sz w:val="24"/>
        </w:rPr>
        <w:t>Calothrix sp.</w:t>
      </w:r>
      <w:r w:rsidRPr="00C82B09">
        <w:rPr>
          <w:rFonts w:ascii="Times New Roman" w:hAnsi="Times New Roman"/>
          <w:sz w:val="24"/>
        </w:rPr>
        <w:t xml:space="preserve"> showed a capacity to stabilise pigment production following an initial decrease, as the metal-treated groups (particularly Pb at 2 ppm and </w:t>
      </w:r>
      <w:proofErr w:type="gramStart"/>
      <w:r w:rsidRPr="00C82B09">
        <w:rPr>
          <w:rFonts w:ascii="Times New Roman" w:hAnsi="Times New Roman"/>
          <w:sz w:val="24"/>
        </w:rPr>
        <w:t>As</w:t>
      </w:r>
      <w:proofErr w:type="gramEnd"/>
      <w:r w:rsidRPr="00C82B09">
        <w:rPr>
          <w:rFonts w:ascii="Times New Roman" w:hAnsi="Times New Roman"/>
          <w:sz w:val="24"/>
        </w:rPr>
        <w:t xml:space="preserve"> at 2 ppm) followed a recovery trajectory. This pattern may indicate that increased arsenic concentrations can induce a "maintenance mode" in </w:t>
      </w:r>
      <w:r w:rsidRPr="00C82B09">
        <w:rPr>
          <w:rFonts w:ascii="Times New Roman" w:hAnsi="Times New Roman"/>
          <w:i/>
          <w:sz w:val="24"/>
        </w:rPr>
        <w:t>Calothrix sp.,</w:t>
      </w:r>
      <w:r w:rsidRPr="00C82B09">
        <w:rPr>
          <w:rFonts w:ascii="Times New Roman" w:hAnsi="Times New Roman"/>
          <w:sz w:val="24"/>
        </w:rPr>
        <w:t xml:space="preserve"> reducing the early-stage accessory pigment degradation observed in the control. When exposed to Pb and As, </w:t>
      </w:r>
      <w:r w:rsidRPr="00C82B09">
        <w:rPr>
          <w:rFonts w:ascii="Times New Roman" w:hAnsi="Times New Roman"/>
          <w:i/>
          <w:sz w:val="24"/>
        </w:rPr>
        <w:t>C. brevissima</w:t>
      </w:r>
      <w:r w:rsidRPr="00C82B09">
        <w:rPr>
          <w:rFonts w:ascii="Times New Roman" w:hAnsi="Times New Roman"/>
          <w:sz w:val="24"/>
        </w:rPr>
        <w:t xml:space="preserve"> showed increased carotenoid levels. This quantitative increase may represent a defence response to metal-induced oxidative stress. As antioxidants, carotenoids can help limit lipid peroxidation in photosynthetic membranes and quench singlet oxygen. The differences in carotenoid content suggest that </w:t>
      </w:r>
      <w:r w:rsidRPr="00C82B09">
        <w:rPr>
          <w:rFonts w:ascii="Times New Roman" w:hAnsi="Times New Roman"/>
          <w:i/>
          <w:sz w:val="24"/>
        </w:rPr>
        <w:t>Calothrix maechica</w:t>
      </w:r>
      <w:r w:rsidRPr="00C82B09">
        <w:rPr>
          <w:rFonts w:ascii="Times New Roman" w:hAnsi="Times New Roman"/>
          <w:sz w:val="24"/>
        </w:rPr>
        <w:t xml:space="preserve"> experiences substantial physiological stress. It is noteworthy that, by Day 6, the 5 ppm Pb treatment increased carotenoid levels. This "rebound effect" may suggest an adaptive response of </w:t>
      </w:r>
      <w:r w:rsidRPr="00C82B09">
        <w:rPr>
          <w:rFonts w:ascii="Times New Roman" w:hAnsi="Times New Roman"/>
          <w:i/>
          <w:sz w:val="24"/>
        </w:rPr>
        <w:t>Calothrix maechica</w:t>
      </w:r>
      <w:r w:rsidRPr="00C82B09">
        <w:rPr>
          <w:rFonts w:ascii="Times New Roman" w:hAnsi="Times New Roman"/>
          <w:sz w:val="24"/>
        </w:rPr>
        <w:t xml:space="preserve"> to lead stress over time. In contrast, the decrease in carotenoids under 5 ppm As by Day 6 suggests that higher arsenic exposure may be more detrimental to this species' pigment stability than lead. The decrease in carotenoids may compromise photoprotection and could be associated with slower growth and reduced photosynthetic efficiency.</w:t>
      </w:r>
    </w:p>
    <w:p w14:paraId="7FDEFF99" w14:textId="77777777" w:rsidR="00760131" w:rsidRPr="00C82B09" w:rsidRDefault="00000000">
      <w:pPr>
        <w:spacing w:line="240" w:lineRule="auto"/>
        <w:ind w:firstLine="720"/>
        <w:jc w:val="both"/>
        <w:rPr>
          <w:b/>
          <w:bCs/>
          <w:sz w:val="24"/>
          <w:szCs w:val="24"/>
        </w:rPr>
      </w:pPr>
      <w:r w:rsidRPr="00C82B09">
        <w:rPr>
          <w:rFonts w:ascii="Times New Roman" w:eastAsia="Times New Roman" w:hAnsi="Times New Roman"/>
          <w:sz w:val="24"/>
        </w:rPr>
        <w:t xml:space="preserve">Taken together, the three </w:t>
      </w:r>
      <w:r w:rsidRPr="00C82B09">
        <w:rPr>
          <w:rFonts w:ascii="Times New Roman" w:eastAsia="Times New Roman" w:hAnsi="Times New Roman"/>
          <w:i/>
          <w:sz w:val="24"/>
        </w:rPr>
        <w:t>Calothrix</w:t>
      </w:r>
      <w:r w:rsidRPr="00C82B09">
        <w:rPr>
          <w:rFonts w:ascii="Times New Roman" w:eastAsia="Times New Roman" w:hAnsi="Times New Roman"/>
          <w:sz w:val="24"/>
        </w:rPr>
        <w:t xml:space="preserve"> cultures did not display a uniform carotenoid response to Pb and As. This heterogeneity is biologically plausible because carotenoid-mediated protection is embedded within a broader cyanobacterial oxidative-stress network and because pigment accumulation can be temporally staged during acclimation (Canonico et al., 2021; Latifi et al., 2009; Zakar et al., 2016). Direct work on </w:t>
      </w:r>
      <w:r w:rsidRPr="00C82B09">
        <w:rPr>
          <w:rFonts w:ascii="Times New Roman" w:eastAsia="Times New Roman" w:hAnsi="Times New Roman"/>
          <w:i/>
          <w:sz w:val="24"/>
        </w:rPr>
        <w:t>Calothrix</w:t>
      </w:r>
      <w:r w:rsidRPr="00C82B09">
        <w:rPr>
          <w:rFonts w:ascii="Times New Roman" w:eastAsia="Times New Roman" w:hAnsi="Times New Roman"/>
          <w:sz w:val="24"/>
        </w:rPr>
        <w:t xml:space="preserve"> under non-metal environmental stress also demonstrates strain-specific changes in carotenoid production, supporting the interpretation that inter-strain differences in the present experiment should be treated as physiological variation rather than as evidence for a single genus-level tolerance strategy (Zammit et al., 2026).</w:t>
      </w:r>
    </w:p>
    <w:p w14:paraId="29009F66" w14:textId="77777777" w:rsidR="00760131" w:rsidRPr="00C82B09" w:rsidRDefault="00000000">
      <w:pPr>
        <w:spacing w:line="240" w:lineRule="auto"/>
        <w:ind w:firstLine="720"/>
        <w:jc w:val="both"/>
        <w:rPr>
          <w:b/>
          <w:bCs/>
          <w:sz w:val="24"/>
          <w:szCs w:val="24"/>
        </w:rPr>
      </w:pPr>
      <w:r w:rsidRPr="00C82B09">
        <w:rPr>
          <w:rFonts w:ascii="Times New Roman" w:eastAsia="Times New Roman" w:hAnsi="Times New Roman"/>
          <w:sz w:val="24"/>
        </w:rPr>
        <w:t xml:space="preserve">Mechanistically, carotenoids may contribute to protection of the photosynthetic apparatus through energy dissipation, singlet-oxygen quenching, and stabilisation of photosystem-associated structures (Sedoud et al., 2014; Zakar et al., 2016). Nevertheless, published Pb and </w:t>
      </w:r>
      <w:proofErr w:type="gramStart"/>
      <w:r w:rsidRPr="00C82B09">
        <w:rPr>
          <w:rFonts w:ascii="Times New Roman" w:eastAsia="Times New Roman" w:hAnsi="Times New Roman"/>
          <w:sz w:val="24"/>
        </w:rPr>
        <w:t>As</w:t>
      </w:r>
      <w:proofErr w:type="gramEnd"/>
      <w:r w:rsidRPr="00C82B09">
        <w:rPr>
          <w:rFonts w:ascii="Times New Roman" w:eastAsia="Times New Roman" w:hAnsi="Times New Roman"/>
          <w:sz w:val="24"/>
        </w:rPr>
        <w:t xml:space="preserve"> studies in cyanobacteria show that metal stress can simultaneously affect growth, photosynthetic electron transport, and other biochemical processes, and the direction of response can change with dose and exposure time (Dixit &amp; Singh, 2015; Patel et al., 2021a, 2021b). Accordingly, the present carotenoid data are most appropriately interpreted as evidence of differential stress responsiveness among the tested </w:t>
      </w:r>
      <w:r w:rsidRPr="00C82B09">
        <w:rPr>
          <w:rFonts w:ascii="Times New Roman" w:eastAsia="Times New Roman" w:hAnsi="Times New Roman"/>
          <w:i/>
          <w:sz w:val="24"/>
        </w:rPr>
        <w:t>Calothrix</w:t>
      </w:r>
      <w:r w:rsidRPr="00C82B09">
        <w:rPr>
          <w:rFonts w:ascii="Times New Roman" w:eastAsia="Times New Roman" w:hAnsi="Times New Roman"/>
          <w:sz w:val="24"/>
        </w:rPr>
        <w:t xml:space="preserve"> cultures; confirmation of bioremediation capacity or bioindicator performance would require direct quantification of metal uptake/removal together with additional physiological and molecular endpoints.</w:t>
      </w:r>
    </w:p>
    <w:p w14:paraId="17EFC7A0" w14:textId="77777777" w:rsidR="000B3398" w:rsidRPr="00C82B09" w:rsidRDefault="000B3398" w:rsidP="00117041">
      <w:pPr>
        <w:pStyle w:val="Caption"/>
        <w:keepNext/>
        <w:ind w:firstLine="720"/>
        <w:rPr>
          <w:rFonts w:ascii="Times New Roman" w:hAnsi="Times New Roman" w:cs="Times New Roman"/>
          <w:i w:val="0"/>
          <w:iCs w:val="0"/>
          <w:sz w:val="24"/>
          <w:szCs w:val="24"/>
        </w:rPr>
      </w:pPr>
    </w:p>
    <w:p w14:paraId="64CA081C" w14:textId="77777777" w:rsidR="000B3398" w:rsidRPr="00C82B09" w:rsidRDefault="000B3398" w:rsidP="00117041">
      <w:pPr>
        <w:spacing w:line="240" w:lineRule="auto"/>
        <w:rPr>
          <w:lang w:val="en-IN"/>
        </w:rPr>
      </w:pPr>
    </w:p>
    <w:p w14:paraId="35A602D9" w14:textId="77777777" w:rsidR="00F7089C" w:rsidRPr="00C82B09" w:rsidRDefault="00F7089C" w:rsidP="00117041">
      <w:pPr>
        <w:pStyle w:val="Caption"/>
        <w:keepNext/>
        <w:ind w:firstLine="720"/>
        <w:rPr>
          <w:rFonts w:ascii="Times New Roman" w:hAnsi="Times New Roman" w:cs="Times New Roman"/>
          <w:i w:val="0"/>
          <w:iCs w:val="0"/>
          <w:sz w:val="20"/>
          <w:szCs w:val="20"/>
        </w:rPr>
      </w:pPr>
      <w:r w:rsidRPr="00C82B09">
        <w:rPr>
          <w:rFonts w:ascii="Times New Roman" w:hAnsi="Times New Roman" w:cs="Times New Roman"/>
          <w:i w:val="0"/>
          <w:iCs w:val="0"/>
          <w:sz w:val="20"/>
          <w:szCs w:val="20"/>
        </w:rPr>
        <w:t xml:space="preserve">Table </w:t>
      </w:r>
      <w:r w:rsidRPr="00C82B09">
        <w:rPr>
          <w:rFonts w:ascii="Times New Roman" w:hAnsi="Times New Roman" w:cs="Times New Roman"/>
          <w:i w:val="0"/>
          <w:iCs w:val="0"/>
          <w:sz w:val="20"/>
          <w:szCs w:val="20"/>
        </w:rPr>
        <w:fldChar w:fldCharType="begin"/>
      </w:r>
      <w:r w:rsidRPr="00C82B09">
        <w:rPr>
          <w:rFonts w:ascii="Times New Roman" w:hAnsi="Times New Roman" w:cs="Times New Roman"/>
          <w:i w:val="0"/>
          <w:iCs w:val="0"/>
          <w:sz w:val="20"/>
          <w:szCs w:val="20"/>
        </w:rPr>
        <w:instrText xml:space="preserve"> SEQ Table \* ARABIC </w:instrText>
      </w:r>
      <w:r w:rsidRPr="00C82B09">
        <w:rPr>
          <w:rFonts w:ascii="Times New Roman" w:hAnsi="Times New Roman" w:cs="Times New Roman"/>
          <w:i w:val="0"/>
          <w:iCs w:val="0"/>
          <w:sz w:val="20"/>
          <w:szCs w:val="20"/>
        </w:rPr>
        <w:fldChar w:fldCharType="separate"/>
      </w:r>
      <w:r w:rsidRPr="00C82B09">
        <w:rPr>
          <w:rFonts w:ascii="Times New Roman" w:hAnsi="Times New Roman" w:cs="Times New Roman"/>
          <w:i w:val="0"/>
          <w:iCs w:val="0"/>
          <w:noProof/>
          <w:sz w:val="20"/>
          <w:szCs w:val="20"/>
        </w:rPr>
        <w:t>4</w:t>
      </w:r>
      <w:r w:rsidRPr="00C82B09">
        <w:rPr>
          <w:rFonts w:ascii="Times New Roman" w:hAnsi="Times New Roman" w:cs="Times New Roman"/>
          <w:i w:val="0"/>
          <w:iCs w:val="0"/>
          <w:sz w:val="20"/>
          <w:szCs w:val="20"/>
        </w:rPr>
        <w:fldChar w:fldCharType="end"/>
      </w:r>
      <w:r w:rsidRPr="00C82B09">
        <w:rPr>
          <w:rFonts w:ascii="Times New Roman" w:hAnsi="Times New Roman" w:cs="Times New Roman"/>
          <w:i w:val="0"/>
          <w:iCs w:val="0"/>
          <w:sz w:val="20"/>
          <w:szCs w:val="20"/>
        </w:rPr>
        <w:t xml:space="preserve"> Species Primary Strategy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F7089C" w:rsidRPr="00C82B09" w14:paraId="1AE5EB20" w14:textId="77777777" w:rsidTr="005415EB">
        <w:tc>
          <w:tcPr>
            <w:tcW w:w="3005" w:type="dxa"/>
            <w:tcBorders>
              <w:top w:val="single" w:sz="4" w:space="0" w:color="auto"/>
              <w:bottom w:val="single" w:sz="4" w:space="0" w:color="auto"/>
            </w:tcBorders>
          </w:tcPr>
          <w:p w14:paraId="3CC80F28" w14:textId="77777777" w:rsidR="00F7089C" w:rsidRPr="00C82B09" w:rsidRDefault="00F7089C" w:rsidP="00117041">
            <w:pPr>
              <w:spacing w:line="240" w:lineRule="auto"/>
              <w:ind w:firstLine="720"/>
              <w:jc w:val="center"/>
              <w:rPr>
                <w:rFonts w:ascii="Times New Roman" w:hAnsi="Times New Roman" w:cs="Times New Roman"/>
                <w:b/>
                <w:bCs/>
                <w:i/>
                <w:iCs/>
                <w:sz w:val="20"/>
                <w:szCs w:val="20"/>
              </w:rPr>
            </w:pPr>
            <w:r w:rsidRPr="00C82B09">
              <w:rPr>
                <w:rFonts w:ascii="Times New Roman" w:hAnsi="Times New Roman" w:cs="Times New Roman"/>
                <w:b/>
                <w:bCs/>
                <w:i/>
                <w:iCs/>
                <w:sz w:val="20"/>
                <w:szCs w:val="20"/>
              </w:rPr>
              <w:t>Calothrix sp.</w:t>
            </w:r>
          </w:p>
        </w:tc>
        <w:tc>
          <w:tcPr>
            <w:tcW w:w="3005" w:type="dxa"/>
            <w:tcBorders>
              <w:top w:val="single" w:sz="4" w:space="0" w:color="auto"/>
              <w:bottom w:val="single" w:sz="4" w:space="0" w:color="auto"/>
            </w:tcBorders>
          </w:tcPr>
          <w:p w14:paraId="61FA4094" w14:textId="77777777" w:rsidR="00F7089C" w:rsidRPr="00C82B09" w:rsidRDefault="00F7089C" w:rsidP="00117041">
            <w:pPr>
              <w:spacing w:line="240" w:lineRule="auto"/>
              <w:ind w:firstLine="720"/>
              <w:jc w:val="center"/>
              <w:rPr>
                <w:rFonts w:ascii="Times New Roman" w:hAnsi="Times New Roman" w:cs="Times New Roman"/>
                <w:sz w:val="20"/>
                <w:szCs w:val="20"/>
              </w:rPr>
            </w:pPr>
            <w:r w:rsidRPr="00C82B09">
              <w:rPr>
                <w:rFonts w:ascii="Times New Roman" w:hAnsi="Times New Roman" w:cs="Times New Roman"/>
                <w:sz w:val="20"/>
                <w:szCs w:val="20"/>
              </w:rPr>
              <w:t>Stability &amp; Recovery</w:t>
            </w:r>
          </w:p>
          <w:p w14:paraId="588C5FCE" w14:textId="77777777" w:rsidR="00F7089C" w:rsidRPr="00C82B09" w:rsidRDefault="00F7089C" w:rsidP="00117041">
            <w:pPr>
              <w:spacing w:line="240" w:lineRule="auto"/>
              <w:ind w:firstLine="720"/>
              <w:jc w:val="center"/>
              <w:rPr>
                <w:rFonts w:ascii="Times New Roman" w:hAnsi="Times New Roman" w:cs="Times New Roman"/>
                <w:sz w:val="20"/>
                <w:szCs w:val="20"/>
              </w:rPr>
            </w:pPr>
          </w:p>
        </w:tc>
        <w:tc>
          <w:tcPr>
            <w:tcW w:w="3006" w:type="dxa"/>
            <w:tcBorders>
              <w:top w:val="single" w:sz="4" w:space="0" w:color="auto"/>
              <w:bottom w:val="single" w:sz="4" w:space="0" w:color="auto"/>
            </w:tcBorders>
          </w:tcPr>
          <w:p w14:paraId="1C444D36" w14:textId="77777777" w:rsidR="00F7089C" w:rsidRPr="00C82B09" w:rsidRDefault="00F7089C" w:rsidP="00117041">
            <w:pPr>
              <w:spacing w:line="240" w:lineRule="auto"/>
              <w:ind w:firstLine="720"/>
              <w:jc w:val="both"/>
              <w:rPr>
                <w:rFonts w:ascii="Times New Roman" w:hAnsi="Times New Roman" w:cs="Times New Roman"/>
                <w:sz w:val="20"/>
                <w:szCs w:val="20"/>
              </w:rPr>
            </w:pPr>
            <w:r w:rsidRPr="00C82B09">
              <w:rPr>
                <w:rFonts w:ascii="Times New Roman" w:hAnsi="Times New Roman" w:cs="Times New Roman"/>
                <w:sz w:val="20"/>
                <w:szCs w:val="20"/>
              </w:rPr>
              <w:t xml:space="preserve">Displayed a "V-shaped" curvature. Even though there were significant initial decreases, by </w:t>
            </w:r>
            <w:r w:rsidRPr="00C82B09">
              <w:rPr>
                <w:rFonts w:ascii="Times New Roman" w:hAnsi="Times New Roman" w:cs="Times New Roman"/>
                <w:sz w:val="20"/>
                <w:szCs w:val="20"/>
              </w:rPr>
              <w:lastRenderedPageBreak/>
              <w:t>Day 6 it had returned to control levels, particularly in Pb 2 ppm.</w:t>
            </w:r>
          </w:p>
          <w:p w14:paraId="0352CF43" w14:textId="77777777" w:rsidR="00F7089C" w:rsidRPr="00C82B09" w:rsidRDefault="00F7089C" w:rsidP="00117041">
            <w:pPr>
              <w:spacing w:line="240" w:lineRule="auto"/>
              <w:ind w:firstLine="720"/>
              <w:jc w:val="both"/>
              <w:rPr>
                <w:rFonts w:ascii="Times New Roman" w:hAnsi="Times New Roman" w:cs="Times New Roman"/>
                <w:sz w:val="20"/>
                <w:szCs w:val="20"/>
              </w:rPr>
            </w:pPr>
          </w:p>
        </w:tc>
      </w:tr>
      <w:tr w:rsidR="00F7089C" w:rsidRPr="00C82B09" w14:paraId="7B43182D" w14:textId="77777777" w:rsidTr="005415EB">
        <w:tc>
          <w:tcPr>
            <w:tcW w:w="3005" w:type="dxa"/>
            <w:tcBorders>
              <w:top w:val="single" w:sz="4" w:space="0" w:color="auto"/>
              <w:bottom w:val="single" w:sz="4" w:space="0" w:color="auto"/>
            </w:tcBorders>
          </w:tcPr>
          <w:p w14:paraId="0179DD6F" w14:textId="77777777" w:rsidR="00F7089C" w:rsidRPr="00C82B09" w:rsidRDefault="00F7089C" w:rsidP="00117041">
            <w:pPr>
              <w:spacing w:line="240" w:lineRule="auto"/>
              <w:ind w:firstLine="720"/>
              <w:jc w:val="center"/>
              <w:rPr>
                <w:rFonts w:ascii="Times New Roman" w:hAnsi="Times New Roman" w:cs="Times New Roman"/>
                <w:b/>
                <w:bCs/>
                <w:i/>
                <w:iCs/>
                <w:sz w:val="20"/>
                <w:szCs w:val="20"/>
              </w:rPr>
            </w:pPr>
            <w:r w:rsidRPr="00C82B09">
              <w:rPr>
                <w:rFonts w:ascii="Times New Roman" w:hAnsi="Times New Roman" w:cs="Times New Roman"/>
                <w:b/>
                <w:bCs/>
                <w:i/>
                <w:iCs/>
                <w:sz w:val="20"/>
                <w:szCs w:val="20"/>
              </w:rPr>
              <w:lastRenderedPageBreak/>
              <w:t xml:space="preserve">C. </w:t>
            </w:r>
            <w:proofErr w:type="spellStart"/>
            <w:r w:rsidRPr="00C82B09">
              <w:rPr>
                <w:rFonts w:ascii="Times New Roman" w:hAnsi="Times New Roman" w:cs="Times New Roman"/>
                <w:b/>
                <w:bCs/>
                <w:i/>
                <w:iCs/>
                <w:sz w:val="20"/>
                <w:szCs w:val="20"/>
              </w:rPr>
              <w:t>brevissima</w:t>
            </w:r>
            <w:proofErr w:type="spellEnd"/>
            <w:r w:rsidRPr="00C82B09">
              <w:rPr>
                <w:rFonts w:ascii="Times New Roman" w:hAnsi="Times New Roman" w:cs="Times New Roman"/>
                <w:b/>
                <w:bCs/>
                <w:i/>
                <w:iCs/>
                <w:sz w:val="20"/>
                <w:szCs w:val="20"/>
              </w:rPr>
              <w:t xml:space="preserve"> CCCNO:65</w:t>
            </w:r>
          </w:p>
        </w:tc>
        <w:tc>
          <w:tcPr>
            <w:tcW w:w="3005" w:type="dxa"/>
            <w:tcBorders>
              <w:top w:val="single" w:sz="4" w:space="0" w:color="auto"/>
              <w:bottom w:val="single" w:sz="4" w:space="0" w:color="auto"/>
            </w:tcBorders>
          </w:tcPr>
          <w:p w14:paraId="3B309549" w14:textId="77777777" w:rsidR="00F7089C" w:rsidRPr="00C82B09" w:rsidRDefault="00F7089C" w:rsidP="00117041">
            <w:pPr>
              <w:spacing w:line="240" w:lineRule="auto"/>
              <w:ind w:firstLine="720"/>
              <w:jc w:val="center"/>
              <w:rPr>
                <w:rFonts w:ascii="Times New Roman" w:hAnsi="Times New Roman" w:cs="Times New Roman"/>
                <w:sz w:val="20"/>
                <w:szCs w:val="20"/>
              </w:rPr>
            </w:pPr>
            <w:r w:rsidRPr="00C82B09">
              <w:rPr>
                <w:rFonts w:ascii="Times New Roman" w:hAnsi="Times New Roman" w:cs="Times New Roman"/>
                <w:sz w:val="20"/>
                <w:szCs w:val="20"/>
              </w:rPr>
              <w:t>Induction &amp; Stimulation</w:t>
            </w:r>
          </w:p>
        </w:tc>
        <w:tc>
          <w:tcPr>
            <w:tcW w:w="3006" w:type="dxa"/>
            <w:tcBorders>
              <w:top w:val="single" w:sz="4" w:space="0" w:color="auto"/>
              <w:bottom w:val="single" w:sz="4" w:space="0" w:color="auto"/>
            </w:tcBorders>
          </w:tcPr>
          <w:p w14:paraId="51DBE092" w14:textId="77777777" w:rsidR="00F7089C" w:rsidRPr="00C82B09" w:rsidRDefault="00F7089C" w:rsidP="00117041">
            <w:pPr>
              <w:spacing w:line="240" w:lineRule="auto"/>
              <w:ind w:firstLine="720"/>
              <w:jc w:val="both"/>
              <w:rPr>
                <w:rFonts w:ascii="Times New Roman" w:hAnsi="Times New Roman" w:cs="Times New Roman"/>
                <w:sz w:val="20"/>
                <w:szCs w:val="20"/>
              </w:rPr>
            </w:pPr>
            <w:r w:rsidRPr="00C82B09">
              <w:rPr>
                <w:rFonts w:ascii="Times New Roman" w:hAnsi="Times New Roman" w:cs="Times New Roman"/>
                <w:sz w:val="20"/>
                <w:szCs w:val="20"/>
              </w:rPr>
              <w:t xml:space="preserve">Highly resilient. By Day 6, it was the only species in which metal treatments (Pb 5 ppm, </w:t>
            </w:r>
            <w:proofErr w:type="gramStart"/>
            <w:r w:rsidRPr="00C82B09">
              <w:rPr>
                <w:rFonts w:ascii="Times New Roman" w:hAnsi="Times New Roman" w:cs="Times New Roman"/>
                <w:sz w:val="20"/>
                <w:szCs w:val="20"/>
              </w:rPr>
              <w:t>As</w:t>
            </w:r>
            <w:proofErr w:type="gramEnd"/>
            <w:r w:rsidRPr="00C82B09">
              <w:rPr>
                <w:rFonts w:ascii="Times New Roman" w:hAnsi="Times New Roman" w:cs="Times New Roman"/>
                <w:sz w:val="20"/>
                <w:szCs w:val="20"/>
              </w:rPr>
              <w:t xml:space="preserve"> 2 ppm, and </w:t>
            </w:r>
            <w:proofErr w:type="gramStart"/>
            <w:r w:rsidRPr="00C82B09">
              <w:rPr>
                <w:rFonts w:ascii="Times New Roman" w:hAnsi="Times New Roman" w:cs="Times New Roman"/>
                <w:sz w:val="20"/>
                <w:szCs w:val="20"/>
              </w:rPr>
              <w:t>As</w:t>
            </w:r>
            <w:proofErr w:type="gramEnd"/>
            <w:r w:rsidRPr="00C82B09">
              <w:rPr>
                <w:rFonts w:ascii="Times New Roman" w:hAnsi="Times New Roman" w:cs="Times New Roman"/>
                <w:sz w:val="20"/>
                <w:szCs w:val="20"/>
              </w:rPr>
              <w:t xml:space="preserve"> 5 ppm) outperformed the control.</w:t>
            </w:r>
          </w:p>
        </w:tc>
      </w:tr>
      <w:tr w:rsidR="00F7089C" w:rsidRPr="00C82B09" w14:paraId="005E4B15" w14:textId="77777777" w:rsidTr="005415EB">
        <w:tc>
          <w:tcPr>
            <w:tcW w:w="3005" w:type="dxa"/>
            <w:tcBorders>
              <w:top w:val="single" w:sz="4" w:space="0" w:color="auto"/>
            </w:tcBorders>
          </w:tcPr>
          <w:p w14:paraId="58038011" w14:textId="77777777" w:rsidR="00F7089C" w:rsidRPr="00C82B09" w:rsidRDefault="00F7089C" w:rsidP="00117041">
            <w:pPr>
              <w:spacing w:line="240" w:lineRule="auto"/>
              <w:ind w:firstLine="720"/>
              <w:jc w:val="center"/>
              <w:rPr>
                <w:rFonts w:ascii="Times New Roman" w:hAnsi="Times New Roman" w:cs="Times New Roman"/>
                <w:b/>
                <w:bCs/>
                <w:i/>
                <w:iCs/>
                <w:sz w:val="20"/>
                <w:szCs w:val="20"/>
              </w:rPr>
            </w:pPr>
            <w:r w:rsidRPr="00C82B09">
              <w:rPr>
                <w:rFonts w:ascii="Times New Roman" w:hAnsi="Times New Roman" w:cs="Times New Roman"/>
                <w:b/>
                <w:bCs/>
                <w:i/>
                <w:iCs/>
                <w:sz w:val="20"/>
                <w:szCs w:val="20"/>
              </w:rPr>
              <w:t xml:space="preserve">C. </w:t>
            </w:r>
            <w:proofErr w:type="spellStart"/>
            <w:r w:rsidRPr="00C82B09">
              <w:rPr>
                <w:rFonts w:ascii="Times New Roman" w:hAnsi="Times New Roman" w:cs="Times New Roman"/>
                <w:b/>
                <w:bCs/>
                <w:i/>
                <w:iCs/>
                <w:sz w:val="20"/>
                <w:szCs w:val="20"/>
              </w:rPr>
              <w:t>maechica</w:t>
            </w:r>
            <w:proofErr w:type="spellEnd"/>
            <w:r w:rsidRPr="00C82B09">
              <w:rPr>
                <w:rFonts w:ascii="Times New Roman" w:hAnsi="Times New Roman" w:cs="Times New Roman"/>
                <w:b/>
                <w:bCs/>
                <w:i/>
                <w:iCs/>
                <w:sz w:val="20"/>
                <w:szCs w:val="20"/>
              </w:rPr>
              <w:t xml:space="preserve"> 19</w:t>
            </w:r>
          </w:p>
        </w:tc>
        <w:tc>
          <w:tcPr>
            <w:tcW w:w="3005" w:type="dxa"/>
            <w:tcBorders>
              <w:top w:val="single" w:sz="4" w:space="0" w:color="auto"/>
            </w:tcBorders>
          </w:tcPr>
          <w:p w14:paraId="1954E09F" w14:textId="77777777" w:rsidR="00F7089C" w:rsidRPr="00C82B09" w:rsidRDefault="00F7089C" w:rsidP="00117041">
            <w:pPr>
              <w:spacing w:line="240" w:lineRule="auto"/>
              <w:ind w:firstLine="720"/>
              <w:jc w:val="center"/>
              <w:rPr>
                <w:rFonts w:ascii="Times New Roman" w:hAnsi="Times New Roman" w:cs="Times New Roman"/>
                <w:sz w:val="20"/>
                <w:szCs w:val="20"/>
              </w:rPr>
            </w:pPr>
            <w:r w:rsidRPr="00C82B09">
              <w:rPr>
                <w:rFonts w:ascii="Times New Roman" w:hAnsi="Times New Roman" w:cs="Times New Roman"/>
                <w:sz w:val="20"/>
                <w:szCs w:val="20"/>
              </w:rPr>
              <w:t>Sensitivity &amp; Decline</w:t>
            </w:r>
          </w:p>
        </w:tc>
        <w:tc>
          <w:tcPr>
            <w:tcW w:w="3006" w:type="dxa"/>
            <w:tcBorders>
              <w:top w:val="single" w:sz="4" w:space="0" w:color="auto"/>
            </w:tcBorders>
          </w:tcPr>
          <w:p w14:paraId="683A026F" w14:textId="77777777" w:rsidR="00F7089C" w:rsidRPr="00C82B09" w:rsidRDefault="00F7089C" w:rsidP="00117041">
            <w:pPr>
              <w:spacing w:line="240" w:lineRule="auto"/>
              <w:ind w:firstLine="720"/>
              <w:jc w:val="both"/>
              <w:rPr>
                <w:rFonts w:ascii="Times New Roman" w:hAnsi="Times New Roman" w:cs="Times New Roman"/>
                <w:sz w:val="20"/>
                <w:szCs w:val="20"/>
              </w:rPr>
            </w:pPr>
            <w:r w:rsidRPr="00C82B09">
              <w:rPr>
                <w:rFonts w:ascii="Times New Roman" w:hAnsi="Times New Roman" w:cs="Times New Roman"/>
                <w:sz w:val="20"/>
                <w:szCs w:val="20"/>
              </w:rPr>
              <w:t>Most susceptible. The majority of treatments failed to recover from acute metal shock, as evidenced by reduced carotenoid levels at the end compared to the control.</w:t>
            </w:r>
          </w:p>
          <w:p w14:paraId="147C51E4" w14:textId="77777777" w:rsidR="00F7089C" w:rsidRPr="00C82B09" w:rsidRDefault="00F7089C" w:rsidP="00117041">
            <w:pPr>
              <w:spacing w:line="240" w:lineRule="auto"/>
              <w:ind w:firstLine="720"/>
              <w:jc w:val="both"/>
              <w:rPr>
                <w:rFonts w:ascii="Times New Roman" w:hAnsi="Times New Roman" w:cs="Times New Roman"/>
                <w:sz w:val="20"/>
                <w:szCs w:val="20"/>
              </w:rPr>
            </w:pPr>
          </w:p>
        </w:tc>
      </w:tr>
    </w:tbl>
    <w:p w14:paraId="3C732165" w14:textId="77777777" w:rsidR="00F7089C" w:rsidRPr="00C82B09" w:rsidRDefault="00F7089C" w:rsidP="00117041">
      <w:pPr>
        <w:spacing w:line="240" w:lineRule="auto"/>
        <w:ind w:firstLine="720"/>
        <w:jc w:val="center"/>
        <w:rPr>
          <w:rFonts w:ascii="Times New Roman" w:hAnsi="Times New Roman" w:cs="Times New Roman"/>
          <w:b/>
          <w:bCs/>
          <w:sz w:val="24"/>
          <w:szCs w:val="24"/>
        </w:rPr>
      </w:pPr>
    </w:p>
    <w:p w14:paraId="27D50573" w14:textId="77777777" w:rsidR="00F7089C" w:rsidRPr="00C82B09" w:rsidRDefault="00F7089C" w:rsidP="00117041">
      <w:pPr>
        <w:spacing w:line="240" w:lineRule="auto"/>
        <w:ind w:firstLine="720"/>
        <w:jc w:val="both"/>
        <w:rPr>
          <w:rFonts w:ascii="Times New Roman" w:hAnsi="Times New Roman" w:cs="Times New Roman"/>
          <w:sz w:val="24"/>
          <w:szCs w:val="24"/>
        </w:rPr>
      </w:pPr>
      <w:r w:rsidRPr="00C82B09">
        <w:rPr>
          <w:rFonts w:ascii="Times New Roman" w:hAnsi="Times New Roman" w:cs="Times New Roman"/>
          <w:b/>
          <w:bCs/>
          <w:sz w:val="24"/>
          <w:szCs w:val="24"/>
        </w:rPr>
        <w:t>Conclusion</w:t>
      </w:r>
    </w:p>
    <w:p w14:paraId="59D7F1CE" w14:textId="0A57D7A6" w:rsidR="00C82B09" w:rsidRPr="00C82B09" w:rsidRDefault="00C82B09" w:rsidP="00117041">
      <w:pPr>
        <w:spacing w:line="240" w:lineRule="auto"/>
        <w:ind w:firstLine="720"/>
        <w:jc w:val="both"/>
        <w:rPr>
          <w:rFonts w:ascii="Times New Roman" w:hAnsi="Times New Roman"/>
          <w:sz w:val="24"/>
        </w:rPr>
      </w:pPr>
      <w:r w:rsidRPr="00C82B09">
        <w:t xml:space="preserve">The study demonstrates that carotenoid responses to Pb and </w:t>
      </w:r>
      <w:proofErr w:type="gramStart"/>
      <w:r w:rsidRPr="00C82B09">
        <w:t>As</w:t>
      </w:r>
      <w:proofErr w:type="gramEnd"/>
      <w:r w:rsidRPr="00C82B09">
        <w:t xml:space="preserve"> differed among the three </w:t>
      </w:r>
      <w:r w:rsidRPr="00C82B09">
        <w:rPr>
          <w:rStyle w:val="Emphasis"/>
        </w:rPr>
        <w:t>Calothrix</w:t>
      </w:r>
      <w:r w:rsidRPr="00C82B09">
        <w:t xml:space="preserve"> cultures and changed over the six-day exposure period. </w:t>
      </w:r>
      <w:r w:rsidRPr="00C82B09">
        <w:rPr>
          <w:rStyle w:val="Emphasis"/>
        </w:rPr>
        <w:t>Calothrix</w:t>
      </w:r>
      <w:r w:rsidRPr="00C82B09">
        <w:t xml:space="preserve"> sp. showed an initial reduction followed by partial pigment recovery, particularly under 2 ppm Pb. </w:t>
      </w:r>
      <w:r w:rsidRPr="00C82B09">
        <w:rPr>
          <w:rStyle w:val="Emphasis"/>
        </w:rPr>
        <w:t xml:space="preserve">C. </w:t>
      </w:r>
      <w:proofErr w:type="spellStart"/>
      <w:r w:rsidRPr="00C82B09">
        <w:rPr>
          <w:rStyle w:val="Emphasis"/>
        </w:rPr>
        <w:t>brevissima</w:t>
      </w:r>
      <w:proofErr w:type="spellEnd"/>
      <w:r w:rsidRPr="00C82B09">
        <w:t xml:space="preserve"> CCCNO:65 exhibited comparatively strong increases in carotenoid content under </w:t>
      </w:r>
      <w:proofErr w:type="gramStart"/>
      <w:r w:rsidRPr="00C82B09">
        <w:t>As</w:t>
      </w:r>
      <w:proofErr w:type="gramEnd"/>
      <w:r w:rsidRPr="00C82B09">
        <w:t xml:space="preserve"> exposure and a recovery under 5 ppm Pb by Day 6. In contrast, </w:t>
      </w:r>
      <w:r w:rsidRPr="00C82B09">
        <w:rPr>
          <w:rStyle w:val="Emphasis"/>
        </w:rPr>
        <w:t xml:space="preserve">C. </w:t>
      </w:r>
      <w:proofErr w:type="spellStart"/>
      <w:r w:rsidRPr="00C82B09">
        <w:rPr>
          <w:rStyle w:val="Emphasis"/>
        </w:rPr>
        <w:t>maechica</w:t>
      </w:r>
      <w:proofErr w:type="spellEnd"/>
      <w:r w:rsidRPr="00C82B09">
        <w:t xml:space="preserve"> 19 showed divergent responses, with an increase under 5 ppm Pb but a decline under 5 ppm </w:t>
      </w:r>
      <w:proofErr w:type="gramStart"/>
      <w:r w:rsidRPr="00C82B09">
        <w:t>As</w:t>
      </w:r>
      <w:proofErr w:type="gramEnd"/>
      <w:r w:rsidRPr="00C82B09">
        <w:t xml:space="preserve"> by the final sampling point. These patterns indicate that carotenoid content is responsive to metal identity, concentration, exposure duration, and culture. The findings support the use of carotenoid measurements as a physiological stress indicator for comparative environmental monitoring studies. However, carotenoid changes alone do not demonstrate metal removal, whole-cell tolerance, or field-level bioindicator performance. Further work should therefore combine pigment measurements with direct assessment of metal uptake or removal, growth, photosynthetic performance, oxidative stress, and molecular responses before specific bioremediation or monitoring applications are established.</w:t>
      </w:r>
    </w:p>
    <w:p w14:paraId="421C3187" w14:textId="59EBFB39" w:rsidR="00C82B09" w:rsidRPr="00C82B09" w:rsidRDefault="00C82B09" w:rsidP="00C82B09">
      <w:pPr>
        <w:spacing w:before="100" w:beforeAutospacing="1" w:after="100" w:afterAutospacing="1" w:line="240" w:lineRule="auto"/>
        <w:outlineLvl w:val="1"/>
        <w:rPr>
          <w:rFonts w:ascii="Times New Roman" w:eastAsia="Times New Roman" w:hAnsi="Times New Roman" w:cs="Times New Roman"/>
          <w:b/>
          <w:bCs/>
          <w:sz w:val="36"/>
          <w:szCs w:val="36"/>
        </w:rPr>
      </w:pPr>
      <w:r w:rsidRPr="00C82B09">
        <w:rPr>
          <w:rFonts w:ascii="Times New Roman" w:eastAsia="Times New Roman" w:hAnsi="Times New Roman" w:cs="Times New Roman"/>
          <w:b/>
          <w:bCs/>
          <w:sz w:val="36"/>
          <w:szCs w:val="36"/>
        </w:rPr>
        <w:t>Limitation</w:t>
      </w:r>
    </w:p>
    <w:p w14:paraId="4EA4D12C" w14:textId="77777777" w:rsidR="00C82B09" w:rsidRPr="00C82B09" w:rsidRDefault="00C82B09" w:rsidP="00C82B09">
      <w:pPr>
        <w:spacing w:before="100" w:beforeAutospacing="1" w:after="100" w:afterAutospacing="1" w:line="240" w:lineRule="auto"/>
        <w:rPr>
          <w:rFonts w:ascii="Times New Roman" w:eastAsia="Times New Roman" w:hAnsi="Times New Roman" w:cs="Times New Roman"/>
          <w:sz w:val="24"/>
          <w:szCs w:val="24"/>
        </w:rPr>
      </w:pPr>
      <w:r w:rsidRPr="00C82B09">
        <w:rPr>
          <w:rFonts w:ascii="Times New Roman" w:eastAsia="Times New Roman" w:hAnsi="Times New Roman" w:cs="Times New Roman"/>
          <w:sz w:val="24"/>
          <w:szCs w:val="24"/>
        </w:rPr>
        <w:t xml:space="preserve">This study evaluated carotenoid responses in three </w:t>
      </w:r>
      <w:r w:rsidRPr="00C82B09">
        <w:rPr>
          <w:rFonts w:ascii="Times New Roman" w:eastAsia="Times New Roman" w:hAnsi="Times New Roman" w:cs="Times New Roman"/>
          <w:i/>
          <w:iCs/>
          <w:sz w:val="24"/>
          <w:szCs w:val="24"/>
        </w:rPr>
        <w:t>Calothrix</w:t>
      </w:r>
      <w:r w:rsidRPr="00C82B09">
        <w:rPr>
          <w:rFonts w:ascii="Times New Roman" w:eastAsia="Times New Roman" w:hAnsi="Times New Roman" w:cs="Times New Roman"/>
          <w:sz w:val="24"/>
          <w:szCs w:val="24"/>
        </w:rPr>
        <w:t xml:space="preserve"> cultures at two concentrations of Pb and </w:t>
      </w:r>
      <w:proofErr w:type="gramStart"/>
      <w:r w:rsidRPr="00C82B09">
        <w:rPr>
          <w:rFonts w:ascii="Times New Roman" w:eastAsia="Times New Roman" w:hAnsi="Times New Roman" w:cs="Times New Roman"/>
          <w:sz w:val="24"/>
          <w:szCs w:val="24"/>
        </w:rPr>
        <w:t>As</w:t>
      </w:r>
      <w:proofErr w:type="gramEnd"/>
      <w:r w:rsidRPr="00C82B09">
        <w:rPr>
          <w:rFonts w:ascii="Times New Roman" w:eastAsia="Times New Roman" w:hAnsi="Times New Roman" w:cs="Times New Roman"/>
          <w:sz w:val="24"/>
          <w:szCs w:val="24"/>
        </w:rPr>
        <w:t xml:space="preserve"> over six days. The interpretation is limited to carotenoid content because direct measurements of metal uptake or removal, growth, photosynthetic efficiency, oxidative damage, and molecular responses were not included. The experiments were conducted under controlled laboratory conditions, so the observed pigment patterns should not be assumed to represent field performance. Additional physiological and analytical endpoints are required to confirm metal tolerance, bioremediation capacity, or bioindicator suitability.</w:t>
      </w:r>
    </w:p>
    <w:p w14:paraId="40A90ECD" w14:textId="77777777" w:rsidR="00C82B09" w:rsidRPr="00C82B09" w:rsidRDefault="00C82B09" w:rsidP="00117041">
      <w:pPr>
        <w:spacing w:line="240" w:lineRule="auto"/>
        <w:ind w:firstLine="720"/>
        <w:jc w:val="both"/>
        <w:rPr>
          <w:rFonts w:ascii="Times New Roman" w:hAnsi="Times New Roman" w:cs="Times New Roman"/>
          <w:sz w:val="24"/>
          <w:szCs w:val="24"/>
        </w:rPr>
      </w:pPr>
    </w:p>
    <w:p w14:paraId="2CA18C71" w14:textId="77777777" w:rsidR="00F5652D" w:rsidRPr="00C82B09" w:rsidRDefault="00F5652D" w:rsidP="00117041">
      <w:pPr>
        <w:spacing w:line="240" w:lineRule="auto"/>
        <w:ind w:firstLine="720"/>
        <w:jc w:val="both"/>
        <w:rPr>
          <w:rFonts w:ascii="Times New Roman" w:hAnsi="Times New Roman" w:cs="Times New Roman"/>
          <w:sz w:val="24"/>
          <w:szCs w:val="24"/>
        </w:rPr>
      </w:pPr>
      <w:r w:rsidRPr="00C82B09">
        <w:rPr>
          <w:rFonts w:ascii="Times New Roman" w:hAnsi="Times New Roman" w:cs="Times New Roman"/>
          <w:b/>
          <w:bCs/>
          <w:sz w:val="24"/>
          <w:szCs w:val="24"/>
        </w:rPr>
        <w:t>Conflict of Interest</w:t>
      </w:r>
      <w:r w:rsidRPr="00C82B09">
        <w:rPr>
          <w:rFonts w:ascii="Times New Roman" w:hAnsi="Times New Roman" w:cs="Times New Roman"/>
          <w:sz w:val="24"/>
          <w:szCs w:val="24"/>
        </w:rPr>
        <w:t>: The authors declare that they have no conflict of interest.</w:t>
      </w:r>
    </w:p>
    <w:p w14:paraId="4C959681" w14:textId="663C74D2" w:rsidR="00F5652D" w:rsidRPr="00C82B09" w:rsidRDefault="00F5652D" w:rsidP="00117041">
      <w:pPr>
        <w:spacing w:line="240" w:lineRule="auto"/>
        <w:ind w:firstLine="720"/>
        <w:jc w:val="both"/>
        <w:rPr>
          <w:rFonts w:ascii="Times New Roman" w:hAnsi="Times New Roman" w:cs="Times New Roman"/>
          <w:sz w:val="24"/>
          <w:szCs w:val="24"/>
        </w:rPr>
      </w:pPr>
      <w:r w:rsidRPr="0083188C">
        <w:rPr>
          <w:rFonts w:ascii="Times New Roman" w:hAnsi="Times New Roman" w:cs="Times New Roman"/>
          <w:b/>
          <w:bCs/>
          <w:sz w:val="24"/>
          <w:szCs w:val="24"/>
          <w:highlight w:val="yellow"/>
        </w:rPr>
        <w:t>Ethics approval:</w:t>
      </w:r>
      <w:r w:rsidRPr="0083188C">
        <w:rPr>
          <w:rFonts w:ascii="Times New Roman" w:hAnsi="Times New Roman" w:cs="Times New Roman"/>
          <w:sz w:val="24"/>
          <w:szCs w:val="24"/>
          <w:highlight w:val="yellow"/>
        </w:rPr>
        <w:t xml:space="preserve"> The National Agriculturally Important Microbial Culture Collection, NAIMCC, ICAR-NBAIM, Mau, India, provided the cyanobacterial strains </w:t>
      </w:r>
      <w:r w:rsidRPr="0083188C">
        <w:rPr>
          <w:rFonts w:ascii="Times New Roman" w:hAnsi="Times New Roman" w:cs="Times New Roman"/>
          <w:i/>
          <w:iCs/>
          <w:sz w:val="24"/>
          <w:szCs w:val="24"/>
          <w:highlight w:val="yellow"/>
        </w:rPr>
        <w:t xml:space="preserve">Calothrix </w:t>
      </w:r>
      <w:proofErr w:type="spellStart"/>
      <w:r w:rsidRPr="0083188C">
        <w:rPr>
          <w:rFonts w:ascii="Times New Roman" w:hAnsi="Times New Roman" w:cs="Times New Roman"/>
          <w:i/>
          <w:iCs/>
          <w:sz w:val="24"/>
          <w:szCs w:val="24"/>
          <w:highlight w:val="yellow"/>
        </w:rPr>
        <w:t>maechica</w:t>
      </w:r>
      <w:proofErr w:type="spellEnd"/>
      <w:r w:rsidRPr="0083188C">
        <w:rPr>
          <w:rFonts w:ascii="Times New Roman" w:hAnsi="Times New Roman" w:cs="Times New Roman"/>
          <w:i/>
          <w:iCs/>
          <w:sz w:val="24"/>
          <w:szCs w:val="24"/>
          <w:highlight w:val="yellow"/>
        </w:rPr>
        <w:t xml:space="preserve"> </w:t>
      </w:r>
      <w:r w:rsidRPr="0083188C">
        <w:rPr>
          <w:rFonts w:ascii="Times New Roman" w:hAnsi="Times New Roman" w:cs="Times New Roman"/>
          <w:i/>
          <w:iCs/>
          <w:sz w:val="24"/>
          <w:szCs w:val="24"/>
          <w:highlight w:val="yellow"/>
        </w:rPr>
        <w:lastRenderedPageBreak/>
        <w:t>19</w:t>
      </w:r>
      <w:r w:rsidRPr="0083188C">
        <w:rPr>
          <w:rFonts w:ascii="Times New Roman" w:hAnsi="Times New Roman" w:cs="Times New Roman"/>
          <w:sz w:val="24"/>
          <w:szCs w:val="24"/>
          <w:highlight w:val="yellow"/>
        </w:rPr>
        <w:t xml:space="preserve"> (Accession No. NAIMCC-C-00006) and </w:t>
      </w:r>
      <w:r w:rsidRPr="0083188C">
        <w:rPr>
          <w:rFonts w:ascii="Times New Roman" w:hAnsi="Times New Roman" w:cs="Times New Roman"/>
          <w:i/>
          <w:iCs/>
          <w:sz w:val="24"/>
          <w:szCs w:val="24"/>
          <w:highlight w:val="yellow"/>
        </w:rPr>
        <w:t xml:space="preserve">Calothrix </w:t>
      </w:r>
      <w:proofErr w:type="spellStart"/>
      <w:r w:rsidRPr="0083188C">
        <w:rPr>
          <w:rFonts w:ascii="Times New Roman" w:hAnsi="Times New Roman" w:cs="Times New Roman"/>
          <w:i/>
          <w:iCs/>
          <w:sz w:val="24"/>
          <w:szCs w:val="24"/>
          <w:highlight w:val="yellow"/>
        </w:rPr>
        <w:t>brevissima</w:t>
      </w:r>
      <w:proofErr w:type="spellEnd"/>
      <w:r w:rsidRPr="0083188C">
        <w:rPr>
          <w:rFonts w:ascii="Times New Roman" w:hAnsi="Times New Roman" w:cs="Times New Roman"/>
          <w:sz w:val="24"/>
          <w:szCs w:val="24"/>
          <w:highlight w:val="yellow"/>
        </w:rPr>
        <w:t xml:space="preserve"> (CCCNO: 65, Accession No. NAIMCC-C-00048) used in this investigation. </w:t>
      </w:r>
      <w:r w:rsidRPr="0083188C">
        <w:rPr>
          <w:rFonts w:ascii="Times New Roman" w:hAnsi="Times New Roman" w:cs="Times New Roman"/>
          <w:i/>
          <w:iCs/>
          <w:sz w:val="24"/>
          <w:szCs w:val="24"/>
          <w:highlight w:val="yellow"/>
        </w:rPr>
        <w:t>Calothrix sp.,</w:t>
      </w:r>
      <w:r w:rsidRPr="0083188C">
        <w:rPr>
          <w:rFonts w:ascii="Times New Roman" w:hAnsi="Times New Roman" w:cs="Times New Roman"/>
          <w:sz w:val="24"/>
          <w:szCs w:val="24"/>
          <w:highlight w:val="yellow"/>
        </w:rPr>
        <w:t xml:space="preserve"> a strain of cyanobacteria. acquired from the University of Allahabad. The Phycology Laboratory, Department of Botany, C M P Degree College, University of Allahabad, was where the strains were kept and the tests were carried out. Since no plant material was gathered from protected or wild regions, no licenses or permissions were needed. The study adhered to the institutional norms for microalgae laboratory growth.</w:t>
      </w:r>
    </w:p>
    <w:p w14:paraId="375BECE2" w14:textId="77777777" w:rsidR="00F5652D" w:rsidRPr="00C82B09" w:rsidRDefault="00F5652D" w:rsidP="00117041">
      <w:pPr>
        <w:spacing w:line="240" w:lineRule="auto"/>
        <w:ind w:firstLine="720"/>
        <w:jc w:val="both"/>
        <w:rPr>
          <w:rFonts w:ascii="Times New Roman" w:hAnsi="Times New Roman" w:cs="Times New Roman"/>
          <w:sz w:val="24"/>
          <w:szCs w:val="24"/>
        </w:rPr>
      </w:pPr>
      <w:r w:rsidRPr="00C82B09">
        <w:rPr>
          <w:rFonts w:ascii="Times New Roman" w:hAnsi="Times New Roman" w:cs="Times New Roman"/>
          <w:b/>
          <w:bCs/>
          <w:sz w:val="24"/>
          <w:szCs w:val="24"/>
        </w:rPr>
        <w:t>Data Availability Statement</w:t>
      </w:r>
      <w:r w:rsidRPr="00C82B09">
        <w:rPr>
          <w:rFonts w:ascii="Times New Roman" w:hAnsi="Times New Roman" w:cs="Times New Roman"/>
          <w:sz w:val="24"/>
          <w:szCs w:val="24"/>
        </w:rPr>
        <w:t>: The datasets generated during the current study are available from the corresponding author on reasonable request.</w:t>
      </w:r>
    </w:p>
    <w:p w14:paraId="51B621FE" w14:textId="77777777" w:rsidR="009F723B" w:rsidRPr="00C82B09" w:rsidRDefault="009F723B" w:rsidP="00117041">
      <w:pPr>
        <w:pStyle w:val="Default"/>
        <w:ind w:firstLine="720"/>
      </w:pPr>
    </w:p>
    <w:p w14:paraId="5342DE0C" w14:textId="77777777" w:rsidR="009F723B" w:rsidRPr="00C82B09" w:rsidRDefault="009F723B" w:rsidP="009F723B">
      <w:pPr>
        <w:spacing w:after="0" w:line="240" w:lineRule="auto"/>
        <w:rPr>
          <w:rFonts w:ascii="Times New Roman" w:hAnsi="Times New Roman" w:cs="Times New Roman"/>
          <w:b/>
        </w:rPr>
      </w:pPr>
      <w:r w:rsidRPr="00C82B09">
        <w:rPr>
          <w:rFonts w:ascii="Times New Roman" w:hAnsi="Times New Roman" w:cs="Times New Roman"/>
          <w:b/>
        </w:rPr>
        <w:t>Declaration of AI Use</w:t>
      </w:r>
    </w:p>
    <w:p w14:paraId="474D44DB" w14:textId="77777777" w:rsidR="009F723B" w:rsidRPr="00C82B09" w:rsidRDefault="009F723B" w:rsidP="009F723B">
      <w:pPr>
        <w:spacing w:after="0" w:line="240" w:lineRule="auto"/>
        <w:rPr>
          <w:rFonts w:ascii="Times New Roman" w:hAnsi="Times New Roman" w:cs="Times New Roman"/>
          <w:b/>
        </w:rPr>
      </w:pPr>
    </w:p>
    <w:p w14:paraId="7A575EDF" w14:textId="77777777" w:rsidR="009F723B" w:rsidRPr="00C82B09" w:rsidRDefault="009F723B" w:rsidP="009F723B">
      <w:pPr>
        <w:spacing w:after="0" w:line="240" w:lineRule="auto"/>
        <w:rPr>
          <w:rFonts w:ascii="Times New Roman" w:hAnsi="Times New Roman" w:cs="Times New Roman"/>
          <w:b/>
        </w:rPr>
      </w:pPr>
    </w:p>
    <w:p w14:paraId="04DF7EA3" w14:textId="77777777" w:rsidR="009F723B" w:rsidRPr="00C82B09" w:rsidRDefault="009F723B" w:rsidP="009F723B">
      <w:pPr>
        <w:spacing w:after="0" w:line="240" w:lineRule="auto"/>
        <w:rPr>
          <w:rFonts w:ascii="Times New Roman" w:hAnsi="Times New Roman" w:cs="Times New Roman"/>
          <w:b/>
        </w:rPr>
      </w:pPr>
    </w:p>
    <w:p w14:paraId="0D09DCCE" w14:textId="77777777" w:rsidR="009F723B" w:rsidRPr="00C82B09" w:rsidRDefault="009F723B" w:rsidP="009F723B">
      <w:pPr>
        <w:spacing w:after="0" w:line="240" w:lineRule="auto"/>
        <w:rPr>
          <w:rFonts w:ascii="Arial" w:hAnsi="Arial" w:cs="Arial"/>
          <w:sz w:val="20"/>
          <w:szCs w:val="20"/>
        </w:rPr>
      </w:pPr>
      <w:r w:rsidRPr="00C82B09">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E68770B" w14:textId="77777777" w:rsidR="009F723B" w:rsidRPr="00C82B09" w:rsidRDefault="009F723B" w:rsidP="00117041">
      <w:pPr>
        <w:pStyle w:val="Default"/>
        <w:ind w:firstLine="720"/>
      </w:pPr>
    </w:p>
    <w:p w14:paraId="18ABC148" w14:textId="77777777" w:rsidR="00F7089C" w:rsidRPr="00562719" w:rsidRDefault="00F7089C" w:rsidP="00117041">
      <w:pPr>
        <w:spacing w:line="240" w:lineRule="auto"/>
        <w:ind w:firstLine="720"/>
        <w:jc w:val="both"/>
        <w:rPr>
          <w:b/>
          <w:bCs/>
          <w:color w:val="000000"/>
          <w:sz w:val="23"/>
          <w:szCs w:val="23"/>
          <w:lang w:val="nl-BE"/>
        </w:rPr>
      </w:pPr>
      <w:r w:rsidRPr="00562719">
        <w:rPr>
          <w:rFonts w:ascii="Times New Roman" w:hAnsi="Times New Roman" w:cs="Times New Roman"/>
          <w:b/>
          <w:sz w:val="24"/>
          <w:szCs w:val="24"/>
          <w:lang w:val="nl-BE"/>
        </w:rPr>
        <w:t>References</w:t>
      </w:r>
    </w:p>
    <w:p w14:paraId="64BA1E10"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lang w:val="nl-BE"/>
        </w:rPr>
        <w:t xml:space="preserve">Andosch, A., Affenzeller, M. J., Lütz, C., &amp; Lütz-Meindl, U. (2012). </w:t>
      </w:r>
      <w:r w:rsidRPr="00562719">
        <w:rPr>
          <w:rFonts w:ascii="Times New Roman" w:eastAsia="Times New Roman" w:hAnsi="Times New Roman" w:cs="Times New Roman"/>
          <w:sz w:val="24"/>
          <w:szCs w:val="24"/>
        </w:rPr>
        <w:t xml:space="preserve">A freshwater green alga under cadmium stress: Ameliorating calcium effects on ultrastructure and photosynthesis in the unicellular model </w:t>
      </w:r>
      <w:proofErr w:type="spellStart"/>
      <w:r w:rsidRPr="00562719">
        <w:rPr>
          <w:rFonts w:ascii="Times New Roman" w:eastAsia="Times New Roman" w:hAnsi="Times New Roman" w:cs="Times New Roman"/>
          <w:i/>
          <w:iCs/>
          <w:sz w:val="24"/>
          <w:szCs w:val="24"/>
        </w:rPr>
        <w:t>Micrasterias</w:t>
      </w:r>
      <w:proofErr w:type="spellEnd"/>
      <w:r w:rsidRPr="00562719">
        <w:rPr>
          <w:rFonts w:ascii="Times New Roman" w:eastAsia="Times New Roman" w:hAnsi="Times New Roman" w:cs="Times New Roman"/>
          <w:sz w:val="24"/>
          <w:szCs w:val="24"/>
        </w:rPr>
        <w:t xml:space="preserve">. </w:t>
      </w:r>
      <w:r w:rsidRPr="00562719">
        <w:rPr>
          <w:rFonts w:ascii="Times New Roman" w:eastAsia="Times New Roman" w:hAnsi="Times New Roman" w:cs="Times New Roman"/>
          <w:i/>
          <w:iCs/>
          <w:sz w:val="24"/>
          <w:szCs w:val="24"/>
        </w:rPr>
        <w:t>Journal of Plant Physiology, 169</w:t>
      </w:r>
      <w:r w:rsidRPr="00562719">
        <w:rPr>
          <w:rFonts w:ascii="Times New Roman" w:eastAsia="Times New Roman" w:hAnsi="Times New Roman" w:cs="Times New Roman"/>
          <w:sz w:val="24"/>
          <w:szCs w:val="24"/>
        </w:rPr>
        <w:t xml:space="preserve">(15), 1489–1500. </w:t>
      </w:r>
      <w:hyperlink r:id="rId13" w:tgtFrame="_new" w:history="1">
        <w:r w:rsidRPr="00562719">
          <w:rPr>
            <w:rFonts w:ascii="Times New Roman" w:eastAsia="Times New Roman" w:hAnsi="Times New Roman" w:cs="Times New Roman"/>
            <w:color w:val="0000FF"/>
            <w:sz w:val="24"/>
            <w:szCs w:val="24"/>
            <w:u w:val="single"/>
          </w:rPr>
          <w:t>https://doi.org/10.1016/j.jplph.2012.06.002</w:t>
        </w:r>
      </w:hyperlink>
    </w:p>
    <w:p w14:paraId="53202EDE"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Atici, T., </w:t>
      </w:r>
      <w:proofErr w:type="spellStart"/>
      <w:r w:rsidRPr="00562719">
        <w:rPr>
          <w:rFonts w:ascii="Times New Roman" w:eastAsia="Times New Roman" w:hAnsi="Times New Roman" w:cs="Times New Roman"/>
          <w:sz w:val="24"/>
          <w:szCs w:val="24"/>
        </w:rPr>
        <w:t>Ahiska</w:t>
      </w:r>
      <w:proofErr w:type="spellEnd"/>
      <w:r w:rsidRPr="00562719">
        <w:rPr>
          <w:rFonts w:ascii="Times New Roman" w:eastAsia="Times New Roman" w:hAnsi="Times New Roman" w:cs="Times New Roman"/>
          <w:sz w:val="24"/>
          <w:szCs w:val="24"/>
        </w:rPr>
        <w:t xml:space="preserve">, S., </w:t>
      </w:r>
      <w:proofErr w:type="spellStart"/>
      <w:r w:rsidRPr="00562719">
        <w:rPr>
          <w:rFonts w:ascii="Times New Roman" w:eastAsia="Times New Roman" w:hAnsi="Times New Roman" w:cs="Times New Roman"/>
          <w:sz w:val="24"/>
          <w:szCs w:val="24"/>
        </w:rPr>
        <w:t>Altındağ</w:t>
      </w:r>
      <w:proofErr w:type="spellEnd"/>
      <w:r w:rsidRPr="00562719">
        <w:rPr>
          <w:rFonts w:ascii="Times New Roman" w:eastAsia="Times New Roman" w:hAnsi="Times New Roman" w:cs="Times New Roman"/>
          <w:sz w:val="24"/>
          <w:szCs w:val="24"/>
        </w:rPr>
        <w:t xml:space="preserve">, A., &amp; Aydin, D. (2008). Ecological effects of some heavy metals (Cd, Pb, Hg, Cr) pollution of phytoplanktonic algae and zooplanktonic organisms in </w:t>
      </w:r>
      <w:proofErr w:type="spellStart"/>
      <w:r w:rsidRPr="00562719">
        <w:rPr>
          <w:rFonts w:ascii="Times New Roman" w:eastAsia="Times New Roman" w:hAnsi="Times New Roman" w:cs="Times New Roman"/>
          <w:sz w:val="24"/>
          <w:szCs w:val="24"/>
        </w:rPr>
        <w:t>Sarıyar</w:t>
      </w:r>
      <w:proofErr w:type="spellEnd"/>
      <w:r w:rsidRPr="00562719">
        <w:rPr>
          <w:rFonts w:ascii="Times New Roman" w:eastAsia="Times New Roman" w:hAnsi="Times New Roman" w:cs="Times New Roman"/>
          <w:sz w:val="24"/>
          <w:szCs w:val="24"/>
        </w:rPr>
        <w:t xml:space="preserve"> Dam Reservoir in Turkey. </w:t>
      </w:r>
      <w:r w:rsidRPr="00562719">
        <w:rPr>
          <w:rFonts w:ascii="Times New Roman" w:eastAsia="Times New Roman" w:hAnsi="Times New Roman" w:cs="Times New Roman"/>
          <w:i/>
          <w:iCs/>
          <w:sz w:val="24"/>
          <w:szCs w:val="24"/>
        </w:rPr>
        <w:t>African Journal of Biotechnology, 7</w:t>
      </w:r>
      <w:r w:rsidRPr="00562719">
        <w:rPr>
          <w:rFonts w:ascii="Times New Roman" w:eastAsia="Times New Roman" w:hAnsi="Times New Roman" w:cs="Times New Roman"/>
          <w:sz w:val="24"/>
          <w:szCs w:val="24"/>
        </w:rPr>
        <w:t xml:space="preserve">(12), 1972–1977. </w:t>
      </w:r>
      <w:hyperlink r:id="rId14" w:tgtFrame="_new" w:history="1">
        <w:r w:rsidRPr="00562719">
          <w:rPr>
            <w:rFonts w:ascii="Times New Roman" w:eastAsia="Times New Roman" w:hAnsi="Times New Roman" w:cs="Times New Roman"/>
            <w:color w:val="0000FF"/>
            <w:sz w:val="24"/>
            <w:szCs w:val="24"/>
            <w:u w:val="single"/>
          </w:rPr>
          <w:t>https://doi.org/10.5897/AJB2008.000-5044</w:t>
        </w:r>
      </w:hyperlink>
    </w:p>
    <w:p w14:paraId="14B2D970"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Bender, J., &amp; Phillips, P. (2004). Microbial mats for multiple applications in aquaculture and bioremediation. </w:t>
      </w:r>
      <w:r w:rsidRPr="00562719">
        <w:rPr>
          <w:rFonts w:ascii="Times New Roman" w:eastAsia="Times New Roman" w:hAnsi="Times New Roman" w:cs="Times New Roman"/>
          <w:i/>
          <w:iCs/>
          <w:sz w:val="24"/>
          <w:szCs w:val="24"/>
        </w:rPr>
        <w:t>Bioresource Technology, 94</w:t>
      </w:r>
      <w:r w:rsidRPr="00562719">
        <w:rPr>
          <w:rFonts w:ascii="Times New Roman" w:eastAsia="Times New Roman" w:hAnsi="Times New Roman" w:cs="Times New Roman"/>
          <w:sz w:val="24"/>
          <w:szCs w:val="24"/>
        </w:rPr>
        <w:t xml:space="preserve">(3), 229–238. </w:t>
      </w:r>
      <w:hyperlink r:id="rId15" w:tgtFrame="_new" w:history="1">
        <w:r w:rsidRPr="00562719">
          <w:rPr>
            <w:rFonts w:ascii="Times New Roman" w:eastAsia="Times New Roman" w:hAnsi="Times New Roman" w:cs="Times New Roman"/>
            <w:color w:val="0000FF"/>
            <w:sz w:val="24"/>
            <w:szCs w:val="24"/>
            <w:u w:val="single"/>
          </w:rPr>
          <w:t>https://doi.org/10.1016/j.biortech.2003.12.016</w:t>
        </w:r>
      </w:hyperlink>
    </w:p>
    <w:p w14:paraId="2C4C488C"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Bhattacharya, P., &amp; Pal, R. (2011). Response of cyanobacteria to arsenic toxicity. </w:t>
      </w:r>
      <w:r w:rsidRPr="00562719">
        <w:rPr>
          <w:rFonts w:ascii="Times New Roman" w:eastAsia="Times New Roman" w:hAnsi="Times New Roman" w:cs="Times New Roman"/>
          <w:i/>
          <w:iCs/>
          <w:sz w:val="24"/>
          <w:szCs w:val="24"/>
        </w:rPr>
        <w:t>Journal of Applied Phycology, 23</w:t>
      </w:r>
      <w:r w:rsidRPr="00562719">
        <w:rPr>
          <w:rFonts w:ascii="Times New Roman" w:eastAsia="Times New Roman" w:hAnsi="Times New Roman" w:cs="Times New Roman"/>
          <w:sz w:val="24"/>
          <w:szCs w:val="24"/>
        </w:rPr>
        <w:t xml:space="preserve">(2), 293–299. </w:t>
      </w:r>
      <w:hyperlink r:id="rId16" w:tgtFrame="_new" w:history="1">
        <w:r w:rsidRPr="00562719">
          <w:rPr>
            <w:rFonts w:ascii="Times New Roman" w:eastAsia="Times New Roman" w:hAnsi="Times New Roman" w:cs="Times New Roman"/>
            <w:color w:val="0000FF"/>
            <w:sz w:val="24"/>
            <w:szCs w:val="24"/>
            <w:u w:val="single"/>
          </w:rPr>
          <w:t>https://doi.org/10.1007/s10811-010-9617-4</w:t>
        </w:r>
      </w:hyperlink>
    </w:p>
    <w:p w14:paraId="0587F8CE"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Canonico, M., Konert, G., Crepin, A., Šedivá, B., &amp; Kaňa, R. (2021). Gradual response of cyanobacterial thylakoids to acute high-light stress—Importance of carotenoid accumulation. </w:t>
      </w:r>
      <w:r w:rsidRPr="00562719">
        <w:rPr>
          <w:rFonts w:ascii="Times New Roman" w:eastAsia="Times New Roman" w:hAnsi="Times New Roman" w:cs="Times New Roman"/>
          <w:i/>
          <w:iCs/>
          <w:sz w:val="24"/>
          <w:szCs w:val="24"/>
        </w:rPr>
        <w:t>Cells, 10</w:t>
      </w:r>
      <w:r w:rsidRPr="00562719">
        <w:rPr>
          <w:rFonts w:ascii="Times New Roman" w:eastAsia="Times New Roman" w:hAnsi="Times New Roman" w:cs="Times New Roman"/>
          <w:sz w:val="24"/>
          <w:szCs w:val="24"/>
        </w:rPr>
        <w:t xml:space="preserve">(8), 1916. </w:t>
      </w:r>
      <w:hyperlink r:id="rId17" w:tgtFrame="_new" w:history="1">
        <w:r w:rsidRPr="00562719">
          <w:rPr>
            <w:rFonts w:ascii="Times New Roman" w:eastAsia="Times New Roman" w:hAnsi="Times New Roman" w:cs="Times New Roman"/>
            <w:color w:val="0000FF"/>
            <w:sz w:val="24"/>
            <w:szCs w:val="24"/>
            <w:u w:val="single"/>
          </w:rPr>
          <w:t>https://doi.org/10.3390/cells10081916</w:t>
        </w:r>
      </w:hyperlink>
    </w:p>
    <w:p w14:paraId="4C60B76C"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Chen, H., &amp; Pan, S.-S. (2005). Bioremediation potential of </w:t>
      </w:r>
      <w:r w:rsidRPr="00562719">
        <w:rPr>
          <w:rFonts w:ascii="Times New Roman" w:eastAsia="Times New Roman" w:hAnsi="Times New Roman" w:cs="Times New Roman"/>
          <w:i/>
          <w:iCs/>
          <w:sz w:val="24"/>
          <w:szCs w:val="24"/>
        </w:rPr>
        <w:t>Spirulina</w:t>
      </w:r>
      <w:r w:rsidRPr="00562719">
        <w:rPr>
          <w:rFonts w:ascii="Times New Roman" w:eastAsia="Times New Roman" w:hAnsi="Times New Roman" w:cs="Times New Roman"/>
          <w:sz w:val="24"/>
          <w:szCs w:val="24"/>
        </w:rPr>
        <w:t xml:space="preserve">: Toxicity and biosorption studies of lead. </w:t>
      </w:r>
      <w:r w:rsidRPr="00562719">
        <w:rPr>
          <w:rFonts w:ascii="Times New Roman" w:eastAsia="Times New Roman" w:hAnsi="Times New Roman" w:cs="Times New Roman"/>
          <w:i/>
          <w:iCs/>
          <w:sz w:val="24"/>
          <w:szCs w:val="24"/>
        </w:rPr>
        <w:t>Journal of Zhejiang University-SCIENCE B, 6</w:t>
      </w:r>
      <w:r w:rsidRPr="00562719">
        <w:rPr>
          <w:rFonts w:ascii="Times New Roman" w:eastAsia="Times New Roman" w:hAnsi="Times New Roman" w:cs="Times New Roman"/>
          <w:sz w:val="24"/>
          <w:szCs w:val="24"/>
        </w:rPr>
        <w:t xml:space="preserve">(3), 171–174. </w:t>
      </w:r>
      <w:hyperlink r:id="rId18" w:tgtFrame="_new" w:history="1">
        <w:r w:rsidRPr="00562719">
          <w:rPr>
            <w:rFonts w:ascii="Times New Roman" w:eastAsia="Times New Roman" w:hAnsi="Times New Roman" w:cs="Times New Roman"/>
            <w:color w:val="0000FF"/>
            <w:sz w:val="24"/>
            <w:szCs w:val="24"/>
            <w:u w:val="single"/>
          </w:rPr>
          <w:t>https://doi.org/10.1631/jzus.2005.B0171</w:t>
        </w:r>
      </w:hyperlink>
    </w:p>
    <w:p w14:paraId="35699A1A"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Dixit, S., &amp; Singh, D. P. (2015). Differential response of photosynthetic apparatus of cyanobacterium </w:t>
      </w:r>
      <w:r w:rsidRPr="00562719">
        <w:rPr>
          <w:rFonts w:ascii="Times New Roman" w:eastAsia="Times New Roman" w:hAnsi="Times New Roman" w:cs="Times New Roman"/>
          <w:i/>
          <w:iCs/>
          <w:sz w:val="24"/>
          <w:szCs w:val="24"/>
        </w:rPr>
        <w:t xml:space="preserve">Nostoc </w:t>
      </w:r>
      <w:proofErr w:type="spellStart"/>
      <w:r w:rsidRPr="00562719">
        <w:rPr>
          <w:rFonts w:ascii="Times New Roman" w:eastAsia="Times New Roman" w:hAnsi="Times New Roman" w:cs="Times New Roman"/>
          <w:i/>
          <w:iCs/>
          <w:sz w:val="24"/>
          <w:szCs w:val="24"/>
        </w:rPr>
        <w:t>muscorum</w:t>
      </w:r>
      <w:proofErr w:type="spellEnd"/>
      <w:r w:rsidRPr="00562719">
        <w:rPr>
          <w:rFonts w:ascii="Times New Roman" w:eastAsia="Times New Roman" w:hAnsi="Times New Roman" w:cs="Times New Roman"/>
          <w:sz w:val="24"/>
          <w:szCs w:val="24"/>
        </w:rPr>
        <w:t xml:space="preserve"> to Pb and Cd toxicity. </w:t>
      </w:r>
      <w:proofErr w:type="spellStart"/>
      <w:r w:rsidRPr="00562719">
        <w:rPr>
          <w:rFonts w:ascii="Times New Roman" w:eastAsia="Times New Roman" w:hAnsi="Times New Roman" w:cs="Times New Roman"/>
          <w:i/>
          <w:iCs/>
          <w:sz w:val="24"/>
          <w:szCs w:val="24"/>
        </w:rPr>
        <w:t>Photosynthetica</w:t>
      </w:r>
      <w:proofErr w:type="spellEnd"/>
      <w:r w:rsidRPr="00562719">
        <w:rPr>
          <w:rFonts w:ascii="Times New Roman" w:eastAsia="Times New Roman" w:hAnsi="Times New Roman" w:cs="Times New Roman"/>
          <w:i/>
          <w:iCs/>
          <w:sz w:val="24"/>
          <w:szCs w:val="24"/>
        </w:rPr>
        <w:t>, 53</w:t>
      </w:r>
      <w:r w:rsidRPr="00562719">
        <w:rPr>
          <w:rFonts w:ascii="Times New Roman" w:eastAsia="Times New Roman" w:hAnsi="Times New Roman" w:cs="Times New Roman"/>
          <w:sz w:val="24"/>
          <w:szCs w:val="24"/>
        </w:rPr>
        <w:t xml:space="preserve">(2), 223–230. </w:t>
      </w:r>
      <w:hyperlink r:id="rId19" w:tgtFrame="_new" w:history="1">
        <w:r w:rsidRPr="00562719">
          <w:rPr>
            <w:rFonts w:ascii="Times New Roman" w:eastAsia="Times New Roman" w:hAnsi="Times New Roman" w:cs="Times New Roman"/>
            <w:color w:val="0000FF"/>
            <w:sz w:val="24"/>
            <w:szCs w:val="24"/>
            <w:u w:val="single"/>
          </w:rPr>
          <w:t>https://doi.org/10.1007/s11099-015-0096-3</w:t>
        </w:r>
      </w:hyperlink>
    </w:p>
    <w:p w14:paraId="2F49B88E"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lastRenderedPageBreak/>
        <w:t xml:space="preserve">Dubey, S. K., Dubey, J., Mehra, S., Tiwari, P., &amp; Bishwas, A. J. (2011). Potential use of cyanobacterial species in bioremediation of industrial effluents. </w:t>
      </w:r>
      <w:r w:rsidRPr="00562719">
        <w:rPr>
          <w:rFonts w:ascii="Times New Roman" w:eastAsia="Times New Roman" w:hAnsi="Times New Roman" w:cs="Times New Roman"/>
          <w:i/>
          <w:iCs/>
          <w:sz w:val="24"/>
          <w:szCs w:val="24"/>
        </w:rPr>
        <w:t>African Journal of Biotechnology, 10</w:t>
      </w:r>
      <w:r w:rsidRPr="00562719">
        <w:rPr>
          <w:rFonts w:ascii="Times New Roman" w:eastAsia="Times New Roman" w:hAnsi="Times New Roman" w:cs="Times New Roman"/>
          <w:sz w:val="24"/>
          <w:szCs w:val="24"/>
        </w:rPr>
        <w:t xml:space="preserve">(7), 1125–1132. </w:t>
      </w:r>
      <w:hyperlink r:id="rId20" w:tgtFrame="_new" w:history="1">
        <w:r w:rsidRPr="00562719">
          <w:rPr>
            <w:rFonts w:ascii="Times New Roman" w:eastAsia="Times New Roman" w:hAnsi="Times New Roman" w:cs="Times New Roman"/>
            <w:color w:val="0000FF"/>
            <w:sz w:val="24"/>
            <w:szCs w:val="24"/>
            <w:u w:val="single"/>
          </w:rPr>
          <w:t>https://doi.org/10.5897/AJB10.908</w:t>
        </w:r>
      </w:hyperlink>
    </w:p>
    <w:p w14:paraId="3A39E2A6"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Gadd, G. M. (2004). Microbial influence on metal mobility and application for bioremediation. </w:t>
      </w:r>
      <w:proofErr w:type="spellStart"/>
      <w:r w:rsidRPr="00562719">
        <w:rPr>
          <w:rFonts w:ascii="Times New Roman" w:eastAsia="Times New Roman" w:hAnsi="Times New Roman" w:cs="Times New Roman"/>
          <w:i/>
          <w:iCs/>
          <w:sz w:val="24"/>
          <w:szCs w:val="24"/>
        </w:rPr>
        <w:t>Geoderma</w:t>
      </w:r>
      <w:proofErr w:type="spellEnd"/>
      <w:r w:rsidRPr="00562719">
        <w:rPr>
          <w:rFonts w:ascii="Times New Roman" w:eastAsia="Times New Roman" w:hAnsi="Times New Roman" w:cs="Times New Roman"/>
          <w:i/>
          <w:iCs/>
          <w:sz w:val="24"/>
          <w:szCs w:val="24"/>
        </w:rPr>
        <w:t>, 122</w:t>
      </w:r>
      <w:r w:rsidRPr="00562719">
        <w:rPr>
          <w:rFonts w:ascii="Times New Roman" w:eastAsia="Times New Roman" w:hAnsi="Times New Roman" w:cs="Times New Roman"/>
          <w:sz w:val="24"/>
          <w:szCs w:val="24"/>
        </w:rPr>
        <w:t xml:space="preserve">(2–4), 109–119. </w:t>
      </w:r>
      <w:hyperlink r:id="rId21" w:tgtFrame="_new" w:history="1">
        <w:r w:rsidRPr="00562719">
          <w:rPr>
            <w:rFonts w:ascii="Times New Roman" w:eastAsia="Times New Roman" w:hAnsi="Times New Roman" w:cs="Times New Roman"/>
            <w:color w:val="0000FF"/>
            <w:sz w:val="24"/>
            <w:szCs w:val="24"/>
            <w:u w:val="single"/>
          </w:rPr>
          <w:t>https://doi.org/10.1016/j.geoderma.2004.01.002</w:t>
        </w:r>
      </w:hyperlink>
    </w:p>
    <w:p w14:paraId="59B8C395"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Haque, N. N., Alam, M. A., Baidya, A. S., Zenat, E. A., Roy, C. K., Hossain, M. K., &amp; Munshi, J. L. (2024). Heavy metal scavenging potential of indigenous microalgae of Bangladesh: A study on its application in textile effluent treatment. </w:t>
      </w:r>
      <w:r w:rsidRPr="00562719">
        <w:rPr>
          <w:rFonts w:ascii="Times New Roman" w:eastAsia="Times New Roman" w:hAnsi="Times New Roman" w:cs="Times New Roman"/>
          <w:i/>
          <w:iCs/>
          <w:sz w:val="24"/>
          <w:szCs w:val="24"/>
        </w:rPr>
        <w:t>South Asian Journal of Research in Microbiology, 18</w:t>
      </w:r>
      <w:r w:rsidRPr="00562719">
        <w:rPr>
          <w:rFonts w:ascii="Times New Roman" w:eastAsia="Times New Roman" w:hAnsi="Times New Roman" w:cs="Times New Roman"/>
          <w:sz w:val="24"/>
          <w:szCs w:val="24"/>
        </w:rPr>
        <w:t xml:space="preserve">(7), 58–75. </w:t>
      </w:r>
      <w:hyperlink r:id="rId22" w:tgtFrame="_new" w:history="1">
        <w:r w:rsidRPr="00562719">
          <w:rPr>
            <w:rFonts w:ascii="Times New Roman" w:eastAsia="Times New Roman" w:hAnsi="Times New Roman" w:cs="Times New Roman"/>
            <w:color w:val="0000FF"/>
            <w:sz w:val="24"/>
            <w:szCs w:val="24"/>
            <w:u w:val="single"/>
          </w:rPr>
          <w:t>https://doi.org/10.9734/sajrm/2024/v18i7373</w:t>
        </w:r>
      </w:hyperlink>
    </w:p>
    <w:p w14:paraId="20341DB2"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Havens, K. E. (2008). Cyanobacteria blooms: Effects on aquatic ecosystems. In H. K. Hudnell (Ed.), </w:t>
      </w:r>
      <w:r w:rsidRPr="00562719">
        <w:rPr>
          <w:rFonts w:ascii="Times New Roman" w:eastAsia="Times New Roman" w:hAnsi="Times New Roman" w:cs="Times New Roman"/>
          <w:i/>
          <w:iCs/>
          <w:sz w:val="24"/>
          <w:szCs w:val="24"/>
        </w:rPr>
        <w:t>Cyanobacterial harmful algal blooms: State of the science and research needs</w:t>
      </w:r>
      <w:r w:rsidRPr="00562719">
        <w:rPr>
          <w:rFonts w:ascii="Times New Roman" w:eastAsia="Times New Roman" w:hAnsi="Times New Roman" w:cs="Times New Roman"/>
          <w:sz w:val="24"/>
          <w:szCs w:val="24"/>
        </w:rPr>
        <w:t xml:space="preserve"> (pp. 733–747). Springer. </w:t>
      </w:r>
      <w:hyperlink r:id="rId23" w:tgtFrame="_new" w:history="1">
        <w:r w:rsidRPr="00562719">
          <w:rPr>
            <w:rFonts w:ascii="Times New Roman" w:eastAsia="Times New Roman" w:hAnsi="Times New Roman" w:cs="Times New Roman"/>
            <w:color w:val="0000FF"/>
            <w:sz w:val="24"/>
            <w:szCs w:val="24"/>
            <w:u w:val="single"/>
          </w:rPr>
          <w:t>https://doi.org/10.1007/978-0-387-75865-7_33</w:t>
        </w:r>
      </w:hyperlink>
    </w:p>
    <w:p w14:paraId="0A640517"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Hossain, M. S., &amp; Okino, T. (2024). </w:t>
      </w:r>
      <w:proofErr w:type="spellStart"/>
      <w:r w:rsidRPr="00562719">
        <w:rPr>
          <w:rFonts w:ascii="Times New Roman" w:eastAsia="Times New Roman" w:hAnsi="Times New Roman" w:cs="Times New Roman"/>
          <w:sz w:val="24"/>
          <w:szCs w:val="24"/>
        </w:rPr>
        <w:t>Cyanoremediation</w:t>
      </w:r>
      <w:proofErr w:type="spellEnd"/>
      <w:r w:rsidRPr="00562719">
        <w:rPr>
          <w:rFonts w:ascii="Times New Roman" w:eastAsia="Times New Roman" w:hAnsi="Times New Roman" w:cs="Times New Roman"/>
          <w:sz w:val="24"/>
          <w:szCs w:val="24"/>
        </w:rPr>
        <w:t xml:space="preserve"> of heavy metals (As(V), </w:t>
      </w:r>
      <w:proofErr w:type="gramStart"/>
      <w:r w:rsidRPr="00562719">
        <w:rPr>
          <w:rFonts w:ascii="Times New Roman" w:eastAsia="Times New Roman" w:hAnsi="Times New Roman" w:cs="Times New Roman"/>
          <w:sz w:val="24"/>
          <w:szCs w:val="24"/>
        </w:rPr>
        <w:t>Cd(</w:t>
      </w:r>
      <w:proofErr w:type="gramEnd"/>
      <w:r w:rsidRPr="00562719">
        <w:rPr>
          <w:rFonts w:ascii="Times New Roman" w:eastAsia="Times New Roman" w:hAnsi="Times New Roman" w:cs="Times New Roman"/>
          <w:sz w:val="24"/>
          <w:szCs w:val="24"/>
        </w:rPr>
        <w:t xml:space="preserve">II), </w:t>
      </w:r>
      <w:proofErr w:type="gramStart"/>
      <w:r w:rsidRPr="00562719">
        <w:rPr>
          <w:rFonts w:ascii="Times New Roman" w:eastAsia="Times New Roman" w:hAnsi="Times New Roman" w:cs="Times New Roman"/>
          <w:sz w:val="24"/>
          <w:szCs w:val="24"/>
        </w:rPr>
        <w:t>Cr(</w:t>
      </w:r>
      <w:proofErr w:type="gramEnd"/>
      <w:r w:rsidRPr="00562719">
        <w:rPr>
          <w:rFonts w:ascii="Times New Roman" w:eastAsia="Times New Roman" w:hAnsi="Times New Roman" w:cs="Times New Roman"/>
          <w:sz w:val="24"/>
          <w:szCs w:val="24"/>
        </w:rPr>
        <w:t xml:space="preserve">VI), </w:t>
      </w:r>
      <w:proofErr w:type="gramStart"/>
      <w:r w:rsidRPr="00562719">
        <w:rPr>
          <w:rFonts w:ascii="Times New Roman" w:eastAsia="Times New Roman" w:hAnsi="Times New Roman" w:cs="Times New Roman"/>
          <w:sz w:val="24"/>
          <w:szCs w:val="24"/>
        </w:rPr>
        <w:t>Pb(</w:t>
      </w:r>
      <w:proofErr w:type="gramEnd"/>
      <w:r w:rsidRPr="00562719">
        <w:rPr>
          <w:rFonts w:ascii="Times New Roman" w:eastAsia="Times New Roman" w:hAnsi="Times New Roman" w:cs="Times New Roman"/>
          <w:sz w:val="24"/>
          <w:szCs w:val="24"/>
        </w:rPr>
        <w:t>II)) by live cyanobacteria (</w:t>
      </w:r>
      <w:r w:rsidRPr="00562719">
        <w:rPr>
          <w:rFonts w:ascii="Times New Roman" w:eastAsia="Times New Roman" w:hAnsi="Times New Roman" w:cs="Times New Roman"/>
          <w:i/>
          <w:iCs/>
          <w:sz w:val="24"/>
          <w:szCs w:val="24"/>
        </w:rPr>
        <w:t>Anabaena variabilis</w:t>
      </w:r>
      <w:r w:rsidRPr="00562719">
        <w:rPr>
          <w:rFonts w:ascii="Times New Roman" w:eastAsia="Times New Roman" w:hAnsi="Times New Roman" w:cs="Times New Roman"/>
          <w:sz w:val="24"/>
          <w:szCs w:val="24"/>
        </w:rPr>
        <w:t xml:space="preserve"> and </w:t>
      </w:r>
      <w:proofErr w:type="spellStart"/>
      <w:r w:rsidRPr="00562719">
        <w:rPr>
          <w:rFonts w:ascii="Times New Roman" w:eastAsia="Times New Roman" w:hAnsi="Times New Roman" w:cs="Times New Roman"/>
          <w:i/>
          <w:iCs/>
          <w:sz w:val="24"/>
          <w:szCs w:val="24"/>
        </w:rPr>
        <w:t>Synechocystis</w:t>
      </w:r>
      <w:proofErr w:type="spellEnd"/>
      <w:r w:rsidRPr="00562719">
        <w:rPr>
          <w:rFonts w:ascii="Times New Roman" w:eastAsia="Times New Roman" w:hAnsi="Times New Roman" w:cs="Times New Roman"/>
          <w:sz w:val="24"/>
          <w:szCs w:val="24"/>
        </w:rPr>
        <w:t xml:space="preserve"> sp.): An eco-sustainable technology. </w:t>
      </w:r>
      <w:r w:rsidRPr="00562719">
        <w:rPr>
          <w:rFonts w:ascii="Times New Roman" w:eastAsia="Times New Roman" w:hAnsi="Times New Roman" w:cs="Times New Roman"/>
          <w:i/>
          <w:iCs/>
          <w:sz w:val="24"/>
          <w:szCs w:val="24"/>
        </w:rPr>
        <w:t>RSC Advances, 14</w:t>
      </w:r>
      <w:r w:rsidRPr="00562719">
        <w:rPr>
          <w:rFonts w:ascii="Times New Roman" w:eastAsia="Times New Roman" w:hAnsi="Times New Roman" w:cs="Times New Roman"/>
          <w:sz w:val="24"/>
          <w:szCs w:val="24"/>
        </w:rPr>
        <w:t xml:space="preserve">(15), 10452–10463. </w:t>
      </w:r>
      <w:hyperlink r:id="rId24" w:tgtFrame="_new" w:history="1">
        <w:r w:rsidRPr="00562719">
          <w:rPr>
            <w:rFonts w:ascii="Times New Roman" w:eastAsia="Times New Roman" w:hAnsi="Times New Roman" w:cs="Times New Roman"/>
            <w:color w:val="0000FF"/>
            <w:sz w:val="24"/>
            <w:szCs w:val="24"/>
            <w:u w:val="single"/>
          </w:rPr>
          <w:t>https://doi.org/10.1039/D4RA00409D</w:t>
        </w:r>
      </w:hyperlink>
    </w:p>
    <w:p w14:paraId="3A240B83"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Javed, M., &amp; Mahmood, G. (2000). Studies on the metal toxicity of plankton in the River Ravi. </w:t>
      </w:r>
      <w:r w:rsidRPr="00562719">
        <w:rPr>
          <w:rFonts w:ascii="Times New Roman" w:eastAsia="Times New Roman" w:hAnsi="Times New Roman" w:cs="Times New Roman"/>
          <w:i/>
          <w:iCs/>
          <w:sz w:val="24"/>
          <w:szCs w:val="24"/>
        </w:rPr>
        <w:t>Pakistan Journal of Biological Sciences, 3</w:t>
      </w:r>
      <w:r w:rsidRPr="00562719">
        <w:rPr>
          <w:rFonts w:ascii="Times New Roman" w:eastAsia="Times New Roman" w:hAnsi="Times New Roman" w:cs="Times New Roman"/>
          <w:sz w:val="24"/>
          <w:szCs w:val="24"/>
        </w:rPr>
        <w:t xml:space="preserve">(12), 2165–2168. </w:t>
      </w:r>
      <w:hyperlink r:id="rId25" w:tgtFrame="_new" w:history="1">
        <w:r w:rsidRPr="00562719">
          <w:rPr>
            <w:rFonts w:ascii="Times New Roman" w:eastAsia="Times New Roman" w:hAnsi="Times New Roman" w:cs="Times New Roman"/>
            <w:color w:val="0000FF"/>
            <w:sz w:val="24"/>
            <w:szCs w:val="24"/>
            <w:u w:val="single"/>
          </w:rPr>
          <w:t>https://doi.org/10.3923/pjbs.2000.2165.2168</w:t>
        </w:r>
      </w:hyperlink>
    </w:p>
    <w:p w14:paraId="13DA775C" w14:textId="63ED6D9E"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Jensen, A. (1978). Chlorophylls and carotenoids. In J. A. Hellebust &amp; J. S. Craigie (Eds.), </w:t>
      </w:r>
      <w:r w:rsidRPr="00562719">
        <w:rPr>
          <w:rFonts w:ascii="Times New Roman" w:eastAsia="Times New Roman" w:hAnsi="Times New Roman" w:cs="Times New Roman"/>
          <w:i/>
          <w:iCs/>
          <w:sz w:val="24"/>
          <w:szCs w:val="24"/>
        </w:rPr>
        <w:t>Handbook of phycological methods: Physiological and biochemical methods</w:t>
      </w:r>
      <w:r w:rsidRPr="00562719">
        <w:rPr>
          <w:rFonts w:ascii="Times New Roman" w:eastAsia="Times New Roman" w:hAnsi="Times New Roman" w:cs="Times New Roman"/>
          <w:sz w:val="24"/>
          <w:szCs w:val="24"/>
        </w:rPr>
        <w:t xml:space="preserve"> (pp. 59–70). Cambridge University Press. </w:t>
      </w:r>
    </w:p>
    <w:p w14:paraId="3F21C4EF"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Kumar, A., Bisht, B. S., Joshi, V. D., &amp; Dhewa, T. (2011). Review on bioremediation of polluted environment: A management tool. </w:t>
      </w:r>
      <w:r w:rsidRPr="00562719">
        <w:rPr>
          <w:rFonts w:ascii="Times New Roman" w:eastAsia="Times New Roman" w:hAnsi="Times New Roman" w:cs="Times New Roman"/>
          <w:i/>
          <w:iCs/>
          <w:sz w:val="24"/>
          <w:szCs w:val="24"/>
        </w:rPr>
        <w:t>International Journal of Environmental Sciences, 1</w:t>
      </w:r>
      <w:r w:rsidRPr="00562719">
        <w:rPr>
          <w:rFonts w:ascii="Times New Roman" w:eastAsia="Times New Roman" w:hAnsi="Times New Roman" w:cs="Times New Roman"/>
          <w:sz w:val="24"/>
          <w:szCs w:val="24"/>
        </w:rPr>
        <w:t xml:space="preserve">(6), 1079–1093. </w:t>
      </w:r>
      <w:hyperlink r:id="rId26" w:tgtFrame="_blank" w:history="1">
        <w:r w:rsidRPr="00562719">
          <w:rPr>
            <w:rFonts w:ascii="Times New Roman" w:eastAsia="Times New Roman" w:hAnsi="Times New Roman" w:cs="Times New Roman"/>
            <w:color w:val="0000FF"/>
            <w:sz w:val="24"/>
            <w:szCs w:val="24"/>
            <w:u w:val="single"/>
          </w:rPr>
          <w:t>https://www.ipublishing.co.in/jcesissues.html</w:t>
        </w:r>
      </w:hyperlink>
    </w:p>
    <w:p w14:paraId="0D8CEDBA"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r w:rsidRPr="00562719">
        <w:rPr>
          <w:rFonts w:ascii="Times New Roman" w:eastAsia="Times New Roman" w:hAnsi="Times New Roman" w:cs="Times New Roman"/>
          <w:sz w:val="24"/>
          <w:szCs w:val="24"/>
          <w:lang w:val="nl-BE"/>
        </w:rPr>
        <w:t xml:space="preserve">Latifi, A., Ruiz, M., &amp; Zhang, C.-C. (2009). </w:t>
      </w:r>
      <w:r w:rsidRPr="00562719">
        <w:rPr>
          <w:rFonts w:ascii="Times New Roman" w:eastAsia="Times New Roman" w:hAnsi="Times New Roman" w:cs="Times New Roman"/>
          <w:sz w:val="24"/>
          <w:szCs w:val="24"/>
        </w:rPr>
        <w:t xml:space="preserve">Oxidative stress in cyanobacteria. </w:t>
      </w:r>
      <w:r w:rsidRPr="00562719">
        <w:rPr>
          <w:rFonts w:ascii="Times New Roman" w:eastAsia="Times New Roman" w:hAnsi="Times New Roman" w:cs="Times New Roman"/>
          <w:i/>
          <w:iCs/>
          <w:sz w:val="24"/>
          <w:szCs w:val="24"/>
        </w:rPr>
        <w:t>FEMS Microbiology Reviews, 33</w:t>
      </w:r>
      <w:r w:rsidRPr="00562719">
        <w:rPr>
          <w:rFonts w:ascii="Times New Roman" w:eastAsia="Times New Roman" w:hAnsi="Times New Roman" w:cs="Times New Roman"/>
          <w:sz w:val="24"/>
          <w:szCs w:val="24"/>
        </w:rPr>
        <w:t xml:space="preserve">(2), 258–278. </w:t>
      </w:r>
      <w:hyperlink r:id="rId27" w:tgtFrame="_new" w:history="1">
        <w:r w:rsidRPr="00562719">
          <w:rPr>
            <w:rFonts w:ascii="Times New Roman" w:eastAsia="Times New Roman" w:hAnsi="Times New Roman" w:cs="Times New Roman"/>
            <w:color w:val="0000FF"/>
            <w:sz w:val="24"/>
            <w:szCs w:val="24"/>
            <w:u w:val="single"/>
            <w:lang w:val="nl-BE"/>
          </w:rPr>
          <w:t>https://doi.org/10.1111/j.1574-6976.2008.00134.x</w:t>
        </w:r>
      </w:hyperlink>
    </w:p>
    <w:p w14:paraId="7288B76F"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lang w:val="nl-BE"/>
        </w:rPr>
        <w:t xml:space="preserve">Liu, W., Luo, Y., Teng, Y., Li, Z., &amp; Ma, L. Q. (2010). </w:t>
      </w:r>
      <w:r w:rsidRPr="00562719">
        <w:rPr>
          <w:rFonts w:ascii="Times New Roman" w:eastAsia="Times New Roman" w:hAnsi="Times New Roman" w:cs="Times New Roman"/>
          <w:sz w:val="24"/>
          <w:szCs w:val="24"/>
        </w:rPr>
        <w:t xml:space="preserve">Bioremediation of oily sludge-contaminated soil by stimulating indigenous microbes. </w:t>
      </w:r>
      <w:r w:rsidRPr="00562719">
        <w:rPr>
          <w:rFonts w:ascii="Times New Roman" w:eastAsia="Times New Roman" w:hAnsi="Times New Roman" w:cs="Times New Roman"/>
          <w:i/>
          <w:iCs/>
          <w:sz w:val="24"/>
          <w:szCs w:val="24"/>
        </w:rPr>
        <w:t>Environmental Geochemistry and Health, 32</w:t>
      </w:r>
      <w:r w:rsidRPr="00562719">
        <w:rPr>
          <w:rFonts w:ascii="Times New Roman" w:eastAsia="Times New Roman" w:hAnsi="Times New Roman" w:cs="Times New Roman"/>
          <w:sz w:val="24"/>
          <w:szCs w:val="24"/>
        </w:rPr>
        <w:t xml:space="preserve">(1), 23–29. </w:t>
      </w:r>
      <w:hyperlink r:id="rId28" w:tgtFrame="_new" w:history="1">
        <w:r w:rsidRPr="00562719">
          <w:rPr>
            <w:rFonts w:ascii="Times New Roman" w:eastAsia="Times New Roman" w:hAnsi="Times New Roman" w:cs="Times New Roman"/>
            <w:color w:val="0000FF"/>
            <w:sz w:val="24"/>
            <w:szCs w:val="24"/>
            <w:u w:val="single"/>
          </w:rPr>
          <w:t>https://doi.org/10.1007/s10653-009-9262-5</w:t>
        </w:r>
      </w:hyperlink>
    </w:p>
    <w:p w14:paraId="01F20661"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562719">
        <w:rPr>
          <w:rFonts w:ascii="Times New Roman" w:eastAsia="Times New Roman" w:hAnsi="Times New Roman" w:cs="Times New Roman"/>
          <w:sz w:val="24"/>
          <w:szCs w:val="24"/>
        </w:rPr>
        <w:t>Lourembam</w:t>
      </w:r>
      <w:proofErr w:type="spellEnd"/>
      <w:r w:rsidRPr="00562719">
        <w:rPr>
          <w:rFonts w:ascii="Times New Roman" w:eastAsia="Times New Roman" w:hAnsi="Times New Roman" w:cs="Times New Roman"/>
          <w:sz w:val="24"/>
          <w:szCs w:val="24"/>
        </w:rPr>
        <w:t xml:space="preserve">, J., Haobam, B., Singh, K. B., Verma, S., &amp; Rajan, J. P. (2024). The molecular insights of cyanobacterial bioremediations of heavy metals: The current and the future challenges. </w:t>
      </w:r>
      <w:r w:rsidRPr="00562719">
        <w:rPr>
          <w:rFonts w:ascii="Times New Roman" w:eastAsia="Times New Roman" w:hAnsi="Times New Roman" w:cs="Times New Roman"/>
          <w:i/>
          <w:iCs/>
          <w:sz w:val="24"/>
          <w:szCs w:val="24"/>
        </w:rPr>
        <w:t>Frontiers in Microbiology, 15</w:t>
      </w:r>
      <w:r w:rsidRPr="00562719">
        <w:rPr>
          <w:rFonts w:ascii="Times New Roman" w:eastAsia="Times New Roman" w:hAnsi="Times New Roman" w:cs="Times New Roman"/>
          <w:sz w:val="24"/>
          <w:szCs w:val="24"/>
        </w:rPr>
        <w:t xml:space="preserve">, 1450992. </w:t>
      </w:r>
      <w:hyperlink r:id="rId29" w:tgtFrame="_new" w:history="1">
        <w:r w:rsidRPr="00562719">
          <w:rPr>
            <w:rFonts w:ascii="Times New Roman" w:eastAsia="Times New Roman" w:hAnsi="Times New Roman" w:cs="Times New Roman"/>
            <w:color w:val="0000FF"/>
            <w:sz w:val="24"/>
            <w:szCs w:val="24"/>
            <w:u w:val="single"/>
          </w:rPr>
          <w:t>https://doi.org/10.3389/fmicb.2024.1450992</w:t>
        </w:r>
      </w:hyperlink>
    </w:p>
    <w:p w14:paraId="3CEB5DD4"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Palanivel, P., </w:t>
      </w:r>
      <w:proofErr w:type="spellStart"/>
      <w:r w:rsidRPr="00562719">
        <w:rPr>
          <w:rFonts w:ascii="Times New Roman" w:eastAsia="Times New Roman" w:hAnsi="Times New Roman" w:cs="Times New Roman"/>
          <w:sz w:val="24"/>
          <w:szCs w:val="24"/>
        </w:rPr>
        <w:t>Kaliyaperumal</w:t>
      </w:r>
      <w:proofErr w:type="spellEnd"/>
      <w:r w:rsidRPr="00562719">
        <w:rPr>
          <w:rFonts w:ascii="Times New Roman" w:eastAsia="Times New Roman" w:hAnsi="Times New Roman" w:cs="Times New Roman"/>
          <w:sz w:val="24"/>
          <w:szCs w:val="24"/>
        </w:rPr>
        <w:t xml:space="preserve">, S., Periyasamy, K., &amp; Palanisamy, S. (2022). </w:t>
      </w:r>
      <w:proofErr w:type="gramStart"/>
      <w:r w:rsidRPr="00562719">
        <w:rPr>
          <w:rFonts w:ascii="Times New Roman" w:eastAsia="Times New Roman" w:hAnsi="Times New Roman" w:cs="Times New Roman"/>
          <w:sz w:val="24"/>
          <w:szCs w:val="24"/>
        </w:rPr>
        <w:t>Low cost</w:t>
      </w:r>
      <w:proofErr w:type="gramEnd"/>
      <w:r w:rsidRPr="00562719">
        <w:rPr>
          <w:rFonts w:ascii="Times New Roman" w:eastAsia="Times New Roman" w:hAnsi="Times New Roman" w:cs="Times New Roman"/>
          <w:sz w:val="24"/>
          <w:szCs w:val="24"/>
        </w:rPr>
        <w:t xml:space="preserve"> production of </w:t>
      </w:r>
      <w:r w:rsidRPr="00562719">
        <w:rPr>
          <w:rFonts w:ascii="Times New Roman" w:eastAsia="Times New Roman" w:hAnsi="Times New Roman" w:cs="Times New Roman"/>
          <w:i/>
          <w:iCs/>
          <w:sz w:val="24"/>
          <w:szCs w:val="24"/>
        </w:rPr>
        <w:t>Spirulina (Spirulina platensis)</w:t>
      </w:r>
      <w:r w:rsidRPr="00562719">
        <w:rPr>
          <w:rFonts w:ascii="Times New Roman" w:eastAsia="Times New Roman" w:hAnsi="Times New Roman" w:cs="Times New Roman"/>
          <w:sz w:val="24"/>
          <w:szCs w:val="24"/>
        </w:rPr>
        <w:t xml:space="preserve"> through treatment of wastewater. </w:t>
      </w:r>
      <w:r w:rsidRPr="00562719">
        <w:rPr>
          <w:rFonts w:ascii="Times New Roman" w:eastAsia="Times New Roman" w:hAnsi="Times New Roman" w:cs="Times New Roman"/>
          <w:i/>
          <w:iCs/>
          <w:sz w:val="24"/>
          <w:szCs w:val="24"/>
        </w:rPr>
        <w:t>Uttar Pradesh Journal of Zoology, 43</w:t>
      </w:r>
      <w:r w:rsidRPr="00562719">
        <w:rPr>
          <w:rFonts w:ascii="Times New Roman" w:eastAsia="Times New Roman" w:hAnsi="Times New Roman" w:cs="Times New Roman"/>
          <w:sz w:val="24"/>
          <w:szCs w:val="24"/>
        </w:rPr>
        <w:t xml:space="preserve">(23), 66–78. </w:t>
      </w:r>
      <w:hyperlink r:id="rId30" w:tgtFrame="_new" w:history="1">
        <w:r w:rsidRPr="00562719">
          <w:rPr>
            <w:rFonts w:ascii="Times New Roman" w:eastAsia="Times New Roman" w:hAnsi="Times New Roman" w:cs="Times New Roman"/>
            <w:color w:val="0000FF"/>
            <w:sz w:val="24"/>
            <w:szCs w:val="24"/>
            <w:u w:val="single"/>
          </w:rPr>
          <w:t>https://doi.org/10.56557/upjoz/2022/v43i233260</w:t>
        </w:r>
      </w:hyperlink>
    </w:p>
    <w:p w14:paraId="2C7B5666"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lastRenderedPageBreak/>
        <w:t xml:space="preserve">Patel, A., Tiwari, S., &amp; Prasad, S. M. (2021a). Arsenate and </w:t>
      </w:r>
      <w:proofErr w:type="spellStart"/>
      <w:r w:rsidRPr="00562719">
        <w:rPr>
          <w:rFonts w:ascii="Times New Roman" w:eastAsia="Times New Roman" w:hAnsi="Times New Roman" w:cs="Times New Roman"/>
          <w:sz w:val="24"/>
          <w:szCs w:val="24"/>
        </w:rPr>
        <w:t>arsenite</w:t>
      </w:r>
      <w:proofErr w:type="spellEnd"/>
      <w:r w:rsidRPr="00562719">
        <w:rPr>
          <w:rFonts w:ascii="Times New Roman" w:eastAsia="Times New Roman" w:hAnsi="Times New Roman" w:cs="Times New Roman"/>
          <w:sz w:val="24"/>
          <w:szCs w:val="24"/>
        </w:rPr>
        <w:t xml:space="preserve">-induced inhibition and recovery in two diazotrophic cyanobacteria </w:t>
      </w:r>
      <w:r w:rsidRPr="00562719">
        <w:rPr>
          <w:rFonts w:ascii="Times New Roman" w:eastAsia="Times New Roman" w:hAnsi="Times New Roman" w:cs="Times New Roman"/>
          <w:i/>
          <w:iCs/>
          <w:sz w:val="24"/>
          <w:szCs w:val="24"/>
        </w:rPr>
        <w:t xml:space="preserve">Nostoc </w:t>
      </w:r>
      <w:proofErr w:type="spellStart"/>
      <w:r w:rsidRPr="00562719">
        <w:rPr>
          <w:rFonts w:ascii="Times New Roman" w:eastAsia="Times New Roman" w:hAnsi="Times New Roman" w:cs="Times New Roman"/>
          <w:i/>
          <w:iCs/>
          <w:sz w:val="24"/>
          <w:szCs w:val="24"/>
        </w:rPr>
        <w:t>muscorum</w:t>
      </w:r>
      <w:proofErr w:type="spellEnd"/>
      <w:r w:rsidRPr="00562719">
        <w:rPr>
          <w:rFonts w:ascii="Times New Roman" w:eastAsia="Times New Roman" w:hAnsi="Times New Roman" w:cs="Times New Roman"/>
          <w:sz w:val="24"/>
          <w:szCs w:val="24"/>
        </w:rPr>
        <w:t xml:space="preserve"> and </w:t>
      </w:r>
      <w:r w:rsidRPr="00562719">
        <w:rPr>
          <w:rFonts w:ascii="Times New Roman" w:eastAsia="Times New Roman" w:hAnsi="Times New Roman" w:cs="Times New Roman"/>
          <w:i/>
          <w:iCs/>
          <w:sz w:val="24"/>
          <w:szCs w:val="24"/>
        </w:rPr>
        <w:t>Anabaena</w:t>
      </w:r>
      <w:r w:rsidRPr="00562719">
        <w:rPr>
          <w:rFonts w:ascii="Times New Roman" w:eastAsia="Times New Roman" w:hAnsi="Times New Roman" w:cs="Times New Roman"/>
          <w:sz w:val="24"/>
          <w:szCs w:val="24"/>
        </w:rPr>
        <w:t xml:space="preserve"> sp.: Study on time-dependent toxicity regulation. </w:t>
      </w:r>
      <w:r w:rsidRPr="00562719">
        <w:rPr>
          <w:rFonts w:ascii="Times New Roman" w:eastAsia="Times New Roman" w:hAnsi="Times New Roman" w:cs="Times New Roman"/>
          <w:i/>
          <w:iCs/>
          <w:sz w:val="24"/>
          <w:szCs w:val="24"/>
        </w:rPr>
        <w:t>Environmental Science and Pollution Research, 28</w:t>
      </w:r>
      <w:r w:rsidRPr="00562719">
        <w:rPr>
          <w:rFonts w:ascii="Times New Roman" w:eastAsia="Times New Roman" w:hAnsi="Times New Roman" w:cs="Times New Roman"/>
          <w:sz w:val="24"/>
          <w:szCs w:val="24"/>
        </w:rPr>
        <w:t xml:space="preserve">, 51088–51104. </w:t>
      </w:r>
      <w:hyperlink r:id="rId31" w:tgtFrame="_new" w:history="1">
        <w:r w:rsidRPr="00562719">
          <w:rPr>
            <w:rFonts w:ascii="Times New Roman" w:eastAsia="Times New Roman" w:hAnsi="Times New Roman" w:cs="Times New Roman"/>
            <w:color w:val="0000FF"/>
            <w:sz w:val="24"/>
            <w:szCs w:val="24"/>
            <w:u w:val="single"/>
          </w:rPr>
          <w:t>https://doi.org/10.1007/s11356-021-13800-1</w:t>
        </w:r>
      </w:hyperlink>
    </w:p>
    <w:p w14:paraId="12AE635F"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Patel, A., Tiwari, S., &amp; Prasad, S. M. (2021b). Effect of time interval on arsenic toxicity to paddy field cyanobacteria as evident by nitrogen metabolism, biochemical constituent, and exopolysaccharide content. </w:t>
      </w:r>
      <w:r w:rsidRPr="00562719">
        <w:rPr>
          <w:rFonts w:ascii="Times New Roman" w:eastAsia="Times New Roman" w:hAnsi="Times New Roman" w:cs="Times New Roman"/>
          <w:i/>
          <w:iCs/>
          <w:sz w:val="24"/>
          <w:szCs w:val="24"/>
        </w:rPr>
        <w:t>Biological Trace Element Research, 199</w:t>
      </w:r>
      <w:r w:rsidRPr="00562719">
        <w:rPr>
          <w:rFonts w:ascii="Times New Roman" w:eastAsia="Times New Roman" w:hAnsi="Times New Roman" w:cs="Times New Roman"/>
          <w:sz w:val="24"/>
          <w:szCs w:val="24"/>
        </w:rPr>
        <w:t xml:space="preserve">, 2031–2046. </w:t>
      </w:r>
      <w:hyperlink r:id="rId32" w:tgtFrame="_new" w:history="1">
        <w:r w:rsidRPr="00562719">
          <w:rPr>
            <w:rFonts w:ascii="Times New Roman" w:eastAsia="Times New Roman" w:hAnsi="Times New Roman" w:cs="Times New Roman"/>
            <w:color w:val="0000FF"/>
            <w:sz w:val="24"/>
            <w:szCs w:val="24"/>
            <w:u w:val="single"/>
          </w:rPr>
          <w:t>https://doi.org/10.1007/s12011-020-02289-3</w:t>
        </w:r>
      </w:hyperlink>
    </w:p>
    <w:p w14:paraId="4726DE98"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Pinto, E., </w:t>
      </w:r>
      <w:proofErr w:type="spellStart"/>
      <w:r w:rsidRPr="00562719">
        <w:rPr>
          <w:rFonts w:ascii="Times New Roman" w:eastAsia="Times New Roman" w:hAnsi="Times New Roman" w:cs="Times New Roman"/>
          <w:sz w:val="24"/>
          <w:szCs w:val="24"/>
        </w:rPr>
        <w:t>Sigaud</w:t>
      </w:r>
      <w:proofErr w:type="spellEnd"/>
      <w:r w:rsidRPr="00562719">
        <w:rPr>
          <w:rFonts w:ascii="Times New Roman" w:eastAsia="Times New Roman" w:hAnsi="Times New Roman" w:cs="Times New Roman"/>
          <w:sz w:val="24"/>
          <w:szCs w:val="24"/>
        </w:rPr>
        <w:t xml:space="preserve">-Kutner, T. C. S., Leitão, M. A. S., Okamoto, O. K., Morse, D., &amp; </w:t>
      </w:r>
      <w:proofErr w:type="spellStart"/>
      <w:r w:rsidRPr="00562719">
        <w:rPr>
          <w:rFonts w:ascii="Times New Roman" w:eastAsia="Times New Roman" w:hAnsi="Times New Roman" w:cs="Times New Roman"/>
          <w:sz w:val="24"/>
          <w:szCs w:val="24"/>
        </w:rPr>
        <w:t>Colepicolo</w:t>
      </w:r>
      <w:proofErr w:type="spellEnd"/>
      <w:r w:rsidRPr="00562719">
        <w:rPr>
          <w:rFonts w:ascii="Times New Roman" w:eastAsia="Times New Roman" w:hAnsi="Times New Roman" w:cs="Times New Roman"/>
          <w:sz w:val="24"/>
          <w:szCs w:val="24"/>
        </w:rPr>
        <w:t xml:space="preserve">, P. (2003). Heavy metal-induced oxidative stress in algae. </w:t>
      </w:r>
      <w:r w:rsidRPr="00562719">
        <w:rPr>
          <w:rFonts w:ascii="Times New Roman" w:eastAsia="Times New Roman" w:hAnsi="Times New Roman" w:cs="Times New Roman"/>
          <w:i/>
          <w:iCs/>
          <w:sz w:val="24"/>
          <w:szCs w:val="24"/>
        </w:rPr>
        <w:t>Journal of Phycology, 39</w:t>
      </w:r>
      <w:r w:rsidRPr="00562719">
        <w:rPr>
          <w:rFonts w:ascii="Times New Roman" w:eastAsia="Times New Roman" w:hAnsi="Times New Roman" w:cs="Times New Roman"/>
          <w:sz w:val="24"/>
          <w:szCs w:val="24"/>
        </w:rPr>
        <w:t xml:space="preserve">(6), 1008–1018. </w:t>
      </w:r>
      <w:hyperlink r:id="rId33" w:tgtFrame="_new" w:history="1">
        <w:r w:rsidRPr="00562719">
          <w:rPr>
            <w:rFonts w:ascii="Times New Roman" w:eastAsia="Times New Roman" w:hAnsi="Times New Roman" w:cs="Times New Roman"/>
            <w:color w:val="0000FF"/>
            <w:sz w:val="24"/>
            <w:szCs w:val="24"/>
            <w:u w:val="single"/>
          </w:rPr>
          <w:t>https://doi.org/10.1111/j.0022-3646.2003.02-193.x</w:t>
        </w:r>
      </w:hyperlink>
    </w:p>
    <w:p w14:paraId="39365811"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Qian, H., Li, J., Pan, X., Sun, L., Lu, T., Ran, H., &amp; Fu, Z. (2011). Combined effect of copper and cadmium on heavy metal ion bioaccumulation and antioxidant enzymes induction in </w:t>
      </w:r>
      <w:r w:rsidRPr="00562719">
        <w:rPr>
          <w:rFonts w:ascii="Times New Roman" w:eastAsia="Times New Roman" w:hAnsi="Times New Roman" w:cs="Times New Roman"/>
          <w:i/>
          <w:iCs/>
          <w:sz w:val="24"/>
          <w:szCs w:val="24"/>
        </w:rPr>
        <w:t>Chlorella vulgaris</w:t>
      </w:r>
      <w:r w:rsidRPr="00562719">
        <w:rPr>
          <w:rFonts w:ascii="Times New Roman" w:eastAsia="Times New Roman" w:hAnsi="Times New Roman" w:cs="Times New Roman"/>
          <w:sz w:val="24"/>
          <w:szCs w:val="24"/>
        </w:rPr>
        <w:t xml:space="preserve">. </w:t>
      </w:r>
      <w:r w:rsidRPr="00562719">
        <w:rPr>
          <w:rFonts w:ascii="Times New Roman" w:eastAsia="Times New Roman" w:hAnsi="Times New Roman" w:cs="Times New Roman"/>
          <w:i/>
          <w:iCs/>
          <w:sz w:val="24"/>
          <w:szCs w:val="24"/>
        </w:rPr>
        <w:t>Bulletin of Environmental Contamination and Toxicology, 87</w:t>
      </w:r>
      <w:r w:rsidRPr="00562719">
        <w:rPr>
          <w:rFonts w:ascii="Times New Roman" w:eastAsia="Times New Roman" w:hAnsi="Times New Roman" w:cs="Times New Roman"/>
          <w:sz w:val="24"/>
          <w:szCs w:val="24"/>
        </w:rPr>
        <w:t xml:space="preserve">(5), 512–516. </w:t>
      </w:r>
      <w:hyperlink r:id="rId34" w:tgtFrame="_new" w:history="1">
        <w:r w:rsidRPr="00562719">
          <w:rPr>
            <w:rFonts w:ascii="Times New Roman" w:eastAsia="Times New Roman" w:hAnsi="Times New Roman" w:cs="Times New Roman"/>
            <w:color w:val="0000FF"/>
            <w:sz w:val="24"/>
            <w:szCs w:val="24"/>
            <w:u w:val="single"/>
          </w:rPr>
          <w:t>https://doi.org/10.1007/s00128-011-0365-1</w:t>
        </w:r>
      </w:hyperlink>
    </w:p>
    <w:p w14:paraId="74DD5EC3"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562719">
        <w:rPr>
          <w:rFonts w:ascii="Times New Roman" w:eastAsia="Times New Roman" w:hAnsi="Times New Roman" w:cs="Times New Roman"/>
          <w:sz w:val="24"/>
          <w:szCs w:val="24"/>
        </w:rPr>
        <w:t>Quiblier</w:t>
      </w:r>
      <w:proofErr w:type="spellEnd"/>
      <w:r w:rsidRPr="00562719">
        <w:rPr>
          <w:rFonts w:ascii="Times New Roman" w:eastAsia="Times New Roman" w:hAnsi="Times New Roman" w:cs="Times New Roman"/>
          <w:sz w:val="24"/>
          <w:szCs w:val="24"/>
        </w:rPr>
        <w:t>, C., Wood, S. A., Echenique-</w:t>
      </w:r>
      <w:proofErr w:type="spellStart"/>
      <w:r w:rsidRPr="00562719">
        <w:rPr>
          <w:rFonts w:ascii="Times New Roman" w:eastAsia="Times New Roman" w:hAnsi="Times New Roman" w:cs="Times New Roman"/>
          <w:sz w:val="24"/>
          <w:szCs w:val="24"/>
        </w:rPr>
        <w:t>Subiabre</w:t>
      </w:r>
      <w:proofErr w:type="spellEnd"/>
      <w:r w:rsidRPr="00562719">
        <w:rPr>
          <w:rFonts w:ascii="Times New Roman" w:eastAsia="Times New Roman" w:hAnsi="Times New Roman" w:cs="Times New Roman"/>
          <w:sz w:val="24"/>
          <w:szCs w:val="24"/>
        </w:rPr>
        <w:t xml:space="preserve">, I., Heath, M. W., Villeneuve, A., &amp; Humbert, J.-F. (2013). A review of current knowledge on toxic benthic freshwater cyanobacteria—Ecology, toxin production and risk management. </w:t>
      </w:r>
      <w:r w:rsidRPr="00562719">
        <w:rPr>
          <w:rFonts w:ascii="Times New Roman" w:eastAsia="Times New Roman" w:hAnsi="Times New Roman" w:cs="Times New Roman"/>
          <w:i/>
          <w:iCs/>
          <w:sz w:val="24"/>
          <w:szCs w:val="24"/>
        </w:rPr>
        <w:t>Water Research, 47</w:t>
      </w:r>
      <w:r w:rsidRPr="00562719">
        <w:rPr>
          <w:rFonts w:ascii="Times New Roman" w:eastAsia="Times New Roman" w:hAnsi="Times New Roman" w:cs="Times New Roman"/>
          <w:sz w:val="24"/>
          <w:szCs w:val="24"/>
        </w:rPr>
        <w:t xml:space="preserve">(15), 5464–5479. </w:t>
      </w:r>
      <w:hyperlink r:id="rId35" w:tgtFrame="_new" w:history="1">
        <w:r w:rsidRPr="00562719">
          <w:rPr>
            <w:rFonts w:ascii="Times New Roman" w:eastAsia="Times New Roman" w:hAnsi="Times New Roman" w:cs="Times New Roman"/>
            <w:color w:val="0000FF"/>
            <w:sz w:val="24"/>
            <w:szCs w:val="24"/>
            <w:u w:val="single"/>
          </w:rPr>
          <w:t>https://doi.org/10.1016/j.watres.2013.06.042</w:t>
        </w:r>
      </w:hyperlink>
    </w:p>
    <w:p w14:paraId="6B894FD4"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Sanità di Toppi, L. S., &amp; </w:t>
      </w:r>
      <w:proofErr w:type="spellStart"/>
      <w:r w:rsidRPr="00562719">
        <w:rPr>
          <w:rFonts w:ascii="Times New Roman" w:eastAsia="Times New Roman" w:hAnsi="Times New Roman" w:cs="Times New Roman"/>
          <w:sz w:val="24"/>
          <w:szCs w:val="24"/>
        </w:rPr>
        <w:t>Gabbrielli</w:t>
      </w:r>
      <w:proofErr w:type="spellEnd"/>
      <w:r w:rsidRPr="00562719">
        <w:rPr>
          <w:rFonts w:ascii="Times New Roman" w:eastAsia="Times New Roman" w:hAnsi="Times New Roman" w:cs="Times New Roman"/>
          <w:sz w:val="24"/>
          <w:szCs w:val="24"/>
        </w:rPr>
        <w:t xml:space="preserve">, R. (1999). Response to cadmium in higher plants. </w:t>
      </w:r>
      <w:r w:rsidRPr="00562719">
        <w:rPr>
          <w:rFonts w:ascii="Times New Roman" w:eastAsia="Times New Roman" w:hAnsi="Times New Roman" w:cs="Times New Roman"/>
          <w:i/>
          <w:iCs/>
          <w:sz w:val="24"/>
          <w:szCs w:val="24"/>
        </w:rPr>
        <w:t>Environmental and Experimental Botany, 41</w:t>
      </w:r>
      <w:r w:rsidRPr="00562719">
        <w:rPr>
          <w:rFonts w:ascii="Times New Roman" w:eastAsia="Times New Roman" w:hAnsi="Times New Roman" w:cs="Times New Roman"/>
          <w:sz w:val="24"/>
          <w:szCs w:val="24"/>
        </w:rPr>
        <w:t>(2), 105–130. https://doi.org/10.1016/S0098-8472(98)00058-6</w:t>
      </w:r>
    </w:p>
    <w:p w14:paraId="0DC874ED"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562719">
        <w:rPr>
          <w:rFonts w:ascii="Times New Roman" w:eastAsia="Times New Roman" w:hAnsi="Times New Roman" w:cs="Times New Roman"/>
          <w:sz w:val="24"/>
          <w:szCs w:val="24"/>
        </w:rPr>
        <w:t>Sedoud</w:t>
      </w:r>
      <w:proofErr w:type="spellEnd"/>
      <w:r w:rsidRPr="00562719">
        <w:rPr>
          <w:rFonts w:ascii="Times New Roman" w:eastAsia="Times New Roman" w:hAnsi="Times New Roman" w:cs="Times New Roman"/>
          <w:sz w:val="24"/>
          <w:szCs w:val="24"/>
        </w:rPr>
        <w:t>, A., López-</w:t>
      </w:r>
      <w:proofErr w:type="spellStart"/>
      <w:r w:rsidRPr="00562719">
        <w:rPr>
          <w:rFonts w:ascii="Times New Roman" w:eastAsia="Times New Roman" w:hAnsi="Times New Roman" w:cs="Times New Roman"/>
          <w:sz w:val="24"/>
          <w:szCs w:val="24"/>
        </w:rPr>
        <w:t>Igual</w:t>
      </w:r>
      <w:proofErr w:type="spellEnd"/>
      <w:r w:rsidRPr="00562719">
        <w:rPr>
          <w:rFonts w:ascii="Times New Roman" w:eastAsia="Times New Roman" w:hAnsi="Times New Roman" w:cs="Times New Roman"/>
          <w:sz w:val="24"/>
          <w:szCs w:val="24"/>
        </w:rPr>
        <w:t xml:space="preserve">, R., </w:t>
      </w:r>
      <w:proofErr w:type="spellStart"/>
      <w:r w:rsidRPr="00562719">
        <w:rPr>
          <w:rFonts w:ascii="Times New Roman" w:eastAsia="Times New Roman" w:hAnsi="Times New Roman" w:cs="Times New Roman"/>
          <w:sz w:val="24"/>
          <w:szCs w:val="24"/>
        </w:rPr>
        <w:t>ur</w:t>
      </w:r>
      <w:proofErr w:type="spellEnd"/>
      <w:r w:rsidRPr="00562719">
        <w:rPr>
          <w:rFonts w:ascii="Times New Roman" w:eastAsia="Times New Roman" w:hAnsi="Times New Roman" w:cs="Times New Roman"/>
          <w:sz w:val="24"/>
          <w:szCs w:val="24"/>
        </w:rPr>
        <w:t xml:space="preserve"> Rehman, A., Wilson, A., Perreau, F., Boulay, C., Vass, I., Krieger-Liszkay, A., &amp; </w:t>
      </w:r>
      <w:proofErr w:type="spellStart"/>
      <w:r w:rsidRPr="00562719">
        <w:rPr>
          <w:rFonts w:ascii="Times New Roman" w:eastAsia="Times New Roman" w:hAnsi="Times New Roman" w:cs="Times New Roman"/>
          <w:sz w:val="24"/>
          <w:szCs w:val="24"/>
        </w:rPr>
        <w:t>Kirilovsky</w:t>
      </w:r>
      <w:proofErr w:type="spellEnd"/>
      <w:r w:rsidRPr="00562719">
        <w:rPr>
          <w:rFonts w:ascii="Times New Roman" w:eastAsia="Times New Roman" w:hAnsi="Times New Roman" w:cs="Times New Roman"/>
          <w:sz w:val="24"/>
          <w:szCs w:val="24"/>
        </w:rPr>
        <w:t xml:space="preserve">, D. (2014). The cyanobacterial photoactive orange carotenoid protein is an excellent singlet oxygen quencher. </w:t>
      </w:r>
      <w:r w:rsidRPr="00562719">
        <w:rPr>
          <w:rFonts w:ascii="Times New Roman" w:eastAsia="Times New Roman" w:hAnsi="Times New Roman" w:cs="Times New Roman"/>
          <w:i/>
          <w:iCs/>
          <w:sz w:val="24"/>
          <w:szCs w:val="24"/>
        </w:rPr>
        <w:t>The Plant Cell, 26</w:t>
      </w:r>
      <w:r w:rsidRPr="00562719">
        <w:rPr>
          <w:rFonts w:ascii="Times New Roman" w:eastAsia="Times New Roman" w:hAnsi="Times New Roman" w:cs="Times New Roman"/>
          <w:sz w:val="24"/>
          <w:szCs w:val="24"/>
        </w:rPr>
        <w:t xml:space="preserve">(4), 1781–1791. </w:t>
      </w:r>
      <w:hyperlink r:id="rId36" w:tgtFrame="_new" w:history="1">
        <w:r w:rsidRPr="00562719">
          <w:rPr>
            <w:rFonts w:ascii="Times New Roman" w:eastAsia="Times New Roman" w:hAnsi="Times New Roman" w:cs="Times New Roman"/>
            <w:color w:val="0000FF"/>
            <w:sz w:val="24"/>
            <w:szCs w:val="24"/>
            <w:u w:val="single"/>
          </w:rPr>
          <w:t>https://doi.org/10.1105/tpc.114.123802</w:t>
        </w:r>
      </w:hyperlink>
    </w:p>
    <w:p w14:paraId="5E3A53C8"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Shrivastava, D. K., Parihar, R., &amp; </w:t>
      </w:r>
      <w:proofErr w:type="spellStart"/>
      <w:r w:rsidRPr="00562719">
        <w:rPr>
          <w:rFonts w:ascii="Times New Roman" w:eastAsia="Times New Roman" w:hAnsi="Times New Roman" w:cs="Times New Roman"/>
          <w:sz w:val="24"/>
          <w:szCs w:val="24"/>
        </w:rPr>
        <w:t>Dhurve</w:t>
      </w:r>
      <w:proofErr w:type="spellEnd"/>
      <w:r w:rsidRPr="00562719">
        <w:rPr>
          <w:rFonts w:ascii="Times New Roman" w:eastAsia="Times New Roman" w:hAnsi="Times New Roman" w:cs="Times New Roman"/>
          <w:sz w:val="24"/>
          <w:szCs w:val="24"/>
        </w:rPr>
        <w:t xml:space="preserve">, R. S. (2015). Occurrence and diversity of diazotrophic cyanobacteria in distillery effluents. </w:t>
      </w:r>
      <w:r w:rsidRPr="00562719">
        <w:rPr>
          <w:rFonts w:ascii="Times New Roman" w:eastAsia="Times New Roman" w:hAnsi="Times New Roman" w:cs="Times New Roman"/>
          <w:i/>
          <w:iCs/>
          <w:sz w:val="24"/>
          <w:szCs w:val="24"/>
        </w:rPr>
        <w:t>International Journal of Science and Research, 4</w:t>
      </w:r>
      <w:r w:rsidRPr="00562719">
        <w:rPr>
          <w:rFonts w:ascii="Times New Roman" w:eastAsia="Times New Roman" w:hAnsi="Times New Roman" w:cs="Times New Roman"/>
          <w:sz w:val="24"/>
          <w:szCs w:val="24"/>
        </w:rPr>
        <w:t xml:space="preserve">(1), 2634–2637. </w:t>
      </w:r>
      <w:hyperlink r:id="rId37" w:tgtFrame="_blank" w:history="1">
        <w:r w:rsidRPr="00562719">
          <w:rPr>
            <w:rFonts w:ascii="Times New Roman" w:eastAsia="Times New Roman" w:hAnsi="Times New Roman" w:cs="Times New Roman"/>
            <w:color w:val="0000FF"/>
            <w:sz w:val="24"/>
            <w:szCs w:val="24"/>
            <w:u w:val="single"/>
          </w:rPr>
          <w:t>https://www.ijsr.net/archive/v4i1/SUB15970.pdf</w:t>
        </w:r>
      </w:hyperlink>
    </w:p>
    <w:p w14:paraId="7EACF585"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562719">
        <w:rPr>
          <w:rFonts w:ascii="Times New Roman" w:eastAsia="Times New Roman" w:hAnsi="Times New Roman" w:cs="Times New Roman"/>
          <w:sz w:val="24"/>
          <w:szCs w:val="24"/>
        </w:rPr>
        <w:t>Thevarajah</w:t>
      </w:r>
      <w:proofErr w:type="spellEnd"/>
      <w:r w:rsidRPr="00562719">
        <w:rPr>
          <w:rFonts w:ascii="Times New Roman" w:eastAsia="Times New Roman" w:hAnsi="Times New Roman" w:cs="Times New Roman"/>
          <w:sz w:val="24"/>
          <w:szCs w:val="24"/>
        </w:rPr>
        <w:t xml:space="preserve">, B., </w:t>
      </w:r>
      <w:proofErr w:type="spellStart"/>
      <w:r w:rsidRPr="00562719">
        <w:rPr>
          <w:rFonts w:ascii="Times New Roman" w:eastAsia="Times New Roman" w:hAnsi="Times New Roman" w:cs="Times New Roman"/>
          <w:sz w:val="24"/>
          <w:szCs w:val="24"/>
        </w:rPr>
        <w:t>Nishshanka</w:t>
      </w:r>
      <w:proofErr w:type="spellEnd"/>
      <w:r w:rsidRPr="00562719">
        <w:rPr>
          <w:rFonts w:ascii="Times New Roman" w:eastAsia="Times New Roman" w:hAnsi="Times New Roman" w:cs="Times New Roman"/>
          <w:sz w:val="24"/>
          <w:szCs w:val="24"/>
        </w:rPr>
        <w:t xml:space="preserve">, G. K. S. H., Premaratne, M., </w:t>
      </w:r>
      <w:proofErr w:type="spellStart"/>
      <w:r w:rsidRPr="00562719">
        <w:rPr>
          <w:rFonts w:ascii="Times New Roman" w:eastAsia="Times New Roman" w:hAnsi="Times New Roman" w:cs="Times New Roman"/>
          <w:sz w:val="24"/>
          <w:szCs w:val="24"/>
        </w:rPr>
        <w:t>Wasath</w:t>
      </w:r>
      <w:proofErr w:type="spellEnd"/>
      <w:r w:rsidRPr="00562719">
        <w:rPr>
          <w:rFonts w:ascii="Times New Roman" w:eastAsia="Times New Roman" w:hAnsi="Times New Roman" w:cs="Times New Roman"/>
          <w:sz w:val="24"/>
          <w:szCs w:val="24"/>
        </w:rPr>
        <w:t xml:space="preserve">, W. A. J., </w:t>
      </w:r>
      <w:proofErr w:type="spellStart"/>
      <w:r w:rsidRPr="00562719">
        <w:rPr>
          <w:rFonts w:ascii="Times New Roman" w:eastAsia="Times New Roman" w:hAnsi="Times New Roman" w:cs="Times New Roman"/>
          <w:sz w:val="24"/>
          <w:szCs w:val="24"/>
        </w:rPr>
        <w:t>Nimarshana</w:t>
      </w:r>
      <w:proofErr w:type="spellEnd"/>
      <w:r w:rsidRPr="00562719">
        <w:rPr>
          <w:rFonts w:ascii="Times New Roman" w:eastAsia="Times New Roman" w:hAnsi="Times New Roman" w:cs="Times New Roman"/>
          <w:sz w:val="24"/>
          <w:szCs w:val="24"/>
        </w:rPr>
        <w:t xml:space="preserve">, P. H. V., Malik, A. R., &amp; </w:t>
      </w:r>
      <w:proofErr w:type="spellStart"/>
      <w:r w:rsidRPr="00562719">
        <w:rPr>
          <w:rFonts w:ascii="Times New Roman" w:eastAsia="Times New Roman" w:hAnsi="Times New Roman" w:cs="Times New Roman"/>
          <w:sz w:val="24"/>
          <w:szCs w:val="24"/>
        </w:rPr>
        <w:t>Ariyadasa</w:t>
      </w:r>
      <w:proofErr w:type="spellEnd"/>
      <w:r w:rsidRPr="00562719">
        <w:rPr>
          <w:rFonts w:ascii="Times New Roman" w:eastAsia="Times New Roman" w:hAnsi="Times New Roman" w:cs="Times New Roman"/>
          <w:sz w:val="24"/>
          <w:szCs w:val="24"/>
        </w:rPr>
        <w:t xml:space="preserve">, T. U. (2023). Cyanobacterial pigment production in wastewaters treated for heavy metal removal: Current status and perspectives. </w:t>
      </w:r>
      <w:r w:rsidRPr="00562719">
        <w:rPr>
          <w:rFonts w:ascii="Times New Roman" w:eastAsia="Times New Roman" w:hAnsi="Times New Roman" w:cs="Times New Roman"/>
          <w:i/>
          <w:iCs/>
          <w:sz w:val="24"/>
          <w:szCs w:val="24"/>
        </w:rPr>
        <w:t>Journal of Environmental Chemical Engineering, 11</w:t>
      </w:r>
      <w:r w:rsidRPr="00562719">
        <w:rPr>
          <w:rFonts w:ascii="Times New Roman" w:eastAsia="Times New Roman" w:hAnsi="Times New Roman" w:cs="Times New Roman"/>
          <w:sz w:val="24"/>
          <w:szCs w:val="24"/>
        </w:rPr>
        <w:t xml:space="preserve">(1), 108999. </w:t>
      </w:r>
      <w:hyperlink r:id="rId38" w:tgtFrame="_new" w:history="1">
        <w:r w:rsidRPr="00562719">
          <w:rPr>
            <w:rFonts w:ascii="Times New Roman" w:eastAsia="Times New Roman" w:hAnsi="Times New Roman" w:cs="Times New Roman"/>
            <w:color w:val="0000FF"/>
            <w:sz w:val="24"/>
            <w:szCs w:val="24"/>
            <w:u w:val="single"/>
          </w:rPr>
          <w:t>https://doi.org/10.1016/j.jece.2022.108999</w:t>
        </w:r>
      </w:hyperlink>
    </w:p>
    <w:p w14:paraId="4C53F5AA"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Wang, T. C., Weissman, J. C., Ramesh, G., Varadarajan, R., &amp; Benemann, J. R. (1998). Heavy metal binding and removal by </w:t>
      </w:r>
      <w:proofErr w:type="spellStart"/>
      <w:r w:rsidRPr="00562719">
        <w:rPr>
          <w:rFonts w:ascii="Times New Roman" w:eastAsia="Times New Roman" w:hAnsi="Times New Roman" w:cs="Times New Roman"/>
          <w:i/>
          <w:iCs/>
          <w:sz w:val="24"/>
          <w:szCs w:val="24"/>
        </w:rPr>
        <w:t>Phormidium</w:t>
      </w:r>
      <w:proofErr w:type="spellEnd"/>
      <w:r w:rsidRPr="00562719">
        <w:rPr>
          <w:rFonts w:ascii="Times New Roman" w:eastAsia="Times New Roman" w:hAnsi="Times New Roman" w:cs="Times New Roman"/>
          <w:sz w:val="24"/>
          <w:szCs w:val="24"/>
        </w:rPr>
        <w:t xml:space="preserve">. </w:t>
      </w:r>
      <w:r w:rsidRPr="00562719">
        <w:rPr>
          <w:rFonts w:ascii="Times New Roman" w:eastAsia="Times New Roman" w:hAnsi="Times New Roman" w:cs="Times New Roman"/>
          <w:i/>
          <w:iCs/>
          <w:sz w:val="24"/>
          <w:szCs w:val="24"/>
        </w:rPr>
        <w:t>Bulletin of Environmental Contamination and Toxicology, 60</w:t>
      </w:r>
      <w:r w:rsidRPr="00562719">
        <w:rPr>
          <w:rFonts w:ascii="Times New Roman" w:eastAsia="Times New Roman" w:hAnsi="Times New Roman" w:cs="Times New Roman"/>
          <w:sz w:val="24"/>
          <w:szCs w:val="24"/>
        </w:rPr>
        <w:t xml:space="preserve">(5), 739–744. </w:t>
      </w:r>
      <w:hyperlink r:id="rId39" w:tgtFrame="_new" w:history="1">
        <w:r w:rsidRPr="00562719">
          <w:rPr>
            <w:rFonts w:ascii="Times New Roman" w:eastAsia="Times New Roman" w:hAnsi="Times New Roman" w:cs="Times New Roman"/>
            <w:color w:val="0000FF"/>
            <w:sz w:val="24"/>
            <w:szCs w:val="24"/>
            <w:u w:val="single"/>
          </w:rPr>
          <w:t>https://doi.org/10.1007/s001289900688</w:t>
        </w:r>
      </w:hyperlink>
    </w:p>
    <w:p w14:paraId="4C044875"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t xml:space="preserve">Zakar, T., Laczko-Dobos, H., Toth, T. N., &amp; Gombos, Z. (2016). Carotenoids assist in cyanobacterial photosystem II assembly and function. </w:t>
      </w:r>
      <w:r w:rsidRPr="00562719">
        <w:rPr>
          <w:rFonts w:ascii="Times New Roman" w:eastAsia="Times New Roman" w:hAnsi="Times New Roman" w:cs="Times New Roman"/>
          <w:i/>
          <w:iCs/>
          <w:sz w:val="24"/>
          <w:szCs w:val="24"/>
        </w:rPr>
        <w:t>Frontiers in Plant Science, 7</w:t>
      </w:r>
      <w:r w:rsidRPr="00562719">
        <w:rPr>
          <w:rFonts w:ascii="Times New Roman" w:eastAsia="Times New Roman" w:hAnsi="Times New Roman" w:cs="Times New Roman"/>
          <w:sz w:val="24"/>
          <w:szCs w:val="24"/>
        </w:rPr>
        <w:t xml:space="preserve">, 295. </w:t>
      </w:r>
      <w:hyperlink r:id="rId40" w:tgtFrame="_new" w:history="1">
        <w:r w:rsidRPr="00562719">
          <w:rPr>
            <w:rFonts w:ascii="Times New Roman" w:eastAsia="Times New Roman" w:hAnsi="Times New Roman" w:cs="Times New Roman"/>
            <w:color w:val="0000FF"/>
            <w:sz w:val="24"/>
            <w:szCs w:val="24"/>
            <w:u w:val="single"/>
          </w:rPr>
          <w:t>https://doi.org/10.3389/fpls.2016.00295</w:t>
        </w:r>
      </w:hyperlink>
    </w:p>
    <w:p w14:paraId="5B5C9834" w14:textId="77777777" w:rsidR="00562719" w:rsidRPr="00562719" w:rsidRDefault="00562719" w:rsidP="00562719">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562719">
        <w:rPr>
          <w:rFonts w:ascii="Times New Roman" w:eastAsia="Times New Roman" w:hAnsi="Times New Roman" w:cs="Times New Roman"/>
          <w:sz w:val="24"/>
          <w:szCs w:val="24"/>
        </w:rPr>
        <w:lastRenderedPageBreak/>
        <w:t xml:space="preserve">Zammit, G., Fenech, K., &amp; Sinagra, E. (2026). Responses of biofilm-forming halophilic </w:t>
      </w:r>
      <w:r w:rsidRPr="00562719">
        <w:rPr>
          <w:rFonts w:ascii="Times New Roman" w:eastAsia="Times New Roman" w:hAnsi="Times New Roman" w:cs="Times New Roman"/>
          <w:i/>
          <w:iCs/>
          <w:sz w:val="24"/>
          <w:szCs w:val="24"/>
        </w:rPr>
        <w:t>Calothrix</w:t>
      </w:r>
      <w:r w:rsidRPr="00562719">
        <w:rPr>
          <w:rFonts w:ascii="Times New Roman" w:eastAsia="Times New Roman" w:hAnsi="Times New Roman" w:cs="Times New Roman"/>
          <w:sz w:val="24"/>
          <w:szCs w:val="24"/>
        </w:rPr>
        <w:t xml:space="preserve"> and </w:t>
      </w:r>
      <w:proofErr w:type="spellStart"/>
      <w:r w:rsidRPr="00562719">
        <w:rPr>
          <w:rFonts w:ascii="Times New Roman" w:eastAsia="Times New Roman" w:hAnsi="Times New Roman" w:cs="Times New Roman"/>
          <w:i/>
          <w:iCs/>
          <w:sz w:val="24"/>
          <w:szCs w:val="24"/>
        </w:rPr>
        <w:t>Coelastrella</w:t>
      </w:r>
      <w:proofErr w:type="spellEnd"/>
      <w:r w:rsidRPr="00562719">
        <w:rPr>
          <w:rFonts w:ascii="Times New Roman" w:eastAsia="Times New Roman" w:hAnsi="Times New Roman" w:cs="Times New Roman"/>
          <w:sz w:val="24"/>
          <w:szCs w:val="24"/>
        </w:rPr>
        <w:t xml:space="preserve"> strains to environmental stressors associated with climate change. </w:t>
      </w:r>
      <w:r w:rsidRPr="00562719">
        <w:rPr>
          <w:rFonts w:ascii="Times New Roman" w:eastAsia="Times New Roman" w:hAnsi="Times New Roman" w:cs="Times New Roman"/>
          <w:i/>
          <w:iCs/>
          <w:sz w:val="24"/>
          <w:szCs w:val="24"/>
        </w:rPr>
        <w:t>Microorganisms, 14</w:t>
      </w:r>
      <w:r w:rsidRPr="00562719">
        <w:rPr>
          <w:rFonts w:ascii="Times New Roman" w:eastAsia="Times New Roman" w:hAnsi="Times New Roman" w:cs="Times New Roman"/>
          <w:sz w:val="24"/>
          <w:szCs w:val="24"/>
        </w:rPr>
        <w:t xml:space="preserve">(2), 487. </w:t>
      </w:r>
      <w:hyperlink r:id="rId41" w:tgtFrame="_new" w:history="1">
        <w:r w:rsidRPr="00562719">
          <w:rPr>
            <w:rFonts w:ascii="Times New Roman" w:eastAsia="Times New Roman" w:hAnsi="Times New Roman" w:cs="Times New Roman"/>
            <w:color w:val="0000FF"/>
            <w:sz w:val="24"/>
            <w:szCs w:val="24"/>
            <w:u w:val="single"/>
          </w:rPr>
          <w:t>https://doi.org/10.3390/microorganisms14020487</w:t>
        </w:r>
      </w:hyperlink>
    </w:p>
    <w:p w14:paraId="54ED2D59" w14:textId="65D2D820" w:rsidR="00760131" w:rsidRPr="009F723B" w:rsidRDefault="00760131" w:rsidP="00562719">
      <w:pPr>
        <w:pStyle w:val="ListParagraph"/>
        <w:spacing w:after="0" w:line="240" w:lineRule="auto"/>
        <w:ind w:hanging="720"/>
        <w:rPr>
          <w:rFonts w:ascii="Times New Roman" w:hAnsi="Times New Roman" w:cs="Times New Roman"/>
          <w:sz w:val="24"/>
          <w:szCs w:val="24"/>
        </w:rPr>
      </w:pPr>
    </w:p>
    <w:sectPr w:rsidR="00760131" w:rsidRPr="009F723B" w:rsidSect="00933D2B">
      <w:headerReference w:type="even" r:id="rId42"/>
      <w:headerReference w:type="default" r:id="rId43"/>
      <w:footerReference w:type="even" r:id="rId44"/>
      <w:footerReference w:type="default" r:id="rId45"/>
      <w:headerReference w:type="first" r:id="rId46"/>
      <w:footerReference w:type="first" r:id="rId4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CFF42" w14:textId="77777777" w:rsidR="00322B62" w:rsidRDefault="00322B62" w:rsidP="00F7089C">
      <w:pPr>
        <w:spacing w:after="0" w:line="240" w:lineRule="auto"/>
      </w:pPr>
      <w:r>
        <w:separator/>
      </w:r>
    </w:p>
  </w:endnote>
  <w:endnote w:type="continuationSeparator" w:id="0">
    <w:p w14:paraId="325904D2" w14:textId="77777777" w:rsidR="00322B62" w:rsidRDefault="00322B62" w:rsidP="00F70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BA320" w14:textId="77777777" w:rsidR="00933D2B" w:rsidRDefault="00933D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348910"/>
      <w:docPartObj>
        <w:docPartGallery w:val="Page Numbers (Bottom of Page)"/>
        <w:docPartUnique/>
      </w:docPartObj>
    </w:sdtPr>
    <w:sdtEndPr>
      <w:rPr>
        <w:noProof/>
      </w:rPr>
    </w:sdtEndPr>
    <w:sdtContent>
      <w:p w14:paraId="69216535" w14:textId="77777777" w:rsidR="00F7089C" w:rsidRDefault="00F708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3499EA" w14:textId="77777777" w:rsidR="00F7089C" w:rsidRDefault="00F708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A1B28" w14:textId="77777777" w:rsidR="00933D2B" w:rsidRDefault="00933D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8579D" w14:textId="77777777" w:rsidR="00322B62" w:rsidRDefault="00322B62" w:rsidP="00F7089C">
      <w:pPr>
        <w:spacing w:after="0" w:line="240" w:lineRule="auto"/>
      </w:pPr>
      <w:r>
        <w:separator/>
      </w:r>
    </w:p>
  </w:footnote>
  <w:footnote w:type="continuationSeparator" w:id="0">
    <w:p w14:paraId="0F499D60" w14:textId="77777777" w:rsidR="00322B62" w:rsidRDefault="00322B62" w:rsidP="00F70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D5384" w14:textId="77777777" w:rsidR="00933D2B" w:rsidRDefault="00000000">
    <w:pPr>
      <w:pStyle w:val="Header"/>
    </w:pPr>
    <w:r>
      <w:rPr>
        <w:noProof/>
      </w:rPr>
      <w:pict w14:anchorId="45014C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35204"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D362C" w14:textId="77777777" w:rsidR="00933D2B" w:rsidRDefault="00000000">
    <w:pPr>
      <w:pStyle w:val="Header"/>
    </w:pPr>
    <w:r>
      <w:rPr>
        <w:noProof/>
      </w:rPr>
      <w:pict w14:anchorId="007130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35205"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85434" w14:textId="77777777" w:rsidR="00933D2B" w:rsidRDefault="00000000">
    <w:pPr>
      <w:pStyle w:val="Header"/>
    </w:pPr>
    <w:r>
      <w:rPr>
        <w:noProof/>
      </w:rPr>
      <w:pict w14:anchorId="26A877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35203"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92C65"/>
    <w:multiLevelType w:val="multilevel"/>
    <w:tmpl w:val="A24A7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FD1664"/>
    <w:multiLevelType w:val="hybridMultilevel"/>
    <w:tmpl w:val="2B08536A"/>
    <w:lvl w:ilvl="0" w:tplc="0810C9C6">
      <w:start w:val="1"/>
      <w:numFmt w:val="upperLetter"/>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CD27A4B"/>
    <w:multiLevelType w:val="hybridMultilevel"/>
    <w:tmpl w:val="A5647DC4"/>
    <w:lvl w:ilvl="0" w:tplc="F48A135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CE7CA3"/>
    <w:multiLevelType w:val="hybridMultilevel"/>
    <w:tmpl w:val="AA40CB44"/>
    <w:lvl w:ilvl="0" w:tplc="F48A135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432910">
    <w:abstractNumId w:val="3"/>
  </w:num>
  <w:num w:numId="2" w16cid:durableId="1045065635">
    <w:abstractNumId w:val="2"/>
  </w:num>
  <w:num w:numId="3" w16cid:durableId="1913351707">
    <w:abstractNumId w:val="0"/>
  </w:num>
  <w:num w:numId="4" w16cid:durableId="1025247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9C"/>
    <w:rsid w:val="00095F71"/>
    <w:rsid w:val="000A389E"/>
    <w:rsid w:val="000B3398"/>
    <w:rsid w:val="000E38B9"/>
    <w:rsid w:val="00117041"/>
    <w:rsid w:val="0012070F"/>
    <w:rsid w:val="001301EE"/>
    <w:rsid w:val="001970C9"/>
    <w:rsid w:val="001A3509"/>
    <w:rsid w:val="00322B62"/>
    <w:rsid w:val="00431E87"/>
    <w:rsid w:val="004454CE"/>
    <w:rsid w:val="0048463D"/>
    <w:rsid w:val="004A3713"/>
    <w:rsid w:val="004B4AEA"/>
    <w:rsid w:val="005415EB"/>
    <w:rsid w:val="00562719"/>
    <w:rsid w:val="00571531"/>
    <w:rsid w:val="00576817"/>
    <w:rsid w:val="00607F83"/>
    <w:rsid w:val="00760131"/>
    <w:rsid w:val="0083188C"/>
    <w:rsid w:val="00874DB6"/>
    <w:rsid w:val="008B52C6"/>
    <w:rsid w:val="00933D2B"/>
    <w:rsid w:val="00985E48"/>
    <w:rsid w:val="009B12BD"/>
    <w:rsid w:val="009F723B"/>
    <w:rsid w:val="00A451D4"/>
    <w:rsid w:val="00A64450"/>
    <w:rsid w:val="00BB4DE8"/>
    <w:rsid w:val="00C82B09"/>
    <w:rsid w:val="00D15DA5"/>
    <w:rsid w:val="00DB41D3"/>
    <w:rsid w:val="00F5633C"/>
    <w:rsid w:val="00F5652D"/>
    <w:rsid w:val="00F7089C"/>
    <w:rsid w:val="00FA3CC3"/>
    <w:rsid w:val="00FF0D0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6530E"/>
  <w15:chartTrackingRefBased/>
  <w15:docId w15:val="{37556E3E-732C-4B1B-AD0C-DEF5F3A0F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89C"/>
    <w:pPr>
      <w:spacing w:after="200" w:line="276" w:lineRule="auto"/>
    </w:pPr>
    <w:rPr>
      <w:kern w:val="0"/>
      <w:lang w:val="en-US"/>
      <w14:ligatures w14:val="none"/>
    </w:rPr>
  </w:style>
  <w:style w:type="paragraph" w:styleId="Heading1">
    <w:name w:val="heading 1"/>
    <w:basedOn w:val="Normal"/>
    <w:next w:val="Normal"/>
    <w:link w:val="Heading1Char"/>
    <w:uiPriority w:val="9"/>
    <w:qFormat/>
    <w:rsid w:val="00F708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08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08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08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08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08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08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08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08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8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08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08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08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08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08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8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8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89C"/>
    <w:rPr>
      <w:rFonts w:eastAsiaTheme="majorEastAsia" w:cstheme="majorBidi"/>
      <w:color w:val="272727" w:themeColor="text1" w:themeTint="D8"/>
    </w:rPr>
  </w:style>
  <w:style w:type="paragraph" w:styleId="Title">
    <w:name w:val="Title"/>
    <w:basedOn w:val="Normal"/>
    <w:next w:val="Normal"/>
    <w:link w:val="TitleChar"/>
    <w:uiPriority w:val="10"/>
    <w:qFormat/>
    <w:rsid w:val="00F708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8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8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08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89C"/>
    <w:pPr>
      <w:spacing w:before="160"/>
      <w:jc w:val="center"/>
    </w:pPr>
    <w:rPr>
      <w:i/>
      <w:iCs/>
      <w:color w:val="404040" w:themeColor="text1" w:themeTint="BF"/>
    </w:rPr>
  </w:style>
  <w:style w:type="character" w:customStyle="1" w:styleId="QuoteChar">
    <w:name w:val="Quote Char"/>
    <w:basedOn w:val="DefaultParagraphFont"/>
    <w:link w:val="Quote"/>
    <w:uiPriority w:val="29"/>
    <w:rsid w:val="00F7089C"/>
    <w:rPr>
      <w:i/>
      <w:iCs/>
      <w:color w:val="404040" w:themeColor="text1" w:themeTint="BF"/>
    </w:rPr>
  </w:style>
  <w:style w:type="paragraph" w:styleId="ListParagraph">
    <w:name w:val="List Paragraph"/>
    <w:basedOn w:val="Normal"/>
    <w:uiPriority w:val="34"/>
    <w:qFormat/>
    <w:rsid w:val="00F7089C"/>
    <w:pPr>
      <w:ind w:left="720"/>
      <w:contextualSpacing/>
    </w:pPr>
  </w:style>
  <w:style w:type="character" w:styleId="IntenseEmphasis">
    <w:name w:val="Intense Emphasis"/>
    <w:basedOn w:val="DefaultParagraphFont"/>
    <w:uiPriority w:val="21"/>
    <w:qFormat/>
    <w:rsid w:val="00F7089C"/>
    <w:rPr>
      <w:i/>
      <w:iCs/>
      <w:color w:val="0F4761" w:themeColor="accent1" w:themeShade="BF"/>
    </w:rPr>
  </w:style>
  <w:style w:type="paragraph" w:styleId="IntenseQuote">
    <w:name w:val="Intense Quote"/>
    <w:basedOn w:val="Normal"/>
    <w:next w:val="Normal"/>
    <w:link w:val="IntenseQuoteChar"/>
    <w:uiPriority w:val="30"/>
    <w:qFormat/>
    <w:rsid w:val="00F708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089C"/>
    <w:rPr>
      <w:i/>
      <w:iCs/>
      <w:color w:val="0F4761" w:themeColor="accent1" w:themeShade="BF"/>
    </w:rPr>
  </w:style>
  <w:style w:type="character" w:styleId="IntenseReference">
    <w:name w:val="Intense Reference"/>
    <w:basedOn w:val="DefaultParagraphFont"/>
    <w:uiPriority w:val="32"/>
    <w:qFormat/>
    <w:rsid w:val="00F7089C"/>
    <w:rPr>
      <w:b/>
      <w:bCs/>
      <w:smallCaps/>
      <w:color w:val="0F4761" w:themeColor="accent1" w:themeShade="BF"/>
      <w:spacing w:val="5"/>
    </w:rPr>
  </w:style>
  <w:style w:type="character" w:styleId="Hyperlink">
    <w:name w:val="Hyperlink"/>
    <w:basedOn w:val="DefaultParagraphFont"/>
    <w:uiPriority w:val="99"/>
    <w:unhideWhenUsed/>
    <w:rsid w:val="00F7089C"/>
    <w:rPr>
      <w:color w:val="0000FF"/>
      <w:u w:val="single"/>
    </w:rPr>
  </w:style>
  <w:style w:type="paragraph" w:customStyle="1" w:styleId="Default">
    <w:name w:val="Default"/>
    <w:rsid w:val="00F7089C"/>
    <w:pPr>
      <w:autoSpaceDE w:val="0"/>
      <w:autoSpaceDN w:val="0"/>
      <w:adjustRightInd w:val="0"/>
      <w:spacing w:after="0" w:line="240" w:lineRule="auto"/>
    </w:pPr>
    <w:rPr>
      <w:rFonts w:ascii="Times New Roman" w:hAnsi="Times New Roman" w:cs="Times New Roman"/>
      <w:color w:val="000000"/>
      <w:kern w:val="0"/>
      <w:sz w:val="24"/>
      <w:szCs w:val="24"/>
      <w:lang w:val="en-US"/>
      <w14:ligatures w14:val="none"/>
    </w:rPr>
  </w:style>
  <w:style w:type="table" w:styleId="TableGrid">
    <w:name w:val="Table Grid"/>
    <w:basedOn w:val="TableNormal"/>
    <w:uiPriority w:val="39"/>
    <w:rsid w:val="00F7089C"/>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7089C"/>
    <w:pPr>
      <w:spacing w:line="240" w:lineRule="auto"/>
    </w:pPr>
    <w:rPr>
      <w:i/>
      <w:iCs/>
      <w:color w:val="0E2841" w:themeColor="text2"/>
      <w:kern w:val="2"/>
      <w:sz w:val="18"/>
      <w:szCs w:val="18"/>
      <w:lang w:val="en-IN"/>
    </w:rPr>
  </w:style>
  <w:style w:type="character" w:styleId="LineNumber">
    <w:name w:val="line number"/>
    <w:basedOn w:val="DefaultParagraphFont"/>
    <w:uiPriority w:val="99"/>
    <w:semiHidden/>
    <w:unhideWhenUsed/>
    <w:rsid w:val="00F7089C"/>
  </w:style>
  <w:style w:type="paragraph" w:styleId="Header">
    <w:name w:val="header"/>
    <w:basedOn w:val="Normal"/>
    <w:link w:val="HeaderChar"/>
    <w:uiPriority w:val="99"/>
    <w:unhideWhenUsed/>
    <w:rsid w:val="00F708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089C"/>
    <w:rPr>
      <w:kern w:val="0"/>
      <w:lang w:val="en-US"/>
      <w14:ligatures w14:val="none"/>
    </w:rPr>
  </w:style>
  <w:style w:type="paragraph" w:styleId="Footer">
    <w:name w:val="footer"/>
    <w:basedOn w:val="Normal"/>
    <w:link w:val="FooterChar"/>
    <w:uiPriority w:val="99"/>
    <w:unhideWhenUsed/>
    <w:rsid w:val="00F708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089C"/>
    <w:rPr>
      <w:kern w:val="0"/>
      <w:lang w:val="en-US"/>
      <w14:ligatures w14:val="none"/>
    </w:rPr>
  </w:style>
  <w:style w:type="character" w:styleId="Emphasis">
    <w:name w:val="Emphasis"/>
    <w:basedOn w:val="DefaultParagraphFont"/>
    <w:uiPriority w:val="20"/>
    <w:qFormat/>
    <w:rsid w:val="00C82B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jplph.2012.06.002" TargetMode="External"/><Relationship Id="rId18" Type="http://schemas.openxmlformats.org/officeDocument/2006/relationships/hyperlink" Target="https://doi.org/10.1631/jzus.2005.B0171?utm_source=chatgpt.com" TargetMode="External"/><Relationship Id="rId26" Type="http://schemas.openxmlformats.org/officeDocument/2006/relationships/hyperlink" Target="https://www.ipublishing.co.in/jcesissues.html?utm_source=chatgpt.com" TargetMode="External"/><Relationship Id="rId39" Type="http://schemas.openxmlformats.org/officeDocument/2006/relationships/hyperlink" Target="https://doi.org/10.1007/s001289900688" TargetMode="External"/><Relationship Id="rId21" Type="http://schemas.openxmlformats.org/officeDocument/2006/relationships/hyperlink" Target="https://doi.org/10.1016/j.geoderma.2004.01.002" TargetMode="External"/><Relationship Id="rId34" Type="http://schemas.openxmlformats.org/officeDocument/2006/relationships/hyperlink" Target="https://doi.org/10.1007/s00128-011-0365-1"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yperlink" Target="https://doi.org/10.1007/s10811-010-9617-4" TargetMode="External"/><Relationship Id="rId29" Type="http://schemas.openxmlformats.org/officeDocument/2006/relationships/hyperlink" Target="https://doi.org/10.3389/fmicb.2024.1450992" TargetMode="External"/><Relationship Id="rId11" Type="http://schemas.openxmlformats.org/officeDocument/2006/relationships/image" Target="media/image3.emf"/><Relationship Id="rId24" Type="http://schemas.openxmlformats.org/officeDocument/2006/relationships/hyperlink" Target="https://doi.org/10.1039/D4RA00409D" TargetMode="External"/><Relationship Id="rId32" Type="http://schemas.openxmlformats.org/officeDocument/2006/relationships/hyperlink" Target="https://doi.org/10.1007/s12011-020-02289-3" TargetMode="External"/><Relationship Id="rId37" Type="http://schemas.openxmlformats.org/officeDocument/2006/relationships/hyperlink" Target="https://www.ijsr.net/archive/v4i1/SUB15970.pdf?utm_source=chatgpt.com" TargetMode="External"/><Relationship Id="rId40" Type="http://schemas.openxmlformats.org/officeDocument/2006/relationships/hyperlink" Target="https://doi.org/10.3389/fpls.2016.00295" TargetMode="External"/><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1016/j.biortech.2003.12.016" TargetMode="External"/><Relationship Id="rId23" Type="http://schemas.openxmlformats.org/officeDocument/2006/relationships/hyperlink" Target="https://doi.org/10.1007/978-0-387-75865-7_33" TargetMode="External"/><Relationship Id="rId28" Type="http://schemas.openxmlformats.org/officeDocument/2006/relationships/hyperlink" Target="https://doi.org/10.1007/s10653-009-9262-5" TargetMode="External"/><Relationship Id="rId36" Type="http://schemas.openxmlformats.org/officeDocument/2006/relationships/hyperlink" Target="https://doi.org/10.1105/tpc.114.123802" TargetMode="External"/><Relationship Id="rId49" Type="http://schemas.openxmlformats.org/officeDocument/2006/relationships/theme" Target="theme/theme1.xml"/><Relationship Id="rId10" Type="http://schemas.openxmlformats.org/officeDocument/2006/relationships/oleObject" Target="embeddings/oleObject2.bin"/><Relationship Id="rId19" Type="http://schemas.openxmlformats.org/officeDocument/2006/relationships/hyperlink" Target="https://doi.org/10.1007/s11099-015-0096-3" TargetMode="External"/><Relationship Id="rId31" Type="http://schemas.openxmlformats.org/officeDocument/2006/relationships/hyperlink" Target="https://doi.org/10.1007/s11356-021-13800-1"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yperlink" Target="https://doi.org/10.5897/AJB2008.000-5044" TargetMode="External"/><Relationship Id="rId22" Type="http://schemas.openxmlformats.org/officeDocument/2006/relationships/hyperlink" Target="https://doi.org/10.9734/sajrm/2024/v18i7373" TargetMode="External"/><Relationship Id="rId27" Type="http://schemas.openxmlformats.org/officeDocument/2006/relationships/hyperlink" Target="https://doi.org/10.1111/j.1574-6976.2008.00134.x" TargetMode="External"/><Relationship Id="rId30" Type="http://schemas.openxmlformats.org/officeDocument/2006/relationships/hyperlink" Target="https://doi.org/10.56557/upjoz/2022/v43i233260" TargetMode="External"/><Relationship Id="rId35" Type="http://schemas.openxmlformats.org/officeDocument/2006/relationships/hyperlink" Target="https://doi.org/10.1016/j.watres.2013.06.042"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oleObject" Target="embeddings/oleObject1.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hyperlink" Target="https://doi.org/10.3390/cells10081916" TargetMode="External"/><Relationship Id="rId25" Type="http://schemas.openxmlformats.org/officeDocument/2006/relationships/hyperlink" Target="https://doi.org/10.3923/pjbs.2000.2165.2168" TargetMode="External"/><Relationship Id="rId33" Type="http://schemas.openxmlformats.org/officeDocument/2006/relationships/hyperlink" Target="https://doi.org/10.1111/j.0022-3646.2003.02-193.x?utm_source=chatgpt.com" TargetMode="External"/><Relationship Id="rId38" Type="http://schemas.openxmlformats.org/officeDocument/2006/relationships/hyperlink" Target="https://doi.org/10.1016/j.jece.2022.108999" TargetMode="External"/><Relationship Id="rId46" Type="http://schemas.openxmlformats.org/officeDocument/2006/relationships/header" Target="header3.xml"/><Relationship Id="rId20" Type="http://schemas.openxmlformats.org/officeDocument/2006/relationships/hyperlink" Target="https://doi.org/10.5897/AJB10.908" TargetMode="External"/><Relationship Id="rId41" Type="http://schemas.openxmlformats.org/officeDocument/2006/relationships/hyperlink" Target="https://doi.org/10.3390/microorganisms14020487"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12</Pages>
  <Words>5025</Words>
  <Characters>28646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Akanksha Pal</dc:creator>
  <cp:keywords/>
  <dc:description/>
  <cp:lastModifiedBy>Editor-90</cp:lastModifiedBy>
  <cp:revision>12</cp:revision>
  <dcterms:created xsi:type="dcterms:W3CDTF">2026-07-21T17:16:00Z</dcterms:created>
  <dcterms:modified xsi:type="dcterms:W3CDTF">2026-08-29T06:50:00Z</dcterms:modified>
</cp:coreProperties>
</file>