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5DB4E" w14:textId="77777777" w:rsidR="00403277" w:rsidRPr="0062764E" w:rsidRDefault="00403277" w:rsidP="00403277">
      <w:pPr>
        <w:pStyle w:val="Author"/>
        <w:spacing w:line="240" w:lineRule="auto"/>
        <w:outlineLvl w:val="0"/>
        <w:rPr>
          <w:rFonts w:ascii="Arial" w:hAnsi="Arial" w:cs="Arial"/>
          <w:bCs/>
          <w:i/>
          <w:iCs/>
          <w:kern w:val="28"/>
          <w:sz w:val="36"/>
          <w:u w:val="single"/>
        </w:rPr>
      </w:pPr>
      <w:r w:rsidRPr="0062764E">
        <w:rPr>
          <w:rFonts w:ascii="Arial" w:hAnsi="Arial" w:cs="Arial"/>
          <w:bCs/>
          <w:i/>
          <w:iCs/>
          <w:kern w:val="28"/>
          <w:sz w:val="36"/>
          <w:u w:val="single"/>
        </w:rPr>
        <w:t>Original Research Article</w:t>
      </w:r>
    </w:p>
    <w:p w14:paraId="646B03F8" w14:textId="77777777" w:rsidR="00FF59B1" w:rsidRPr="0062764E" w:rsidRDefault="002C62CA" w:rsidP="00FF59B1">
      <w:pPr>
        <w:pStyle w:val="Author"/>
        <w:spacing w:line="240" w:lineRule="auto"/>
        <w:rPr>
          <w:rFonts w:ascii="Arial" w:hAnsi="Arial" w:cs="Arial"/>
          <w:bCs/>
          <w:iCs/>
          <w:kern w:val="28"/>
          <w:sz w:val="36"/>
        </w:rPr>
      </w:pPr>
      <w:r w:rsidRPr="0062764E">
        <w:rPr>
          <w:rFonts w:ascii="Arial" w:hAnsi="Arial" w:cs="Arial"/>
          <w:bCs/>
          <w:iCs/>
          <w:kern w:val="28"/>
          <w:sz w:val="36"/>
        </w:rPr>
        <w:t xml:space="preserve">Digital Connectivity </w:t>
      </w:r>
      <w:proofErr w:type="gramStart"/>
      <w:r w:rsidRPr="0062764E">
        <w:rPr>
          <w:rFonts w:ascii="Arial" w:hAnsi="Arial" w:cs="Arial"/>
          <w:bCs/>
          <w:iCs/>
          <w:kern w:val="28"/>
          <w:sz w:val="36"/>
        </w:rPr>
        <w:t>In</w:t>
      </w:r>
      <w:proofErr w:type="gramEnd"/>
      <w:r w:rsidRPr="0062764E">
        <w:rPr>
          <w:rFonts w:ascii="Arial" w:hAnsi="Arial" w:cs="Arial"/>
          <w:bCs/>
          <w:iCs/>
          <w:kern w:val="28"/>
          <w:sz w:val="36"/>
        </w:rPr>
        <w:t xml:space="preserve"> </w:t>
      </w:r>
      <w:proofErr w:type="gramStart"/>
      <w:r w:rsidRPr="0062764E">
        <w:rPr>
          <w:rFonts w:ascii="Arial" w:hAnsi="Arial" w:cs="Arial"/>
          <w:bCs/>
          <w:iCs/>
          <w:kern w:val="28"/>
          <w:sz w:val="36"/>
        </w:rPr>
        <w:t>The</w:t>
      </w:r>
      <w:proofErr w:type="gramEnd"/>
      <w:r w:rsidRPr="0062764E">
        <w:rPr>
          <w:rFonts w:ascii="Arial" w:hAnsi="Arial" w:cs="Arial"/>
          <w:bCs/>
          <w:iCs/>
          <w:kern w:val="28"/>
          <w:sz w:val="36"/>
        </w:rPr>
        <w:t xml:space="preserve"> Halal Ecosystem: Opportunities </w:t>
      </w:r>
      <w:proofErr w:type="gramStart"/>
      <w:r w:rsidRPr="0062764E">
        <w:rPr>
          <w:rFonts w:ascii="Arial" w:hAnsi="Arial" w:cs="Arial"/>
          <w:bCs/>
          <w:iCs/>
          <w:kern w:val="28"/>
          <w:sz w:val="36"/>
        </w:rPr>
        <w:t>To</w:t>
      </w:r>
      <w:proofErr w:type="gramEnd"/>
      <w:r w:rsidRPr="0062764E">
        <w:rPr>
          <w:rFonts w:ascii="Arial" w:hAnsi="Arial" w:cs="Arial"/>
          <w:bCs/>
          <w:iCs/>
          <w:kern w:val="28"/>
          <w:sz w:val="36"/>
        </w:rPr>
        <w:t xml:space="preserve"> Advance Vietnam's Participation </w:t>
      </w:r>
      <w:proofErr w:type="gramStart"/>
      <w:r w:rsidRPr="0062764E">
        <w:rPr>
          <w:rFonts w:ascii="Arial" w:hAnsi="Arial" w:cs="Arial"/>
          <w:bCs/>
          <w:iCs/>
          <w:kern w:val="28"/>
          <w:sz w:val="36"/>
        </w:rPr>
        <w:t>In</w:t>
      </w:r>
      <w:proofErr w:type="gramEnd"/>
      <w:r w:rsidRPr="0062764E">
        <w:rPr>
          <w:rFonts w:ascii="Arial" w:hAnsi="Arial" w:cs="Arial"/>
          <w:bCs/>
          <w:iCs/>
          <w:kern w:val="28"/>
          <w:sz w:val="36"/>
        </w:rPr>
        <w:t xml:space="preserve"> Halal Food Value Chains </w:t>
      </w:r>
      <w:proofErr w:type="gramStart"/>
      <w:r w:rsidRPr="0062764E">
        <w:rPr>
          <w:rFonts w:ascii="Arial" w:hAnsi="Arial" w:cs="Arial"/>
          <w:bCs/>
          <w:iCs/>
          <w:kern w:val="28"/>
          <w:sz w:val="36"/>
        </w:rPr>
        <w:t>In</w:t>
      </w:r>
      <w:proofErr w:type="gramEnd"/>
      <w:r w:rsidRPr="0062764E">
        <w:rPr>
          <w:rFonts w:ascii="Arial" w:hAnsi="Arial" w:cs="Arial"/>
          <w:bCs/>
          <w:iCs/>
          <w:kern w:val="28"/>
          <w:sz w:val="36"/>
        </w:rPr>
        <w:t xml:space="preserve"> Selected Countries </w:t>
      </w:r>
      <w:proofErr w:type="gramStart"/>
      <w:r w:rsidRPr="0062764E">
        <w:rPr>
          <w:rFonts w:ascii="Arial" w:hAnsi="Arial" w:cs="Arial"/>
          <w:bCs/>
          <w:iCs/>
          <w:kern w:val="28"/>
          <w:sz w:val="36"/>
        </w:rPr>
        <w:t>Of</w:t>
      </w:r>
      <w:proofErr w:type="gramEnd"/>
      <w:r w:rsidRPr="0062764E">
        <w:rPr>
          <w:rFonts w:ascii="Arial" w:hAnsi="Arial" w:cs="Arial"/>
          <w:bCs/>
          <w:iCs/>
          <w:kern w:val="28"/>
          <w:sz w:val="36"/>
        </w:rPr>
        <w:t xml:space="preserve"> </w:t>
      </w:r>
      <w:proofErr w:type="gramStart"/>
      <w:r w:rsidRPr="0062764E">
        <w:rPr>
          <w:rFonts w:ascii="Arial" w:hAnsi="Arial" w:cs="Arial"/>
          <w:bCs/>
          <w:iCs/>
          <w:kern w:val="28"/>
          <w:sz w:val="36"/>
        </w:rPr>
        <w:t>The</w:t>
      </w:r>
      <w:proofErr w:type="gramEnd"/>
      <w:r w:rsidRPr="0062764E">
        <w:rPr>
          <w:rFonts w:ascii="Arial" w:hAnsi="Arial" w:cs="Arial"/>
          <w:bCs/>
          <w:iCs/>
          <w:kern w:val="28"/>
          <w:sz w:val="36"/>
        </w:rPr>
        <w:t xml:space="preserve"> Global South</w:t>
      </w:r>
    </w:p>
    <w:p w14:paraId="7884299E" w14:textId="77777777" w:rsidR="002C62CA" w:rsidRPr="0062764E" w:rsidRDefault="002C62CA" w:rsidP="00FF59B1">
      <w:pPr>
        <w:pStyle w:val="Author"/>
        <w:spacing w:line="240" w:lineRule="auto"/>
        <w:rPr>
          <w:rFonts w:ascii="Arial" w:hAnsi="Arial" w:cs="Arial"/>
        </w:rPr>
      </w:pPr>
    </w:p>
    <w:p w14:paraId="013D7B27" w14:textId="77777777" w:rsidR="00877EAE" w:rsidRPr="0062764E" w:rsidRDefault="00877EAE" w:rsidP="00791DE6">
      <w:pPr>
        <w:pStyle w:val="Author"/>
        <w:rPr>
          <w:rFonts w:ascii="Arial" w:hAnsi="Arial" w:cs="Arial"/>
          <w:i/>
          <w:iCs/>
          <w:sz w:val="20"/>
          <w:szCs w:val="15"/>
          <w:lang w:val="en-IN"/>
        </w:rPr>
      </w:pPr>
    </w:p>
    <w:p w14:paraId="2EAA383F" w14:textId="77777777" w:rsidR="00CB0D2E" w:rsidRPr="0062764E" w:rsidRDefault="00CB0D2E" w:rsidP="003E51D4">
      <w:pPr>
        <w:pStyle w:val="Author"/>
        <w:pBdr>
          <w:bottom w:val="single" w:sz="6" w:space="1" w:color="auto"/>
        </w:pBdr>
        <w:spacing w:line="240" w:lineRule="auto"/>
        <w:rPr>
          <w:rFonts w:ascii="Arial" w:hAnsi="Arial" w:cs="Arial"/>
          <w:b w:val="0"/>
          <w:bCs/>
          <w:i/>
          <w:iCs/>
          <w:sz w:val="20"/>
          <w:szCs w:val="15"/>
          <w:lang w:val="vi-VN"/>
        </w:rPr>
      </w:pPr>
    </w:p>
    <w:p w14:paraId="533CA1C1" w14:textId="77777777" w:rsidR="00CB0D2E" w:rsidRPr="0062764E" w:rsidRDefault="00CB0D2E" w:rsidP="003E51D4">
      <w:pPr>
        <w:pStyle w:val="Author"/>
        <w:spacing w:line="240" w:lineRule="auto"/>
        <w:rPr>
          <w:rFonts w:ascii="Arial" w:hAnsi="Arial" w:cs="Arial"/>
          <w:i/>
          <w:iCs/>
          <w:sz w:val="20"/>
          <w:szCs w:val="15"/>
          <w:lang w:val="vi-VN"/>
        </w:rPr>
      </w:pPr>
    </w:p>
    <w:p w14:paraId="5816386C" w14:textId="77777777" w:rsidR="00FF59B1" w:rsidRPr="0062764E" w:rsidRDefault="00CB0D2E" w:rsidP="00FF59B1">
      <w:pPr>
        <w:pStyle w:val="Author"/>
        <w:keepNext/>
        <w:spacing w:line="240" w:lineRule="auto"/>
        <w:jc w:val="left"/>
        <w:rPr>
          <w:rFonts w:ascii="Arial" w:hAnsi="Arial" w:cs="Arial"/>
          <w:sz w:val="22"/>
          <w:szCs w:val="18"/>
          <w:lang w:val="vi-VN"/>
        </w:rPr>
      </w:pPr>
      <w:r w:rsidRPr="0062764E">
        <w:rPr>
          <w:rFonts w:ascii="Arial" w:hAnsi="Arial" w:cs="Arial"/>
          <w:sz w:val="22"/>
          <w:szCs w:val="18"/>
        </w:rPr>
        <w:t>ABSTRACT</w:t>
      </w:r>
    </w:p>
    <w:p w14:paraId="677F7E85" w14:textId="77777777" w:rsidR="00FF59B1" w:rsidRPr="0062764E" w:rsidRDefault="00FF59B1" w:rsidP="00FF59B1">
      <w:pPr>
        <w:pStyle w:val="Author"/>
        <w:spacing w:line="240" w:lineRule="auto"/>
        <w:rPr>
          <w:rFonts w:ascii="Arial" w:hAnsi="Arial" w:cs="Arial"/>
          <w:lang w:val="vi-VN"/>
        </w:rPr>
      </w:pPr>
    </w:p>
    <w:tbl>
      <w:tblPr>
        <w:tblStyle w:val="TableGrid"/>
        <w:tblW w:w="0" w:type="auto"/>
        <w:tblLook w:val="04A0" w:firstRow="1" w:lastRow="0" w:firstColumn="1" w:lastColumn="0" w:noHBand="0" w:noVBand="1"/>
      </w:tblPr>
      <w:tblGrid>
        <w:gridCol w:w="9350"/>
      </w:tblGrid>
      <w:tr w:rsidR="00CB0D2E" w:rsidRPr="0062764E" w14:paraId="75E88621" w14:textId="77777777" w:rsidTr="00CB0D2E">
        <w:tc>
          <w:tcPr>
            <w:tcW w:w="9350" w:type="dxa"/>
          </w:tcPr>
          <w:p w14:paraId="212594C0" w14:textId="77777777" w:rsidR="002C62CA" w:rsidRPr="0062764E" w:rsidRDefault="002C62CA" w:rsidP="002C62CA">
            <w:pPr>
              <w:pStyle w:val="Body"/>
              <w:spacing w:after="40"/>
              <w:rPr>
                <w:rFonts w:ascii="Arial" w:eastAsia="Calibri" w:hAnsi="Arial" w:cs="Arial"/>
                <w:szCs w:val="22"/>
              </w:rPr>
            </w:pPr>
            <w:r w:rsidRPr="0062764E">
              <w:rPr>
                <w:rFonts w:ascii="Arial" w:hAnsi="Arial"/>
                <w:b/>
              </w:rPr>
              <w:t xml:space="preserve">Aims: </w:t>
            </w:r>
            <w:r w:rsidRPr="0062764E">
              <w:rPr>
                <w:rFonts w:ascii="Arial" w:hAnsi="Arial"/>
              </w:rPr>
              <w:t>To examine the role of digital connectivity in the Halal ecosystem and assess opportunities to advance Vietnam's participation in Halal food value chains in Malaysia, Indonesia, and Thailand.</w:t>
            </w:r>
          </w:p>
          <w:p w14:paraId="39C85AD3" w14:textId="77777777" w:rsidR="002C62CA" w:rsidRPr="0062764E" w:rsidRDefault="002C62CA" w:rsidP="002C62CA">
            <w:pPr>
              <w:pStyle w:val="Body"/>
              <w:spacing w:after="40"/>
              <w:rPr>
                <w:rFonts w:ascii="Arial" w:eastAsia="Calibri" w:hAnsi="Arial" w:cs="Arial"/>
                <w:szCs w:val="22"/>
              </w:rPr>
            </w:pPr>
            <w:r w:rsidRPr="0062764E">
              <w:rPr>
                <w:rFonts w:ascii="Arial" w:hAnsi="Arial"/>
                <w:b/>
              </w:rPr>
              <w:t xml:space="preserve">Study design: </w:t>
            </w:r>
            <w:r w:rsidRPr="0062764E">
              <w:rPr>
                <w:rFonts w:ascii="Arial" w:hAnsi="Arial"/>
              </w:rPr>
              <w:t>A qualitative comparative case study using a systems approach, structured documentary analysis, and cross-case synthesis.</w:t>
            </w:r>
          </w:p>
          <w:p w14:paraId="565118A8" w14:textId="77777777" w:rsidR="002C62CA" w:rsidRPr="0062764E" w:rsidRDefault="002C62CA" w:rsidP="002C62CA">
            <w:pPr>
              <w:pStyle w:val="Body"/>
              <w:spacing w:after="40"/>
              <w:rPr>
                <w:rFonts w:ascii="Arial" w:eastAsia="Calibri" w:hAnsi="Arial" w:cs="Arial"/>
                <w:szCs w:val="22"/>
              </w:rPr>
            </w:pPr>
            <w:r w:rsidRPr="0062764E">
              <w:rPr>
                <w:rFonts w:ascii="Arial" w:hAnsi="Arial"/>
                <w:b/>
              </w:rPr>
              <w:t xml:space="preserve">Place and Duration of Study: </w:t>
            </w:r>
            <w:r w:rsidRPr="0062764E">
              <w:rPr>
                <w:rFonts w:ascii="Arial" w:hAnsi="Arial"/>
              </w:rPr>
              <w:t>The study was undertaken at the Vietnam Academy of Social Sciences in 2026 as part of a Ministerial-level science and technology project implemented during 2026-2028.</w:t>
            </w:r>
          </w:p>
          <w:p w14:paraId="002BD43B" w14:textId="77777777" w:rsidR="002C62CA" w:rsidRPr="0062764E" w:rsidRDefault="002C62CA" w:rsidP="002C62CA">
            <w:pPr>
              <w:pStyle w:val="Body"/>
              <w:spacing w:after="40"/>
              <w:rPr>
                <w:rFonts w:ascii="Arial" w:eastAsia="Calibri" w:hAnsi="Arial" w:cs="Arial"/>
                <w:szCs w:val="22"/>
              </w:rPr>
            </w:pPr>
            <w:r w:rsidRPr="0062764E">
              <w:rPr>
                <w:rFonts w:ascii="Arial" w:hAnsi="Arial"/>
                <w:b/>
              </w:rPr>
              <w:t xml:space="preserve">Methodology: </w:t>
            </w:r>
            <w:r w:rsidRPr="0062764E">
              <w:rPr>
                <w:rFonts w:ascii="Arial" w:hAnsi="Arial"/>
              </w:rPr>
              <w:t>The documentary corpus covers peer-reviewed studies and official legal, policy, certification, and platform sources issued between 2011 and 5 August 2026. Documents were screened using explicit inclusion and exclusion criteria and coded across governance, legal scope, digital certification and verification, supply-chain and market connectivity, enterprise support, and cross-border trade facilitation. Time-sensitive claims were rechecked against the official portals of the relevant authorities.</w:t>
            </w:r>
          </w:p>
          <w:p w14:paraId="2C797DD4" w14:textId="77777777" w:rsidR="002C62CA" w:rsidRPr="0062764E" w:rsidRDefault="002C62CA" w:rsidP="002C62CA">
            <w:pPr>
              <w:pStyle w:val="Body"/>
              <w:spacing w:after="40"/>
              <w:rPr>
                <w:rFonts w:ascii="Arial" w:eastAsia="Calibri" w:hAnsi="Arial" w:cs="Arial"/>
                <w:szCs w:val="22"/>
              </w:rPr>
            </w:pPr>
            <w:r w:rsidRPr="0062764E">
              <w:rPr>
                <w:rFonts w:ascii="Arial" w:hAnsi="Arial"/>
                <w:b/>
              </w:rPr>
              <w:t xml:space="preserve">Results: </w:t>
            </w:r>
            <w:r w:rsidRPr="0062764E">
              <w:rPr>
                <w:rFonts w:ascii="Arial" w:hAnsi="Arial"/>
              </w:rPr>
              <w:t xml:space="preserve">Malaysia links authoritative certification with ecosystem-development platforms; Indonesia uses SIHALAL to administer a mandatory Halal assurance regime; and Thailand combines religious authority, Halal science, and electronic services. The study's main conceptual contribution is a four-layer framework connecting institutional authority, traceability evidence, market transactions, and knowledge and support services. </w:t>
            </w:r>
            <w:r w:rsidR="0001694F" w:rsidRPr="0062764E">
              <w:rPr>
                <w:rFonts w:ascii="Arial" w:hAnsi="Arial"/>
              </w:rPr>
              <w:t>For Vietnam, this framework identifies potential pathways for reducing compliance burdens, strengthening verifiable Halal integrity, and supporting market access, while highlighting institutional fragmentation, certification-recognition challenges, uneven enterprise data capabilities, and cross-border data-governance risks</w:t>
            </w:r>
            <w:r w:rsidRPr="0062764E">
              <w:rPr>
                <w:rFonts w:ascii="Arial" w:hAnsi="Arial"/>
              </w:rPr>
              <w:t>.</w:t>
            </w:r>
          </w:p>
          <w:p w14:paraId="4BDCEFCE" w14:textId="77777777" w:rsidR="00CB0D2E" w:rsidRPr="0062764E" w:rsidRDefault="002C62CA" w:rsidP="002C62CA">
            <w:pPr>
              <w:pStyle w:val="Body"/>
              <w:spacing w:after="40"/>
              <w:rPr>
                <w:rFonts w:ascii="Arial" w:eastAsia="Calibri" w:hAnsi="Arial" w:cs="Arial"/>
                <w:szCs w:val="22"/>
              </w:rPr>
            </w:pPr>
            <w:r w:rsidRPr="0062764E">
              <w:rPr>
                <w:rFonts w:ascii="Arial" w:hAnsi="Arial"/>
                <w:b/>
              </w:rPr>
              <w:t xml:space="preserve">Conclusion: </w:t>
            </w:r>
            <w:r w:rsidRPr="0062764E">
              <w:rPr>
                <w:rFonts w:ascii="Arial" w:hAnsi="Arial"/>
              </w:rPr>
              <w:t>Vietnam should develop an interoperable national Halal data architecture, pilot digital Halal passports in selected food value chains, promote certification interoperability with priority markets, and provide shared support services for small and medium-sized enterprises. These measures should be phased, evidence-based, and accompanied by safeguards for data quality, business confidentiality, and cybersecurity.</w:t>
            </w:r>
          </w:p>
        </w:tc>
      </w:tr>
    </w:tbl>
    <w:p w14:paraId="746E8716" w14:textId="77777777" w:rsidR="00BE5626" w:rsidRPr="0062764E" w:rsidRDefault="00BE5626" w:rsidP="00BE5626">
      <w:pPr>
        <w:pStyle w:val="Author"/>
        <w:spacing w:line="240" w:lineRule="auto"/>
        <w:jc w:val="left"/>
        <w:rPr>
          <w:rFonts w:ascii="Arial" w:eastAsia="Calibri" w:hAnsi="Arial" w:cs="Arial"/>
          <w:b w:val="0"/>
          <w:sz w:val="20"/>
          <w:szCs w:val="22"/>
        </w:rPr>
      </w:pPr>
    </w:p>
    <w:p w14:paraId="4F4154CC" w14:textId="24B84386" w:rsidR="00BE5626" w:rsidRPr="0062764E" w:rsidRDefault="00BE5626" w:rsidP="00BE5626">
      <w:pPr>
        <w:rPr>
          <w:rFonts w:ascii="Arial" w:eastAsia="Calibri" w:hAnsi="Arial" w:cs="Arial"/>
          <w:i/>
          <w:iCs/>
          <w:kern w:val="0"/>
          <w:sz w:val="20"/>
          <w:szCs w:val="22"/>
          <w:lang w:val="vi-VN"/>
          <w14:ligatures w14:val="none"/>
        </w:rPr>
      </w:pPr>
      <w:r w:rsidRPr="0062764E">
        <w:rPr>
          <w:rFonts w:ascii="Arial" w:eastAsia="Calibri" w:hAnsi="Arial" w:cs="Arial"/>
          <w:i/>
          <w:iCs/>
          <w:kern w:val="0"/>
          <w:sz w:val="20"/>
          <w:szCs w:val="22"/>
          <w:lang w:val="en-US"/>
          <w14:ligatures w14:val="none"/>
        </w:rPr>
        <w:t>Keywords:</w:t>
      </w:r>
      <w:r w:rsidRPr="0062764E">
        <w:rPr>
          <w:rFonts w:ascii="Arial" w:eastAsia="Calibri" w:hAnsi="Arial" w:cs="Arial"/>
          <w:i/>
          <w:iCs/>
          <w:kern w:val="0"/>
          <w:sz w:val="20"/>
          <w:szCs w:val="22"/>
          <w:lang w:val="vi-VN"/>
          <w14:ligatures w14:val="none"/>
        </w:rPr>
        <w:t xml:space="preserve"> </w:t>
      </w:r>
      <w:r w:rsidR="001D50A1" w:rsidRPr="00D06355">
        <w:rPr>
          <w:rFonts w:ascii="Arial" w:hAnsi="Arial" w:cs="Arial"/>
          <w:color w:val="000000"/>
          <w:sz w:val="20"/>
          <w:szCs w:val="20"/>
          <w:shd w:val="clear" w:color="auto" w:fill="FFFFFF"/>
        </w:rPr>
        <w:t>Digital connectivity; Halal ecosystem; food value chains; digital traceability; certification interoperability; market connectivity; supply-chain governance; small and medium-sized enterprises</w:t>
      </w:r>
    </w:p>
    <w:p w14:paraId="185EEF0D" w14:textId="77777777" w:rsidR="001A4AA4" w:rsidRPr="0062764E" w:rsidRDefault="001A4AA4">
      <w:pPr>
        <w:rPr>
          <w:rFonts w:ascii="Arial" w:eastAsia="Calibri" w:hAnsi="Arial" w:cs="Arial"/>
          <w:kern w:val="0"/>
          <w:sz w:val="20"/>
          <w:szCs w:val="22"/>
          <w:lang w:val="vi-VN"/>
          <w14:ligatures w14:val="none"/>
        </w:rPr>
      </w:pPr>
    </w:p>
    <w:p w14:paraId="0D059081" w14:textId="77777777" w:rsidR="00BE5626" w:rsidRPr="0062764E" w:rsidRDefault="00BE5626" w:rsidP="008103CE">
      <w:pPr>
        <w:keepNext/>
        <w:spacing w:after="60" w:line="276" w:lineRule="auto"/>
        <w:rPr>
          <w:rFonts w:ascii="Arial" w:hAnsi="Arial" w:cs="Arial"/>
          <w:b/>
          <w:bCs/>
          <w:sz w:val="22"/>
          <w:szCs w:val="22"/>
        </w:rPr>
      </w:pPr>
      <w:r w:rsidRPr="0062764E">
        <w:rPr>
          <w:rFonts w:ascii="Arial" w:hAnsi="Arial" w:cs="Arial"/>
          <w:b/>
          <w:bCs/>
          <w:sz w:val="22"/>
          <w:szCs w:val="22"/>
        </w:rPr>
        <w:t>1. INTRODUCTION</w:t>
      </w:r>
    </w:p>
    <w:p w14:paraId="298562FB" w14:textId="77777777" w:rsidR="002C62CA" w:rsidRPr="0062764E" w:rsidRDefault="002C62CA" w:rsidP="002C62CA">
      <w:pPr>
        <w:spacing w:after="120" w:line="276" w:lineRule="auto"/>
        <w:jc w:val="both"/>
        <w:rPr>
          <w:rFonts w:ascii="Arial" w:eastAsia="Calibri" w:hAnsi="Arial" w:cs="Arial"/>
          <w:kern w:val="0"/>
          <w:sz w:val="20"/>
          <w:szCs w:val="22"/>
          <w14:ligatures w14:val="none"/>
        </w:rPr>
      </w:pPr>
      <w:r w:rsidRPr="0062764E">
        <w:rPr>
          <w:rFonts w:ascii="Arial" w:hAnsi="Arial"/>
          <w:sz w:val="20"/>
        </w:rPr>
        <w:t xml:space="preserve">The Halal economy is evolving from a market primarily associated with religious demand into a broader economic space encompassing standards, certification, production, logistics, trade, finance, and technology. According to </w:t>
      </w:r>
      <w:proofErr w:type="spellStart"/>
      <w:r w:rsidRPr="0062764E">
        <w:rPr>
          <w:rFonts w:ascii="Arial" w:hAnsi="Arial"/>
          <w:sz w:val="20"/>
        </w:rPr>
        <w:t>DinarStandard</w:t>
      </w:r>
      <w:proofErr w:type="spellEnd"/>
      <w:r w:rsidRPr="0062764E">
        <w:rPr>
          <w:rFonts w:ascii="Arial" w:hAnsi="Arial"/>
          <w:sz w:val="20"/>
        </w:rPr>
        <w:t xml:space="preserve"> (2026), spending across the six consumer sectors of the Islamic economy reached approximately USD 2.60 trillion in 2024 and could rise to USD 3.56 trillion by 2029; spending on Halal food alone is projected to increase from about USD 1.53 trillion to USD 2.06 trillion. The report also identifies artificial-intelligence-assisted certification, blockchain-enabled traceability, and “digital </w:t>
      </w:r>
      <w:r w:rsidRPr="0062764E">
        <w:rPr>
          <w:rFonts w:ascii="Arial" w:hAnsi="Arial"/>
          <w:sz w:val="20"/>
        </w:rPr>
        <w:lastRenderedPageBreak/>
        <w:t>trust infrastructure” as emerging drivers. Competitiveness, therefore, depends not only on possessing certification but also on the ability to demonstrate and reliably share Halal status throughout the value chain.</w:t>
      </w:r>
    </w:p>
    <w:p w14:paraId="7D3300E9" w14:textId="77777777" w:rsidR="002C62CA" w:rsidRPr="0062764E" w:rsidRDefault="002C62CA" w:rsidP="002C62CA">
      <w:pPr>
        <w:spacing w:after="120" w:line="276" w:lineRule="auto"/>
        <w:jc w:val="both"/>
        <w:rPr>
          <w:rFonts w:ascii="Arial" w:eastAsia="Calibri" w:hAnsi="Arial" w:cs="Arial"/>
          <w:kern w:val="0"/>
          <w:sz w:val="20"/>
          <w:szCs w:val="22"/>
          <w14:ligatures w14:val="none"/>
        </w:rPr>
      </w:pPr>
      <w:r w:rsidRPr="0062764E">
        <w:rPr>
          <w:rFonts w:ascii="Arial" w:eastAsia="Calibri" w:hAnsi="Arial" w:cs="Arial"/>
          <w:kern w:val="0"/>
          <w:sz w:val="20"/>
          <w:szCs w:val="22"/>
          <w14:ligatures w14:val="none"/>
        </w:rPr>
        <w:t xml:space="preserve">In food value chains, Halal integrity can be affected at every stage, from ingredients, slaughtering, and processing to packaging, storage, transport, and distribution. Tieman et al. (2012) argue that supply chain management must preserve Halal integrity from the source of supply to the point of purchase. </w:t>
      </w:r>
      <w:r w:rsidRPr="0062764E">
        <w:rPr>
          <w:rFonts w:ascii="Arial" w:eastAsia="Calibri" w:hAnsi="Arial" w:cs="Arial"/>
          <w:kern w:val="0"/>
          <w:sz w:val="20"/>
          <w:szCs w:val="22"/>
          <w:highlight w:val="yellow"/>
          <w14:ligatures w14:val="none"/>
        </w:rPr>
        <w:t>Soon et al. (2017)</w:t>
      </w:r>
      <w:r w:rsidRPr="0062764E">
        <w:rPr>
          <w:rFonts w:ascii="Arial" w:eastAsia="Calibri" w:hAnsi="Arial" w:cs="Arial"/>
          <w:kern w:val="0"/>
          <w:sz w:val="20"/>
          <w:szCs w:val="22"/>
          <w14:ligatures w14:val="none"/>
        </w:rPr>
        <w:t xml:space="preserve"> further </w:t>
      </w:r>
      <w:r w:rsidRPr="0062764E">
        <w:rPr>
          <w:rFonts w:ascii="Arial" w:eastAsia="Calibri" w:hAnsi="Arial" w:cs="Arial"/>
          <w:kern w:val="0"/>
          <w:sz w:val="20"/>
          <w:szCs w:val="22"/>
          <w:highlight w:val="yellow"/>
          <w14:ligatures w14:val="none"/>
        </w:rPr>
        <w:t>emphasise</w:t>
      </w:r>
      <w:r w:rsidRPr="0062764E">
        <w:rPr>
          <w:rFonts w:ascii="Arial" w:eastAsia="Calibri" w:hAnsi="Arial" w:cs="Arial"/>
          <w:kern w:val="0"/>
          <w:sz w:val="20"/>
          <w:szCs w:val="22"/>
          <w14:ligatures w14:val="none"/>
        </w:rPr>
        <w:t xml:space="preserve"> that certification at a single point in time is insufficient without continuous controls over cross-contamination, fraud, and traceability. Digital connectivity should therefore be understood as a mechanism for </w:t>
      </w:r>
      <w:r w:rsidRPr="0062764E">
        <w:rPr>
          <w:rFonts w:ascii="Arial" w:eastAsia="Calibri" w:hAnsi="Arial" w:cs="Arial"/>
          <w:kern w:val="0"/>
          <w:sz w:val="20"/>
          <w:szCs w:val="22"/>
          <w:highlight w:val="yellow"/>
          <w14:ligatures w14:val="none"/>
        </w:rPr>
        <w:t>organising</w:t>
      </w:r>
      <w:r w:rsidRPr="0062764E">
        <w:rPr>
          <w:rFonts w:ascii="Arial" w:eastAsia="Calibri" w:hAnsi="Arial" w:cs="Arial"/>
          <w:kern w:val="0"/>
          <w:sz w:val="20"/>
          <w:szCs w:val="22"/>
          <w14:ligatures w14:val="none"/>
        </w:rPr>
        <w:t xml:space="preserve"> data and coordinating activities across the ecosystem, rather than merely </w:t>
      </w:r>
      <w:r w:rsidRPr="0062764E">
        <w:rPr>
          <w:rFonts w:ascii="Arial" w:eastAsia="Calibri" w:hAnsi="Arial" w:cs="Arial"/>
          <w:kern w:val="0"/>
          <w:sz w:val="20"/>
          <w:szCs w:val="22"/>
          <w:highlight w:val="yellow"/>
          <w14:ligatures w14:val="none"/>
        </w:rPr>
        <w:t>digitising</w:t>
      </w:r>
      <w:r w:rsidRPr="0062764E">
        <w:rPr>
          <w:rFonts w:ascii="Arial" w:eastAsia="Calibri" w:hAnsi="Arial" w:cs="Arial"/>
          <w:kern w:val="0"/>
          <w:sz w:val="20"/>
          <w:szCs w:val="22"/>
          <w14:ligatures w14:val="none"/>
        </w:rPr>
        <w:t xml:space="preserve"> administrative procedures or deploying an isolated technology.</w:t>
      </w:r>
    </w:p>
    <w:p w14:paraId="28B6E0A9" w14:textId="77777777" w:rsidR="002C62CA" w:rsidRPr="0062764E" w:rsidRDefault="002C62CA" w:rsidP="002C62CA">
      <w:pPr>
        <w:spacing w:after="120" w:line="276" w:lineRule="auto"/>
        <w:jc w:val="both"/>
        <w:rPr>
          <w:rFonts w:ascii="Arial" w:eastAsia="Calibri" w:hAnsi="Arial" w:cs="Arial"/>
          <w:kern w:val="0"/>
          <w:sz w:val="20"/>
          <w:szCs w:val="22"/>
          <w14:ligatures w14:val="none"/>
        </w:rPr>
      </w:pPr>
      <w:r w:rsidRPr="0062764E">
        <w:rPr>
          <w:rFonts w:ascii="Arial" w:eastAsia="Calibri" w:hAnsi="Arial" w:cs="Arial"/>
          <w:kern w:val="0"/>
          <w:sz w:val="20"/>
          <w:szCs w:val="22"/>
          <w14:ligatures w14:val="none"/>
        </w:rPr>
        <w:t xml:space="preserve">Vietnam possesses advantages in agriculture, fisheries, processed food, and proximity to Southeast Asia’s major </w:t>
      </w:r>
      <w:r w:rsidRPr="0062764E">
        <w:rPr>
          <w:rFonts w:ascii="Arial" w:eastAsia="Calibri" w:hAnsi="Arial" w:cs="Arial"/>
          <w:kern w:val="0"/>
          <w:sz w:val="20"/>
          <w:szCs w:val="22"/>
          <w:highlight w:val="yellow"/>
          <w14:ligatures w14:val="none"/>
        </w:rPr>
        <w:t>Halal centres</w:t>
      </w:r>
      <w:r w:rsidRPr="0062764E">
        <w:rPr>
          <w:rFonts w:ascii="Arial" w:eastAsia="Calibri" w:hAnsi="Arial" w:cs="Arial"/>
          <w:kern w:val="0"/>
          <w:sz w:val="20"/>
          <w:szCs w:val="22"/>
          <w14:ligatures w14:val="none"/>
        </w:rPr>
        <w:t xml:space="preserve">. The project “Strengthening international cooperation to build and develop Vietnam’s Halal industry through 2030” established a national policy direction; Vietnam has also issued five Halal-related national standards and established the National Halal Certification </w:t>
      </w:r>
      <w:proofErr w:type="spellStart"/>
      <w:r w:rsidRPr="0062764E">
        <w:rPr>
          <w:rFonts w:ascii="Arial" w:eastAsia="Calibri" w:hAnsi="Arial" w:cs="Arial"/>
          <w:kern w:val="0"/>
          <w:sz w:val="20"/>
          <w:szCs w:val="22"/>
          <w14:ligatures w14:val="none"/>
        </w:rPr>
        <w:t>Center</w:t>
      </w:r>
      <w:proofErr w:type="spellEnd"/>
      <w:r w:rsidRPr="0062764E">
        <w:rPr>
          <w:rFonts w:ascii="Arial" w:eastAsia="Calibri" w:hAnsi="Arial" w:cs="Arial"/>
          <w:kern w:val="0"/>
          <w:sz w:val="20"/>
          <w:szCs w:val="22"/>
          <w14:ligatures w14:val="none"/>
        </w:rPr>
        <w:t xml:space="preserve"> (HALCERT) in 2024 (HALCERT, 2024a, 2024b; Prime Minister of Vietnam, 2023). Nevertheless, the institutional framework, data infrastructure, and market linkages remain at an early stage of development. The Ministry of Industry and Trade of Vietnam (2026) continues to identify Halal certification as a significant technical barrier for Vietnamese food and beverage products in Malaysia. The central gap therefore lies between production capacity and the ability to demonstrate market-specific conformity.</w:t>
      </w:r>
    </w:p>
    <w:p w14:paraId="0AD56A2C" w14:textId="77777777" w:rsidR="00AB617D" w:rsidRPr="0062764E" w:rsidRDefault="00000000">
      <w:pPr>
        <w:keepNext/>
        <w:spacing w:after="40" w:line="276" w:lineRule="auto"/>
        <w:jc w:val="both"/>
        <w:rPr>
          <w:rFonts w:ascii="Arial" w:eastAsia="Calibri" w:hAnsi="Arial" w:cs="Arial"/>
          <w:b/>
          <w:bCs/>
          <w:i/>
          <w:iCs/>
          <w:kern w:val="0"/>
          <w:sz w:val="20"/>
          <w:szCs w:val="20"/>
          <w14:ligatures w14:val="none"/>
        </w:rPr>
      </w:pPr>
      <w:r w:rsidRPr="0062764E">
        <w:rPr>
          <w:rFonts w:ascii="Arial" w:hAnsi="Arial"/>
          <w:b/>
          <w:i/>
          <w:sz w:val="20"/>
        </w:rPr>
        <w:t>1.1 Research gap, contribution and objectives</w:t>
      </w:r>
    </w:p>
    <w:p w14:paraId="3856C4FE" w14:textId="77777777" w:rsidR="002C62CA" w:rsidRPr="0062764E" w:rsidRDefault="009B587A" w:rsidP="002C62CA">
      <w:pPr>
        <w:spacing w:after="120" w:line="276" w:lineRule="auto"/>
        <w:jc w:val="both"/>
        <w:rPr>
          <w:rFonts w:ascii="Arial" w:eastAsia="Calibri" w:hAnsi="Arial" w:cs="Arial"/>
          <w:kern w:val="0"/>
          <w:sz w:val="20"/>
          <w:szCs w:val="22"/>
          <w14:ligatures w14:val="none"/>
        </w:rPr>
      </w:pPr>
      <w:r w:rsidRPr="0062764E">
        <w:rPr>
          <w:rFonts w:ascii="Arial" w:hAnsi="Arial"/>
          <w:sz w:val="20"/>
        </w:rPr>
        <w:t xml:space="preserve">Existing scholarship is substantial but fragmented across three main streams. Halal supply-chain research explains why integrity must be maintained continuously from ingredients and processing to logistics and retail, but generally gives less attention to the institutional architecture through which evidence is authorised and exchanged </w:t>
      </w:r>
      <w:r w:rsidRPr="0062764E">
        <w:rPr>
          <w:rFonts w:ascii="Arial" w:hAnsi="Arial"/>
          <w:sz w:val="20"/>
          <w:highlight w:val="yellow"/>
        </w:rPr>
        <w:t>(Bachtiar et al., 2024; Soon et al., 2017; Tieman et al., 2012)</w:t>
      </w:r>
      <w:r w:rsidRPr="0062764E">
        <w:rPr>
          <w:rFonts w:ascii="Arial" w:hAnsi="Arial"/>
          <w:sz w:val="20"/>
        </w:rPr>
        <w:t xml:space="preserve">. Digital-traceability research highlights the potential of blockchain, the Internet of Things, and data platforms, while also identifying challenges of standardisation, implementation, organisational readiness, and coordination (Astuti &amp; </w:t>
      </w:r>
      <w:proofErr w:type="spellStart"/>
      <w:r w:rsidRPr="0062764E">
        <w:rPr>
          <w:rFonts w:ascii="Arial" w:hAnsi="Arial"/>
          <w:sz w:val="20"/>
        </w:rPr>
        <w:t>Hidayati</w:t>
      </w:r>
      <w:proofErr w:type="spellEnd"/>
      <w:r w:rsidRPr="0062764E">
        <w:rPr>
          <w:rFonts w:ascii="Arial" w:hAnsi="Arial"/>
          <w:sz w:val="20"/>
        </w:rPr>
        <w:t xml:space="preserve">, 2023; </w:t>
      </w:r>
      <w:proofErr w:type="spellStart"/>
      <w:r w:rsidRPr="0062764E">
        <w:rPr>
          <w:rFonts w:ascii="Arial" w:hAnsi="Arial"/>
          <w:sz w:val="20"/>
        </w:rPr>
        <w:t>Karyani</w:t>
      </w:r>
      <w:proofErr w:type="spellEnd"/>
      <w:r w:rsidRPr="0062764E">
        <w:rPr>
          <w:rFonts w:ascii="Arial" w:hAnsi="Arial"/>
          <w:sz w:val="20"/>
        </w:rPr>
        <w:t xml:space="preserve"> et al., 2024; Susanty et al., 2024). Trade-law research demonstrates that divergent Halal measures can create technical barriers, although the interaction between regulatory diversity and digital verification remains less developed (Johan &amp; Schebesta, 2022).</w:t>
      </w:r>
    </w:p>
    <w:p w14:paraId="73D02826" w14:textId="77777777" w:rsidR="00AB617D" w:rsidRPr="0062764E" w:rsidRDefault="00000000">
      <w:pPr>
        <w:spacing w:after="120" w:line="276" w:lineRule="auto"/>
        <w:jc w:val="both"/>
        <w:rPr>
          <w:rFonts w:ascii="Arial" w:eastAsia="Calibri" w:hAnsi="Arial" w:cs="Arial"/>
          <w:kern w:val="0"/>
          <w:sz w:val="20"/>
          <w:szCs w:val="22"/>
          <w14:ligatures w14:val="none"/>
        </w:rPr>
      </w:pPr>
      <w:r w:rsidRPr="0062764E">
        <w:rPr>
          <w:rFonts w:ascii="Arial" w:hAnsi="Arial"/>
          <w:sz w:val="20"/>
        </w:rPr>
        <w:t>The study therefore pursues three objectives: (1) to develop an integrated framework for analysing digital connectivity in a Halal ecosystem; (2) to compare the governance, legal, technological, and market-connectivity arrangements of Malaysia, Indonesia, and Thailand; and (3) to identify transferable lessons, constraints, and policy priorities for Vietnam. Its principal conceptual contribution is a four-layer framework linking institutional and certification connectivity, traceability data, market and business-platform connectivity, and knowledge and support services. Its practical contribution is a phased set of policy options that distinguishes what digital infrastructure can solve from what still requires legal authority, institutional coordination, certification recognition, and enterprise capability development.</w:t>
      </w:r>
    </w:p>
    <w:p w14:paraId="13A13EE1" w14:textId="77777777" w:rsidR="002C62CA" w:rsidRPr="0062764E" w:rsidRDefault="002C62CA" w:rsidP="002C62CA">
      <w:pPr>
        <w:spacing w:after="60" w:line="276" w:lineRule="auto"/>
        <w:jc w:val="both"/>
        <w:rPr>
          <w:rFonts w:ascii="Arial" w:eastAsia="Calibri" w:hAnsi="Arial" w:cs="Arial"/>
          <w:kern w:val="0"/>
          <w:sz w:val="20"/>
          <w:szCs w:val="22"/>
          <w14:ligatures w14:val="none"/>
        </w:rPr>
      </w:pPr>
    </w:p>
    <w:p w14:paraId="2BF607FE" w14:textId="77777777" w:rsidR="008103CE" w:rsidRPr="0062764E" w:rsidRDefault="008103CE" w:rsidP="008103CE">
      <w:pPr>
        <w:keepNext/>
        <w:spacing w:after="60" w:line="276" w:lineRule="auto"/>
        <w:jc w:val="both"/>
        <w:rPr>
          <w:rFonts w:ascii="Arial" w:eastAsia="Calibri" w:hAnsi="Arial" w:cs="Arial"/>
          <w:b/>
          <w:bCs/>
          <w:kern w:val="0"/>
          <w:sz w:val="22"/>
          <w:szCs w:val="28"/>
          <w:lang w:val="vi-VN"/>
          <w14:ligatures w14:val="none"/>
        </w:rPr>
      </w:pPr>
      <w:r w:rsidRPr="0062764E">
        <w:rPr>
          <w:rFonts w:ascii="Arial" w:eastAsia="Calibri" w:hAnsi="Arial" w:cs="Arial"/>
          <w:b/>
          <w:bCs/>
          <w:kern w:val="0"/>
          <w:sz w:val="22"/>
          <w:szCs w:val="28"/>
          <w14:ligatures w14:val="none"/>
        </w:rPr>
        <w:t xml:space="preserve">2. </w:t>
      </w:r>
      <w:r w:rsidR="002C62CA" w:rsidRPr="0062764E">
        <w:rPr>
          <w:rFonts w:ascii="Arial" w:eastAsia="Calibri" w:hAnsi="Arial" w:cs="Arial"/>
          <w:b/>
          <w:bCs/>
          <w:kern w:val="0"/>
          <w:sz w:val="22"/>
          <w:szCs w:val="28"/>
          <w14:ligatures w14:val="none"/>
        </w:rPr>
        <w:t>METH</w:t>
      </w:r>
      <w:r w:rsidR="002C62CA" w:rsidRPr="0062764E">
        <w:rPr>
          <w:rFonts w:ascii="Arial" w:eastAsia="Calibri" w:hAnsi="Arial" w:cs="Arial"/>
          <w:b/>
          <w:bCs/>
          <w:kern w:val="0"/>
          <w:sz w:val="22"/>
          <w:szCs w:val="28"/>
          <w:lang w:val="vi-VN"/>
          <w14:ligatures w14:val="none"/>
        </w:rPr>
        <w:t>O</w:t>
      </w:r>
      <w:r w:rsidR="002C62CA" w:rsidRPr="0062764E">
        <w:rPr>
          <w:rFonts w:ascii="Arial" w:eastAsia="Calibri" w:hAnsi="Arial" w:cs="Arial"/>
          <w:b/>
          <w:bCs/>
          <w:kern w:val="0"/>
          <w:sz w:val="22"/>
          <w:szCs w:val="28"/>
          <w14:ligatures w14:val="none"/>
        </w:rPr>
        <w:t>DOLOGY</w:t>
      </w:r>
      <w:r w:rsidRPr="0062764E">
        <w:rPr>
          <w:rFonts w:ascii="Arial" w:eastAsia="Calibri" w:hAnsi="Arial" w:cs="Arial"/>
          <w:b/>
          <w:bCs/>
          <w:kern w:val="0"/>
          <w:sz w:val="22"/>
          <w:szCs w:val="28"/>
          <w14:ligatures w14:val="none"/>
        </w:rPr>
        <w:t xml:space="preserve"> </w:t>
      </w:r>
    </w:p>
    <w:p w14:paraId="189D7557" w14:textId="77777777" w:rsidR="008103CE" w:rsidRPr="0062764E" w:rsidRDefault="008103CE" w:rsidP="008103CE">
      <w:pPr>
        <w:keepNext/>
        <w:spacing w:after="60" w:line="276" w:lineRule="auto"/>
        <w:jc w:val="both"/>
        <w:rPr>
          <w:rFonts w:ascii="Arial" w:eastAsia="Calibri" w:hAnsi="Arial" w:cs="Arial"/>
          <w:b/>
          <w:bCs/>
          <w:i/>
          <w:iCs/>
          <w:kern w:val="0"/>
          <w:sz w:val="20"/>
          <w:szCs w:val="20"/>
          <w14:ligatures w14:val="none"/>
        </w:rPr>
      </w:pPr>
      <w:r w:rsidRPr="0062764E">
        <w:rPr>
          <w:rFonts w:ascii="Arial" w:eastAsia="Calibri" w:hAnsi="Arial" w:cs="Arial"/>
          <w:b/>
          <w:bCs/>
          <w:i/>
          <w:iCs/>
          <w:kern w:val="0"/>
          <w:sz w:val="20"/>
          <w:szCs w:val="20"/>
          <w14:ligatures w14:val="none"/>
        </w:rPr>
        <w:t xml:space="preserve">2.1 </w:t>
      </w:r>
      <w:r w:rsidR="002C62CA" w:rsidRPr="0062764E">
        <w:rPr>
          <w:rFonts w:ascii="Arial" w:hAnsi="Arial" w:cs="Arial"/>
          <w:b/>
          <w:bCs/>
          <w:i/>
          <w:iCs/>
          <w:color w:val="000000"/>
          <w:sz w:val="20"/>
          <w:szCs w:val="20"/>
          <w:shd w:val="clear" w:color="auto" w:fill="FFFFFF"/>
        </w:rPr>
        <w:t>Theoretical foundations and analytical framework</w:t>
      </w:r>
    </w:p>
    <w:p w14:paraId="6BAB4AD1" w14:textId="77777777" w:rsidR="00DF578C" w:rsidRPr="0062764E" w:rsidRDefault="00DF578C" w:rsidP="00DF578C">
      <w:pPr>
        <w:spacing w:after="60" w:line="276" w:lineRule="auto"/>
        <w:jc w:val="both"/>
        <w:rPr>
          <w:rFonts w:ascii="Arial" w:eastAsia="Calibri" w:hAnsi="Arial" w:cs="Arial"/>
          <w:kern w:val="0"/>
          <w:sz w:val="20"/>
          <w:szCs w:val="22"/>
          <w14:ligatures w14:val="none"/>
        </w:rPr>
      </w:pPr>
      <w:r w:rsidRPr="0062764E">
        <w:rPr>
          <w:rFonts w:ascii="Arial" w:hAnsi="Arial"/>
          <w:sz w:val="20"/>
        </w:rPr>
        <w:t xml:space="preserve">A Halal ecosystem is a multi-actor structure comprising regulatory bodies, religious authorities, certification bodies, enterprises, suppliers, logistics providers, laboratories, research institutions, financial organisations, and consumers. These actors are interdependent: a product may lose its integrity even when a processing facility is compliant if ingredients are of uncertain origin, logistics are not segregated, or the certificate is not recognised in the importing market. Digital connectivity is defined here as the capacity to exchange data, verify status, coordinate processes, and access services through interoperable platforms. </w:t>
      </w:r>
      <w:r w:rsidRPr="0062764E">
        <w:rPr>
          <w:rFonts w:ascii="Arial" w:hAnsi="Arial"/>
          <w:sz w:val="20"/>
        </w:rPr>
        <w:lastRenderedPageBreak/>
        <w:t>The relevant analytical unit is therefore not a stand-alone technology but the institutional and technical arrangement that determines who may create, validate, update, use, and recognise Halal-related data.</w:t>
      </w:r>
    </w:p>
    <w:p w14:paraId="25622751" w14:textId="77777777" w:rsidR="00DF578C" w:rsidRPr="0062764E" w:rsidRDefault="00DF578C" w:rsidP="00DF578C">
      <w:pPr>
        <w:spacing w:after="60" w:line="276" w:lineRule="auto"/>
        <w:jc w:val="both"/>
        <w:rPr>
          <w:rFonts w:ascii="Arial" w:eastAsia="Calibri" w:hAnsi="Arial" w:cs="Arial"/>
          <w:kern w:val="0"/>
          <w:sz w:val="20"/>
          <w:szCs w:val="22"/>
          <w14:ligatures w14:val="none"/>
        </w:rPr>
      </w:pPr>
      <w:r w:rsidRPr="0062764E">
        <w:rPr>
          <w:rFonts w:ascii="Arial" w:hAnsi="Arial"/>
          <w:sz w:val="20"/>
        </w:rPr>
        <w:t xml:space="preserve">The literature provides complementary but incomplete explanations of this arrangement. Supply-chain studies establish that Halal integrity is a chain-wide condition and that point-in-time certification cannot substitute for continuous controls over ingredients, cross-contamination, segregation, and traceability </w:t>
      </w:r>
      <w:r w:rsidRPr="0062764E">
        <w:rPr>
          <w:rFonts w:ascii="Arial" w:hAnsi="Arial"/>
          <w:sz w:val="20"/>
          <w:highlight w:val="yellow"/>
        </w:rPr>
        <w:t>(Soon et al., 2017; Tieman et al., 2012)</w:t>
      </w:r>
      <w:r w:rsidRPr="0062764E">
        <w:rPr>
          <w:rFonts w:ascii="Arial" w:hAnsi="Arial"/>
          <w:sz w:val="20"/>
        </w:rPr>
        <w:t xml:space="preserve">. Reviews of digital and blockchain applications identify potential gains in transparency, data immutability, and coordination, while also documenting persistent constraints related to standardisation, scalability, data quality, cost, and inter-organisational cooperation (Astuti &amp; </w:t>
      </w:r>
      <w:proofErr w:type="spellStart"/>
      <w:r w:rsidRPr="0062764E">
        <w:rPr>
          <w:rFonts w:ascii="Arial" w:hAnsi="Arial"/>
          <w:sz w:val="20"/>
        </w:rPr>
        <w:t>Hidayati</w:t>
      </w:r>
      <w:proofErr w:type="spellEnd"/>
      <w:r w:rsidRPr="0062764E">
        <w:rPr>
          <w:rFonts w:ascii="Arial" w:hAnsi="Arial"/>
          <w:sz w:val="20"/>
        </w:rPr>
        <w:t xml:space="preserve">, 2023; </w:t>
      </w:r>
      <w:proofErr w:type="spellStart"/>
      <w:r w:rsidRPr="0062764E">
        <w:rPr>
          <w:rFonts w:ascii="Arial" w:hAnsi="Arial"/>
          <w:sz w:val="20"/>
        </w:rPr>
        <w:t>Rejeb</w:t>
      </w:r>
      <w:proofErr w:type="spellEnd"/>
      <w:r w:rsidRPr="0062764E">
        <w:rPr>
          <w:rFonts w:ascii="Arial" w:hAnsi="Arial"/>
          <w:sz w:val="20"/>
        </w:rPr>
        <w:t xml:space="preserve"> et al., 2021). Trade-law analysis further shows that Halal measures can function as technical barriers when importing jurisdictions differ in substantive standards, approved certifiers, or conformity-assessment procedures (Johan &amp; Schebesta, 2022). These streams jointly imply that technology can strengthen evidence and reduce verification costs, but cannot by itself determine religious authority, confer legal validity, or produce cross-border recognition.</w:t>
      </w:r>
    </w:p>
    <w:p w14:paraId="418B1DC6" w14:textId="77777777" w:rsidR="00AB617D" w:rsidRPr="0062764E" w:rsidRDefault="00000000">
      <w:pPr>
        <w:spacing w:after="60" w:line="276" w:lineRule="auto"/>
        <w:jc w:val="both"/>
        <w:rPr>
          <w:rFonts w:ascii="Arial" w:eastAsia="Calibri" w:hAnsi="Arial" w:cs="Arial"/>
          <w:kern w:val="0"/>
          <w:sz w:val="20"/>
          <w:szCs w:val="22"/>
          <w14:ligatures w14:val="none"/>
        </w:rPr>
      </w:pPr>
      <w:r w:rsidRPr="0062764E">
        <w:rPr>
          <w:rFonts w:ascii="Arial" w:hAnsi="Arial"/>
          <w:sz w:val="20"/>
        </w:rPr>
        <w:t>This distinction is crucial for legal and policy analysis. The effectiveness of a digital certificate depends on the scope of the underlying legal obligation, the competence of the issuing authority, the procedures for suspension and revocation, and the importing market’s recognition rules. A centralised statutory regime may create clearer accountability but also greater implementation burdens; a market-driven certification regime may be more flexible but can depend heavily on buyer requirements and reputational trust; and a science-supported export regime may strengthen process credibility without integrating all certification, testing, logistics, and trade data. The analytical framework must therefore assess both the enabling function and the institutional limits of digitalisation.</w:t>
      </w:r>
    </w:p>
    <w:p w14:paraId="11021C7C" w14:textId="77777777" w:rsidR="00DF578C" w:rsidRPr="0062764E" w:rsidRDefault="00DF578C" w:rsidP="00DF578C">
      <w:pPr>
        <w:spacing w:after="60" w:line="276" w:lineRule="auto"/>
        <w:jc w:val="both"/>
        <w:rPr>
          <w:rFonts w:ascii="Arial" w:eastAsia="Calibri" w:hAnsi="Arial" w:cs="Arial"/>
          <w:kern w:val="0"/>
          <w:sz w:val="20"/>
          <w:szCs w:val="22"/>
          <w14:ligatures w14:val="none"/>
        </w:rPr>
      </w:pPr>
      <w:r w:rsidRPr="0062764E">
        <w:rPr>
          <w:rFonts w:ascii="Arial" w:eastAsia="Calibri" w:hAnsi="Arial" w:cs="Arial"/>
          <w:kern w:val="0"/>
          <w:sz w:val="20"/>
          <w:szCs w:val="22"/>
          <w14:ligatures w14:val="none"/>
        </w:rPr>
        <w:t>The article proposes a four-layer framework for digital connectivity: (</w:t>
      </w:r>
      <w:proofErr w:type="spellStart"/>
      <w:r w:rsidRPr="0062764E">
        <w:rPr>
          <w:rFonts w:ascii="Arial" w:eastAsia="Calibri" w:hAnsi="Arial" w:cs="Arial"/>
          <w:kern w:val="0"/>
          <w:sz w:val="20"/>
          <w:szCs w:val="22"/>
          <w14:ligatures w14:val="none"/>
        </w:rPr>
        <w:t>i</w:t>
      </w:r>
      <w:proofErr w:type="spellEnd"/>
      <w:r w:rsidRPr="0062764E">
        <w:rPr>
          <w:rFonts w:ascii="Arial" w:eastAsia="Calibri" w:hAnsi="Arial" w:cs="Arial"/>
          <w:kern w:val="0"/>
          <w:sz w:val="20"/>
          <w:szCs w:val="22"/>
          <w14:ligatures w14:val="none"/>
        </w:rPr>
        <w:t>) institutional and certification connectivity, comprising electronic registration, databases of certification bodies, certificate-status information, and recognition mechanisms; (ii) traceability data on ingredients, production, Halal control points, logistics, and product history; (iii) market and business-platform connectivity, supporting searches for suppliers, buyers, services, and trade opportunities; and (iv) knowledge, technology, and support-service connectivity, including training, testing, research, and consultancy. These four layers respectively establish authority, generate evidence, convert trust into transactions, and sustain ecosystem capabilities.</w:t>
      </w:r>
    </w:p>
    <w:p w14:paraId="190B7593" w14:textId="77777777" w:rsidR="00DF578C" w:rsidRPr="0062764E" w:rsidRDefault="008103CE" w:rsidP="00DF578C">
      <w:pPr>
        <w:keepNext/>
        <w:spacing w:after="60" w:line="276" w:lineRule="auto"/>
        <w:jc w:val="both"/>
        <w:rPr>
          <w:rFonts w:ascii="Arial" w:eastAsia="Calibri" w:hAnsi="Arial" w:cs="Arial"/>
          <w:b/>
          <w:bCs/>
          <w:i/>
          <w:iCs/>
          <w:kern w:val="0"/>
          <w:sz w:val="20"/>
          <w:szCs w:val="22"/>
          <w14:ligatures w14:val="none"/>
        </w:rPr>
      </w:pPr>
      <w:r w:rsidRPr="0062764E">
        <w:rPr>
          <w:rFonts w:ascii="Arial" w:eastAsia="Calibri" w:hAnsi="Arial" w:cs="Arial"/>
          <w:b/>
          <w:bCs/>
          <w:i/>
          <w:iCs/>
          <w:kern w:val="0"/>
          <w:sz w:val="20"/>
          <w:szCs w:val="22"/>
          <w14:ligatures w14:val="none"/>
        </w:rPr>
        <w:t xml:space="preserve">2.2 </w:t>
      </w:r>
      <w:r w:rsidR="00DF578C" w:rsidRPr="0062764E">
        <w:rPr>
          <w:rFonts w:ascii="Arial" w:eastAsia="Calibri" w:hAnsi="Arial" w:cs="Arial"/>
          <w:b/>
          <w:bCs/>
          <w:i/>
          <w:iCs/>
          <w:kern w:val="0"/>
          <w:sz w:val="20"/>
          <w:szCs w:val="22"/>
          <w14:ligatures w14:val="none"/>
        </w:rPr>
        <w:t>Research methodology</w:t>
      </w:r>
    </w:p>
    <w:p w14:paraId="67AA488A" w14:textId="77777777" w:rsidR="00DF578C" w:rsidRPr="0062764E" w:rsidRDefault="00DF578C" w:rsidP="00DF578C">
      <w:pPr>
        <w:spacing w:after="60" w:line="276" w:lineRule="auto"/>
        <w:jc w:val="both"/>
        <w:rPr>
          <w:rFonts w:ascii="Arial" w:eastAsia="Calibri" w:hAnsi="Arial" w:cs="Arial"/>
          <w:kern w:val="0"/>
          <w:sz w:val="20"/>
          <w:szCs w:val="22"/>
          <w14:ligatures w14:val="none"/>
        </w:rPr>
      </w:pPr>
      <w:r w:rsidRPr="0062764E">
        <w:rPr>
          <w:rFonts w:ascii="Arial" w:hAnsi="Arial"/>
          <w:sz w:val="20"/>
        </w:rPr>
        <w:t>The study employs a qualitative comparative case-study design and structured document analysis (Bowen, 2009; Yin, 2018). It combines legal and policy analysis with cross-case synthesis in order to examine both formal institutional arrangements and the operational functions of digital platforms. The source categories comprise laws, implementing regulations, standards, certification manuals, recognised-certifier lists, official platform guidance, reports by international and regional organisations, peer-reviewed studies on Halal supply chains, integrity, traceability, and trade, and Vietnamese policy documents.</w:t>
      </w:r>
    </w:p>
    <w:p w14:paraId="0AADC28F" w14:textId="77777777" w:rsidR="00DF578C" w:rsidRPr="0062764E" w:rsidRDefault="00DF578C" w:rsidP="00DF578C">
      <w:pPr>
        <w:spacing w:after="60" w:line="276" w:lineRule="auto"/>
        <w:jc w:val="both"/>
        <w:rPr>
          <w:rFonts w:ascii="Arial" w:eastAsia="Calibri" w:hAnsi="Arial" w:cs="Arial"/>
          <w:kern w:val="0"/>
          <w:sz w:val="20"/>
          <w:szCs w:val="22"/>
          <w14:ligatures w14:val="none"/>
        </w:rPr>
      </w:pPr>
      <w:r w:rsidRPr="0062764E">
        <w:rPr>
          <w:rFonts w:ascii="Arial" w:hAnsi="Arial"/>
          <w:sz w:val="20"/>
        </w:rPr>
        <w:t xml:space="preserve">The documentary search was conducted from 15 May to 5 August 2026. Academic materials were identified through Google Scholar, DOI-indexed publisher records, and backward reference checking of relevant review articles, using combinations of the terms “Halal ecosystem”, “Halal supply chain”, “digital Halal”, “Halal certification”, “traceability”, “interoperability”, “blockchain”, “mutual recognition”, “foreign Halal certification body”, and the names of the three case countries and Vietnam. Official materials were retrieved from the portals of JAKIM and </w:t>
      </w:r>
      <w:proofErr w:type="spellStart"/>
      <w:r w:rsidRPr="0062764E">
        <w:rPr>
          <w:rFonts w:ascii="Arial" w:hAnsi="Arial"/>
          <w:sz w:val="20"/>
        </w:rPr>
        <w:t>MYeHALAL</w:t>
      </w:r>
      <w:proofErr w:type="spellEnd"/>
      <w:r w:rsidRPr="0062764E">
        <w:rPr>
          <w:rFonts w:ascii="Arial" w:hAnsi="Arial"/>
          <w:sz w:val="20"/>
        </w:rPr>
        <w:t xml:space="preserve">, HDC and the Halal Integrated Platform, BPJPH and SIHALAL, Indonesia’s official legal database, CICOT and the Thai Halal product portal, the Halal Science </w:t>
      </w:r>
      <w:proofErr w:type="spellStart"/>
      <w:r w:rsidRPr="0062764E">
        <w:rPr>
          <w:rFonts w:ascii="Arial" w:hAnsi="Arial"/>
          <w:sz w:val="20"/>
        </w:rPr>
        <w:t>Center</w:t>
      </w:r>
      <w:proofErr w:type="spellEnd"/>
      <w:r w:rsidRPr="0062764E">
        <w:rPr>
          <w:rFonts w:ascii="Arial" w:hAnsi="Arial"/>
          <w:sz w:val="20"/>
        </w:rPr>
        <w:t xml:space="preserve"> at Chulalongkorn University, HALCERT, the relevant Malaysian and Vietnamese ministries, and ASEAN. The legal and policy coverage extends from 2011 to 5 August 2026, while the principal academic literature covers 2012-2026.</w:t>
      </w:r>
    </w:p>
    <w:p w14:paraId="470D950E" w14:textId="77777777" w:rsidR="00AB617D" w:rsidRPr="0062764E" w:rsidRDefault="00000000">
      <w:pPr>
        <w:spacing w:after="60" w:line="276" w:lineRule="auto"/>
        <w:jc w:val="both"/>
        <w:rPr>
          <w:rFonts w:ascii="Arial" w:eastAsia="Calibri" w:hAnsi="Arial" w:cs="Arial"/>
          <w:kern w:val="0"/>
          <w:sz w:val="20"/>
          <w:szCs w:val="22"/>
          <w14:ligatures w14:val="none"/>
        </w:rPr>
      </w:pPr>
      <w:r w:rsidRPr="0062764E">
        <w:rPr>
          <w:rFonts w:ascii="Arial" w:hAnsi="Arial"/>
          <w:sz w:val="20"/>
        </w:rPr>
        <w:t xml:space="preserve">Documents were screened in two stages: first by title, issuing institution, date, and apparent relevance; and then by full-text assessment. A document was included when it was </w:t>
      </w:r>
      <w:r w:rsidRPr="0062764E">
        <w:rPr>
          <w:rFonts w:ascii="Arial" w:hAnsi="Arial"/>
          <w:sz w:val="20"/>
          <w:highlight w:val="yellow"/>
        </w:rPr>
        <w:t>a primary official source or a peer-</w:t>
      </w:r>
      <w:r w:rsidRPr="0062764E">
        <w:rPr>
          <w:rFonts w:ascii="Arial" w:hAnsi="Arial"/>
          <w:sz w:val="20"/>
          <w:highlight w:val="yellow"/>
        </w:rPr>
        <w:lastRenderedPageBreak/>
        <w:t>reviewed study</w:t>
      </w:r>
      <w:r w:rsidRPr="0062764E">
        <w:rPr>
          <w:rFonts w:ascii="Arial" w:hAnsi="Arial"/>
          <w:sz w:val="20"/>
        </w:rPr>
        <w:t>, was available in full text, and directly informed at least one analytical domain. Duplicate documents, generic promotional material without verifiable institutional content, unsupported secondary summaries, and superseded webpages were excluded when a newer official source was available. Where an official English version was unavailable, the original-language page was checked alongside an English summary or translation, and only claims that could be traced to the official source were retained.</w:t>
      </w:r>
    </w:p>
    <w:p w14:paraId="6F1C2142" w14:textId="77777777" w:rsidR="00AB617D" w:rsidRPr="0062764E" w:rsidRDefault="00000000">
      <w:pPr>
        <w:spacing w:after="60" w:line="276" w:lineRule="auto"/>
        <w:jc w:val="both"/>
        <w:rPr>
          <w:rFonts w:ascii="Arial" w:eastAsia="Calibri" w:hAnsi="Arial" w:cs="Arial"/>
          <w:kern w:val="0"/>
          <w:sz w:val="20"/>
          <w:szCs w:val="22"/>
          <w14:ligatures w14:val="none"/>
        </w:rPr>
      </w:pPr>
      <w:r w:rsidRPr="0062764E">
        <w:rPr>
          <w:rFonts w:ascii="Arial" w:hAnsi="Arial"/>
          <w:sz w:val="20"/>
        </w:rPr>
        <w:t>Malaysia, Indonesia, and Thailand were selected purposively using a maximum-variation logic rather than as a statistically representative sample. All three are ASEAN economies of direct commercial relevance to Vietnam, but they embody contrasting governance arrangements: Malaysia represents an established certification and industry-development ecosystem; Indonesia represents a nationally coordinated mandatory Halal assurance regime in a major Muslim consumer market; and Thailand represents a non-Muslim-majority exporter that combines religious authority, scientific testing, and industrial support. This contrast enables the study to identify transferable institutional components while avoiding the assumption that one national model can be copied wholesale.</w:t>
      </w:r>
    </w:p>
    <w:p w14:paraId="2534E5C0" w14:textId="77777777" w:rsidR="00AB617D" w:rsidRPr="0062764E" w:rsidRDefault="00000000">
      <w:pPr>
        <w:spacing w:after="60" w:line="276" w:lineRule="auto"/>
        <w:jc w:val="both"/>
        <w:rPr>
          <w:rFonts w:ascii="Arial" w:eastAsia="Calibri" w:hAnsi="Arial" w:cs="Arial"/>
          <w:kern w:val="0"/>
          <w:sz w:val="20"/>
          <w:szCs w:val="22"/>
          <w14:ligatures w14:val="none"/>
        </w:rPr>
      </w:pPr>
      <w:r w:rsidRPr="0062764E">
        <w:rPr>
          <w:rFonts w:ascii="Arial" w:hAnsi="Arial"/>
          <w:sz w:val="20"/>
        </w:rPr>
        <w:t>A structured source matrix recorded the issuing body, jurisdiction, document type, legal status, date, relevant platform or process, and evidentiary claim. Documents were coded deductively across six domains: governance structure; legal scope and enforceability; digital certification and verification; traceability and supply-chain data; market and enterprise support; and cross-border recognition and trade facilitation. Inductive subcodes were then used to capture recurrent strengths, implementation bottlenecks, and interoperability problems. Interpretive bias was reduced by giving precedence to primary official sources for legal and time-sensitive claims, triangulating institutional claims with academic or international sources where possible, recording contradictory or limiting evidence, and rechecking all 2026 legal, certification, and platform claims against official portals on 5 August 2026. The study uses only publicly available documentary sources and involves no human participants, personal data, or animals; consequently, formal ethical approval was not required.</w:t>
      </w:r>
    </w:p>
    <w:p w14:paraId="795ECB7E" w14:textId="77777777" w:rsidR="00DF578C" w:rsidRPr="0062764E" w:rsidRDefault="00DF578C" w:rsidP="008103CE">
      <w:pPr>
        <w:pStyle w:val="Body"/>
        <w:spacing w:after="60" w:line="276" w:lineRule="auto"/>
        <w:rPr>
          <w:rFonts w:ascii="Arial" w:eastAsia="Calibri" w:hAnsi="Arial" w:cs="Arial"/>
          <w:b/>
          <w:szCs w:val="22"/>
          <w:lang w:val="vi-VN"/>
        </w:rPr>
      </w:pPr>
    </w:p>
    <w:p w14:paraId="44B18B52" w14:textId="77777777" w:rsidR="008103CE" w:rsidRPr="0062764E" w:rsidRDefault="00DF578C" w:rsidP="008103CE">
      <w:pPr>
        <w:pStyle w:val="Body"/>
        <w:keepNext/>
        <w:spacing w:after="60" w:line="276" w:lineRule="auto"/>
        <w:rPr>
          <w:rFonts w:ascii="Arial" w:eastAsia="Calibri" w:hAnsi="Arial" w:cs="Arial"/>
          <w:b/>
          <w:sz w:val="22"/>
          <w:szCs w:val="28"/>
        </w:rPr>
      </w:pPr>
      <w:r w:rsidRPr="0062764E">
        <w:rPr>
          <w:rFonts w:ascii="Arial" w:eastAsia="Calibri" w:hAnsi="Arial" w:cs="Arial"/>
          <w:b/>
          <w:szCs w:val="22"/>
          <w:lang w:val="vi-VN"/>
        </w:rPr>
        <w:t>3</w:t>
      </w:r>
      <w:r w:rsidR="008103CE" w:rsidRPr="0062764E">
        <w:rPr>
          <w:rFonts w:ascii="Arial" w:eastAsia="Calibri" w:hAnsi="Arial" w:cs="Arial"/>
          <w:b/>
          <w:szCs w:val="22"/>
        </w:rPr>
        <w:t>.</w:t>
      </w:r>
      <w:r w:rsidR="008103CE" w:rsidRPr="0062764E">
        <w:rPr>
          <w:rFonts w:ascii="Arial" w:eastAsia="Calibri" w:hAnsi="Arial" w:cs="Arial"/>
          <w:b/>
          <w:szCs w:val="22"/>
          <w:lang w:val="vi-VN"/>
        </w:rPr>
        <w:t xml:space="preserve"> </w:t>
      </w:r>
      <w:r w:rsidR="008103CE" w:rsidRPr="0062764E">
        <w:rPr>
          <w:rFonts w:ascii="Arial" w:eastAsia="Calibri" w:hAnsi="Arial" w:cs="Arial"/>
          <w:b/>
          <w:sz w:val="22"/>
          <w:szCs w:val="28"/>
        </w:rPr>
        <w:t>RESULTS AND DISCUSSION</w:t>
      </w:r>
    </w:p>
    <w:p w14:paraId="6A3AAE04" w14:textId="77777777" w:rsidR="00DF578C" w:rsidRPr="0062764E" w:rsidRDefault="00DF578C" w:rsidP="00DF578C">
      <w:pPr>
        <w:pStyle w:val="Body"/>
        <w:keepNext/>
        <w:spacing w:after="60" w:line="276" w:lineRule="auto"/>
        <w:rPr>
          <w:rFonts w:ascii="Arial" w:eastAsia="Calibri" w:hAnsi="Arial" w:cs="Arial"/>
          <w:b/>
          <w:bCs/>
          <w:i/>
          <w:iCs/>
          <w:sz w:val="22"/>
          <w:szCs w:val="28"/>
        </w:rPr>
      </w:pPr>
      <w:r w:rsidRPr="0062764E">
        <w:rPr>
          <w:rFonts w:ascii="Arial" w:eastAsia="Calibri" w:hAnsi="Arial" w:cs="Arial"/>
          <w:b/>
          <w:bCs/>
          <w:i/>
          <w:iCs/>
          <w:sz w:val="22"/>
          <w:szCs w:val="28"/>
        </w:rPr>
        <w:t>3.1. Digital connectivity in Halal ecosystems in selected countries of the Global South</w:t>
      </w:r>
    </w:p>
    <w:p w14:paraId="6832B880" w14:textId="77777777" w:rsidR="00DF578C" w:rsidRPr="0062764E" w:rsidRDefault="00DF578C" w:rsidP="00DF578C">
      <w:pPr>
        <w:pStyle w:val="Body"/>
        <w:spacing w:after="120" w:line="276" w:lineRule="auto"/>
        <w:rPr>
          <w:rFonts w:ascii="Arial" w:eastAsia="Calibri" w:hAnsi="Arial" w:cs="Arial"/>
          <w:sz w:val="22"/>
          <w:szCs w:val="28"/>
        </w:rPr>
      </w:pPr>
      <w:r w:rsidRPr="0062764E">
        <w:rPr>
          <w:rFonts w:ascii="Arial" w:hAnsi="Arial"/>
        </w:rPr>
        <w:t>The three cases are compared along four dimensions: the position of competent authorities within the Halal governance structure; the legal scope and enforceability of certification; the functions of digital infrastructure, from application intake and the creation of supply-chain evidence to public verification; and the mechanisms through which certification and data support cross-border recognition and market connectivity. This distinction prevents the analysis from equating the existence of an electronic portal with regulatory effectiveness. Electronic certificates create value only when the underlying data are authenticated and maintained, the issuing body is competent, and the certificate’s scope and status are accepted by the relevant market.</w:t>
      </w:r>
    </w:p>
    <w:p w14:paraId="7CDCF9A9" w14:textId="77777777" w:rsidR="00DF578C" w:rsidRPr="0062764E" w:rsidRDefault="00DF578C" w:rsidP="00DF578C">
      <w:pPr>
        <w:pStyle w:val="Body"/>
        <w:keepNext/>
        <w:spacing w:after="120" w:line="276" w:lineRule="auto"/>
        <w:rPr>
          <w:rFonts w:ascii="Arial" w:eastAsia="Calibri" w:hAnsi="Arial" w:cs="Arial"/>
          <w:i/>
          <w:iCs/>
          <w:sz w:val="22"/>
          <w:szCs w:val="28"/>
        </w:rPr>
      </w:pPr>
      <w:r w:rsidRPr="0062764E">
        <w:rPr>
          <w:rFonts w:ascii="Arial" w:eastAsia="Calibri" w:hAnsi="Arial" w:cs="Arial"/>
          <w:i/>
          <w:iCs/>
          <w:sz w:val="22"/>
          <w:szCs w:val="28"/>
        </w:rPr>
        <w:t>3.1.1. Malaysia: A two-tier architecture linking certification and ecosystem development</w:t>
      </w:r>
    </w:p>
    <w:p w14:paraId="4462CF91" w14:textId="77777777" w:rsidR="00DF578C" w:rsidRPr="0062764E" w:rsidRDefault="00DF578C" w:rsidP="00DF578C">
      <w:pPr>
        <w:pStyle w:val="Body"/>
        <w:spacing w:after="120" w:line="276" w:lineRule="auto"/>
        <w:rPr>
          <w:rFonts w:ascii="Arial" w:eastAsia="Calibri" w:hAnsi="Arial" w:cs="Arial"/>
          <w:sz w:val="22"/>
          <w:szCs w:val="28"/>
        </w:rPr>
      </w:pPr>
      <w:r w:rsidRPr="0062764E">
        <w:rPr>
          <w:rFonts w:ascii="Arial" w:hAnsi="Arial"/>
        </w:rPr>
        <w:t>Malaysia structures its Halal ecosystem through two complementary tiers. The Department of Islamic Development Malaysia (</w:t>
      </w:r>
      <w:proofErr w:type="spellStart"/>
      <w:r w:rsidRPr="0062764E">
        <w:rPr>
          <w:rFonts w:ascii="Arial" w:hAnsi="Arial"/>
        </w:rPr>
        <w:t>Jabatan</w:t>
      </w:r>
      <w:proofErr w:type="spellEnd"/>
      <w:r w:rsidRPr="0062764E">
        <w:rPr>
          <w:rFonts w:ascii="Arial" w:hAnsi="Arial"/>
        </w:rPr>
        <w:t xml:space="preserve"> </w:t>
      </w:r>
      <w:proofErr w:type="spellStart"/>
      <w:r w:rsidRPr="0062764E">
        <w:rPr>
          <w:rFonts w:ascii="Arial" w:hAnsi="Arial"/>
        </w:rPr>
        <w:t>Kemajuan</w:t>
      </w:r>
      <w:proofErr w:type="spellEnd"/>
      <w:r w:rsidRPr="0062764E">
        <w:rPr>
          <w:rFonts w:ascii="Arial" w:hAnsi="Arial"/>
        </w:rPr>
        <w:t xml:space="preserve"> Islam Malaysia, JAKIM), together with state religious authorities, administers certification, while the Halal Development Corporation (HDC), an agency under the Ministry of Investment, Trade and Industry, promotes enterprise capabilities, investment, trade, and ecosystem linkages</w:t>
      </w:r>
      <w:r w:rsidR="009B587A" w:rsidRPr="0062764E">
        <w:rPr>
          <w:rFonts w:ascii="Arial" w:hAnsi="Arial"/>
        </w:rPr>
        <w:t xml:space="preserve"> (Ministry of Investment, Trade and Industry Malaysia, 2023)</w:t>
      </w:r>
      <w:r w:rsidRPr="0062764E">
        <w:rPr>
          <w:rFonts w:ascii="Arial" w:hAnsi="Arial"/>
        </w:rPr>
        <w:t xml:space="preserve">. Certification data are therefore anchored in religious and administrative authority, while enterprise and market data support industrial development. This division creates </w:t>
      </w:r>
      <w:proofErr w:type="spellStart"/>
      <w:r w:rsidRPr="0062764E">
        <w:rPr>
          <w:rFonts w:ascii="Arial" w:hAnsi="Arial"/>
        </w:rPr>
        <w:t>specialisation</w:t>
      </w:r>
      <w:proofErr w:type="spellEnd"/>
      <w:r w:rsidRPr="0062764E">
        <w:rPr>
          <w:rFonts w:ascii="Arial" w:hAnsi="Arial"/>
        </w:rPr>
        <w:t xml:space="preserve">, but it also requires coordination among federal and state authorities, certification systems, </w:t>
      </w:r>
      <w:proofErr w:type="spellStart"/>
      <w:r w:rsidRPr="0062764E">
        <w:rPr>
          <w:rFonts w:ascii="Arial" w:hAnsi="Arial"/>
        </w:rPr>
        <w:t>recognised</w:t>
      </w:r>
      <w:proofErr w:type="spellEnd"/>
      <w:r w:rsidRPr="0062764E">
        <w:rPr>
          <w:rFonts w:ascii="Arial" w:hAnsi="Arial"/>
        </w:rPr>
        <w:t xml:space="preserve"> foreign bodies, and industry platforms.</w:t>
      </w:r>
    </w:p>
    <w:p w14:paraId="1DC1BB3B" w14:textId="77777777" w:rsidR="00DF578C" w:rsidRPr="0062764E" w:rsidRDefault="00DF578C" w:rsidP="00DF578C">
      <w:pPr>
        <w:pStyle w:val="Body"/>
        <w:spacing w:after="120" w:line="276" w:lineRule="auto"/>
        <w:rPr>
          <w:rFonts w:ascii="Arial" w:eastAsia="Calibri" w:hAnsi="Arial" w:cs="Arial"/>
          <w:sz w:val="22"/>
          <w:szCs w:val="28"/>
        </w:rPr>
      </w:pPr>
      <w:r w:rsidRPr="0062764E">
        <w:rPr>
          <w:rFonts w:ascii="Arial" w:eastAsia="Calibri" w:hAnsi="Arial" w:cs="Arial"/>
          <w:sz w:val="22"/>
          <w:szCs w:val="28"/>
        </w:rPr>
        <w:lastRenderedPageBreak/>
        <w:t xml:space="preserve">The Malaysia Halal Portal and </w:t>
      </w:r>
      <w:proofErr w:type="spellStart"/>
      <w:r w:rsidRPr="0062764E">
        <w:rPr>
          <w:rFonts w:ascii="Arial" w:eastAsia="Calibri" w:hAnsi="Arial" w:cs="Arial"/>
          <w:sz w:val="22"/>
          <w:szCs w:val="28"/>
        </w:rPr>
        <w:t>MYeHALAL</w:t>
      </w:r>
      <w:proofErr w:type="spellEnd"/>
      <w:r w:rsidRPr="0062764E">
        <w:rPr>
          <w:rFonts w:ascii="Arial" w:eastAsia="Calibri" w:hAnsi="Arial" w:cs="Arial"/>
          <w:sz w:val="22"/>
          <w:szCs w:val="28"/>
        </w:rPr>
        <w:t xml:space="preserve"> receive domestic and international applications, enable users to verify certification status, and publish the list of foreign Halal certification </w:t>
      </w:r>
      <w:r w:rsidRPr="0062764E">
        <w:rPr>
          <w:rFonts w:ascii="Arial" w:eastAsia="Calibri" w:hAnsi="Arial" w:cs="Arial"/>
          <w:sz w:val="22"/>
          <w:szCs w:val="28"/>
          <w:highlight w:val="yellow"/>
        </w:rPr>
        <w:t>bodies recognised by JAKIM</w:t>
      </w:r>
      <w:r w:rsidRPr="0062764E">
        <w:rPr>
          <w:rFonts w:ascii="Arial" w:eastAsia="Calibri" w:hAnsi="Arial" w:cs="Arial"/>
          <w:sz w:val="22"/>
          <w:szCs w:val="28"/>
        </w:rPr>
        <w:t xml:space="preserve">. For international manufacturing, application dossiers include the Halal assurance system; certificates or specifications for all ingredients and processing aids; process-flow diagrams; plant layouts; and evidence of quality management. The ingredient list must correspond to the data declared in </w:t>
      </w:r>
      <w:proofErr w:type="spellStart"/>
      <w:r w:rsidRPr="0062764E">
        <w:rPr>
          <w:rFonts w:ascii="Arial" w:eastAsia="Calibri" w:hAnsi="Arial" w:cs="Arial"/>
          <w:sz w:val="22"/>
          <w:szCs w:val="28"/>
        </w:rPr>
        <w:t>MYeHALAL</w:t>
      </w:r>
      <w:proofErr w:type="spellEnd"/>
      <w:r w:rsidRPr="0062764E">
        <w:rPr>
          <w:rFonts w:ascii="Arial" w:eastAsia="Calibri" w:hAnsi="Arial" w:cs="Arial"/>
          <w:sz w:val="22"/>
          <w:szCs w:val="28"/>
        </w:rPr>
        <w:t xml:space="preserve"> (JAKIM, 2023). The system thereby </w:t>
      </w:r>
      <w:proofErr w:type="spellStart"/>
      <w:r w:rsidRPr="0062764E">
        <w:rPr>
          <w:rFonts w:ascii="Arial" w:eastAsia="Calibri" w:hAnsi="Arial" w:cs="Arial"/>
          <w:sz w:val="22"/>
          <w:szCs w:val="28"/>
        </w:rPr>
        <w:t>standardises</w:t>
      </w:r>
      <w:proofErr w:type="spellEnd"/>
      <w:r w:rsidRPr="0062764E">
        <w:rPr>
          <w:rFonts w:ascii="Arial" w:eastAsia="Calibri" w:hAnsi="Arial" w:cs="Arial"/>
          <w:sz w:val="22"/>
          <w:szCs w:val="28"/>
        </w:rPr>
        <w:t xml:space="preserve"> an “evidence dossier” covering ingredients, processes, and internal responsibilities. However, a certification dossier does not in itself amount to real-time traceability at the individual batch level.</w:t>
      </w:r>
    </w:p>
    <w:p w14:paraId="2C3879D6" w14:textId="77777777" w:rsidR="00DF578C" w:rsidRPr="0062764E" w:rsidRDefault="00DF578C" w:rsidP="00DF578C">
      <w:pPr>
        <w:pStyle w:val="Body"/>
        <w:spacing w:after="120" w:line="276" w:lineRule="auto"/>
        <w:rPr>
          <w:rFonts w:ascii="Arial" w:eastAsia="Calibri" w:hAnsi="Arial" w:cs="Arial"/>
          <w:sz w:val="22"/>
          <w:szCs w:val="28"/>
        </w:rPr>
      </w:pPr>
      <w:r w:rsidRPr="0062764E">
        <w:rPr>
          <w:rFonts w:ascii="Arial" w:hAnsi="Arial"/>
        </w:rPr>
        <w:t xml:space="preserve">At the cross-border level, the list of </w:t>
      </w:r>
      <w:proofErr w:type="spellStart"/>
      <w:r w:rsidRPr="0062764E">
        <w:rPr>
          <w:rFonts w:ascii="Arial" w:hAnsi="Arial"/>
        </w:rPr>
        <w:t>recognised</w:t>
      </w:r>
      <w:proofErr w:type="spellEnd"/>
      <w:r w:rsidRPr="0062764E">
        <w:rPr>
          <w:rFonts w:ascii="Arial" w:hAnsi="Arial"/>
        </w:rPr>
        <w:t xml:space="preserve"> foreign Halal certification bodies is a central component of Malaysia’s trust infrastructure. Malaysia’s regime does not impose a universal Halal-certification obligation on every food product; rather, it regulates the </w:t>
      </w:r>
      <w:proofErr w:type="spellStart"/>
      <w:r w:rsidRPr="0062764E">
        <w:rPr>
          <w:rFonts w:ascii="Arial" w:hAnsi="Arial"/>
        </w:rPr>
        <w:t>authorised</w:t>
      </w:r>
      <w:proofErr w:type="spellEnd"/>
      <w:r w:rsidRPr="0062764E">
        <w:rPr>
          <w:rFonts w:ascii="Arial" w:hAnsi="Arial"/>
        </w:rPr>
        <w:t xml:space="preserve"> use of Halal descriptions and the acceptability of imported products represented as Halal. Such imported products must be certified by a foreign body </w:t>
      </w:r>
      <w:proofErr w:type="spellStart"/>
      <w:r w:rsidRPr="0062764E">
        <w:rPr>
          <w:rFonts w:ascii="Arial" w:hAnsi="Arial"/>
        </w:rPr>
        <w:t>recognised</w:t>
      </w:r>
      <w:proofErr w:type="spellEnd"/>
      <w:r w:rsidRPr="0062764E">
        <w:rPr>
          <w:rFonts w:ascii="Arial" w:hAnsi="Arial"/>
        </w:rPr>
        <w:t xml:space="preserve"> by JAKIM, and recognition is limited by approved scope, validity, and continuing oversight </w:t>
      </w:r>
      <w:r w:rsidRPr="0062764E">
        <w:rPr>
          <w:rFonts w:ascii="Arial" w:hAnsi="Arial"/>
          <w:highlight w:val="yellow"/>
        </w:rPr>
        <w:t>(JAKIM, 2026; Ministry of Domestic Trade and Cost of Living Malaysia, n.d.)</w:t>
      </w:r>
      <w:r w:rsidRPr="0062764E">
        <w:rPr>
          <w:rFonts w:ascii="Arial" w:hAnsi="Arial"/>
        </w:rPr>
        <w:t xml:space="preserve">. In parallel, HDC’s Halal Integrated Platform connects ingredient suppliers, service providers, Islamic finance institutions, and potential buyers (HDC, n.d.). </w:t>
      </w:r>
      <w:r w:rsidR="0001694F" w:rsidRPr="0062764E">
        <w:rPr>
          <w:rFonts w:ascii="Arial" w:hAnsi="Arial"/>
        </w:rPr>
        <w:t>The model is designed to protect the credibility of the Halal mark while connecting certification-related trust with business opportunities, although its legal and technical layers are not automatically integrated</w:t>
      </w:r>
      <w:r w:rsidRPr="0062764E">
        <w:rPr>
          <w:rFonts w:ascii="Arial" w:hAnsi="Arial"/>
        </w:rPr>
        <w:t>. Federal-state coordination, time-limited and scope-specific foreign-body recognition, and uneven enterprise-system connectivity may still generate verification costs.</w:t>
      </w:r>
    </w:p>
    <w:p w14:paraId="0DA6D173" w14:textId="77777777" w:rsidR="00DF578C" w:rsidRPr="0062764E" w:rsidRDefault="00DF578C" w:rsidP="00DF578C">
      <w:pPr>
        <w:pStyle w:val="Body"/>
        <w:keepNext/>
        <w:spacing w:after="120" w:line="276" w:lineRule="auto"/>
        <w:rPr>
          <w:rFonts w:ascii="Arial" w:eastAsia="Calibri" w:hAnsi="Arial" w:cs="Arial"/>
          <w:i/>
          <w:iCs/>
          <w:sz w:val="22"/>
          <w:szCs w:val="28"/>
        </w:rPr>
      </w:pPr>
      <w:r w:rsidRPr="0062764E">
        <w:rPr>
          <w:rFonts w:ascii="Arial" w:eastAsia="Calibri" w:hAnsi="Arial" w:cs="Arial"/>
          <w:i/>
          <w:iCs/>
          <w:sz w:val="22"/>
          <w:szCs w:val="28"/>
        </w:rPr>
        <w:t>3.1.2. Indonesia: Digital infrastructure for a mandatory Halal assurance regime</w:t>
      </w:r>
    </w:p>
    <w:p w14:paraId="53BDDFEC" w14:textId="77777777" w:rsidR="00DF578C" w:rsidRPr="0062764E" w:rsidRDefault="00DF578C" w:rsidP="00DF578C">
      <w:pPr>
        <w:pStyle w:val="Body"/>
        <w:spacing w:after="120" w:line="276" w:lineRule="auto"/>
        <w:rPr>
          <w:rFonts w:ascii="Arial" w:eastAsia="Calibri" w:hAnsi="Arial" w:cs="Arial"/>
          <w:sz w:val="22"/>
          <w:szCs w:val="28"/>
        </w:rPr>
      </w:pPr>
      <w:r w:rsidRPr="0062764E">
        <w:rPr>
          <w:rFonts w:ascii="Arial" w:hAnsi="Arial"/>
        </w:rPr>
        <w:t xml:space="preserve">Indonesia has the most legally binding regime among the three cases. Law No. 33 of 2014 and Government Regulation No. 42 of 2024 establish a mandatory Halal product-assurance framework for products entering, circulating, and being traded in Indonesia; products made from prohibited materials may circulate only when their non-Halal status is clearly disclosed (Government of Indonesia, 2014, 2024). For food, beverages, slaughtered products, and slaughtering services produced by medium-sized and large enterprises, the first implementation phase began on 18 October 2024. The Badan </w:t>
      </w:r>
      <w:proofErr w:type="spellStart"/>
      <w:r w:rsidRPr="0062764E">
        <w:rPr>
          <w:rFonts w:ascii="Arial" w:hAnsi="Arial"/>
        </w:rPr>
        <w:t>Penyelenggara</w:t>
      </w:r>
      <w:proofErr w:type="spellEnd"/>
      <w:r w:rsidRPr="0062764E">
        <w:rPr>
          <w:rFonts w:ascii="Arial" w:hAnsi="Arial"/>
        </w:rPr>
        <w:t xml:space="preserve"> </w:t>
      </w:r>
      <w:proofErr w:type="spellStart"/>
      <w:r w:rsidRPr="0062764E">
        <w:rPr>
          <w:rFonts w:ascii="Arial" w:hAnsi="Arial"/>
        </w:rPr>
        <w:t>Jaminan</w:t>
      </w:r>
      <w:proofErr w:type="spellEnd"/>
      <w:r w:rsidRPr="0062764E">
        <w:rPr>
          <w:rFonts w:ascii="Arial" w:hAnsi="Arial"/>
        </w:rPr>
        <w:t xml:space="preserve"> </w:t>
      </w:r>
      <w:proofErr w:type="spellStart"/>
      <w:r w:rsidRPr="0062764E">
        <w:rPr>
          <w:rFonts w:ascii="Arial" w:hAnsi="Arial"/>
        </w:rPr>
        <w:t>Produk</w:t>
      </w:r>
      <w:proofErr w:type="spellEnd"/>
      <w:r w:rsidRPr="0062764E">
        <w:rPr>
          <w:rFonts w:ascii="Arial" w:hAnsi="Arial"/>
        </w:rPr>
        <w:t xml:space="preserve"> Halal (BPJPH) confirmed in 2026 that the next phase, beginning on 18 October 2026, extends to micro and small enterprises and imported products, alongside strengthened arrangements for foreign-certificate recognition and import governance </w:t>
      </w:r>
      <w:r w:rsidRPr="0062764E">
        <w:rPr>
          <w:rFonts w:ascii="Arial" w:hAnsi="Arial"/>
          <w:highlight w:val="yellow"/>
        </w:rPr>
        <w:t>(BPJPH, 2024a, 2026)</w:t>
      </w:r>
      <w:r w:rsidRPr="0062764E">
        <w:rPr>
          <w:rFonts w:ascii="Arial" w:hAnsi="Arial"/>
        </w:rPr>
        <w:t>. The regime’s principal advantage is a clear national legal mandate and focal authority; its principal implementation risk is that the scale of regulated products and enterprises may exceed inspection, recognition, data-management, and support capacity.</w:t>
      </w:r>
    </w:p>
    <w:p w14:paraId="364454F3" w14:textId="77777777" w:rsidR="00DF578C" w:rsidRPr="0062764E" w:rsidRDefault="00DF578C" w:rsidP="00DF578C">
      <w:pPr>
        <w:pStyle w:val="Body"/>
        <w:spacing w:after="120" w:line="276" w:lineRule="auto"/>
        <w:rPr>
          <w:rFonts w:ascii="Arial" w:eastAsia="Calibri" w:hAnsi="Arial" w:cs="Arial"/>
          <w:sz w:val="22"/>
          <w:szCs w:val="28"/>
        </w:rPr>
      </w:pPr>
      <w:r w:rsidRPr="0062764E">
        <w:rPr>
          <w:rFonts w:ascii="Arial" w:eastAsia="Calibri" w:hAnsi="Arial" w:cs="Arial"/>
          <w:sz w:val="22"/>
          <w:szCs w:val="28"/>
        </w:rPr>
        <w:t xml:space="preserve">SIHALAL is the official portal for receiving and processing applications. The digital workflow links enterprise and product information with inspection, testing, Halal determination, and certificate issuance; enterprises can download digital certificates from their accounts. BPJPH's continued upgrading of SIHALAL and issuance of guidance for both regular and self-declaration pathways indicate that the platform is becoming the digital administrative infrastructure of Indonesia's Halal product assurance system (BPJPH, 2025). The platform </w:t>
      </w:r>
      <w:proofErr w:type="spellStart"/>
      <w:r w:rsidRPr="0062764E">
        <w:rPr>
          <w:rFonts w:ascii="Arial" w:eastAsia="Calibri" w:hAnsi="Arial" w:cs="Arial"/>
          <w:sz w:val="22"/>
          <w:szCs w:val="28"/>
        </w:rPr>
        <w:t>standardises</w:t>
      </w:r>
      <w:proofErr w:type="spellEnd"/>
      <w:r w:rsidRPr="0062764E">
        <w:rPr>
          <w:rFonts w:ascii="Arial" w:eastAsia="Calibri" w:hAnsi="Arial" w:cs="Arial"/>
          <w:sz w:val="22"/>
          <w:szCs w:val="28"/>
        </w:rPr>
        <w:t xml:space="preserve"> processes across multiple actors, although output quality still depends on ingredient data, inspection capacity, and on-site practices.</w:t>
      </w:r>
    </w:p>
    <w:p w14:paraId="767BBD8C" w14:textId="77777777" w:rsidR="00DF578C" w:rsidRPr="0062764E" w:rsidRDefault="00DF578C" w:rsidP="00DF578C">
      <w:pPr>
        <w:pStyle w:val="Body"/>
        <w:spacing w:after="120" w:line="276" w:lineRule="auto"/>
        <w:rPr>
          <w:rFonts w:ascii="Arial" w:eastAsia="Calibri" w:hAnsi="Arial" w:cs="Arial"/>
          <w:sz w:val="22"/>
          <w:szCs w:val="28"/>
        </w:rPr>
      </w:pPr>
      <w:r w:rsidRPr="0062764E">
        <w:rPr>
          <w:rFonts w:ascii="Arial" w:hAnsi="Arial"/>
        </w:rPr>
        <w:t>For international trade, SIHALAL introduced a function in July 2024 for registering foreign Halal certificates (</w:t>
      </w:r>
      <w:proofErr w:type="spellStart"/>
      <w:r w:rsidRPr="0062764E">
        <w:rPr>
          <w:rFonts w:ascii="Arial" w:hAnsi="Arial"/>
        </w:rPr>
        <w:t>Sertifikat</w:t>
      </w:r>
      <w:proofErr w:type="spellEnd"/>
      <w:r w:rsidRPr="0062764E">
        <w:rPr>
          <w:rFonts w:ascii="Arial" w:hAnsi="Arial"/>
        </w:rPr>
        <w:t xml:space="preserve"> Halal Luar Negeri - SHLN) by importers or officially appointed representatives in Indonesia </w:t>
      </w:r>
      <w:r w:rsidRPr="0062764E">
        <w:rPr>
          <w:rFonts w:ascii="Arial" w:hAnsi="Arial"/>
          <w:highlight w:val="yellow"/>
        </w:rPr>
        <w:t>(BPJPH, 2024b)</w:t>
      </w:r>
      <w:r w:rsidRPr="0062764E">
        <w:rPr>
          <w:rFonts w:ascii="Arial" w:hAnsi="Arial"/>
        </w:rPr>
        <w:t xml:space="preserve">. The mechanism links each certificate to the relevant foreign Halal body and the applicable mutual-recognition framework. Market access therefore involves at least three distinct tests: the product must satisfy substantive Halal requirements; the certificate must be issued by a body accepted by BPJPH; </w:t>
      </w:r>
      <w:r w:rsidRPr="0062764E">
        <w:rPr>
          <w:rFonts w:ascii="Arial" w:hAnsi="Arial"/>
        </w:rPr>
        <w:lastRenderedPageBreak/>
        <w:t xml:space="preserve">and the certificate data must be registered and verifiable in the national system. This creates a traceable national point of accountability, but it also exposes potential bottlenecks in </w:t>
      </w:r>
      <w:proofErr w:type="spellStart"/>
      <w:r w:rsidRPr="0062764E">
        <w:rPr>
          <w:rFonts w:ascii="Arial" w:hAnsi="Arial"/>
        </w:rPr>
        <w:t>recognising</w:t>
      </w:r>
      <w:proofErr w:type="spellEnd"/>
      <w:r w:rsidRPr="0062764E">
        <w:rPr>
          <w:rFonts w:ascii="Arial" w:hAnsi="Arial"/>
        </w:rPr>
        <w:t xml:space="preserve"> foreign bodies, matching product and certificate data, managing complex imported ingredients, and assisting enterprises with uneven digital capacity. For Vietnamese exporters, a structured and reusable dataset covering ingredients, facilities, processes, certificates, and product codes is therefore more valuable than treating each application as an isolated administrative transaction.</w:t>
      </w:r>
    </w:p>
    <w:p w14:paraId="0423AACF" w14:textId="77777777" w:rsidR="00DF578C" w:rsidRPr="0062764E" w:rsidRDefault="00DF578C" w:rsidP="00DF578C">
      <w:pPr>
        <w:pStyle w:val="Body"/>
        <w:keepNext/>
        <w:spacing w:after="120" w:line="276" w:lineRule="auto"/>
        <w:rPr>
          <w:rFonts w:ascii="Arial" w:eastAsia="Calibri" w:hAnsi="Arial" w:cs="Arial"/>
          <w:i/>
          <w:iCs/>
          <w:sz w:val="22"/>
          <w:szCs w:val="28"/>
        </w:rPr>
      </w:pPr>
      <w:r w:rsidRPr="0062764E">
        <w:rPr>
          <w:rFonts w:ascii="Arial" w:eastAsia="Calibri" w:hAnsi="Arial" w:cs="Arial"/>
          <w:i/>
          <w:iCs/>
          <w:sz w:val="22"/>
          <w:szCs w:val="28"/>
        </w:rPr>
        <w:t>3.1.3. Thailand: Integrating religious authority, science, and export orientation</w:t>
      </w:r>
    </w:p>
    <w:p w14:paraId="675C7FEB" w14:textId="77777777" w:rsidR="00DF578C" w:rsidRPr="0062764E" w:rsidRDefault="00DF578C" w:rsidP="00DF578C">
      <w:pPr>
        <w:pStyle w:val="Body"/>
        <w:spacing w:after="120" w:line="276" w:lineRule="auto"/>
        <w:rPr>
          <w:rFonts w:ascii="Arial" w:eastAsia="Calibri" w:hAnsi="Arial" w:cs="Arial"/>
          <w:sz w:val="22"/>
          <w:szCs w:val="28"/>
        </w:rPr>
      </w:pPr>
      <w:r w:rsidRPr="0062764E">
        <w:rPr>
          <w:rFonts w:ascii="Arial" w:hAnsi="Arial"/>
        </w:rPr>
        <w:t>Thailand has developed its Halal food industry despite not being a Muslim-majority country. Its model rests on coordination among religious authority, scientific testing, and export-oriented industrial capabilities. The Central Islamic Council of Thailand (CICOT) operates e-services for new applications, additions, renewals, certificate cancellation, and status checks; its product portal enables searches for products, certificates, and manufacturers. CICOT also publishes the recognition status of foreign certification bodies, creating a transparency layer for cross-border transactions (CICOT, n.d.-a, n.d.-b). Unlike Indonesia’s comprehensive statutory obligation, Thailand’s certification regime is not a universal legal condition for the circulation of all food products. Its commercial effect instead derives from CICOT’s religious authority, enterprise participation, buyer requirements, and recognition in export markets. This provides flexibility but makes system effectiveness more dependent on institutional coordination and market acceptance.</w:t>
      </w:r>
    </w:p>
    <w:p w14:paraId="62A44777" w14:textId="77777777" w:rsidR="00DF578C" w:rsidRPr="0062764E" w:rsidRDefault="00DF578C" w:rsidP="00DF578C">
      <w:pPr>
        <w:pStyle w:val="Body"/>
        <w:spacing w:after="120" w:line="276" w:lineRule="auto"/>
        <w:rPr>
          <w:rFonts w:ascii="Arial" w:eastAsia="Calibri" w:hAnsi="Arial" w:cs="Arial"/>
          <w:sz w:val="22"/>
          <w:szCs w:val="28"/>
        </w:rPr>
      </w:pPr>
      <w:r w:rsidRPr="0062764E">
        <w:rPr>
          <w:rFonts w:ascii="Arial" w:eastAsia="Calibri" w:hAnsi="Arial" w:cs="Arial"/>
          <w:sz w:val="22"/>
          <w:szCs w:val="28"/>
        </w:rPr>
        <w:t xml:space="preserve">The certification process requires enterprises to provide data on ingredients and suppliers, production-flow diagrams, Halal control points, logistics, product codes, and traceability plans (CICOT, 2016). This shifts the focus towards assessing the control system. Once </w:t>
      </w:r>
      <w:r w:rsidRPr="0062764E">
        <w:rPr>
          <w:rFonts w:ascii="Arial" w:eastAsia="Calibri" w:hAnsi="Arial" w:cs="Arial"/>
          <w:sz w:val="22"/>
          <w:szCs w:val="28"/>
          <w:highlight w:val="yellow"/>
        </w:rPr>
        <w:t>digitised</w:t>
      </w:r>
      <w:r w:rsidRPr="0062764E">
        <w:rPr>
          <w:rFonts w:ascii="Arial" w:eastAsia="Calibri" w:hAnsi="Arial" w:cs="Arial"/>
          <w:sz w:val="22"/>
          <w:szCs w:val="28"/>
        </w:rPr>
        <w:t>, the data can support initial assessment, change monitoring, and verification by business partners; however, batch-level traceability continues to depend on internal systems and connectivity among factories, logistics providers, and the certification portal.</w:t>
      </w:r>
    </w:p>
    <w:p w14:paraId="53568C0D" w14:textId="77777777" w:rsidR="00DF578C" w:rsidRPr="0062764E" w:rsidRDefault="00DF578C" w:rsidP="00DF578C">
      <w:pPr>
        <w:pStyle w:val="Body"/>
        <w:spacing w:after="120" w:line="276" w:lineRule="auto"/>
        <w:rPr>
          <w:rFonts w:ascii="Arial" w:hAnsi="Arial"/>
        </w:rPr>
      </w:pPr>
      <w:r w:rsidRPr="0062764E">
        <w:rPr>
          <w:rFonts w:ascii="Arial" w:hAnsi="Arial"/>
        </w:rPr>
        <w:t xml:space="preserve">A distinctive feature of Thailand's model is the Halal Science Center at Chulalongkorn University. HAL-Q integrates Halal requirements with GMP/HACCP and scientific testing methods to identify risks of cross-contamination, non-compliant ingredients, and critical control points (Halal Science Center, n.d.). This scientific foundation translates religious requirements into measurable production controls, particularly for highly processed foods involving additives, processing aids, </w:t>
      </w:r>
      <w:proofErr w:type="spellStart"/>
      <w:r w:rsidRPr="0062764E">
        <w:rPr>
          <w:rFonts w:ascii="Arial" w:hAnsi="Arial"/>
        </w:rPr>
        <w:t>flavourings</w:t>
      </w:r>
      <w:proofErr w:type="spellEnd"/>
      <w:r w:rsidRPr="0062764E">
        <w:rPr>
          <w:rFonts w:ascii="Arial" w:hAnsi="Arial"/>
        </w:rPr>
        <w:t xml:space="preserve">, or sanitation risks. </w:t>
      </w:r>
      <w:r w:rsidR="009B587A" w:rsidRPr="0062764E">
        <w:rPr>
          <w:rFonts w:ascii="Arial" w:hAnsi="Arial"/>
        </w:rPr>
        <w:t>The model therefore provides institutional and scientific mechanisms that can strengthen process credibility and export readiness, although scientific evidence does not replace certification authority or importing-market recognition</w:t>
      </w:r>
      <w:r w:rsidRPr="0062764E">
        <w:rPr>
          <w:rFonts w:ascii="Arial" w:hAnsi="Arial"/>
        </w:rPr>
        <w:t>. Moreover, certification, laboratory testing, internal traceability, logistics, and trade data remain distributed across separate systems rather than operating through a single interoperable architecture.</w:t>
      </w:r>
    </w:p>
    <w:p w14:paraId="3A47B72C" w14:textId="77777777" w:rsidR="009B587A" w:rsidRPr="0062764E" w:rsidRDefault="009B587A" w:rsidP="00DF578C">
      <w:pPr>
        <w:pStyle w:val="Body"/>
        <w:spacing w:after="120" w:line="276" w:lineRule="auto"/>
        <w:rPr>
          <w:rFonts w:ascii="Arial" w:eastAsia="Calibri" w:hAnsi="Arial" w:cs="Arial"/>
          <w:sz w:val="22"/>
          <w:szCs w:val="28"/>
        </w:rPr>
      </w:pPr>
      <w:r w:rsidRPr="0062764E">
        <w:rPr>
          <w:rFonts w:ascii="Arial" w:eastAsia="Calibri" w:hAnsi="Arial" w:cs="Arial"/>
          <w:sz w:val="22"/>
          <w:szCs w:val="28"/>
        </w:rPr>
        <w:t xml:space="preserve">Table 1 </w:t>
      </w:r>
      <w:proofErr w:type="spellStart"/>
      <w:r w:rsidRPr="0062764E">
        <w:rPr>
          <w:rFonts w:ascii="Arial" w:eastAsia="Calibri" w:hAnsi="Arial" w:cs="Arial"/>
          <w:sz w:val="22"/>
          <w:szCs w:val="28"/>
        </w:rPr>
        <w:t>summarises</w:t>
      </w:r>
      <w:proofErr w:type="spellEnd"/>
      <w:r w:rsidRPr="0062764E">
        <w:rPr>
          <w:rFonts w:ascii="Arial" w:eastAsia="Calibri" w:hAnsi="Arial" w:cs="Arial"/>
          <w:sz w:val="22"/>
          <w:szCs w:val="28"/>
        </w:rPr>
        <w:t xml:space="preserve"> the principal governance, digital-infrastructure, cross-border recognition, and implementation characteristics identified across the three cases.</w:t>
      </w:r>
    </w:p>
    <w:p w14:paraId="6C4AF4C3" w14:textId="77777777" w:rsidR="00DF578C" w:rsidRPr="0062764E" w:rsidRDefault="00DF578C" w:rsidP="00DF578C">
      <w:pPr>
        <w:pStyle w:val="Body"/>
        <w:spacing w:after="60" w:line="276" w:lineRule="auto"/>
        <w:jc w:val="center"/>
        <w:rPr>
          <w:rFonts w:ascii="Arial" w:eastAsia="Calibri" w:hAnsi="Arial" w:cs="Arial"/>
          <w:b/>
          <w:bCs/>
          <w:sz w:val="22"/>
          <w:szCs w:val="28"/>
        </w:rPr>
      </w:pPr>
      <w:r w:rsidRPr="0062764E">
        <w:rPr>
          <w:rFonts w:ascii="Arial" w:eastAsia="Calibri" w:hAnsi="Arial" w:cs="Arial"/>
          <w:b/>
          <w:bCs/>
          <w:sz w:val="22"/>
          <w:szCs w:val="28"/>
        </w:rPr>
        <w:t>Table 1. Comparison of digital connectivity structures in the Halal ecosystems of the three countries</w:t>
      </w:r>
    </w:p>
    <w:tbl>
      <w:tblPr>
        <w:tblW w:w="9493"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129"/>
        <w:gridCol w:w="1843"/>
        <w:gridCol w:w="2126"/>
        <w:gridCol w:w="1942"/>
        <w:gridCol w:w="2453"/>
      </w:tblGrid>
      <w:tr w:rsidR="00DF578C" w:rsidRPr="0062764E" w14:paraId="43C90918" w14:textId="77777777" w:rsidTr="00DF578C">
        <w:tc>
          <w:tcPr>
            <w:tcW w:w="1129" w:type="dxa"/>
            <w:tcBorders>
              <w:top w:val="single" w:sz="4" w:space="0" w:color="808080"/>
              <w:left w:val="single" w:sz="4" w:space="0" w:color="808080"/>
              <w:bottom w:val="single" w:sz="4" w:space="0" w:color="808080"/>
              <w:right w:val="single" w:sz="4" w:space="0" w:color="808080"/>
            </w:tcBorders>
            <w:shd w:val="clear" w:color="auto" w:fill="D9EAF7"/>
            <w:tcMar>
              <w:top w:w="45" w:type="dxa"/>
              <w:left w:w="0" w:type="dxa"/>
              <w:bottom w:w="45" w:type="dxa"/>
              <w:right w:w="0" w:type="dxa"/>
            </w:tcMar>
            <w:vAlign w:val="center"/>
            <w:hideMark/>
          </w:tcPr>
          <w:p w14:paraId="129CDE9E" w14:textId="77777777" w:rsidR="00DF578C" w:rsidRPr="0062764E" w:rsidRDefault="00DF578C" w:rsidP="00DF578C">
            <w:pPr>
              <w:pStyle w:val="Body"/>
              <w:spacing w:after="60" w:line="276" w:lineRule="auto"/>
              <w:ind w:left="142" w:right="142"/>
              <w:jc w:val="center"/>
              <w:rPr>
                <w:rFonts w:ascii="Arial" w:eastAsia="Calibri" w:hAnsi="Arial" w:cs="Arial"/>
                <w:b/>
                <w:bCs/>
                <w:sz w:val="22"/>
                <w:szCs w:val="28"/>
              </w:rPr>
            </w:pPr>
            <w:r w:rsidRPr="0062764E">
              <w:rPr>
                <w:rFonts w:ascii="Arial" w:eastAsia="Calibri" w:hAnsi="Arial" w:cs="Arial"/>
                <w:b/>
                <w:bCs/>
                <w:sz w:val="18"/>
                <w:szCs w:val="28"/>
              </w:rPr>
              <w:t>Country</w:t>
            </w:r>
          </w:p>
        </w:tc>
        <w:tc>
          <w:tcPr>
            <w:tcW w:w="1843" w:type="dxa"/>
            <w:tcBorders>
              <w:top w:val="single" w:sz="4" w:space="0" w:color="808080"/>
              <w:left w:val="single" w:sz="4" w:space="0" w:color="808080"/>
              <w:bottom w:val="single" w:sz="4" w:space="0" w:color="808080"/>
              <w:right w:val="single" w:sz="4" w:space="0" w:color="808080"/>
            </w:tcBorders>
            <w:shd w:val="clear" w:color="auto" w:fill="D9EAF7"/>
            <w:tcMar>
              <w:top w:w="45" w:type="dxa"/>
              <w:left w:w="0" w:type="dxa"/>
              <w:bottom w:w="45" w:type="dxa"/>
              <w:right w:w="0" w:type="dxa"/>
            </w:tcMar>
            <w:vAlign w:val="center"/>
            <w:hideMark/>
          </w:tcPr>
          <w:p w14:paraId="27151DF4" w14:textId="77777777" w:rsidR="00DF578C" w:rsidRPr="0062764E" w:rsidRDefault="00DF578C" w:rsidP="00DF578C">
            <w:pPr>
              <w:pStyle w:val="Body"/>
              <w:spacing w:after="60" w:line="276" w:lineRule="auto"/>
              <w:ind w:left="141" w:right="140"/>
              <w:jc w:val="center"/>
              <w:rPr>
                <w:rFonts w:ascii="Arial" w:eastAsia="Calibri" w:hAnsi="Arial" w:cs="Arial"/>
                <w:b/>
                <w:bCs/>
                <w:sz w:val="22"/>
                <w:szCs w:val="28"/>
              </w:rPr>
            </w:pPr>
            <w:r w:rsidRPr="0062764E">
              <w:rPr>
                <w:rFonts w:ascii="Arial" w:eastAsia="Calibri" w:hAnsi="Arial" w:cs="Arial"/>
                <w:b/>
                <w:bCs/>
                <w:sz w:val="18"/>
                <w:szCs w:val="28"/>
              </w:rPr>
              <w:t>Governance logic</w:t>
            </w:r>
          </w:p>
        </w:tc>
        <w:tc>
          <w:tcPr>
            <w:tcW w:w="2126" w:type="dxa"/>
            <w:tcBorders>
              <w:top w:val="single" w:sz="4" w:space="0" w:color="808080"/>
              <w:left w:val="single" w:sz="4" w:space="0" w:color="808080"/>
              <w:bottom w:val="single" w:sz="4" w:space="0" w:color="808080"/>
              <w:right w:val="single" w:sz="4" w:space="0" w:color="808080"/>
            </w:tcBorders>
            <w:shd w:val="clear" w:color="auto" w:fill="D9EAF7"/>
            <w:tcMar>
              <w:top w:w="45" w:type="dxa"/>
              <w:left w:w="0" w:type="dxa"/>
              <w:bottom w:w="45" w:type="dxa"/>
              <w:right w:w="0" w:type="dxa"/>
            </w:tcMar>
            <w:vAlign w:val="center"/>
            <w:hideMark/>
          </w:tcPr>
          <w:p w14:paraId="702AE936" w14:textId="77777777" w:rsidR="00DF578C" w:rsidRPr="0062764E" w:rsidRDefault="00DF578C" w:rsidP="00DF578C">
            <w:pPr>
              <w:pStyle w:val="Body"/>
              <w:spacing w:after="60" w:line="276" w:lineRule="auto"/>
              <w:ind w:left="144" w:right="132"/>
              <w:jc w:val="center"/>
              <w:rPr>
                <w:rFonts w:ascii="Arial" w:eastAsia="Calibri" w:hAnsi="Arial" w:cs="Arial"/>
                <w:b/>
                <w:bCs/>
                <w:sz w:val="22"/>
                <w:szCs w:val="28"/>
              </w:rPr>
            </w:pPr>
            <w:r w:rsidRPr="0062764E">
              <w:rPr>
                <w:rFonts w:ascii="Arial" w:eastAsia="Calibri" w:hAnsi="Arial" w:cs="Arial"/>
                <w:b/>
                <w:bCs/>
                <w:sz w:val="18"/>
                <w:szCs w:val="28"/>
              </w:rPr>
              <w:t>Core digital infrastructure</w:t>
            </w:r>
          </w:p>
        </w:tc>
        <w:tc>
          <w:tcPr>
            <w:tcW w:w="1942" w:type="dxa"/>
            <w:tcBorders>
              <w:top w:val="single" w:sz="4" w:space="0" w:color="808080"/>
              <w:left w:val="single" w:sz="4" w:space="0" w:color="808080"/>
              <w:bottom w:val="single" w:sz="4" w:space="0" w:color="808080"/>
              <w:right w:val="single" w:sz="4" w:space="0" w:color="808080"/>
            </w:tcBorders>
            <w:shd w:val="clear" w:color="auto" w:fill="D9EAF7"/>
            <w:tcMar>
              <w:top w:w="45" w:type="dxa"/>
              <w:left w:w="0" w:type="dxa"/>
              <w:bottom w:w="45" w:type="dxa"/>
              <w:right w:w="0" w:type="dxa"/>
            </w:tcMar>
            <w:vAlign w:val="center"/>
            <w:hideMark/>
          </w:tcPr>
          <w:p w14:paraId="3941B913" w14:textId="77777777" w:rsidR="00DF578C" w:rsidRPr="0062764E" w:rsidRDefault="00DF578C" w:rsidP="00DF578C">
            <w:pPr>
              <w:pStyle w:val="Body"/>
              <w:spacing w:after="60" w:line="276" w:lineRule="auto"/>
              <w:ind w:left="136" w:right="102"/>
              <w:jc w:val="center"/>
              <w:rPr>
                <w:rFonts w:ascii="Arial" w:eastAsia="Calibri" w:hAnsi="Arial" w:cs="Arial"/>
                <w:b/>
                <w:bCs/>
                <w:sz w:val="22"/>
                <w:szCs w:val="28"/>
              </w:rPr>
            </w:pPr>
            <w:r w:rsidRPr="0062764E">
              <w:rPr>
                <w:rFonts w:ascii="Arial" w:eastAsia="Calibri" w:hAnsi="Arial" w:cs="Arial"/>
                <w:b/>
                <w:bCs/>
                <w:sz w:val="18"/>
                <w:szCs w:val="28"/>
              </w:rPr>
              <w:t>Cross-border mechanism</w:t>
            </w:r>
          </w:p>
        </w:tc>
        <w:tc>
          <w:tcPr>
            <w:tcW w:w="2453" w:type="dxa"/>
            <w:tcBorders>
              <w:top w:val="single" w:sz="4" w:space="0" w:color="808080"/>
              <w:left w:val="single" w:sz="4" w:space="0" w:color="808080"/>
              <w:bottom w:val="single" w:sz="4" w:space="0" w:color="808080"/>
              <w:right w:val="single" w:sz="4" w:space="0" w:color="808080"/>
            </w:tcBorders>
            <w:shd w:val="clear" w:color="auto" w:fill="D9EAF7"/>
            <w:tcMar>
              <w:top w:w="45" w:type="dxa"/>
              <w:left w:w="0" w:type="dxa"/>
              <w:bottom w:w="45" w:type="dxa"/>
              <w:right w:w="0" w:type="dxa"/>
            </w:tcMar>
            <w:vAlign w:val="center"/>
            <w:hideMark/>
          </w:tcPr>
          <w:p w14:paraId="2965DC81" w14:textId="77777777" w:rsidR="00DF578C" w:rsidRPr="0062764E" w:rsidRDefault="00DF578C" w:rsidP="00DF578C">
            <w:pPr>
              <w:pStyle w:val="Body"/>
              <w:spacing w:after="60" w:line="276" w:lineRule="auto"/>
              <w:ind w:left="182" w:right="132"/>
              <w:jc w:val="center"/>
              <w:rPr>
                <w:rFonts w:ascii="Arial" w:eastAsia="Calibri" w:hAnsi="Arial" w:cs="Arial"/>
                <w:b/>
                <w:bCs/>
                <w:sz w:val="22"/>
                <w:szCs w:val="28"/>
              </w:rPr>
            </w:pPr>
            <w:r w:rsidRPr="0062764E">
              <w:rPr>
                <w:rFonts w:ascii="Arial" w:eastAsia="Calibri" w:hAnsi="Arial" w:cs="Arial"/>
                <w:b/>
                <w:bCs/>
                <w:sz w:val="18"/>
                <w:szCs w:val="28"/>
              </w:rPr>
              <w:t>Strengths and limitations</w:t>
            </w:r>
          </w:p>
        </w:tc>
      </w:tr>
      <w:tr w:rsidR="00DF578C" w:rsidRPr="0062764E" w14:paraId="03A07F88" w14:textId="77777777" w:rsidTr="00DF578C">
        <w:tc>
          <w:tcPr>
            <w:tcW w:w="1129"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126EBB75" w14:textId="77777777" w:rsidR="00DF578C" w:rsidRPr="0062764E" w:rsidRDefault="00DF578C" w:rsidP="00DF578C">
            <w:pPr>
              <w:pStyle w:val="Body"/>
              <w:spacing w:after="60" w:line="276" w:lineRule="auto"/>
              <w:ind w:left="142" w:right="142"/>
              <w:rPr>
                <w:rFonts w:ascii="Arial" w:eastAsia="Calibri" w:hAnsi="Arial" w:cs="Arial"/>
                <w:sz w:val="22"/>
                <w:szCs w:val="28"/>
              </w:rPr>
            </w:pPr>
            <w:r w:rsidRPr="0062764E">
              <w:rPr>
                <w:rFonts w:ascii="Arial" w:eastAsia="Calibri" w:hAnsi="Arial" w:cs="Arial"/>
                <w:sz w:val="18"/>
                <w:szCs w:val="28"/>
              </w:rPr>
              <w:t>Malaysia</w:t>
            </w:r>
          </w:p>
        </w:tc>
        <w:tc>
          <w:tcPr>
            <w:tcW w:w="1843"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hideMark/>
          </w:tcPr>
          <w:p w14:paraId="3D1A33E6" w14:textId="77777777" w:rsidR="00DF578C" w:rsidRPr="0062764E" w:rsidRDefault="00DF578C" w:rsidP="00DF578C">
            <w:pPr>
              <w:pStyle w:val="Body"/>
              <w:spacing w:after="0"/>
              <w:ind w:left="141" w:right="140"/>
              <w:rPr>
                <w:rFonts w:ascii="Arial" w:eastAsia="Calibri" w:hAnsi="Arial" w:cs="Arial"/>
                <w:sz w:val="22"/>
                <w:szCs w:val="28"/>
              </w:rPr>
            </w:pPr>
            <w:r w:rsidRPr="0062764E">
              <w:rPr>
                <w:rFonts w:ascii="Arial" w:hAnsi="Arial"/>
                <w:sz w:val="17"/>
              </w:rPr>
              <w:t xml:space="preserve">Authoritative certification by JAKIM/state religious authorities combined with Halal industry-development policy. </w:t>
            </w:r>
            <w:r w:rsidRPr="0062764E">
              <w:rPr>
                <w:rFonts w:ascii="Arial" w:hAnsi="Arial"/>
                <w:sz w:val="17"/>
              </w:rPr>
              <w:lastRenderedPageBreak/>
              <w:t xml:space="preserve">The legal framework regulates </w:t>
            </w:r>
            <w:proofErr w:type="spellStart"/>
            <w:r w:rsidRPr="0062764E">
              <w:rPr>
                <w:rFonts w:ascii="Arial" w:hAnsi="Arial"/>
                <w:sz w:val="17"/>
              </w:rPr>
              <w:t>authorised</w:t>
            </w:r>
            <w:proofErr w:type="spellEnd"/>
            <w:r w:rsidRPr="0062764E">
              <w:rPr>
                <w:rFonts w:ascii="Arial" w:hAnsi="Arial"/>
                <w:sz w:val="17"/>
              </w:rPr>
              <w:t xml:space="preserve"> Halal claims and </w:t>
            </w:r>
            <w:proofErr w:type="spellStart"/>
            <w:r w:rsidRPr="0062764E">
              <w:rPr>
                <w:rFonts w:ascii="Arial" w:hAnsi="Arial"/>
                <w:sz w:val="17"/>
              </w:rPr>
              <w:t>recognised</w:t>
            </w:r>
            <w:proofErr w:type="spellEnd"/>
            <w:r w:rsidRPr="0062764E">
              <w:rPr>
                <w:rFonts w:ascii="Arial" w:hAnsi="Arial"/>
                <w:sz w:val="17"/>
              </w:rPr>
              <w:t xml:space="preserve"> certification rather than imposing a universal certification obligation on all foods.</w:t>
            </w:r>
          </w:p>
        </w:tc>
        <w:tc>
          <w:tcPr>
            <w:tcW w:w="2126"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hideMark/>
          </w:tcPr>
          <w:p w14:paraId="3145C178" w14:textId="77777777" w:rsidR="00DF578C" w:rsidRPr="0062764E" w:rsidRDefault="00DF578C" w:rsidP="00DF578C">
            <w:pPr>
              <w:pStyle w:val="Body"/>
              <w:spacing w:after="0"/>
              <w:ind w:left="144" w:right="132"/>
              <w:rPr>
                <w:rFonts w:ascii="Arial" w:eastAsia="Calibri" w:hAnsi="Arial" w:cs="Arial"/>
                <w:sz w:val="22"/>
                <w:szCs w:val="28"/>
              </w:rPr>
            </w:pPr>
            <w:proofErr w:type="spellStart"/>
            <w:r w:rsidRPr="0062764E">
              <w:rPr>
                <w:rFonts w:ascii="Arial" w:hAnsi="Arial"/>
                <w:sz w:val="17"/>
              </w:rPr>
              <w:lastRenderedPageBreak/>
              <w:t>MYeHALAL</w:t>
            </w:r>
            <w:proofErr w:type="spellEnd"/>
            <w:r w:rsidRPr="0062764E">
              <w:rPr>
                <w:rFonts w:ascii="Arial" w:hAnsi="Arial"/>
                <w:sz w:val="17"/>
              </w:rPr>
              <w:t>, certificate-status and foreign-body directories; HIP connects supply, services, finance, and markets.</w:t>
            </w:r>
          </w:p>
        </w:tc>
        <w:tc>
          <w:tcPr>
            <w:tcW w:w="1942"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hideMark/>
          </w:tcPr>
          <w:p w14:paraId="5C1BD3F0" w14:textId="77777777" w:rsidR="00DF578C" w:rsidRPr="0062764E" w:rsidRDefault="00DF578C" w:rsidP="00DF578C">
            <w:pPr>
              <w:pStyle w:val="Body"/>
              <w:spacing w:after="0"/>
              <w:ind w:left="136" w:right="102"/>
              <w:rPr>
                <w:rFonts w:ascii="Arial" w:eastAsia="Calibri" w:hAnsi="Arial" w:cs="Arial"/>
                <w:sz w:val="22"/>
                <w:szCs w:val="28"/>
              </w:rPr>
            </w:pPr>
            <w:r w:rsidRPr="0062764E">
              <w:rPr>
                <w:rFonts w:ascii="Arial" w:hAnsi="Arial"/>
                <w:sz w:val="17"/>
              </w:rPr>
              <w:t>Recognition of foreign Halal certification bodies; verification of certificate scope, validity, status, and approved product categories.</w:t>
            </w:r>
          </w:p>
        </w:tc>
        <w:tc>
          <w:tcPr>
            <w:tcW w:w="2453"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hideMark/>
          </w:tcPr>
          <w:p w14:paraId="329E72A2" w14:textId="77777777" w:rsidR="00DF578C" w:rsidRPr="0062764E" w:rsidRDefault="00DF578C" w:rsidP="00DF578C">
            <w:pPr>
              <w:pStyle w:val="Body"/>
              <w:spacing w:after="0"/>
              <w:ind w:left="182" w:right="132"/>
              <w:rPr>
                <w:rFonts w:ascii="Arial" w:eastAsia="Calibri" w:hAnsi="Arial" w:cs="Arial"/>
                <w:sz w:val="22"/>
                <w:szCs w:val="28"/>
              </w:rPr>
            </w:pPr>
            <w:r w:rsidRPr="0062764E">
              <w:rPr>
                <w:rFonts w:ascii="Arial" w:hAnsi="Arial"/>
                <w:sz w:val="17"/>
              </w:rPr>
              <w:t xml:space="preserve">Strong linkage between authoritative trust and markets. Challenges include federal-state coordination, scope-specific recognition, and interoperability across </w:t>
            </w:r>
            <w:r w:rsidRPr="0062764E">
              <w:rPr>
                <w:rFonts w:ascii="Arial" w:hAnsi="Arial"/>
                <w:sz w:val="17"/>
              </w:rPr>
              <w:lastRenderedPageBreak/>
              <w:t>authority, foreign-body, and enterprise systems.</w:t>
            </w:r>
          </w:p>
        </w:tc>
      </w:tr>
      <w:tr w:rsidR="00DF578C" w:rsidRPr="0062764E" w14:paraId="5C57F668" w14:textId="77777777" w:rsidTr="00DF578C">
        <w:tc>
          <w:tcPr>
            <w:tcW w:w="1129"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3F492D3E" w14:textId="77777777" w:rsidR="00DF578C" w:rsidRPr="0062764E" w:rsidRDefault="00DF578C" w:rsidP="00DF578C">
            <w:pPr>
              <w:pStyle w:val="Body"/>
              <w:spacing w:after="60" w:line="276" w:lineRule="auto"/>
              <w:ind w:left="142" w:right="142"/>
              <w:rPr>
                <w:rFonts w:ascii="Arial" w:eastAsia="Calibri" w:hAnsi="Arial" w:cs="Arial"/>
                <w:sz w:val="22"/>
                <w:szCs w:val="28"/>
              </w:rPr>
            </w:pPr>
            <w:r w:rsidRPr="0062764E">
              <w:rPr>
                <w:rFonts w:ascii="Arial" w:eastAsia="Calibri" w:hAnsi="Arial" w:cs="Arial"/>
                <w:sz w:val="18"/>
                <w:szCs w:val="28"/>
              </w:rPr>
              <w:lastRenderedPageBreak/>
              <w:t>Indonesia</w:t>
            </w:r>
          </w:p>
        </w:tc>
        <w:tc>
          <w:tcPr>
            <w:tcW w:w="1843"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hideMark/>
          </w:tcPr>
          <w:p w14:paraId="75597D22" w14:textId="77777777" w:rsidR="00DF578C" w:rsidRPr="0062764E" w:rsidRDefault="00DF578C" w:rsidP="00DF578C">
            <w:pPr>
              <w:pStyle w:val="Body"/>
              <w:spacing w:after="0"/>
              <w:ind w:left="141" w:right="140"/>
              <w:rPr>
                <w:rFonts w:ascii="Arial" w:eastAsia="Calibri" w:hAnsi="Arial" w:cs="Arial"/>
                <w:sz w:val="22"/>
                <w:szCs w:val="28"/>
              </w:rPr>
            </w:pPr>
            <w:r w:rsidRPr="0062764E">
              <w:rPr>
                <w:rFonts w:ascii="Arial" w:hAnsi="Arial"/>
                <w:sz w:val="17"/>
              </w:rPr>
              <w:t>A nationally coordinated mandatory Halal product-assurance regime administered by BPJPH, with phased legal implementation for domestic and imported products.</w:t>
            </w:r>
          </w:p>
        </w:tc>
        <w:tc>
          <w:tcPr>
            <w:tcW w:w="2126"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hideMark/>
          </w:tcPr>
          <w:p w14:paraId="05228AD9" w14:textId="77777777" w:rsidR="00DF578C" w:rsidRPr="0062764E" w:rsidRDefault="00DF578C" w:rsidP="00DF578C">
            <w:pPr>
              <w:pStyle w:val="Body"/>
              <w:spacing w:after="0"/>
              <w:ind w:left="144" w:right="132"/>
              <w:rPr>
                <w:rFonts w:ascii="Arial" w:eastAsia="Calibri" w:hAnsi="Arial" w:cs="Arial"/>
                <w:sz w:val="22"/>
                <w:szCs w:val="28"/>
              </w:rPr>
            </w:pPr>
            <w:r w:rsidRPr="0062764E">
              <w:rPr>
                <w:rFonts w:ascii="Arial" w:hAnsi="Arial"/>
                <w:sz w:val="17"/>
              </w:rPr>
              <w:t>SIHALAL manages applications, inspection-related workflows, digital certificates, and registration of foreign Halal certificates (SHLN).</w:t>
            </w:r>
          </w:p>
        </w:tc>
        <w:tc>
          <w:tcPr>
            <w:tcW w:w="1942"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hideMark/>
          </w:tcPr>
          <w:p w14:paraId="1935664D" w14:textId="77777777" w:rsidR="00DF578C" w:rsidRPr="0062764E" w:rsidRDefault="00DF578C" w:rsidP="00DF578C">
            <w:pPr>
              <w:pStyle w:val="Body"/>
              <w:spacing w:after="0"/>
              <w:ind w:left="136" w:right="102"/>
              <w:rPr>
                <w:rFonts w:ascii="Arial" w:eastAsia="Calibri" w:hAnsi="Arial" w:cs="Arial"/>
                <w:sz w:val="22"/>
                <w:szCs w:val="28"/>
              </w:rPr>
            </w:pPr>
            <w:r w:rsidRPr="0062764E">
              <w:rPr>
                <w:rFonts w:ascii="Arial" w:hAnsi="Arial"/>
                <w:sz w:val="17"/>
              </w:rPr>
              <w:t>Mutual recognition of foreign certification bodies, SHLN registration, and mandatory-certification requirements for imported products from October 2026.</w:t>
            </w:r>
          </w:p>
        </w:tc>
        <w:tc>
          <w:tcPr>
            <w:tcW w:w="2453"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hideMark/>
          </w:tcPr>
          <w:p w14:paraId="30A245AE" w14:textId="77777777" w:rsidR="00DF578C" w:rsidRPr="0062764E" w:rsidRDefault="00DF578C" w:rsidP="00DF578C">
            <w:pPr>
              <w:pStyle w:val="Body"/>
              <w:spacing w:after="0"/>
              <w:ind w:left="182" w:right="132"/>
              <w:rPr>
                <w:rFonts w:ascii="Arial" w:eastAsia="Calibri" w:hAnsi="Arial" w:cs="Arial"/>
                <w:sz w:val="22"/>
                <w:szCs w:val="28"/>
              </w:rPr>
            </w:pPr>
            <w:r w:rsidRPr="0062764E">
              <w:rPr>
                <w:rFonts w:ascii="Arial" w:hAnsi="Arial"/>
                <w:sz w:val="17"/>
              </w:rPr>
              <w:t>Clear national focal point, legal accountability, and traceable certificate registration. Challenges include regulatory scale, recognition capacity, data quality, and enterprise readiness.</w:t>
            </w:r>
          </w:p>
        </w:tc>
      </w:tr>
      <w:tr w:rsidR="00DF578C" w:rsidRPr="0062764E" w14:paraId="7D51D7C2" w14:textId="77777777" w:rsidTr="00DF578C">
        <w:tc>
          <w:tcPr>
            <w:tcW w:w="1129"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vAlign w:val="center"/>
            <w:hideMark/>
          </w:tcPr>
          <w:p w14:paraId="3594D796" w14:textId="77777777" w:rsidR="00DF578C" w:rsidRPr="0062764E" w:rsidRDefault="00DF578C" w:rsidP="00DF578C">
            <w:pPr>
              <w:pStyle w:val="Body"/>
              <w:spacing w:after="60" w:line="276" w:lineRule="auto"/>
              <w:ind w:left="142" w:right="142"/>
              <w:rPr>
                <w:rFonts w:ascii="Arial" w:eastAsia="Calibri" w:hAnsi="Arial" w:cs="Arial"/>
                <w:sz w:val="22"/>
                <w:szCs w:val="28"/>
              </w:rPr>
            </w:pPr>
            <w:r w:rsidRPr="0062764E">
              <w:rPr>
                <w:rFonts w:ascii="Arial" w:eastAsia="Calibri" w:hAnsi="Arial" w:cs="Arial"/>
                <w:sz w:val="18"/>
                <w:szCs w:val="28"/>
              </w:rPr>
              <w:t>Thailand</w:t>
            </w:r>
          </w:p>
        </w:tc>
        <w:tc>
          <w:tcPr>
            <w:tcW w:w="1843"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hideMark/>
          </w:tcPr>
          <w:p w14:paraId="2A1F6D3C" w14:textId="77777777" w:rsidR="00DF578C" w:rsidRPr="0062764E" w:rsidRDefault="00DF578C" w:rsidP="00DF578C">
            <w:pPr>
              <w:pStyle w:val="Body"/>
              <w:spacing w:after="0"/>
              <w:ind w:left="141" w:right="140"/>
              <w:rPr>
                <w:rFonts w:ascii="Arial" w:eastAsia="Calibri" w:hAnsi="Arial" w:cs="Arial"/>
                <w:sz w:val="22"/>
                <w:szCs w:val="28"/>
              </w:rPr>
            </w:pPr>
            <w:r w:rsidRPr="0062764E">
              <w:rPr>
                <w:rFonts w:ascii="Arial" w:hAnsi="Arial"/>
                <w:sz w:val="17"/>
              </w:rPr>
              <w:t>Religious authority led by CICOT, reinforced by Halal science and export-oriented industrial policy; certification is not a universal statutory circulation requirement for all foods.</w:t>
            </w:r>
          </w:p>
        </w:tc>
        <w:tc>
          <w:tcPr>
            <w:tcW w:w="2126"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hideMark/>
          </w:tcPr>
          <w:p w14:paraId="12AE652D" w14:textId="77777777" w:rsidR="00DF578C" w:rsidRPr="0062764E" w:rsidRDefault="00DF578C" w:rsidP="00DF578C">
            <w:pPr>
              <w:pStyle w:val="Body"/>
              <w:spacing w:after="0"/>
              <w:ind w:left="144" w:right="132"/>
              <w:rPr>
                <w:rFonts w:ascii="Arial" w:eastAsia="Calibri" w:hAnsi="Arial" w:cs="Arial"/>
                <w:sz w:val="22"/>
                <w:szCs w:val="28"/>
              </w:rPr>
            </w:pPr>
            <w:r w:rsidRPr="0062764E">
              <w:rPr>
                <w:rFonts w:ascii="Arial" w:hAnsi="Arial"/>
                <w:sz w:val="17"/>
              </w:rPr>
              <w:t>CICOT e-services and product search; HAL-Q, scientific testing, and critical-control-point management.</w:t>
            </w:r>
          </w:p>
        </w:tc>
        <w:tc>
          <w:tcPr>
            <w:tcW w:w="1942"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hideMark/>
          </w:tcPr>
          <w:p w14:paraId="476C22AC" w14:textId="77777777" w:rsidR="00DF578C" w:rsidRPr="0062764E" w:rsidRDefault="00DF578C" w:rsidP="00DF578C">
            <w:pPr>
              <w:pStyle w:val="Body"/>
              <w:spacing w:after="0"/>
              <w:ind w:left="136" w:right="102"/>
              <w:rPr>
                <w:rFonts w:ascii="Arial" w:eastAsia="Calibri" w:hAnsi="Arial" w:cs="Arial"/>
                <w:sz w:val="22"/>
                <w:szCs w:val="28"/>
              </w:rPr>
            </w:pPr>
            <w:r w:rsidRPr="0062764E">
              <w:rPr>
                <w:rFonts w:ascii="Arial" w:hAnsi="Arial"/>
                <w:sz w:val="17"/>
              </w:rPr>
              <w:t>Publication of foreign-certifier recognition status and certification dossiers adapted to export-market requirements.</w:t>
            </w:r>
          </w:p>
        </w:tc>
        <w:tc>
          <w:tcPr>
            <w:tcW w:w="2453" w:type="dxa"/>
            <w:tcBorders>
              <w:top w:val="single" w:sz="4" w:space="0" w:color="808080"/>
              <w:left w:val="single" w:sz="4" w:space="0" w:color="808080"/>
              <w:bottom w:val="single" w:sz="4" w:space="0" w:color="808080"/>
              <w:right w:val="single" w:sz="4" w:space="0" w:color="808080"/>
            </w:tcBorders>
            <w:shd w:val="clear" w:color="auto" w:fill="FFFFFF"/>
            <w:tcMar>
              <w:top w:w="45" w:type="dxa"/>
              <w:left w:w="0" w:type="dxa"/>
              <w:bottom w:w="45" w:type="dxa"/>
              <w:right w:w="0" w:type="dxa"/>
            </w:tcMar>
            <w:hideMark/>
          </w:tcPr>
          <w:p w14:paraId="1A7B0A96" w14:textId="77777777" w:rsidR="00DF578C" w:rsidRPr="0062764E" w:rsidRDefault="00DF578C" w:rsidP="00DF578C">
            <w:pPr>
              <w:pStyle w:val="Body"/>
              <w:spacing w:after="0"/>
              <w:ind w:left="182" w:right="132"/>
              <w:rPr>
                <w:rFonts w:ascii="Arial" w:eastAsia="Calibri" w:hAnsi="Arial" w:cs="Arial"/>
                <w:sz w:val="22"/>
                <w:szCs w:val="28"/>
              </w:rPr>
            </w:pPr>
            <w:r w:rsidRPr="0062764E">
              <w:rPr>
                <w:rFonts w:ascii="Arial" w:hAnsi="Arial"/>
                <w:sz w:val="17"/>
              </w:rPr>
              <w:t>Strong scientific evidence, process control, and export credibility. Certification, testing, internal traceability, logistics, and trade data remain institutionally and technically fragmented.</w:t>
            </w:r>
          </w:p>
        </w:tc>
      </w:tr>
    </w:tbl>
    <w:p w14:paraId="47CF2151" w14:textId="77777777" w:rsidR="00DF578C" w:rsidRPr="0062764E" w:rsidRDefault="00DF578C" w:rsidP="00DF578C">
      <w:pPr>
        <w:pStyle w:val="Body"/>
        <w:spacing w:after="60" w:line="276" w:lineRule="auto"/>
        <w:rPr>
          <w:rFonts w:ascii="Arial" w:eastAsia="Calibri" w:hAnsi="Arial" w:cs="Arial"/>
          <w:i/>
          <w:iCs/>
          <w:sz w:val="22"/>
          <w:szCs w:val="28"/>
        </w:rPr>
      </w:pPr>
      <w:r w:rsidRPr="0062764E">
        <w:rPr>
          <w:rFonts w:ascii="Arial" w:eastAsia="Calibri" w:hAnsi="Arial" w:cs="Arial"/>
          <w:i/>
          <w:iCs/>
          <w:sz w:val="22"/>
          <w:szCs w:val="28"/>
        </w:rPr>
        <w:t xml:space="preserve">Source: </w:t>
      </w:r>
      <w:r w:rsidR="009B587A" w:rsidRPr="0062764E">
        <w:rPr>
          <w:rFonts w:ascii="Arial" w:eastAsia="Calibri" w:hAnsi="Arial" w:cs="Arial"/>
          <w:i/>
          <w:iCs/>
          <w:sz w:val="22"/>
          <w:szCs w:val="28"/>
        </w:rPr>
        <w:t>Author's synthesis based on the documentary sources discussed in Sections 3.1.1–3.1.3.</w:t>
      </w:r>
    </w:p>
    <w:p w14:paraId="703DF35E" w14:textId="77777777" w:rsidR="009B587A" w:rsidRPr="0062764E" w:rsidRDefault="009B587A" w:rsidP="00DF578C">
      <w:pPr>
        <w:pStyle w:val="Body"/>
        <w:spacing w:after="60" w:line="276" w:lineRule="auto"/>
        <w:rPr>
          <w:rFonts w:ascii="Arial" w:eastAsia="Calibri" w:hAnsi="Arial" w:cs="Arial"/>
          <w:sz w:val="22"/>
          <w:szCs w:val="28"/>
        </w:rPr>
      </w:pPr>
    </w:p>
    <w:p w14:paraId="13AE6047" w14:textId="77777777" w:rsidR="00DF578C" w:rsidRPr="0062764E" w:rsidRDefault="00DF578C" w:rsidP="00DF578C">
      <w:pPr>
        <w:pStyle w:val="Body"/>
        <w:keepNext/>
        <w:spacing w:after="60" w:line="276" w:lineRule="auto"/>
        <w:rPr>
          <w:rFonts w:ascii="Arial" w:eastAsia="Calibri" w:hAnsi="Arial" w:cs="Arial"/>
          <w:i/>
          <w:iCs/>
          <w:sz w:val="22"/>
          <w:szCs w:val="28"/>
        </w:rPr>
      </w:pPr>
      <w:r w:rsidRPr="0062764E">
        <w:rPr>
          <w:rFonts w:ascii="Arial" w:eastAsia="Calibri" w:hAnsi="Arial" w:cs="Arial"/>
          <w:i/>
          <w:iCs/>
          <w:sz w:val="22"/>
          <w:szCs w:val="28"/>
        </w:rPr>
        <w:t>3.1.4. Comparative assessment and research findings</w:t>
      </w:r>
    </w:p>
    <w:p w14:paraId="23B0327A"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hAnsi="Arial"/>
        </w:rPr>
        <w:t>The three cases reflect distinct governance logics and different relationships between law and digital infrastructure. Malaysia follows a “trust-market” model in which the regulation of Halal claims and authoritative certification are connected to enterprise-development platforms. Indonesia follows a “compliance-monitoring” model in which a national platform supports the administration of mandatory legal obligations and foreign-certificate registration. Thailand follows a “science-export” model in which religious certification and e-services are reinforced by testing and quality-management capabilities. The governance value of an electronic certificate therefore differs across contexts: it is a legally required market-access instrument in Indonesia, a regulated reputational and commercial asset in Malaysia, and an export-credibility instrument reinforced by scientific evidence in Thailand.</w:t>
      </w:r>
    </w:p>
    <w:p w14:paraId="398D2C04"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Three findings emerge from the study. First, institutional authority must precede technology: a database generates trust only when it clearly identifies the actors </w:t>
      </w:r>
      <w:proofErr w:type="spellStart"/>
      <w:r w:rsidRPr="0062764E">
        <w:rPr>
          <w:rFonts w:ascii="Arial" w:eastAsia="Calibri" w:hAnsi="Arial" w:cs="Arial"/>
          <w:sz w:val="22"/>
          <w:szCs w:val="28"/>
        </w:rPr>
        <w:t>authorised</w:t>
      </w:r>
      <w:proofErr w:type="spellEnd"/>
      <w:r w:rsidRPr="0062764E">
        <w:rPr>
          <w:rFonts w:ascii="Arial" w:eastAsia="Calibri" w:hAnsi="Arial" w:cs="Arial"/>
          <w:sz w:val="22"/>
          <w:szCs w:val="28"/>
        </w:rPr>
        <w:t xml:space="preserve"> to issue, amend, suspend, and revoke Halal status. Second, the unit of connectivity is not merely the enterprise but the linked configuration of enterprise-facility-product-certificate-ingredient-batch. Without end-to-end identifiers, data are difficult to reuse across certification, customs, logistics, and buyer systems. Third, cross-border recognition is both a legal and a technical issue. Differences in standards cannot be eliminated by a platform alone, but transaction costs </w:t>
      </w:r>
      <w:r w:rsidR="001F4B16" w:rsidRPr="0062764E">
        <w:rPr>
          <w:rFonts w:ascii="Arial" w:eastAsia="Calibri" w:hAnsi="Arial" w:cs="Arial"/>
          <w:sz w:val="22"/>
          <w:szCs w:val="28"/>
        </w:rPr>
        <w:t>may</w:t>
      </w:r>
      <w:r w:rsidRPr="0062764E">
        <w:rPr>
          <w:rFonts w:ascii="Arial" w:eastAsia="Calibri" w:hAnsi="Arial" w:cs="Arial"/>
          <w:sz w:val="22"/>
          <w:szCs w:val="28"/>
        </w:rPr>
        <w:t xml:space="preserve"> be reduced when </w:t>
      </w:r>
      <w:proofErr w:type="spellStart"/>
      <w:r w:rsidRPr="0062764E">
        <w:rPr>
          <w:rFonts w:ascii="Arial" w:eastAsia="Calibri" w:hAnsi="Arial" w:cs="Arial"/>
          <w:sz w:val="22"/>
          <w:szCs w:val="28"/>
        </w:rPr>
        <w:t>recognised</w:t>
      </w:r>
      <w:proofErr w:type="spellEnd"/>
      <w:r w:rsidRPr="0062764E">
        <w:rPr>
          <w:rFonts w:ascii="Arial" w:eastAsia="Calibri" w:hAnsi="Arial" w:cs="Arial"/>
          <w:sz w:val="22"/>
          <w:szCs w:val="28"/>
        </w:rPr>
        <w:t xml:space="preserve"> bodies, scope, validity period, status, and minimum data are disclosed in a structured and comparable format (Johan &amp; Schebesta, 2022).</w:t>
      </w:r>
    </w:p>
    <w:p w14:paraId="77DE6A0B"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hAnsi="Arial"/>
        </w:rPr>
        <w:t xml:space="preserve">These findings both confirm and extend the existing literature. They confirm supply-chain research that Halal integrity is continuous and must be protected beyond the moment of certification </w:t>
      </w:r>
      <w:r w:rsidRPr="0062764E">
        <w:rPr>
          <w:rFonts w:ascii="Arial" w:hAnsi="Arial"/>
          <w:highlight w:val="yellow"/>
        </w:rPr>
        <w:t xml:space="preserve">(Soon et al., 2017; </w:t>
      </w:r>
      <w:r w:rsidRPr="0062764E">
        <w:rPr>
          <w:rFonts w:ascii="Arial" w:hAnsi="Arial"/>
          <w:highlight w:val="yellow"/>
        </w:rPr>
        <w:lastRenderedPageBreak/>
        <w:t>Tieman et al., 2012)</w:t>
      </w:r>
      <w:r w:rsidRPr="0062764E">
        <w:rPr>
          <w:rFonts w:ascii="Arial" w:hAnsi="Arial"/>
        </w:rPr>
        <w:t>. They qualify technology-</w:t>
      </w:r>
      <w:proofErr w:type="spellStart"/>
      <w:r w:rsidRPr="0062764E">
        <w:rPr>
          <w:rFonts w:ascii="Arial" w:hAnsi="Arial"/>
        </w:rPr>
        <w:t>centred</w:t>
      </w:r>
      <w:proofErr w:type="spellEnd"/>
      <w:r w:rsidRPr="0062764E">
        <w:rPr>
          <w:rFonts w:ascii="Arial" w:hAnsi="Arial"/>
        </w:rPr>
        <w:t xml:space="preserve"> accounts by showing that blockchain or digital portals cannot compensate for weak authority, poor source data, or absent recognition, thereby reinforcing the implementation concerns identified in digital supply-chain reviews (Astuti &amp; </w:t>
      </w:r>
      <w:proofErr w:type="spellStart"/>
      <w:r w:rsidRPr="0062764E">
        <w:rPr>
          <w:rFonts w:ascii="Arial" w:hAnsi="Arial"/>
        </w:rPr>
        <w:t>Hidayati</w:t>
      </w:r>
      <w:proofErr w:type="spellEnd"/>
      <w:r w:rsidRPr="0062764E">
        <w:rPr>
          <w:rFonts w:ascii="Arial" w:hAnsi="Arial"/>
        </w:rPr>
        <w:t xml:space="preserve">, 2023; </w:t>
      </w:r>
      <w:proofErr w:type="spellStart"/>
      <w:r w:rsidRPr="0062764E">
        <w:rPr>
          <w:rFonts w:ascii="Arial" w:hAnsi="Arial"/>
        </w:rPr>
        <w:t>Rejeb</w:t>
      </w:r>
      <w:proofErr w:type="spellEnd"/>
      <w:r w:rsidRPr="0062764E">
        <w:rPr>
          <w:rFonts w:ascii="Arial" w:hAnsi="Arial"/>
        </w:rPr>
        <w:t xml:space="preserve"> et al., 2021). They also support trade-law scholarship in finding that substantive regulatory diversity persists even when verification becomes electronic (Johan &amp; Schebesta, 2022). The study extends these literatures by specifying four connected layers through which authority generates evidence, evidence supports transactions, and support services sustain enterprise compliance. </w:t>
      </w:r>
      <w:r w:rsidR="001F4B16" w:rsidRPr="0062764E">
        <w:rPr>
          <w:rFonts w:ascii="Arial" w:hAnsi="Arial"/>
        </w:rPr>
        <w:t>Malaysia places particular emphasis on connecting certification to markets; Indonesia on national legal accountability and enforcement; and Thailand on scientific evidence and process control</w:t>
      </w:r>
      <w:r w:rsidRPr="0062764E">
        <w:rPr>
          <w:rFonts w:ascii="Arial" w:hAnsi="Arial"/>
        </w:rPr>
        <w:t>. Vietnam can therefore combine selected institutional components, but should not replicate any single national model wholesale.</w:t>
      </w:r>
    </w:p>
    <w:p w14:paraId="2A972AF9" w14:textId="77777777" w:rsidR="00DF578C" w:rsidRPr="0062764E" w:rsidRDefault="00DF578C" w:rsidP="00DF578C">
      <w:pPr>
        <w:pStyle w:val="Body"/>
        <w:keepNext/>
        <w:spacing w:after="60" w:line="276" w:lineRule="auto"/>
        <w:rPr>
          <w:rFonts w:ascii="Arial" w:eastAsia="Calibri" w:hAnsi="Arial" w:cs="Arial"/>
          <w:b/>
          <w:bCs/>
          <w:i/>
          <w:iCs/>
          <w:sz w:val="22"/>
          <w:szCs w:val="28"/>
        </w:rPr>
      </w:pPr>
      <w:r w:rsidRPr="0062764E">
        <w:rPr>
          <w:rFonts w:ascii="Arial" w:eastAsia="Calibri" w:hAnsi="Arial" w:cs="Arial"/>
          <w:b/>
          <w:bCs/>
          <w:i/>
          <w:iCs/>
          <w:sz w:val="22"/>
          <w:szCs w:val="28"/>
        </w:rPr>
        <w:t>3.2. Opportunities to advance Vietnam's participation in Halal food value chains</w:t>
      </w:r>
    </w:p>
    <w:p w14:paraId="0458596B" w14:textId="77777777" w:rsidR="00DF578C" w:rsidRPr="0062764E" w:rsidRDefault="001F4B16"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The comparative analysis above suggests that digital connectivity may perform several mutually reinforcing functions in a Halal ecosystem: it may reduce information asymmetries, strengthen the verifiability of certification, improve supply-chain traceability, and connect producers with certification bodies, logistics providers, buyers, and supporting services.</w:t>
      </w:r>
      <w:r w:rsidR="00DF578C" w:rsidRPr="0062764E">
        <w:rPr>
          <w:rFonts w:ascii="Arial" w:eastAsia="Calibri" w:hAnsi="Arial" w:cs="Arial"/>
          <w:sz w:val="22"/>
          <w:szCs w:val="28"/>
        </w:rPr>
        <w:t xml:space="preserve"> For Vietnam, these functions are particularly important because the main constraint is not a lack of productive capacity, but the limited ability to demonstrate continuous Halal compliance in forms that are credible, reusable, and </w:t>
      </w:r>
      <w:r w:rsidR="00DF578C" w:rsidRPr="0062764E">
        <w:rPr>
          <w:rFonts w:ascii="Arial" w:eastAsia="Calibri" w:hAnsi="Arial" w:cs="Arial"/>
          <w:sz w:val="22"/>
          <w:szCs w:val="28"/>
          <w:highlight w:val="yellow"/>
        </w:rPr>
        <w:t>recognised across different markets</w:t>
      </w:r>
      <w:r w:rsidR="00DF578C" w:rsidRPr="0062764E">
        <w:rPr>
          <w:rFonts w:ascii="Arial" w:eastAsia="Calibri" w:hAnsi="Arial" w:cs="Arial"/>
          <w:sz w:val="22"/>
          <w:szCs w:val="28"/>
        </w:rPr>
        <w:t xml:space="preserve">. </w:t>
      </w:r>
      <w:r w:rsidR="00B26259" w:rsidRPr="0062764E">
        <w:rPr>
          <w:rFonts w:ascii="Arial" w:eastAsia="Calibri" w:hAnsi="Arial" w:cs="Arial"/>
          <w:sz w:val="22"/>
          <w:szCs w:val="28"/>
        </w:rPr>
        <w:t xml:space="preserve">These potential benefits are interpreted here as analytically derived opportunities arising from the comparative documentary evidence rather than as effects directly measured for Vietnamese enterprises. </w:t>
      </w:r>
      <w:r w:rsidR="00DF578C" w:rsidRPr="0062764E">
        <w:rPr>
          <w:rFonts w:ascii="Arial" w:eastAsia="Calibri" w:hAnsi="Arial" w:cs="Arial"/>
          <w:sz w:val="22"/>
          <w:szCs w:val="28"/>
        </w:rPr>
        <w:t>Accordingly, the opportunities arising from digital connectivity should not be understood merely as opportunities to automate administrative procedures. More fundamentally, they concern Vietnam’s capacity to convert its existing strengths in agriculture, fisheries, food processing, and regional trade into trusted participation in Halal food value chains. The following analysis therefore focuses on four interrelated opportunities: lowering compliance and market-entry costs, transforming traceability into a source of competitive trust, facilitating participation in higher-value activities, and diversifying market and supply-chain linkages.</w:t>
      </w:r>
    </w:p>
    <w:p w14:paraId="4C6B11DF"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First, </w:t>
      </w:r>
      <w:r w:rsidR="00B26259" w:rsidRPr="0062764E">
        <w:rPr>
          <w:rFonts w:ascii="Arial" w:eastAsia="Calibri" w:hAnsi="Arial" w:cs="Arial"/>
          <w:sz w:val="22"/>
          <w:szCs w:val="28"/>
        </w:rPr>
        <w:t>digital connectivity may help reduce information and compliance burdens by improving enterprises' access to, and potential reuse of, information required for certification and market entry</w:t>
      </w:r>
      <w:r w:rsidRPr="0062764E">
        <w:rPr>
          <w:rFonts w:ascii="Arial" w:eastAsia="Calibri" w:hAnsi="Arial" w:cs="Arial"/>
          <w:sz w:val="22"/>
          <w:szCs w:val="28"/>
        </w:rPr>
        <w:t xml:space="preserve">. A data portal that classifies requirements by market could provide enterprises with early information on applicable standards, </w:t>
      </w:r>
      <w:r w:rsidRPr="0062764E">
        <w:rPr>
          <w:rFonts w:ascii="Arial" w:eastAsia="Calibri" w:hAnsi="Arial" w:cs="Arial"/>
          <w:sz w:val="22"/>
          <w:szCs w:val="28"/>
          <w:highlight w:val="yellow"/>
        </w:rPr>
        <w:t>recognised certification bodies</w:t>
      </w:r>
      <w:r w:rsidRPr="0062764E">
        <w:rPr>
          <w:rFonts w:ascii="Arial" w:eastAsia="Calibri" w:hAnsi="Arial" w:cs="Arial"/>
          <w:sz w:val="22"/>
          <w:szCs w:val="28"/>
        </w:rPr>
        <w:t xml:space="preserve">, timelines, and required documentation. </w:t>
      </w:r>
      <w:r w:rsidR="00B26259" w:rsidRPr="0062764E">
        <w:rPr>
          <w:rFonts w:ascii="Arial" w:eastAsia="Calibri" w:hAnsi="Arial" w:cs="Arial"/>
          <w:sz w:val="22"/>
          <w:szCs w:val="28"/>
        </w:rPr>
        <w:t>This may be particularly relevant for small and medium-sized enterprises, for which technology costs and implementation capacity have been identified as important considerations in Halal supply-chain adoption (</w:t>
      </w:r>
      <w:proofErr w:type="spellStart"/>
      <w:r w:rsidR="00B26259" w:rsidRPr="0062764E">
        <w:rPr>
          <w:rFonts w:ascii="Arial" w:eastAsia="Calibri" w:hAnsi="Arial" w:cs="Arial"/>
          <w:sz w:val="22"/>
          <w:szCs w:val="28"/>
        </w:rPr>
        <w:t>Ardiantono</w:t>
      </w:r>
      <w:proofErr w:type="spellEnd"/>
      <w:r w:rsidR="00B26259" w:rsidRPr="0062764E">
        <w:rPr>
          <w:rFonts w:ascii="Arial" w:eastAsia="Calibri" w:hAnsi="Arial" w:cs="Arial"/>
          <w:sz w:val="22"/>
          <w:szCs w:val="28"/>
        </w:rPr>
        <w:t xml:space="preserve"> et al., 2024).</w:t>
      </w:r>
    </w:p>
    <w:p w14:paraId="42997419"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Second, </w:t>
      </w:r>
      <w:r w:rsidR="0001694F" w:rsidRPr="0062764E">
        <w:rPr>
          <w:rFonts w:ascii="Arial" w:eastAsia="Calibri" w:hAnsi="Arial" w:cs="Arial"/>
          <w:sz w:val="22"/>
          <w:szCs w:val="28"/>
        </w:rPr>
        <w:t>improved traceability could help translate Vietnam's agricultural and food advantages into trust-based advantages</w:t>
      </w:r>
      <w:r w:rsidRPr="0062764E">
        <w:rPr>
          <w:rFonts w:ascii="Arial" w:eastAsia="Calibri" w:hAnsi="Arial" w:cs="Arial"/>
          <w:sz w:val="22"/>
          <w:szCs w:val="28"/>
        </w:rPr>
        <w:t xml:space="preserve">. In seafood, coffee, rice, cashew nuts, fruit, spices, and processed foods, enterprises must demonstrate ingredient origins, additives, sanitation controls, logistics segregation, and continuity of control. A “digital Halal passport” linked to a batch code could integrate certificates, supplier information, test results, control points, and transport history. </w:t>
      </w:r>
      <w:r w:rsidR="00B26259" w:rsidRPr="0062764E">
        <w:rPr>
          <w:rFonts w:ascii="Arial" w:eastAsia="Calibri" w:hAnsi="Arial" w:cs="Arial"/>
          <w:sz w:val="22"/>
          <w:szCs w:val="28"/>
        </w:rPr>
        <w:t xml:space="preserve">This proposed function is consistent with recent Halal traceability research, which treats technological records, certification arrangements, </w:t>
      </w:r>
      <w:r w:rsidR="00B26259" w:rsidRPr="0062764E">
        <w:rPr>
          <w:rFonts w:ascii="Arial" w:eastAsia="Calibri" w:hAnsi="Arial" w:cs="Arial"/>
          <w:sz w:val="22"/>
          <w:szCs w:val="28"/>
          <w:highlight w:val="yellow"/>
        </w:rPr>
        <w:t>standardisation</w:t>
      </w:r>
      <w:r w:rsidR="00B26259" w:rsidRPr="0062764E">
        <w:rPr>
          <w:rFonts w:ascii="Arial" w:eastAsia="Calibri" w:hAnsi="Arial" w:cs="Arial"/>
          <w:sz w:val="22"/>
          <w:szCs w:val="28"/>
        </w:rPr>
        <w:t xml:space="preserve">, and stakeholder coordination as complementary components of an effective traceability system rather than as substitutes for one another </w:t>
      </w:r>
      <w:r w:rsidR="00B26259" w:rsidRPr="0062764E">
        <w:rPr>
          <w:rFonts w:ascii="Arial" w:eastAsia="Calibri" w:hAnsi="Arial" w:cs="Arial"/>
          <w:sz w:val="22"/>
          <w:szCs w:val="28"/>
          <w:highlight w:val="yellow"/>
        </w:rPr>
        <w:t>(Bachtiar et al., 2024; Dashti et al., 2024)</w:t>
      </w:r>
      <w:r w:rsidR="00B26259" w:rsidRPr="0062764E">
        <w:rPr>
          <w:rFonts w:ascii="Arial" w:eastAsia="Calibri" w:hAnsi="Arial" w:cs="Arial"/>
          <w:sz w:val="22"/>
          <w:szCs w:val="28"/>
        </w:rPr>
        <w:t xml:space="preserve">. Design-oriented research further indicates that Halal traceability systems can technically link information on product movements, Halal </w:t>
      </w:r>
      <w:r w:rsidR="00B26259" w:rsidRPr="0062764E">
        <w:rPr>
          <w:rFonts w:ascii="Arial" w:eastAsia="Calibri" w:hAnsi="Arial" w:cs="Arial"/>
          <w:sz w:val="22"/>
          <w:szCs w:val="28"/>
        </w:rPr>
        <w:lastRenderedPageBreak/>
        <w:t>assurance, and certification across supply-chain actors, although the effectiveness and transferability of such arrangements remain dependent on their institutional and operational context (Susanty et al., 2024).</w:t>
      </w:r>
    </w:p>
    <w:p w14:paraId="1407C5FE"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Third, digital platforms create opportunities to participate in higher-value-added stages. Enterprises can identify partners for joint product development, Halal contract manufacturing, private-label packaging, omnichannel distribution, or supply to hotels, restaurants, and airlines. </w:t>
      </w:r>
      <w:r w:rsidR="00B26259" w:rsidRPr="0062764E">
        <w:rPr>
          <w:rFonts w:ascii="Arial" w:eastAsia="Calibri" w:hAnsi="Arial" w:cs="Arial"/>
          <w:sz w:val="22"/>
          <w:szCs w:val="28"/>
        </w:rPr>
        <w:t>Connectivity with HIP, BPJPH databases, and CICOT's product portal may improve information visibility and facilitate counterparty verification, thereby creating conditions that could support more sustained business relationships rather than only one-off raw-material transactions. These possibilities are treated as potential pathways to market connectivity; the present documentary study does not measure changes in contracts, sales, buyer retention, or other firm-level market outcomes.</w:t>
      </w:r>
    </w:p>
    <w:p w14:paraId="09434BC3"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Fourth, digital connectivity supports market and supply-chain diversification. Malaysia, Indonesia, and Thailand are simultaneously markets and regional hubs for production, distribution, and re-export within ASEAN. Vietnamese enterprises can sell directly, supply ingredients to processors, enter contract-manufacturing arrangements, or use partners’ logistics networks. This direction is consistent with the ASEAN Digital Masterplan 2030, which </w:t>
      </w:r>
      <w:r w:rsidRPr="0062764E">
        <w:rPr>
          <w:rFonts w:ascii="Arial" w:eastAsia="Calibri" w:hAnsi="Arial" w:cs="Arial"/>
          <w:sz w:val="22"/>
          <w:szCs w:val="28"/>
          <w:highlight w:val="yellow"/>
        </w:rPr>
        <w:t>emphasises</w:t>
      </w:r>
      <w:r w:rsidRPr="0062764E">
        <w:rPr>
          <w:rFonts w:ascii="Arial" w:eastAsia="Calibri" w:hAnsi="Arial" w:cs="Arial"/>
          <w:sz w:val="22"/>
          <w:szCs w:val="28"/>
        </w:rPr>
        <w:t xml:space="preserve"> connectivity, interoperability, and a trusted digital environment (ASEAN, 2026).</w:t>
      </w:r>
    </w:p>
    <w:p w14:paraId="75BE2AF0" w14:textId="77777777" w:rsidR="00DF578C" w:rsidRPr="0062764E" w:rsidRDefault="00DF578C" w:rsidP="00DF578C">
      <w:pPr>
        <w:pStyle w:val="Body"/>
        <w:keepNext/>
        <w:spacing w:after="60" w:line="276" w:lineRule="auto"/>
        <w:rPr>
          <w:rFonts w:ascii="Arial" w:eastAsia="Calibri" w:hAnsi="Arial" w:cs="Arial"/>
          <w:b/>
          <w:bCs/>
          <w:i/>
          <w:iCs/>
          <w:sz w:val="22"/>
          <w:szCs w:val="28"/>
        </w:rPr>
      </w:pPr>
      <w:r w:rsidRPr="0062764E">
        <w:rPr>
          <w:rFonts w:ascii="Arial" w:eastAsia="Calibri" w:hAnsi="Arial" w:cs="Arial"/>
          <w:b/>
          <w:bCs/>
          <w:i/>
          <w:iCs/>
          <w:sz w:val="22"/>
          <w:szCs w:val="28"/>
        </w:rPr>
        <w:t>3.3. Bottlenecks and policy solutions for Vietnam</w:t>
      </w:r>
    </w:p>
    <w:p w14:paraId="1B8234BF"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Despite the opportunities outlined above, digital connectivity alone cannot ensure Vietnam’s effective participation in Halal food value chains. Its impact depends on the coherence of the institutional framework, the international recognition of certification authorities, the quality and interoperability of data, and firms’ capacity to maintain Halal compliance throughout production and distribution. At present, Vietnam’s emerging Halal ecosystem remains fragmented across regulatory bodies, </w:t>
      </w:r>
      <w:r w:rsidRPr="0062764E">
        <w:rPr>
          <w:rFonts w:ascii="Arial" w:eastAsia="Calibri" w:hAnsi="Arial" w:cs="Arial"/>
          <w:sz w:val="22"/>
          <w:szCs w:val="28"/>
          <w:highlight w:val="yellow"/>
        </w:rPr>
        <w:t>certification organisations</w:t>
      </w:r>
      <w:r w:rsidRPr="0062764E">
        <w:rPr>
          <w:rFonts w:ascii="Arial" w:eastAsia="Calibri" w:hAnsi="Arial" w:cs="Arial"/>
          <w:sz w:val="22"/>
          <w:szCs w:val="28"/>
        </w:rPr>
        <w:t xml:space="preserve">, testing laboratories, industry associations, logistics providers, and enterprises. This fragmentation may increase duplication, weaken data consistency, and limit the reuse of compliance information across certification, customs, logistics, and market-access processes. </w:t>
      </w:r>
      <w:r w:rsidR="00B26259" w:rsidRPr="0062764E">
        <w:rPr>
          <w:rFonts w:ascii="Arial" w:eastAsia="Calibri" w:hAnsi="Arial" w:cs="Arial"/>
          <w:sz w:val="22"/>
          <w:szCs w:val="28"/>
        </w:rPr>
        <w:t xml:space="preserve">In the present analysis, “fragmentation” refers to the documentary observation that relevant certification, standards, testing, logistics, and market-support functions are distributed across multiple actors and systems; it is not intended as a quantitative measure of institutional performance. </w:t>
      </w:r>
      <w:r w:rsidRPr="0062764E">
        <w:rPr>
          <w:rFonts w:ascii="Arial" w:eastAsia="Calibri" w:hAnsi="Arial" w:cs="Arial"/>
          <w:sz w:val="22"/>
          <w:szCs w:val="28"/>
        </w:rPr>
        <w:t>Policy intervention is therefore required not simply to introduce additional digital platforms, but to establish a coordinated governance architecture in which authority, data responsibilities, technical standards, and mechanisms for cross-border recognition are clearly defined. Against this background, the following section identifies the principal bottlenecks and proposes corresponding policy solutions.</w:t>
      </w:r>
    </w:p>
    <w:p w14:paraId="6D2E4B17" w14:textId="77777777" w:rsidR="00DF578C" w:rsidRPr="0062764E" w:rsidRDefault="00DF578C" w:rsidP="00DF578C">
      <w:pPr>
        <w:pStyle w:val="Body"/>
        <w:keepNext/>
        <w:spacing w:after="60" w:line="276" w:lineRule="auto"/>
        <w:rPr>
          <w:rFonts w:ascii="Arial" w:eastAsia="Calibri" w:hAnsi="Arial" w:cs="Arial"/>
          <w:i/>
          <w:iCs/>
          <w:sz w:val="22"/>
          <w:szCs w:val="28"/>
        </w:rPr>
      </w:pPr>
      <w:r w:rsidRPr="0062764E">
        <w:rPr>
          <w:rFonts w:ascii="Arial" w:eastAsia="Calibri" w:hAnsi="Arial" w:cs="Arial"/>
          <w:i/>
          <w:iCs/>
          <w:sz w:val="22"/>
          <w:szCs w:val="28"/>
        </w:rPr>
        <w:t>3.3.1. Key bottlenecks</w:t>
      </w:r>
    </w:p>
    <w:p w14:paraId="2403AB0B"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The principal constraints facing Vietnam are interconnected rather than isolated. </w:t>
      </w:r>
      <w:r w:rsidR="0001694F" w:rsidRPr="0062764E">
        <w:rPr>
          <w:rFonts w:ascii="Arial" w:eastAsia="Calibri" w:hAnsi="Arial" w:cs="Arial"/>
          <w:sz w:val="22"/>
          <w:szCs w:val="28"/>
        </w:rPr>
        <w:t>Institutional fragmentation may reduce the effectiveness of data integration; limited international recognition may weaken the commercial value of digital certificates; uneven digital capabilities among enterprises may affect the reliability of traceability information; and concerns over data security may constrain cross-border information sharing</w:t>
      </w:r>
      <w:r w:rsidRPr="0062764E">
        <w:rPr>
          <w:rFonts w:ascii="Arial" w:eastAsia="Calibri" w:hAnsi="Arial" w:cs="Arial"/>
          <w:sz w:val="22"/>
          <w:szCs w:val="28"/>
        </w:rPr>
        <w:t>. These bottlenecks should therefore be examined as components of a broader governance problem involving institutions, technology, enterprise capacity, and international cooperation.</w:t>
      </w:r>
      <w:r w:rsidR="00B26259" w:rsidRPr="0062764E">
        <w:rPr>
          <w:rFonts w:ascii="Arial" w:eastAsia="Calibri" w:hAnsi="Arial" w:cs="Arial"/>
          <w:sz w:val="22"/>
          <w:szCs w:val="28"/>
        </w:rPr>
        <w:t xml:space="preserve"> This interpretation is consistent with recent digital-Halal </w:t>
      </w:r>
      <w:r w:rsidR="00B26259" w:rsidRPr="0062764E">
        <w:rPr>
          <w:rFonts w:ascii="Arial" w:eastAsia="Calibri" w:hAnsi="Arial" w:cs="Arial"/>
          <w:sz w:val="22"/>
          <w:szCs w:val="28"/>
        </w:rPr>
        <w:lastRenderedPageBreak/>
        <w:t xml:space="preserve">scholarship that </w:t>
      </w:r>
      <w:r w:rsidR="00B26259" w:rsidRPr="0062764E">
        <w:rPr>
          <w:rFonts w:ascii="Arial" w:eastAsia="Calibri" w:hAnsi="Arial" w:cs="Arial"/>
          <w:sz w:val="22"/>
          <w:szCs w:val="28"/>
          <w:highlight w:val="yellow"/>
        </w:rPr>
        <w:t>conceptualises</w:t>
      </w:r>
      <w:r w:rsidR="00B26259" w:rsidRPr="0062764E">
        <w:rPr>
          <w:rFonts w:ascii="Arial" w:eastAsia="Calibri" w:hAnsi="Arial" w:cs="Arial"/>
          <w:sz w:val="22"/>
          <w:szCs w:val="28"/>
        </w:rPr>
        <w:t xml:space="preserve"> traceability as a socio-technical governance issue, in which technical verification alone does not ensure that verified information becomes a credible market signal without appropriate institutional arrangements (Zhang et al., 2026).</w:t>
      </w:r>
    </w:p>
    <w:p w14:paraId="3BC577DF"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The first bottleneck is institutional and data fragmentation. Vietnam has national standards and HALCERT, but the ecosystem also includes multiple certification bodies, sectoral agencies, associations, laboratories, and databases. In the absence of a shared architecture, additional "information islands" may emerge and enterprises may continue to submit the same information repeatedly.</w:t>
      </w:r>
      <w:r w:rsidR="00B26259" w:rsidRPr="0062764E">
        <w:rPr>
          <w:rFonts w:ascii="Arial" w:eastAsia="Calibri" w:hAnsi="Arial" w:cs="Arial"/>
          <w:sz w:val="22"/>
          <w:szCs w:val="28"/>
        </w:rPr>
        <w:t xml:space="preserve"> More broadly, recent Halal traceability studies identify institutional authority, </w:t>
      </w:r>
      <w:r w:rsidR="00B26259" w:rsidRPr="0062764E">
        <w:rPr>
          <w:rFonts w:ascii="Arial" w:eastAsia="Calibri" w:hAnsi="Arial" w:cs="Arial"/>
          <w:sz w:val="22"/>
          <w:szCs w:val="28"/>
          <w:highlight w:val="yellow"/>
        </w:rPr>
        <w:t>standardisation</w:t>
      </w:r>
      <w:r w:rsidR="00B26259" w:rsidRPr="0062764E">
        <w:rPr>
          <w:rFonts w:ascii="Arial" w:eastAsia="Calibri" w:hAnsi="Arial" w:cs="Arial"/>
          <w:sz w:val="22"/>
          <w:szCs w:val="28"/>
        </w:rPr>
        <w:t>, implementation, and stakeholder collaboration as interdependent conditions for the functioning of traceability arrangements (Bachtiar et al., 2024; Dashti et al., 2024).</w:t>
      </w:r>
    </w:p>
    <w:p w14:paraId="21948CAA"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The second bottleneck is international recognition. An electronic certificate facilitates trade only when the importing country </w:t>
      </w:r>
      <w:r w:rsidRPr="0062764E">
        <w:rPr>
          <w:rFonts w:ascii="Arial" w:eastAsia="Calibri" w:hAnsi="Arial" w:cs="Arial"/>
          <w:sz w:val="22"/>
          <w:szCs w:val="28"/>
          <w:highlight w:val="yellow"/>
        </w:rPr>
        <w:t>recognises the authority</w:t>
      </w:r>
      <w:r w:rsidRPr="0062764E">
        <w:rPr>
          <w:rFonts w:ascii="Arial" w:eastAsia="Calibri" w:hAnsi="Arial" w:cs="Arial"/>
          <w:sz w:val="22"/>
          <w:szCs w:val="28"/>
        </w:rPr>
        <w:t xml:space="preserve"> of the issuing body and can verify its validity. Technical connectivity must therefore be accompanied by standards diplomacy, recognition arrangements, and mechanisms for updating lists of certification bodies, particularly in relation to Indonesia.</w:t>
      </w:r>
    </w:p>
    <w:p w14:paraId="5AE529C0" w14:textId="77777777" w:rsidR="00DF578C" w:rsidRPr="0062764E" w:rsidRDefault="00B26259"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The third bottleneck concerns enterprises' data capabilities and costs. Because the proposed architecture depends on consistent information on ingredients, suppliers, processes, sanitation, logistics, and batch codes, uneven enterprise-level </w:t>
      </w:r>
      <w:r w:rsidRPr="0062764E">
        <w:rPr>
          <w:rFonts w:ascii="Arial" w:eastAsia="Calibri" w:hAnsi="Arial" w:cs="Arial"/>
          <w:sz w:val="22"/>
          <w:szCs w:val="28"/>
          <w:highlight w:val="yellow"/>
        </w:rPr>
        <w:t>digitisation</w:t>
      </w:r>
      <w:r w:rsidRPr="0062764E">
        <w:rPr>
          <w:rFonts w:ascii="Arial" w:eastAsia="Calibri" w:hAnsi="Arial" w:cs="Arial"/>
          <w:sz w:val="22"/>
          <w:szCs w:val="28"/>
        </w:rPr>
        <w:t xml:space="preserve"> could limit the completeness and reuse of traceability data. Research on Halal supply-chain implementation and digital certification in Indonesia likewise identifies technology costs, </w:t>
      </w:r>
      <w:r w:rsidRPr="0062764E">
        <w:rPr>
          <w:rFonts w:ascii="Arial" w:eastAsia="Calibri" w:hAnsi="Arial" w:cs="Arial"/>
          <w:sz w:val="22"/>
          <w:szCs w:val="28"/>
          <w:highlight w:val="yellow"/>
        </w:rPr>
        <w:t>organisational readiness</w:t>
      </w:r>
      <w:r w:rsidRPr="0062764E">
        <w:rPr>
          <w:rFonts w:ascii="Arial" w:eastAsia="Calibri" w:hAnsi="Arial" w:cs="Arial"/>
          <w:sz w:val="22"/>
          <w:szCs w:val="28"/>
        </w:rPr>
        <w:t>, and system capabilities as relevant considerations in technology adoption, particularly for smaller enterprises (</w:t>
      </w:r>
      <w:proofErr w:type="spellStart"/>
      <w:r w:rsidRPr="0062764E">
        <w:rPr>
          <w:rFonts w:ascii="Arial" w:eastAsia="Calibri" w:hAnsi="Arial" w:cs="Arial"/>
          <w:sz w:val="22"/>
          <w:szCs w:val="28"/>
        </w:rPr>
        <w:t>Ardiantono</w:t>
      </w:r>
      <w:proofErr w:type="spellEnd"/>
      <w:r w:rsidRPr="0062764E">
        <w:rPr>
          <w:rFonts w:ascii="Arial" w:eastAsia="Calibri" w:hAnsi="Arial" w:cs="Arial"/>
          <w:sz w:val="22"/>
          <w:szCs w:val="28"/>
        </w:rPr>
        <w:t xml:space="preserve"> et al., 2024; </w:t>
      </w:r>
      <w:proofErr w:type="spellStart"/>
      <w:r w:rsidRPr="0062764E">
        <w:rPr>
          <w:rFonts w:ascii="Arial" w:eastAsia="Calibri" w:hAnsi="Arial" w:cs="Arial"/>
          <w:sz w:val="22"/>
          <w:szCs w:val="28"/>
        </w:rPr>
        <w:t>Karyani</w:t>
      </w:r>
      <w:proofErr w:type="spellEnd"/>
      <w:r w:rsidRPr="0062764E">
        <w:rPr>
          <w:rFonts w:ascii="Arial" w:eastAsia="Calibri" w:hAnsi="Arial" w:cs="Arial"/>
          <w:sz w:val="22"/>
          <w:szCs w:val="28"/>
        </w:rPr>
        <w:t xml:space="preserve"> et al., 2024). Investment in software, identification systems, consultancy, and security should therefore be assessed in relation to firms' actual compliance and market requirements. Incorrect input data may compromise the evidentiary value of the resulting traceability record.</w:t>
      </w:r>
    </w:p>
    <w:p w14:paraId="247F9C58"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The fourth bottleneck is cross-border data governance. Halal dossiers may contain trade secrets, formulas, supplier information, test results, and commercial data. Data-sharing arrangements must provide access controls, protection of business secrets, cybersecurity, retention rules, and accountability for inaccuracies. Digital connectivity should be based on "controlled trust", not the unrestricted disclosure of all data.</w:t>
      </w:r>
    </w:p>
    <w:p w14:paraId="4E9D9D88" w14:textId="77777777" w:rsidR="00DF578C" w:rsidRPr="0062764E" w:rsidRDefault="00DF578C" w:rsidP="00DF578C">
      <w:pPr>
        <w:pStyle w:val="Body"/>
        <w:keepNext/>
        <w:spacing w:after="60" w:line="276" w:lineRule="auto"/>
        <w:rPr>
          <w:rFonts w:ascii="Arial" w:eastAsia="Calibri" w:hAnsi="Arial" w:cs="Arial"/>
          <w:i/>
          <w:iCs/>
          <w:sz w:val="22"/>
          <w:szCs w:val="28"/>
        </w:rPr>
      </w:pPr>
      <w:r w:rsidRPr="0062764E">
        <w:rPr>
          <w:rFonts w:ascii="Arial" w:eastAsia="Calibri" w:hAnsi="Arial" w:cs="Arial"/>
          <w:i/>
          <w:iCs/>
          <w:sz w:val="22"/>
          <w:szCs w:val="28"/>
        </w:rPr>
        <w:t>3.3.2. Policy solutions</w:t>
      </w:r>
    </w:p>
    <w:p w14:paraId="0FB141C7"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Addressing these bottlenecks requires a coordinated approach combining institutional reform, digital infrastructure, international cooperation, and enterprise support. Vietnam should </w:t>
      </w:r>
      <w:proofErr w:type="spellStart"/>
      <w:r w:rsidRPr="0062764E">
        <w:rPr>
          <w:rFonts w:ascii="Arial" w:eastAsia="Calibri" w:hAnsi="Arial" w:cs="Arial"/>
          <w:sz w:val="22"/>
          <w:szCs w:val="28"/>
        </w:rPr>
        <w:t>prioritise</w:t>
      </w:r>
      <w:proofErr w:type="spellEnd"/>
      <w:r w:rsidRPr="0062764E">
        <w:rPr>
          <w:rFonts w:ascii="Arial" w:eastAsia="Calibri" w:hAnsi="Arial" w:cs="Arial"/>
          <w:sz w:val="22"/>
          <w:szCs w:val="28"/>
        </w:rPr>
        <w:t xml:space="preserve"> an interoperable Halal data architecture, pilot digital Halal passports in selected food chains, promote certification recognition with key markets, support SMEs through shared services, and implement these measures in phases with clear performance indicators and data-governance safeguards.</w:t>
      </w:r>
      <w:r w:rsidR="00B26259" w:rsidRPr="0062764E">
        <w:rPr>
          <w:rFonts w:ascii="Arial" w:eastAsia="Calibri" w:hAnsi="Arial" w:cs="Arial"/>
          <w:sz w:val="22"/>
          <w:szCs w:val="28"/>
        </w:rPr>
        <w:t xml:space="preserve"> These recommendations should be understood as policy propositions derived from the comparative documentary analysis rather than as interventions whose effects on certification time, compliance costs, market access, or enterprise performance have been empirically estimated in this study.</w:t>
      </w:r>
    </w:p>
    <w:p w14:paraId="1E351AD4"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First, Vietnam should develop a national Halal data architecture based on interoperability rather than necessarily full </w:t>
      </w:r>
      <w:r w:rsidRPr="0062764E">
        <w:rPr>
          <w:rFonts w:ascii="Arial" w:eastAsia="Calibri" w:hAnsi="Arial" w:cs="Arial"/>
          <w:sz w:val="22"/>
          <w:szCs w:val="28"/>
          <w:highlight w:val="yellow"/>
        </w:rPr>
        <w:t>centralisation</w:t>
      </w:r>
      <w:r w:rsidRPr="0062764E">
        <w:rPr>
          <w:rFonts w:ascii="Arial" w:eastAsia="Calibri" w:hAnsi="Arial" w:cs="Arial"/>
          <w:sz w:val="22"/>
          <w:szCs w:val="28"/>
        </w:rPr>
        <w:t xml:space="preserve">. HALCERT could serve as the focal point for certification and </w:t>
      </w:r>
      <w:r w:rsidRPr="0062764E">
        <w:rPr>
          <w:rFonts w:ascii="Arial" w:eastAsia="Calibri" w:hAnsi="Arial" w:cs="Arial"/>
          <w:sz w:val="22"/>
          <w:szCs w:val="28"/>
        </w:rPr>
        <w:lastRenderedPageBreak/>
        <w:t xml:space="preserve">standards data; ministries and sectoral agencies could manage </w:t>
      </w:r>
      <w:r w:rsidRPr="0062764E">
        <w:rPr>
          <w:rFonts w:ascii="Arial" w:eastAsia="Calibri" w:hAnsi="Arial" w:cs="Arial"/>
          <w:sz w:val="22"/>
          <w:szCs w:val="28"/>
          <w:highlight w:val="yellow"/>
        </w:rPr>
        <w:t>specialised data</w:t>
      </w:r>
      <w:r w:rsidRPr="0062764E">
        <w:rPr>
          <w:rFonts w:ascii="Arial" w:eastAsia="Calibri" w:hAnsi="Arial" w:cs="Arial"/>
          <w:sz w:val="22"/>
          <w:szCs w:val="28"/>
        </w:rPr>
        <w:t xml:space="preserve">; enterprises would retain ownership of operational data; and an integration layer would use application programming interfaces and unified identifiers. The minimum dataset should cover certification bodies and their </w:t>
      </w:r>
      <w:r w:rsidRPr="0062764E">
        <w:rPr>
          <w:rFonts w:ascii="Arial" w:eastAsia="Calibri" w:hAnsi="Arial" w:cs="Arial"/>
          <w:sz w:val="22"/>
          <w:szCs w:val="28"/>
          <w:highlight w:val="yellow"/>
        </w:rPr>
        <w:t>recognised scope</w:t>
      </w:r>
      <w:r w:rsidRPr="0062764E">
        <w:rPr>
          <w:rFonts w:ascii="Arial" w:eastAsia="Calibri" w:hAnsi="Arial" w:cs="Arial"/>
          <w:sz w:val="22"/>
          <w:szCs w:val="28"/>
        </w:rPr>
        <w:t>; enterprises, facilities, and products; certificate status and history; applicable standards; batch traceability; alerts; and recalls.</w:t>
      </w:r>
    </w:p>
    <w:p w14:paraId="7652FEF2"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Second, Vietnam should pilot a "digital Halal passport" for value chains with lead firms, established quality-management systems, and clearly identified target markets, such as processed seafood, coffee, cashew nuts, rice, and fruit products. The passport should </w:t>
      </w:r>
      <w:proofErr w:type="spellStart"/>
      <w:r w:rsidRPr="0062764E">
        <w:rPr>
          <w:rFonts w:ascii="Arial" w:eastAsia="Calibri" w:hAnsi="Arial" w:cs="Arial"/>
          <w:sz w:val="22"/>
          <w:szCs w:val="28"/>
        </w:rPr>
        <w:t>prioritise</w:t>
      </w:r>
      <w:proofErr w:type="spellEnd"/>
      <w:r w:rsidRPr="0062764E">
        <w:rPr>
          <w:rFonts w:ascii="Arial" w:eastAsia="Calibri" w:hAnsi="Arial" w:cs="Arial"/>
          <w:sz w:val="22"/>
          <w:szCs w:val="28"/>
        </w:rPr>
        <w:t xml:space="preserve"> open data structures and verifiability, without assuming blockchain as the default. Blockchain is appropriate only where multiple independent actors record data and the benefits of tamper resistance justify the cost.</w:t>
      </w:r>
      <w:r w:rsidR="00B26259" w:rsidRPr="0062764E">
        <w:rPr>
          <w:rFonts w:ascii="Arial" w:eastAsia="Calibri" w:hAnsi="Arial" w:cs="Arial"/>
          <w:sz w:val="22"/>
          <w:szCs w:val="28"/>
        </w:rPr>
        <w:t xml:space="preserve"> This technology-neutral position is consistent with research showing that blockchain-based Halal systems can support linked and verifiable traceability records, while their practical usefulness remains dependent on system design, </w:t>
      </w:r>
      <w:r w:rsidR="00B26259" w:rsidRPr="0062764E">
        <w:rPr>
          <w:rFonts w:ascii="Arial" w:eastAsia="Calibri" w:hAnsi="Arial" w:cs="Arial"/>
          <w:sz w:val="22"/>
          <w:szCs w:val="28"/>
          <w:highlight w:val="yellow"/>
        </w:rPr>
        <w:t>organisational readiness</w:t>
      </w:r>
      <w:r w:rsidR="00B26259" w:rsidRPr="0062764E">
        <w:rPr>
          <w:rFonts w:ascii="Arial" w:eastAsia="Calibri" w:hAnsi="Arial" w:cs="Arial"/>
          <w:sz w:val="22"/>
          <w:szCs w:val="28"/>
        </w:rPr>
        <w:t>, and implementation conditions (</w:t>
      </w:r>
      <w:proofErr w:type="spellStart"/>
      <w:r w:rsidR="00B26259" w:rsidRPr="0062764E">
        <w:rPr>
          <w:rFonts w:ascii="Arial" w:eastAsia="Calibri" w:hAnsi="Arial" w:cs="Arial"/>
          <w:sz w:val="22"/>
          <w:szCs w:val="28"/>
        </w:rPr>
        <w:t>Karyani</w:t>
      </w:r>
      <w:proofErr w:type="spellEnd"/>
      <w:r w:rsidR="00B26259" w:rsidRPr="0062764E">
        <w:rPr>
          <w:rFonts w:ascii="Arial" w:eastAsia="Calibri" w:hAnsi="Arial" w:cs="Arial"/>
          <w:sz w:val="22"/>
          <w:szCs w:val="28"/>
        </w:rPr>
        <w:t xml:space="preserve"> et al., 2024; Susanty et al., 2024).</w:t>
      </w:r>
    </w:p>
    <w:p w14:paraId="690B7223"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Third, Vietnam should promote certification interoperability and "Halal data diplomacy". Cooperation should progress from memoranda of understanding to standard-equivalence mapping, online verification, minimum datasets, status updates, and incident-management procedures. With Malaysia, priority should be given to market connectivity through HDC/HIP; with Indonesia, to recognition of certification bodies and compatibility with BPJPH documentation; and with Thailand, to testing, HAL-Q, training, and product data.</w:t>
      </w:r>
    </w:p>
    <w:p w14:paraId="77269C07"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Fourth, shared services should be established for small and medium-sized enterprises, including dossier </w:t>
      </w:r>
      <w:r w:rsidRPr="0062764E">
        <w:rPr>
          <w:rFonts w:ascii="Arial" w:eastAsia="Calibri" w:hAnsi="Arial" w:cs="Arial"/>
          <w:sz w:val="22"/>
          <w:szCs w:val="28"/>
          <w:highlight w:val="yellow"/>
        </w:rPr>
        <w:t>digitisation</w:t>
      </w:r>
      <w:r w:rsidRPr="0062764E">
        <w:rPr>
          <w:rFonts w:ascii="Arial" w:eastAsia="Calibri" w:hAnsi="Arial" w:cs="Arial"/>
          <w:sz w:val="22"/>
          <w:szCs w:val="28"/>
        </w:rPr>
        <w:t>, standards-gap assessments, ingredient management, batch traceability, training, and certification-to-market connectivity. Public support should be linked to outputs such as compliant dossiers, certification, verified buyers, or purchase orders, rather than dispersed subsidies for equipment. Associations and lead firms should participate to ensure that services remain grounded in actual value-chain requirements.</w:t>
      </w:r>
    </w:p>
    <w:p w14:paraId="1F3CA74A"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Fifth, the system should be implemented through a phased roadmap with risk governance. During 2026-2027, priorities should include data </w:t>
      </w:r>
      <w:r w:rsidRPr="0062764E">
        <w:rPr>
          <w:rFonts w:ascii="Arial" w:eastAsia="Calibri" w:hAnsi="Arial" w:cs="Arial"/>
          <w:sz w:val="22"/>
          <w:szCs w:val="28"/>
          <w:highlight w:val="yellow"/>
        </w:rPr>
        <w:t>standardisation</w:t>
      </w:r>
      <w:r w:rsidRPr="0062764E">
        <w:rPr>
          <w:rFonts w:ascii="Arial" w:eastAsia="Calibri" w:hAnsi="Arial" w:cs="Arial"/>
          <w:sz w:val="22"/>
          <w:szCs w:val="28"/>
        </w:rPr>
        <w:t>, actor registries, pilots for digital dossiers, and cooperation with key Halal authorities; during 2028-2030, the digital passport should be scaled up, customs, logistics, and trade-promotion functions integrated, and cross-border data exchange piloted. Performance indicators should cover time, cost, data reuse, the number of verified certificates, new contracts, and detected discrepancies; procedures should also be established for correction, data withdrawal, and incident response.</w:t>
      </w:r>
      <w:r w:rsidR="00B26259" w:rsidRPr="0062764E">
        <w:rPr>
          <w:rFonts w:ascii="Arial" w:eastAsia="Calibri" w:hAnsi="Arial" w:cs="Arial"/>
          <w:sz w:val="22"/>
          <w:szCs w:val="28"/>
        </w:rPr>
        <w:t xml:space="preserve"> The proposed timetable should therefore be interpreted as a sequencing framework for policy consideration rather than as a forecast of implementation progress or expected economic outcomes.</w:t>
      </w:r>
    </w:p>
    <w:p w14:paraId="74EA8757" w14:textId="77777777" w:rsidR="00B26259" w:rsidRPr="0062764E" w:rsidRDefault="00B26259">
      <w:pPr>
        <w:pStyle w:val="Body"/>
        <w:keepNext/>
        <w:spacing w:after="40" w:line="276" w:lineRule="auto"/>
        <w:rPr>
          <w:rFonts w:ascii="Arial" w:hAnsi="Arial"/>
          <w:i/>
          <w:sz w:val="22"/>
        </w:rPr>
      </w:pPr>
    </w:p>
    <w:p w14:paraId="6456FD0E" w14:textId="77777777" w:rsidR="00AB617D" w:rsidRPr="0062764E" w:rsidRDefault="00000000">
      <w:pPr>
        <w:pStyle w:val="Body"/>
        <w:keepNext/>
        <w:spacing w:after="40" w:line="276" w:lineRule="auto"/>
        <w:rPr>
          <w:rFonts w:ascii="Arial" w:eastAsia="Calibri" w:hAnsi="Arial" w:cs="Arial"/>
          <w:i/>
          <w:iCs/>
          <w:sz w:val="22"/>
          <w:szCs w:val="28"/>
        </w:rPr>
      </w:pPr>
      <w:r w:rsidRPr="0062764E">
        <w:rPr>
          <w:rFonts w:ascii="Arial" w:hAnsi="Arial"/>
          <w:i/>
          <w:sz w:val="22"/>
        </w:rPr>
        <w:t>3.4. Study limitations and future research</w:t>
      </w:r>
    </w:p>
    <w:p w14:paraId="7836E404" w14:textId="77777777" w:rsidR="00AB617D" w:rsidRPr="0062764E" w:rsidRDefault="00000000">
      <w:pPr>
        <w:pStyle w:val="Body"/>
        <w:spacing w:after="120" w:line="276" w:lineRule="auto"/>
        <w:rPr>
          <w:rFonts w:ascii="Arial" w:eastAsia="Calibri" w:hAnsi="Arial" w:cs="Arial"/>
          <w:sz w:val="22"/>
          <w:szCs w:val="28"/>
        </w:rPr>
      </w:pPr>
      <w:r w:rsidRPr="0062764E">
        <w:rPr>
          <w:rFonts w:ascii="Arial" w:hAnsi="Arial"/>
        </w:rPr>
        <w:t xml:space="preserve">The study has four principal limitations. First, it relies on publicly available documents and therefore cannot fully capture informal implementation practices, proprietary platform functions, firm-level compliance costs, or the experience of certifiers and exporters. Second, legal rules, recognition lists, and online platforms are time-sensitive; although all 2026 claims were rechecked against official sources on 5 August 2026, subsequent institutional or regulatory changes may alter specific details. Third, comparable quantitative data on processing time, certification cost, platform usage, data errors, and trade outcomes are not </w:t>
      </w:r>
      <w:r w:rsidRPr="0062764E">
        <w:rPr>
          <w:rFonts w:ascii="Arial" w:hAnsi="Arial"/>
        </w:rPr>
        <w:lastRenderedPageBreak/>
        <w:t xml:space="preserve">available across the three cases, so the analysis cannot estimate causal effects or rank national systems. Fourth, the cases were selected purposively for analytical variation and regional relevance; the findings are analytically transferable but not statistically </w:t>
      </w:r>
      <w:proofErr w:type="spellStart"/>
      <w:r w:rsidRPr="0062764E">
        <w:rPr>
          <w:rFonts w:ascii="Arial" w:hAnsi="Arial"/>
        </w:rPr>
        <w:t>generalisable</w:t>
      </w:r>
      <w:proofErr w:type="spellEnd"/>
      <w:r w:rsidRPr="0062764E">
        <w:rPr>
          <w:rFonts w:ascii="Arial" w:hAnsi="Arial"/>
        </w:rPr>
        <w:t xml:space="preserve"> to all Halal markets.</w:t>
      </w:r>
    </w:p>
    <w:p w14:paraId="6CD656CD" w14:textId="77777777" w:rsidR="00AB617D" w:rsidRPr="0062764E" w:rsidRDefault="00000000">
      <w:pPr>
        <w:pStyle w:val="Body"/>
        <w:spacing w:after="120" w:line="276" w:lineRule="auto"/>
        <w:rPr>
          <w:rFonts w:ascii="Arial" w:eastAsia="Calibri" w:hAnsi="Arial" w:cs="Arial"/>
          <w:sz w:val="22"/>
          <w:szCs w:val="28"/>
        </w:rPr>
      </w:pPr>
      <w:r w:rsidRPr="0062764E">
        <w:rPr>
          <w:rFonts w:ascii="Arial" w:hAnsi="Arial"/>
        </w:rPr>
        <w:t>Future research should combine documentary analysis with interviews involving competent authorities, certification bodies, laboratories, logistics providers, exporters, and small and medium-sized enterprises. It should also measure certification time and cost, data-reuse rates, verification failures, platform adoption, and contract outcomes. A particularly valuable next step would be to evaluate pilot digital Halal passports in selected Vietnamese food chains through before-and-after indicators and cross-market testing with Malaysian, Indonesian, and Thai partners.</w:t>
      </w:r>
    </w:p>
    <w:p w14:paraId="75CCDF4B" w14:textId="77777777" w:rsidR="00DF578C" w:rsidRPr="0062764E" w:rsidRDefault="00DF578C" w:rsidP="00DF578C">
      <w:pPr>
        <w:pStyle w:val="Body"/>
        <w:keepNext/>
        <w:spacing w:after="60" w:line="276" w:lineRule="auto"/>
        <w:rPr>
          <w:rFonts w:ascii="Arial" w:eastAsia="Calibri" w:hAnsi="Arial" w:cs="Arial"/>
          <w:b/>
          <w:bCs/>
          <w:sz w:val="22"/>
          <w:szCs w:val="28"/>
        </w:rPr>
      </w:pPr>
      <w:r w:rsidRPr="0062764E">
        <w:rPr>
          <w:rFonts w:ascii="Arial" w:eastAsia="Calibri" w:hAnsi="Arial" w:cs="Arial"/>
          <w:b/>
          <w:bCs/>
          <w:sz w:val="22"/>
          <w:szCs w:val="28"/>
        </w:rPr>
        <w:t>4. CONCLUSION</w:t>
      </w:r>
    </w:p>
    <w:p w14:paraId="4F9F44F2"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hAnsi="Arial"/>
        </w:rPr>
        <w:t xml:space="preserve">Digital connectivity is an essential component of a Halal ecosystem because it </w:t>
      </w:r>
      <w:proofErr w:type="spellStart"/>
      <w:r w:rsidRPr="0062764E">
        <w:rPr>
          <w:rFonts w:ascii="Arial" w:hAnsi="Arial"/>
        </w:rPr>
        <w:t>organises</w:t>
      </w:r>
      <w:proofErr w:type="spellEnd"/>
      <w:r w:rsidRPr="0062764E">
        <w:rPr>
          <w:rFonts w:ascii="Arial" w:hAnsi="Arial"/>
        </w:rPr>
        <w:t xml:space="preserve"> the creation, verification, and exchange of evidence relating to integrity across the value chain. The comparative analysis shows that its institutional purpose varies: Malaysia connects authoritative certification with ecosystem and market development; Indonesia uses SIHALAL to administer a mandatory national assurance regime; and Thailand combines religious authority, science, and export-oriented services. </w:t>
      </w:r>
      <w:r w:rsidR="009B587A" w:rsidRPr="0062764E">
        <w:rPr>
          <w:rFonts w:ascii="Arial" w:hAnsi="Arial"/>
        </w:rPr>
        <w:t>Across the three cases, the comparative evidence suggests that the usefulness of digital tools depends on the interaction of competent authority, reliable source data, certificate-status management, and market recognition</w:t>
      </w:r>
      <w:r w:rsidRPr="0062764E">
        <w:rPr>
          <w:rFonts w:ascii="Arial" w:hAnsi="Arial"/>
        </w:rPr>
        <w:t>. The four-layer framework developed in this study clarifies this relationship by linking institutional and certification connectivity, traceability evidence, market connectivity, and knowledge and support services.</w:t>
      </w:r>
    </w:p>
    <w:p w14:paraId="2C24C5C4" w14:textId="77777777" w:rsidR="00DF578C" w:rsidRPr="0062764E" w:rsidRDefault="00DF578C" w:rsidP="00DF578C">
      <w:pPr>
        <w:pStyle w:val="Body"/>
        <w:spacing w:after="60" w:line="276" w:lineRule="auto"/>
        <w:rPr>
          <w:rFonts w:ascii="Arial" w:eastAsia="Calibri" w:hAnsi="Arial" w:cs="Arial"/>
          <w:sz w:val="22"/>
          <w:szCs w:val="28"/>
        </w:rPr>
      </w:pPr>
      <w:r w:rsidRPr="0062764E">
        <w:rPr>
          <w:rFonts w:ascii="Arial" w:hAnsi="Arial"/>
        </w:rPr>
        <w:t xml:space="preserve">For Vietnam, the priority is not to replicate a particular platform but to build an interoperable architecture suited to its institutional context and enterprise capabilities. Near-term measures should </w:t>
      </w:r>
      <w:proofErr w:type="spellStart"/>
      <w:r w:rsidRPr="0062764E">
        <w:rPr>
          <w:rFonts w:ascii="Arial" w:hAnsi="Arial"/>
        </w:rPr>
        <w:t>standardise</w:t>
      </w:r>
      <w:proofErr w:type="spellEnd"/>
      <w:r w:rsidRPr="0062764E">
        <w:rPr>
          <w:rFonts w:ascii="Arial" w:hAnsi="Arial"/>
        </w:rPr>
        <w:t xml:space="preserve"> core data, clarify responsibilities, strengthen recognition with priority markets, and pilot digital Halal passports in food chains with capable lead firms. These measures should be accompanied by shared services for small and medium-sized enterprises and by safeguards for data quality, commercial confidentiality, cybersecurity, correction, and incident response. The policy objective is to move enterprises from merely possessing a certificate towards continuously maintaining and demonstrably proving Halal integrity in forms that importing authorities and buyers can verify and reuse.</w:t>
      </w:r>
    </w:p>
    <w:p w14:paraId="19C3BF7B" w14:textId="77777777" w:rsidR="00AB617D" w:rsidRPr="0062764E" w:rsidRDefault="00000000">
      <w:pPr>
        <w:pStyle w:val="Body"/>
        <w:spacing w:after="120" w:line="276" w:lineRule="auto"/>
        <w:rPr>
          <w:rFonts w:ascii="Arial" w:eastAsia="Calibri" w:hAnsi="Arial" w:cs="Arial"/>
          <w:sz w:val="22"/>
          <w:szCs w:val="28"/>
        </w:rPr>
      </w:pPr>
      <w:r w:rsidRPr="0062764E">
        <w:rPr>
          <w:rFonts w:ascii="Arial" w:hAnsi="Arial"/>
        </w:rPr>
        <w:t>The conclusions remain subject to the documentary and comparative limitations identified above. Further empirical work should test whether the proposed architecture reduces certification time and cost, improves data reuse and buyer confidence, and generates measurable trade outcomes. Subject to such validation, a phased and institution-led approach to digital connectivity can strengthen Vietnam’s credibility and participation in regional Halal food value chains.</w:t>
      </w:r>
    </w:p>
    <w:p w14:paraId="05958BE8" w14:textId="77777777" w:rsidR="00B26259" w:rsidRPr="0062764E" w:rsidRDefault="00B26259" w:rsidP="003D0046">
      <w:pPr>
        <w:pStyle w:val="Body"/>
        <w:keepNext/>
        <w:spacing w:after="60" w:line="276" w:lineRule="auto"/>
        <w:rPr>
          <w:rFonts w:ascii="Arial" w:eastAsia="Calibri" w:hAnsi="Arial" w:cs="Arial"/>
          <w:b/>
          <w:bCs/>
          <w:sz w:val="22"/>
          <w:szCs w:val="28"/>
        </w:rPr>
      </w:pPr>
    </w:p>
    <w:p w14:paraId="5524FBED" w14:textId="77777777" w:rsidR="003D0046" w:rsidRPr="0062764E" w:rsidRDefault="003D0046" w:rsidP="003D0046">
      <w:pPr>
        <w:pStyle w:val="Body"/>
        <w:keepNext/>
        <w:spacing w:after="60" w:line="276" w:lineRule="auto"/>
        <w:rPr>
          <w:rFonts w:ascii="Arial" w:eastAsia="Calibri" w:hAnsi="Arial" w:cs="Arial"/>
          <w:b/>
          <w:bCs/>
          <w:sz w:val="22"/>
          <w:szCs w:val="28"/>
        </w:rPr>
      </w:pPr>
      <w:r w:rsidRPr="0062764E">
        <w:rPr>
          <w:rFonts w:ascii="Arial" w:eastAsia="Calibri" w:hAnsi="Arial" w:cs="Arial"/>
          <w:b/>
          <w:bCs/>
          <w:sz w:val="22"/>
          <w:szCs w:val="28"/>
        </w:rPr>
        <w:t>COMPETING INTERESTS</w:t>
      </w:r>
    </w:p>
    <w:p w14:paraId="06E1993B" w14:textId="77777777" w:rsidR="003D0046" w:rsidRPr="0062764E" w:rsidRDefault="003D0046" w:rsidP="003D0046">
      <w:pPr>
        <w:pStyle w:val="Body"/>
        <w:spacing w:after="60" w:line="276" w:lineRule="auto"/>
        <w:rPr>
          <w:rFonts w:ascii="Arial" w:eastAsia="Calibri" w:hAnsi="Arial" w:cs="Arial"/>
          <w:sz w:val="22"/>
          <w:szCs w:val="28"/>
        </w:rPr>
      </w:pPr>
      <w:r w:rsidRPr="0062764E">
        <w:rPr>
          <w:rFonts w:ascii="Arial" w:eastAsia="Calibri" w:hAnsi="Arial" w:cs="Arial"/>
          <w:sz w:val="22"/>
          <w:szCs w:val="28"/>
        </w:rPr>
        <w:t>The author has declared that no competing interests exist.</w:t>
      </w:r>
    </w:p>
    <w:p w14:paraId="17C00FA7" w14:textId="77777777" w:rsidR="00B26259" w:rsidRPr="0062764E" w:rsidRDefault="00B26259" w:rsidP="003D0046">
      <w:pPr>
        <w:pStyle w:val="Body"/>
        <w:keepNext/>
        <w:spacing w:after="60" w:line="276" w:lineRule="auto"/>
        <w:rPr>
          <w:rFonts w:ascii="Arial" w:eastAsia="Calibri" w:hAnsi="Arial" w:cs="Arial"/>
          <w:b/>
          <w:bCs/>
          <w:sz w:val="22"/>
          <w:szCs w:val="28"/>
        </w:rPr>
      </w:pPr>
    </w:p>
    <w:p w14:paraId="3E253B61" w14:textId="77777777" w:rsidR="003D0046" w:rsidRPr="0062764E" w:rsidRDefault="003D0046" w:rsidP="003D0046">
      <w:pPr>
        <w:pStyle w:val="Body"/>
        <w:keepNext/>
        <w:spacing w:after="60" w:line="276" w:lineRule="auto"/>
        <w:rPr>
          <w:rFonts w:ascii="Arial" w:eastAsia="Calibri" w:hAnsi="Arial" w:cs="Arial"/>
          <w:b/>
          <w:bCs/>
          <w:sz w:val="22"/>
          <w:szCs w:val="28"/>
        </w:rPr>
      </w:pPr>
      <w:r w:rsidRPr="0062764E">
        <w:rPr>
          <w:rFonts w:ascii="Arial" w:eastAsia="Calibri" w:hAnsi="Arial" w:cs="Arial"/>
          <w:b/>
          <w:bCs/>
          <w:sz w:val="22"/>
          <w:szCs w:val="28"/>
        </w:rPr>
        <w:t>CONSENT</w:t>
      </w:r>
    </w:p>
    <w:p w14:paraId="3563DD8B" w14:textId="77777777" w:rsidR="003D0046" w:rsidRPr="0062764E" w:rsidRDefault="003D0046" w:rsidP="003D0046">
      <w:pPr>
        <w:pStyle w:val="Body"/>
        <w:spacing w:after="60" w:line="276" w:lineRule="auto"/>
        <w:rPr>
          <w:rFonts w:ascii="Arial" w:eastAsia="Calibri" w:hAnsi="Arial" w:cs="Arial"/>
          <w:sz w:val="22"/>
          <w:szCs w:val="28"/>
        </w:rPr>
      </w:pPr>
      <w:r w:rsidRPr="0062764E">
        <w:rPr>
          <w:rFonts w:ascii="Arial" w:eastAsia="Calibri" w:hAnsi="Arial" w:cs="Arial"/>
          <w:sz w:val="22"/>
          <w:szCs w:val="28"/>
        </w:rPr>
        <w:t>Not applicable.</w:t>
      </w:r>
    </w:p>
    <w:p w14:paraId="5336E726" w14:textId="77777777" w:rsidR="00B26259" w:rsidRPr="0062764E" w:rsidRDefault="00B26259" w:rsidP="003D0046">
      <w:pPr>
        <w:pStyle w:val="Body"/>
        <w:keepNext/>
        <w:spacing w:after="60" w:line="276" w:lineRule="auto"/>
        <w:rPr>
          <w:rFonts w:ascii="Arial" w:eastAsia="Calibri" w:hAnsi="Arial" w:cs="Arial"/>
          <w:b/>
          <w:bCs/>
          <w:sz w:val="22"/>
          <w:szCs w:val="28"/>
        </w:rPr>
      </w:pPr>
    </w:p>
    <w:p w14:paraId="7C4E8BD8" w14:textId="77777777" w:rsidR="003D0046" w:rsidRPr="0062764E" w:rsidRDefault="003D0046" w:rsidP="003D0046">
      <w:pPr>
        <w:pStyle w:val="Body"/>
        <w:keepNext/>
        <w:spacing w:after="60" w:line="276" w:lineRule="auto"/>
        <w:rPr>
          <w:rFonts w:ascii="Arial" w:eastAsia="Calibri" w:hAnsi="Arial" w:cs="Arial"/>
          <w:b/>
          <w:bCs/>
          <w:sz w:val="22"/>
          <w:szCs w:val="28"/>
        </w:rPr>
      </w:pPr>
      <w:r w:rsidRPr="0062764E">
        <w:rPr>
          <w:rFonts w:ascii="Arial" w:eastAsia="Calibri" w:hAnsi="Arial" w:cs="Arial"/>
          <w:b/>
          <w:bCs/>
          <w:sz w:val="22"/>
          <w:szCs w:val="28"/>
        </w:rPr>
        <w:t>ETHICAL APPROVAL</w:t>
      </w:r>
    </w:p>
    <w:p w14:paraId="6C57E503" w14:textId="23AC0B9F" w:rsidR="003D0046" w:rsidRPr="0062764E" w:rsidRDefault="003D0046" w:rsidP="003D0046">
      <w:pPr>
        <w:pStyle w:val="Body"/>
        <w:spacing w:after="60" w:line="276" w:lineRule="auto"/>
        <w:rPr>
          <w:rFonts w:ascii="Arial" w:eastAsia="Calibri" w:hAnsi="Arial" w:cs="Arial"/>
          <w:sz w:val="22"/>
          <w:szCs w:val="28"/>
        </w:rPr>
      </w:pPr>
      <w:r w:rsidRPr="0062764E">
        <w:rPr>
          <w:rFonts w:ascii="Arial" w:eastAsia="Calibri" w:hAnsi="Arial" w:cs="Arial"/>
          <w:sz w:val="22"/>
          <w:szCs w:val="28"/>
        </w:rPr>
        <w:t xml:space="preserve">Not applicable. </w:t>
      </w:r>
    </w:p>
    <w:p w14:paraId="02F99490" w14:textId="77777777" w:rsidR="00B26259" w:rsidRPr="0062764E" w:rsidRDefault="00B26259" w:rsidP="00B93972">
      <w:pPr>
        <w:spacing w:after="160" w:line="278" w:lineRule="auto"/>
        <w:rPr>
          <w:rFonts w:ascii="Arial" w:eastAsia="Calibri" w:hAnsi="Arial" w:cs="Arial"/>
          <w:b/>
          <w:bCs/>
          <w:sz w:val="20"/>
          <w:szCs w:val="20"/>
          <w:lang w:val="en-US"/>
        </w:rPr>
      </w:pPr>
    </w:p>
    <w:p w14:paraId="3BC4FE27" w14:textId="77777777" w:rsidR="00B645AA" w:rsidRPr="0062764E" w:rsidRDefault="00B645AA" w:rsidP="00B645AA">
      <w:pPr>
        <w:spacing w:after="160" w:line="278" w:lineRule="auto"/>
        <w:rPr>
          <w:rFonts w:ascii="Calibri" w:eastAsia="Calibri" w:hAnsi="Calibri" w:cs="Times New Roman"/>
          <w:b/>
          <w:bCs/>
          <w:lang w:val="en-US"/>
        </w:rPr>
      </w:pPr>
      <w:r w:rsidRPr="0062764E">
        <w:rPr>
          <w:rFonts w:ascii="Calibri" w:eastAsia="Calibri" w:hAnsi="Calibri" w:cs="Times New Roman"/>
          <w:b/>
          <w:bCs/>
          <w:lang w:val="en-US"/>
        </w:rPr>
        <w:lastRenderedPageBreak/>
        <w:t>Declaration of AI Use</w:t>
      </w:r>
    </w:p>
    <w:p w14:paraId="0F56ED99" w14:textId="77777777" w:rsidR="00B645AA" w:rsidRPr="0062764E" w:rsidRDefault="00B645AA" w:rsidP="00B645AA">
      <w:pPr>
        <w:spacing w:after="200" w:line="276" w:lineRule="auto"/>
        <w:jc w:val="both"/>
        <w:rPr>
          <w:rFonts w:ascii="Calibri" w:eastAsia="Calibri" w:hAnsi="Calibri" w:cs="Times New Roman"/>
          <w:sz w:val="22"/>
          <w:szCs w:val="22"/>
          <w:lang w:val="en-US"/>
        </w:rPr>
      </w:pPr>
      <w:r w:rsidRPr="0062764E">
        <w:rPr>
          <w:rFonts w:ascii="Calibri" w:eastAsia="Calibri" w:hAnsi="Calibri" w:cs="Times New Roman"/>
          <w:sz w:val="22"/>
          <w:szCs w:val="22"/>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4E5BF61" w14:textId="77777777" w:rsidR="00B93972" w:rsidRPr="0062764E" w:rsidRDefault="00B93972" w:rsidP="003D0046">
      <w:pPr>
        <w:pStyle w:val="Body"/>
        <w:spacing w:after="60" w:line="276" w:lineRule="auto"/>
        <w:rPr>
          <w:rFonts w:ascii="Arial" w:eastAsia="Calibri" w:hAnsi="Arial" w:cs="Arial"/>
          <w:sz w:val="22"/>
          <w:szCs w:val="28"/>
        </w:rPr>
      </w:pPr>
    </w:p>
    <w:p w14:paraId="4CEBB9F0" w14:textId="77777777" w:rsidR="003D0046" w:rsidRPr="0062764E" w:rsidRDefault="003D0046" w:rsidP="003D0046">
      <w:pPr>
        <w:pStyle w:val="Body"/>
        <w:spacing w:after="60" w:line="276" w:lineRule="auto"/>
        <w:rPr>
          <w:rFonts w:ascii="Arial" w:eastAsia="Calibri" w:hAnsi="Arial" w:cs="Arial"/>
          <w:b/>
          <w:sz w:val="22"/>
          <w:szCs w:val="28"/>
        </w:rPr>
      </w:pPr>
    </w:p>
    <w:p w14:paraId="0A4913E4" w14:textId="77777777" w:rsidR="000F4F66" w:rsidRPr="0062764E" w:rsidRDefault="000F4F66" w:rsidP="000F4F66">
      <w:pPr>
        <w:pStyle w:val="Body"/>
        <w:keepNext/>
        <w:spacing w:after="60" w:line="276" w:lineRule="auto"/>
        <w:rPr>
          <w:rFonts w:ascii="Arial" w:eastAsia="Calibri" w:hAnsi="Arial" w:cs="Arial"/>
          <w:sz w:val="22"/>
          <w:szCs w:val="28"/>
        </w:rPr>
      </w:pPr>
      <w:r w:rsidRPr="0062764E">
        <w:rPr>
          <w:rFonts w:ascii="Arial" w:eastAsia="Calibri" w:hAnsi="Arial" w:cs="Arial"/>
          <w:b/>
          <w:bCs/>
          <w:sz w:val="22"/>
          <w:szCs w:val="28"/>
        </w:rPr>
        <w:t>REFERENCES</w:t>
      </w:r>
    </w:p>
    <w:p w14:paraId="308CD44A" w14:textId="77777777" w:rsidR="000F4F66" w:rsidRPr="0062764E" w:rsidRDefault="000F4F66" w:rsidP="00B26259">
      <w:pPr>
        <w:pStyle w:val="Body"/>
        <w:spacing w:after="60" w:line="276" w:lineRule="auto"/>
        <w:ind w:left="360" w:hanging="360"/>
        <w:rPr>
          <w:rFonts w:ascii="Arial" w:eastAsia="Calibri" w:hAnsi="Arial" w:cs="Arial"/>
          <w:sz w:val="22"/>
          <w:szCs w:val="28"/>
        </w:rPr>
      </w:pPr>
    </w:p>
    <w:p w14:paraId="25B8F925" w14:textId="77777777" w:rsidR="00DD13A4" w:rsidRDefault="00000000">
      <w:pPr>
        <w:spacing w:before="100" w:beforeAutospacing="1" w:after="100" w:afterAutospacing="1"/>
        <w:rPr>
          <w:rFonts w:ascii="Times New Roman" w:eastAsia="Times New Roman" w:hAnsi="Times New Roman" w:cs="Times New Roman"/>
          <w:kern w:val="0"/>
          <w:lang w:val="en-US"/>
          <w14:ligatures w14:val="none"/>
        </w:rPr>
      </w:pPr>
      <w:r>
        <w:rPr>
          <w:highlight w:val="yellow"/>
        </w:rPr>
        <w:t xml:space="preserve">Ardiantono, D. S., Ardyansyah, G. D., Sugihartanto, M. F., Al Mustofa, M. U., &amp; Lisdiantini, N. (2024). Mapping the barrier and strategic solutions of halal supply chain implementation in small and medium enterprises. </w:t>
      </w:r>
      <w:r>
        <w:rPr>
          <w:i/>
          <w:highlight w:val="yellow"/>
        </w:rPr>
        <w:t>Journal of Islamic Marketing, 15</w:t>
      </w:r>
      <w:r>
        <w:rPr>
          <w:highlight w:val="yellow"/>
        </w:rPr>
        <w:t>(7), 1673–1705. https://doi.org/10.1108/JIMA-08-2022-0229</w:t>
      </w:r>
    </w:p>
    <w:p w14:paraId="443AC740"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ASEAN. (2026). </w:t>
      </w:r>
      <w:r w:rsidRPr="0062764E">
        <w:rPr>
          <w:rFonts w:ascii="Times New Roman" w:eastAsia="Times New Roman" w:hAnsi="Times New Roman" w:cs="Times New Roman"/>
          <w:i/>
          <w:iCs/>
          <w:kern w:val="0"/>
          <w:lang w:val="en-US"/>
          <w14:ligatures w14:val="none"/>
        </w:rPr>
        <w:t>ASEAN digital masterplan 2030</w:t>
      </w:r>
      <w:r w:rsidRPr="0062764E">
        <w:rPr>
          <w:rFonts w:ascii="Times New Roman" w:eastAsia="Times New Roman" w:hAnsi="Times New Roman" w:cs="Times New Roman"/>
          <w:kern w:val="0"/>
          <w:lang w:val="en-US"/>
          <w14:ligatures w14:val="none"/>
        </w:rPr>
        <w:t xml:space="preserve">. </w:t>
      </w:r>
      <w:hyperlink r:id="rId8" w:tgtFrame="_new" w:history="1">
        <w:r w:rsidRPr="0062764E">
          <w:rPr>
            <w:rFonts w:ascii="Times New Roman" w:eastAsia="Times New Roman" w:hAnsi="Times New Roman" w:cs="Times New Roman"/>
            <w:color w:val="0000FF"/>
            <w:kern w:val="0"/>
            <w:u w:val="single"/>
            <w:lang w:val="en-US"/>
            <w14:ligatures w14:val="none"/>
          </w:rPr>
          <w:t>https://asean.org/wp-content/uploads/2026/01/ASEAN-Digital-Master-Plan-2030-final-2026.pdf</w:t>
        </w:r>
      </w:hyperlink>
    </w:p>
    <w:p w14:paraId="1DFAAEAE"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Astuti, R., &amp; </w:t>
      </w:r>
      <w:proofErr w:type="spellStart"/>
      <w:r w:rsidRPr="0062764E">
        <w:rPr>
          <w:rFonts w:ascii="Times New Roman" w:eastAsia="Times New Roman" w:hAnsi="Times New Roman" w:cs="Times New Roman"/>
          <w:kern w:val="0"/>
          <w:lang w:val="en-US"/>
          <w14:ligatures w14:val="none"/>
        </w:rPr>
        <w:t>Hidayati</w:t>
      </w:r>
      <w:proofErr w:type="spellEnd"/>
      <w:r w:rsidRPr="0062764E">
        <w:rPr>
          <w:rFonts w:ascii="Times New Roman" w:eastAsia="Times New Roman" w:hAnsi="Times New Roman" w:cs="Times New Roman"/>
          <w:kern w:val="0"/>
          <w:lang w:val="en-US"/>
          <w14:ligatures w14:val="none"/>
        </w:rPr>
        <w:t xml:space="preserve">, L. (2023). How might blockchain technology be used in the food supply chain? A systematic literature review. </w:t>
      </w:r>
      <w:r w:rsidRPr="0062764E">
        <w:rPr>
          <w:rFonts w:ascii="Times New Roman" w:eastAsia="Times New Roman" w:hAnsi="Times New Roman" w:cs="Times New Roman"/>
          <w:i/>
          <w:iCs/>
          <w:kern w:val="0"/>
          <w:lang w:val="en-US"/>
          <w14:ligatures w14:val="none"/>
        </w:rPr>
        <w:t>Cogent Business &amp; Management, 10</w:t>
      </w:r>
      <w:r w:rsidRPr="0062764E">
        <w:rPr>
          <w:rFonts w:ascii="Times New Roman" w:eastAsia="Times New Roman" w:hAnsi="Times New Roman" w:cs="Times New Roman"/>
          <w:kern w:val="0"/>
          <w:lang w:val="en-US"/>
          <w14:ligatures w14:val="none"/>
        </w:rPr>
        <w:t xml:space="preserve">(2), Article 2246739. </w:t>
      </w:r>
      <w:hyperlink r:id="rId9" w:tgtFrame="_new" w:history="1">
        <w:r w:rsidRPr="0062764E">
          <w:rPr>
            <w:rFonts w:ascii="Times New Roman" w:eastAsia="Times New Roman" w:hAnsi="Times New Roman" w:cs="Times New Roman"/>
            <w:color w:val="0000FF"/>
            <w:kern w:val="0"/>
            <w:u w:val="single"/>
            <w:lang w:val="en-US"/>
            <w14:ligatures w14:val="none"/>
          </w:rPr>
          <w:t>https://doi.org/10.1080/23311975.2023.2246739</w:t>
        </w:r>
      </w:hyperlink>
    </w:p>
    <w:p w14:paraId="350C072D"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Bachtiar, W. F., </w:t>
      </w:r>
      <w:proofErr w:type="spellStart"/>
      <w:r w:rsidRPr="0062764E">
        <w:rPr>
          <w:rFonts w:ascii="Times New Roman" w:eastAsia="Times New Roman" w:hAnsi="Times New Roman" w:cs="Times New Roman"/>
          <w:kern w:val="0"/>
          <w:lang w:val="en-US"/>
          <w14:ligatures w14:val="none"/>
        </w:rPr>
        <w:t>Masruroh</w:t>
      </w:r>
      <w:proofErr w:type="spellEnd"/>
      <w:r w:rsidRPr="0062764E">
        <w:rPr>
          <w:rFonts w:ascii="Times New Roman" w:eastAsia="Times New Roman" w:hAnsi="Times New Roman" w:cs="Times New Roman"/>
          <w:kern w:val="0"/>
          <w:lang w:val="en-US"/>
          <w14:ligatures w14:val="none"/>
        </w:rPr>
        <w:t xml:space="preserve">, N. A., Asih, A. M. S., &amp; Sari, D. P. (2024). Halal food sustainable traceability framework for the meat processing industry. </w:t>
      </w:r>
      <w:r w:rsidRPr="0062764E">
        <w:rPr>
          <w:rFonts w:ascii="Times New Roman" w:eastAsia="Times New Roman" w:hAnsi="Times New Roman" w:cs="Times New Roman"/>
          <w:i/>
          <w:iCs/>
          <w:kern w:val="0"/>
          <w:lang w:val="en-US"/>
          <w14:ligatures w14:val="none"/>
        </w:rPr>
        <w:t>Journal of Islamic Marketing, 15</w:t>
      </w:r>
      <w:r w:rsidRPr="0062764E">
        <w:rPr>
          <w:rFonts w:ascii="Times New Roman" w:eastAsia="Times New Roman" w:hAnsi="Times New Roman" w:cs="Times New Roman"/>
          <w:kern w:val="0"/>
          <w:lang w:val="en-US"/>
          <w14:ligatures w14:val="none"/>
        </w:rPr>
        <w:t xml:space="preserve">(11), 2759–2784. </w:t>
      </w:r>
      <w:hyperlink r:id="rId10" w:tgtFrame="_new" w:history="1">
        <w:r w:rsidRPr="0062764E">
          <w:rPr>
            <w:rFonts w:ascii="Times New Roman" w:eastAsia="Times New Roman" w:hAnsi="Times New Roman" w:cs="Times New Roman"/>
            <w:color w:val="0000FF"/>
            <w:kern w:val="0"/>
            <w:u w:val="single"/>
            <w:lang w:val="en-US"/>
            <w14:ligatures w14:val="none"/>
          </w:rPr>
          <w:t>https://doi.org/10.1108/JIMA-12-2023-0412</w:t>
        </w:r>
      </w:hyperlink>
    </w:p>
    <w:p w14:paraId="297C2B81"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Badan </w:t>
      </w:r>
      <w:proofErr w:type="spellStart"/>
      <w:r w:rsidRPr="0062764E">
        <w:rPr>
          <w:rFonts w:ascii="Times New Roman" w:eastAsia="Times New Roman" w:hAnsi="Times New Roman" w:cs="Times New Roman"/>
          <w:kern w:val="0"/>
          <w:lang w:val="en-US"/>
          <w14:ligatures w14:val="none"/>
        </w:rPr>
        <w:t>Penyelenggara</w:t>
      </w:r>
      <w:proofErr w:type="spellEnd"/>
      <w:r w:rsidRPr="0062764E">
        <w:rPr>
          <w:rFonts w:ascii="Times New Roman" w:eastAsia="Times New Roman" w:hAnsi="Times New Roman" w:cs="Times New Roman"/>
          <w:kern w:val="0"/>
          <w:lang w:val="en-US"/>
          <w14:ligatures w14:val="none"/>
        </w:rPr>
        <w:t xml:space="preserve"> </w:t>
      </w:r>
      <w:proofErr w:type="spellStart"/>
      <w:r w:rsidRPr="0062764E">
        <w:rPr>
          <w:rFonts w:ascii="Times New Roman" w:eastAsia="Times New Roman" w:hAnsi="Times New Roman" w:cs="Times New Roman"/>
          <w:kern w:val="0"/>
          <w:lang w:val="en-US"/>
          <w14:ligatures w14:val="none"/>
        </w:rPr>
        <w:t>Jaminan</w:t>
      </w:r>
      <w:proofErr w:type="spellEnd"/>
      <w:r w:rsidRPr="0062764E">
        <w:rPr>
          <w:rFonts w:ascii="Times New Roman" w:eastAsia="Times New Roman" w:hAnsi="Times New Roman" w:cs="Times New Roman"/>
          <w:kern w:val="0"/>
          <w:lang w:val="en-US"/>
          <w14:ligatures w14:val="none"/>
        </w:rPr>
        <w:t xml:space="preserve"> </w:t>
      </w:r>
      <w:proofErr w:type="spellStart"/>
      <w:r w:rsidRPr="0062764E">
        <w:rPr>
          <w:rFonts w:ascii="Times New Roman" w:eastAsia="Times New Roman" w:hAnsi="Times New Roman" w:cs="Times New Roman"/>
          <w:kern w:val="0"/>
          <w:lang w:val="en-US"/>
          <w14:ligatures w14:val="none"/>
        </w:rPr>
        <w:t>Produk</w:t>
      </w:r>
      <w:proofErr w:type="spellEnd"/>
      <w:r w:rsidRPr="0062764E">
        <w:rPr>
          <w:rFonts w:ascii="Times New Roman" w:eastAsia="Times New Roman" w:hAnsi="Times New Roman" w:cs="Times New Roman"/>
          <w:kern w:val="0"/>
          <w:lang w:val="en-US"/>
          <w14:ligatures w14:val="none"/>
        </w:rPr>
        <w:t xml:space="preserve"> Halal. </w:t>
      </w:r>
      <w:r w:rsidRPr="0062764E">
        <w:rPr>
          <w:rFonts w:ascii="Times New Roman" w:eastAsia="Times New Roman" w:hAnsi="Times New Roman" w:cs="Times New Roman"/>
          <w:kern w:val="0"/>
          <w:highlight w:val="yellow"/>
          <w:lang w:val="en-US"/>
          <w14:ligatures w14:val="none"/>
        </w:rPr>
        <w:t>(2024a, October 21)</w:t>
      </w:r>
      <w:r w:rsidRPr="0062764E">
        <w:rPr>
          <w:rFonts w:ascii="Times New Roman" w:eastAsia="Times New Roman" w:hAnsi="Times New Roman" w:cs="Times New Roman"/>
          <w:kern w:val="0"/>
          <w:lang w:val="en-US"/>
          <w14:ligatures w14:val="none"/>
        </w:rPr>
        <w:t xml:space="preserve">. </w:t>
      </w:r>
      <w:r w:rsidRPr="0062764E">
        <w:rPr>
          <w:rFonts w:ascii="Times New Roman" w:eastAsia="Times New Roman" w:hAnsi="Times New Roman" w:cs="Times New Roman"/>
          <w:i/>
          <w:iCs/>
          <w:kern w:val="0"/>
          <w:lang w:val="en-US"/>
          <w14:ligatures w14:val="none"/>
        </w:rPr>
        <w:t xml:space="preserve">BPJPH: 17 Oktober 2026 </w:t>
      </w:r>
      <w:proofErr w:type="spellStart"/>
      <w:r w:rsidRPr="0062764E">
        <w:rPr>
          <w:rFonts w:ascii="Times New Roman" w:eastAsia="Times New Roman" w:hAnsi="Times New Roman" w:cs="Times New Roman"/>
          <w:i/>
          <w:iCs/>
          <w:kern w:val="0"/>
          <w:lang w:val="en-US"/>
          <w14:ligatures w14:val="none"/>
        </w:rPr>
        <w:t>produk</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makanan-minuman</w:t>
      </w:r>
      <w:proofErr w:type="spellEnd"/>
      <w:r w:rsidRPr="0062764E">
        <w:rPr>
          <w:rFonts w:ascii="Times New Roman" w:eastAsia="Times New Roman" w:hAnsi="Times New Roman" w:cs="Times New Roman"/>
          <w:i/>
          <w:iCs/>
          <w:kern w:val="0"/>
          <w:lang w:val="en-US"/>
          <w14:ligatures w14:val="none"/>
        </w:rPr>
        <w:t xml:space="preserve"> UMK </w:t>
      </w:r>
      <w:proofErr w:type="spellStart"/>
      <w:r w:rsidRPr="0062764E">
        <w:rPr>
          <w:rFonts w:ascii="Times New Roman" w:eastAsia="Times New Roman" w:hAnsi="Times New Roman" w:cs="Times New Roman"/>
          <w:i/>
          <w:iCs/>
          <w:kern w:val="0"/>
          <w:lang w:val="en-US"/>
          <w14:ligatures w14:val="none"/>
        </w:rPr>
        <w:t>harus</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sudah</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bersertifikat</w:t>
      </w:r>
      <w:proofErr w:type="spellEnd"/>
      <w:r w:rsidRPr="0062764E">
        <w:rPr>
          <w:rFonts w:ascii="Times New Roman" w:eastAsia="Times New Roman" w:hAnsi="Times New Roman" w:cs="Times New Roman"/>
          <w:i/>
          <w:iCs/>
          <w:kern w:val="0"/>
          <w:lang w:val="en-US"/>
          <w14:ligatures w14:val="none"/>
        </w:rPr>
        <w:t xml:space="preserve"> halal, </w:t>
      </w:r>
      <w:proofErr w:type="spellStart"/>
      <w:r w:rsidRPr="0062764E">
        <w:rPr>
          <w:rFonts w:ascii="Times New Roman" w:eastAsia="Times New Roman" w:hAnsi="Times New Roman" w:cs="Times New Roman"/>
          <w:i/>
          <w:iCs/>
          <w:kern w:val="0"/>
          <w:lang w:val="en-US"/>
          <w14:ligatures w14:val="none"/>
        </w:rPr>
        <w:t>bagaimana</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dengan</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produk</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luar</w:t>
      </w:r>
      <w:proofErr w:type="spellEnd"/>
      <w:r w:rsidRPr="0062764E">
        <w:rPr>
          <w:rFonts w:ascii="Times New Roman" w:eastAsia="Times New Roman" w:hAnsi="Times New Roman" w:cs="Times New Roman"/>
          <w:i/>
          <w:iCs/>
          <w:kern w:val="0"/>
          <w:lang w:val="en-US"/>
          <w14:ligatures w14:val="none"/>
        </w:rPr>
        <w:t xml:space="preserve"> negeri?</w:t>
      </w:r>
      <w:r w:rsidRPr="0062764E">
        <w:rPr>
          <w:rFonts w:ascii="Times New Roman" w:eastAsia="Times New Roman" w:hAnsi="Times New Roman" w:cs="Times New Roman"/>
          <w:kern w:val="0"/>
          <w:lang w:val="en-US"/>
          <w14:ligatures w14:val="none"/>
        </w:rPr>
        <w:t xml:space="preserve"> [BPJPH: By 17 October 2026, food and beverage products of micro and small enterprises must be Halal-certified—what about foreign products?]. </w:t>
      </w:r>
      <w:hyperlink r:id="rId11" w:tgtFrame="_new" w:history="1">
        <w:r w:rsidRPr="0062764E">
          <w:rPr>
            <w:rFonts w:ascii="Times New Roman" w:eastAsia="Times New Roman" w:hAnsi="Times New Roman" w:cs="Times New Roman"/>
            <w:color w:val="0000FF"/>
            <w:kern w:val="0"/>
            <w:u w:val="single"/>
            <w:lang w:val="en-US"/>
            <w14:ligatures w14:val="none"/>
          </w:rPr>
          <w:t>https://bpjph.halal.go.id/read/bpjph-17-oktober-2026-produk-makanan-minuman-umk-harus-sudah-bersertifikat-halal-bagaimana-dengan-produk-luar-negeri</w:t>
        </w:r>
      </w:hyperlink>
    </w:p>
    <w:p w14:paraId="1B9DCBC2"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Badan </w:t>
      </w:r>
      <w:proofErr w:type="spellStart"/>
      <w:r w:rsidRPr="0062764E">
        <w:rPr>
          <w:rFonts w:ascii="Times New Roman" w:eastAsia="Times New Roman" w:hAnsi="Times New Roman" w:cs="Times New Roman"/>
          <w:kern w:val="0"/>
          <w:lang w:val="en-US"/>
          <w14:ligatures w14:val="none"/>
        </w:rPr>
        <w:t>Penyelenggara</w:t>
      </w:r>
      <w:proofErr w:type="spellEnd"/>
      <w:r w:rsidRPr="0062764E">
        <w:rPr>
          <w:rFonts w:ascii="Times New Roman" w:eastAsia="Times New Roman" w:hAnsi="Times New Roman" w:cs="Times New Roman"/>
          <w:kern w:val="0"/>
          <w:lang w:val="en-US"/>
          <w14:ligatures w14:val="none"/>
        </w:rPr>
        <w:t xml:space="preserve"> </w:t>
      </w:r>
      <w:proofErr w:type="spellStart"/>
      <w:r w:rsidRPr="0062764E">
        <w:rPr>
          <w:rFonts w:ascii="Times New Roman" w:eastAsia="Times New Roman" w:hAnsi="Times New Roman" w:cs="Times New Roman"/>
          <w:kern w:val="0"/>
          <w:lang w:val="en-US"/>
          <w14:ligatures w14:val="none"/>
        </w:rPr>
        <w:t>Jaminan</w:t>
      </w:r>
      <w:proofErr w:type="spellEnd"/>
      <w:r w:rsidRPr="0062764E">
        <w:rPr>
          <w:rFonts w:ascii="Times New Roman" w:eastAsia="Times New Roman" w:hAnsi="Times New Roman" w:cs="Times New Roman"/>
          <w:kern w:val="0"/>
          <w:lang w:val="en-US"/>
          <w14:ligatures w14:val="none"/>
        </w:rPr>
        <w:t xml:space="preserve"> </w:t>
      </w:r>
      <w:proofErr w:type="spellStart"/>
      <w:r w:rsidRPr="0062764E">
        <w:rPr>
          <w:rFonts w:ascii="Times New Roman" w:eastAsia="Times New Roman" w:hAnsi="Times New Roman" w:cs="Times New Roman"/>
          <w:kern w:val="0"/>
          <w:lang w:val="en-US"/>
          <w14:ligatures w14:val="none"/>
        </w:rPr>
        <w:t>Produk</w:t>
      </w:r>
      <w:proofErr w:type="spellEnd"/>
      <w:r w:rsidRPr="0062764E">
        <w:rPr>
          <w:rFonts w:ascii="Times New Roman" w:eastAsia="Times New Roman" w:hAnsi="Times New Roman" w:cs="Times New Roman"/>
          <w:kern w:val="0"/>
          <w:lang w:val="en-US"/>
          <w14:ligatures w14:val="none"/>
        </w:rPr>
        <w:t xml:space="preserve"> Halal. </w:t>
      </w:r>
      <w:r w:rsidRPr="0062764E">
        <w:rPr>
          <w:rFonts w:ascii="Times New Roman" w:eastAsia="Times New Roman" w:hAnsi="Times New Roman" w:cs="Times New Roman"/>
          <w:kern w:val="0"/>
          <w:highlight w:val="yellow"/>
          <w:lang w:val="en-US"/>
          <w14:ligatures w14:val="none"/>
        </w:rPr>
        <w:t>(2024b, July 15)</w:t>
      </w:r>
      <w:r w:rsidRPr="0062764E">
        <w:rPr>
          <w:rFonts w:ascii="Times New Roman" w:eastAsia="Times New Roman" w:hAnsi="Times New Roman" w:cs="Times New Roman"/>
          <w:kern w:val="0"/>
          <w:lang w:val="en-US"/>
          <w14:ligatures w14:val="none"/>
        </w:rPr>
        <w:t xml:space="preserve">. </w:t>
      </w:r>
      <w:r w:rsidRPr="0062764E">
        <w:rPr>
          <w:rFonts w:ascii="Times New Roman" w:eastAsia="Times New Roman" w:hAnsi="Times New Roman" w:cs="Times New Roman"/>
          <w:i/>
          <w:iCs/>
          <w:kern w:val="0"/>
          <w:lang w:val="en-US"/>
          <w14:ligatures w14:val="none"/>
        </w:rPr>
        <w:t xml:space="preserve">Kabar </w:t>
      </w:r>
      <w:proofErr w:type="spellStart"/>
      <w:r w:rsidRPr="0062764E">
        <w:rPr>
          <w:rFonts w:ascii="Times New Roman" w:eastAsia="Times New Roman" w:hAnsi="Times New Roman" w:cs="Times New Roman"/>
          <w:i/>
          <w:iCs/>
          <w:kern w:val="0"/>
          <w:lang w:val="en-US"/>
          <w14:ligatures w14:val="none"/>
        </w:rPr>
        <w:t>baik</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registrasi</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sertifikat</w:t>
      </w:r>
      <w:proofErr w:type="spellEnd"/>
      <w:r w:rsidRPr="0062764E">
        <w:rPr>
          <w:rFonts w:ascii="Times New Roman" w:eastAsia="Times New Roman" w:hAnsi="Times New Roman" w:cs="Times New Roman"/>
          <w:i/>
          <w:iCs/>
          <w:kern w:val="0"/>
          <w:lang w:val="en-US"/>
          <w14:ligatures w14:val="none"/>
        </w:rPr>
        <w:t xml:space="preserve"> halal </w:t>
      </w:r>
      <w:proofErr w:type="spellStart"/>
      <w:r w:rsidRPr="0062764E">
        <w:rPr>
          <w:rFonts w:ascii="Times New Roman" w:eastAsia="Times New Roman" w:hAnsi="Times New Roman" w:cs="Times New Roman"/>
          <w:i/>
          <w:iCs/>
          <w:kern w:val="0"/>
          <w:lang w:val="en-US"/>
          <w14:ligatures w14:val="none"/>
        </w:rPr>
        <w:t>luar</w:t>
      </w:r>
      <w:proofErr w:type="spellEnd"/>
      <w:r w:rsidRPr="0062764E">
        <w:rPr>
          <w:rFonts w:ascii="Times New Roman" w:eastAsia="Times New Roman" w:hAnsi="Times New Roman" w:cs="Times New Roman"/>
          <w:i/>
          <w:iCs/>
          <w:kern w:val="0"/>
          <w:lang w:val="en-US"/>
          <w14:ligatures w14:val="none"/>
        </w:rPr>
        <w:t xml:space="preserve"> negeri </w:t>
      </w:r>
      <w:proofErr w:type="spellStart"/>
      <w:r w:rsidRPr="0062764E">
        <w:rPr>
          <w:rFonts w:ascii="Times New Roman" w:eastAsia="Times New Roman" w:hAnsi="Times New Roman" w:cs="Times New Roman"/>
          <w:i/>
          <w:iCs/>
          <w:kern w:val="0"/>
          <w:lang w:val="en-US"/>
          <w14:ligatures w14:val="none"/>
        </w:rPr>
        <w:t>dibuka</w:t>
      </w:r>
      <w:proofErr w:type="spellEnd"/>
      <w:r w:rsidRPr="0062764E">
        <w:rPr>
          <w:rFonts w:ascii="Times New Roman" w:eastAsia="Times New Roman" w:hAnsi="Times New Roman" w:cs="Times New Roman"/>
          <w:i/>
          <w:iCs/>
          <w:kern w:val="0"/>
          <w:lang w:val="en-US"/>
          <w14:ligatures w14:val="none"/>
        </w:rPr>
        <w:t xml:space="preserve"> di menu SIHALAL</w:t>
      </w:r>
      <w:r w:rsidRPr="0062764E">
        <w:rPr>
          <w:rFonts w:ascii="Times New Roman" w:eastAsia="Times New Roman" w:hAnsi="Times New Roman" w:cs="Times New Roman"/>
          <w:kern w:val="0"/>
          <w:lang w:val="en-US"/>
          <w14:ligatures w14:val="none"/>
        </w:rPr>
        <w:t xml:space="preserve"> [Good news: Registration of foreign Halal certificates opens on the SIHALAL menu]. </w:t>
      </w:r>
      <w:hyperlink r:id="rId12" w:tgtFrame="_new" w:history="1">
        <w:r w:rsidRPr="0062764E">
          <w:rPr>
            <w:rFonts w:ascii="Times New Roman" w:eastAsia="Times New Roman" w:hAnsi="Times New Roman" w:cs="Times New Roman"/>
            <w:color w:val="0000FF"/>
            <w:kern w:val="0"/>
            <w:u w:val="single"/>
            <w:lang w:val="en-US"/>
            <w14:ligatures w14:val="none"/>
          </w:rPr>
          <w:t>https://bpjph.halal.go.id/read/kabar-baik-registrasi-sertifikat-halal-luar-negeri-dibuka-di-menu-sihalal</w:t>
        </w:r>
      </w:hyperlink>
    </w:p>
    <w:p w14:paraId="0F9E876E"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Badan </w:t>
      </w:r>
      <w:proofErr w:type="spellStart"/>
      <w:r w:rsidRPr="0062764E">
        <w:rPr>
          <w:rFonts w:ascii="Times New Roman" w:eastAsia="Times New Roman" w:hAnsi="Times New Roman" w:cs="Times New Roman"/>
          <w:kern w:val="0"/>
          <w:lang w:val="en-US"/>
          <w14:ligatures w14:val="none"/>
        </w:rPr>
        <w:t>Penyelenggara</w:t>
      </w:r>
      <w:proofErr w:type="spellEnd"/>
      <w:r w:rsidRPr="0062764E">
        <w:rPr>
          <w:rFonts w:ascii="Times New Roman" w:eastAsia="Times New Roman" w:hAnsi="Times New Roman" w:cs="Times New Roman"/>
          <w:kern w:val="0"/>
          <w:lang w:val="en-US"/>
          <w14:ligatures w14:val="none"/>
        </w:rPr>
        <w:t xml:space="preserve"> </w:t>
      </w:r>
      <w:proofErr w:type="spellStart"/>
      <w:r w:rsidRPr="0062764E">
        <w:rPr>
          <w:rFonts w:ascii="Times New Roman" w:eastAsia="Times New Roman" w:hAnsi="Times New Roman" w:cs="Times New Roman"/>
          <w:kern w:val="0"/>
          <w:lang w:val="en-US"/>
          <w14:ligatures w14:val="none"/>
        </w:rPr>
        <w:t>Jaminan</w:t>
      </w:r>
      <w:proofErr w:type="spellEnd"/>
      <w:r w:rsidRPr="0062764E">
        <w:rPr>
          <w:rFonts w:ascii="Times New Roman" w:eastAsia="Times New Roman" w:hAnsi="Times New Roman" w:cs="Times New Roman"/>
          <w:kern w:val="0"/>
          <w:lang w:val="en-US"/>
          <w14:ligatures w14:val="none"/>
        </w:rPr>
        <w:t xml:space="preserve"> </w:t>
      </w:r>
      <w:proofErr w:type="spellStart"/>
      <w:r w:rsidRPr="0062764E">
        <w:rPr>
          <w:rFonts w:ascii="Times New Roman" w:eastAsia="Times New Roman" w:hAnsi="Times New Roman" w:cs="Times New Roman"/>
          <w:kern w:val="0"/>
          <w:lang w:val="en-US"/>
          <w14:ligatures w14:val="none"/>
        </w:rPr>
        <w:t>Produk</w:t>
      </w:r>
      <w:proofErr w:type="spellEnd"/>
      <w:r w:rsidRPr="0062764E">
        <w:rPr>
          <w:rFonts w:ascii="Times New Roman" w:eastAsia="Times New Roman" w:hAnsi="Times New Roman" w:cs="Times New Roman"/>
          <w:kern w:val="0"/>
          <w:lang w:val="en-US"/>
          <w14:ligatures w14:val="none"/>
        </w:rPr>
        <w:t xml:space="preserve"> Halal. (2025, March 23). </w:t>
      </w:r>
      <w:r w:rsidRPr="0062764E">
        <w:rPr>
          <w:rFonts w:ascii="Times New Roman" w:eastAsia="Times New Roman" w:hAnsi="Times New Roman" w:cs="Times New Roman"/>
          <w:i/>
          <w:iCs/>
          <w:kern w:val="0"/>
          <w:lang w:val="en-US"/>
          <w14:ligatures w14:val="none"/>
        </w:rPr>
        <w:t xml:space="preserve">SIHALAL </w:t>
      </w:r>
      <w:proofErr w:type="spellStart"/>
      <w:r w:rsidRPr="0062764E">
        <w:rPr>
          <w:rFonts w:ascii="Times New Roman" w:eastAsia="Times New Roman" w:hAnsi="Times New Roman" w:cs="Times New Roman"/>
          <w:i/>
          <w:iCs/>
          <w:kern w:val="0"/>
          <w:lang w:val="en-US"/>
          <w14:ligatures w14:val="none"/>
        </w:rPr>
        <w:t>diperbarui</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begini</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panduan</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mudah</w:t>
      </w:r>
      <w:proofErr w:type="spellEnd"/>
      <w:r w:rsidRPr="0062764E">
        <w:rPr>
          <w:rFonts w:ascii="Times New Roman" w:eastAsia="Times New Roman" w:hAnsi="Times New Roman" w:cs="Times New Roman"/>
          <w:i/>
          <w:iCs/>
          <w:kern w:val="0"/>
          <w:lang w:val="en-US"/>
          <w14:ligatures w14:val="none"/>
        </w:rPr>
        <w:t xml:space="preserve"> daftar </w:t>
      </w:r>
      <w:proofErr w:type="spellStart"/>
      <w:r w:rsidRPr="0062764E">
        <w:rPr>
          <w:rFonts w:ascii="Times New Roman" w:eastAsia="Times New Roman" w:hAnsi="Times New Roman" w:cs="Times New Roman"/>
          <w:i/>
          <w:iCs/>
          <w:kern w:val="0"/>
          <w:lang w:val="en-US"/>
          <w14:ligatures w14:val="none"/>
        </w:rPr>
        <w:t>sertifikasi</w:t>
      </w:r>
      <w:proofErr w:type="spellEnd"/>
      <w:r w:rsidRPr="0062764E">
        <w:rPr>
          <w:rFonts w:ascii="Times New Roman" w:eastAsia="Times New Roman" w:hAnsi="Times New Roman" w:cs="Times New Roman"/>
          <w:i/>
          <w:iCs/>
          <w:kern w:val="0"/>
          <w:lang w:val="en-US"/>
          <w14:ligatures w14:val="none"/>
        </w:rPr>
        <w:t xml:space="preserve"> halal</w:t>
      </w:r>
      <w:r w:rsidRPr="0062764E">
        <w:rPr>
          <w:rFonts w:ascii="Times New Roman" w:eastAsia="Times New Roman" w:hAnsi="Times New Roman" w:cs="Times New Roman"/>
          <w:kern w:val="0"/>
          <w:lang w:val="en-US"/>
          <w14:ligatures w14:val="none"/>
        </w:rPr>
        <w:t xml:space="preserve"> [SIHALAL updated: A simple guide to applying for Halal certification]. </w:t>
      </w:r>
      <w:hyperlink r:id="rId13" w:tgtFrame="_new" w:history="1">
        <w:r w:rsidRPr="0062764E">
          <w:rPr>
            <w:rFonts w:ascii="Times New Roman" w:eastAsia="Times New Roman" w:hAnsi="Times New Roman" w:cs="Times New Roman"/>
            <w:color w:val="0000FF"/>
            <w:kern w:val="0"/>
            <w:u w:val="single"/>
            <w:lang w:val="en-US"/>
            <w14:ligatures w14:val="none"/>
          </w:rPr>
          <w:t>https://bpjph.halal.go.id/read/sihalal-diperbarui-begini-panduan-mudah-daftar-sertifikasi-halal</w:t>
        </w:r>
      </w:hyperlink>
    </w:p>
    <w:p w14:paraId="4FBE320B"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lastRenderedPageBreak/>
        <w:t xml:space="preserve">Badan </w:t>
      </w:r>
      <w:proofErr w:type="spellStart"/>
      <w:r w:rsidRPr="0062764E">
        <w:rPr>
          <w:rFonts w:ascii="Times New Roman" w:eastAsia="Times New Roman" w:hAnsi="Times New Roman" w:cs="Times New Roman"/>
          <w:kern w:val="0"/>
          <w:lang w:val="en-US"/>
          <w14:ligatures w14:val="none"/>
        </w:rPr>
        <w:t>Penyelenggara</w:t>
      </w:r>
      <w:proofErr w:type="spellEnd"/>
      <w:r w:rsidRPr="0062764E">
        <w:rPr>
          <w:rFonts w:ascii="Times New Roman" w:eastAsia="Times New Roman" w:hAnsi="Times New Roman" w:cs="Times New Roman"/>
          <w:kern w:val="0"/>
          <w:lang w:val="en-US"/>
          <w14:ligatures w14:val="none"/>
        </w:rPr>
        <w:t xml:space="preserve"> </w:t>
      </w:r>
      <w:proofErr w:type="spellStart"/>
      <w:r w:rsidRPr="0062764E">
        <w:rPr>
          <w:rFonts w:ascii="Times New Roman" w:eastAsia="Times New Roman" w:hAnsi="Times New Roman" w:cs="Times New Roman"/>
          <w:kern w:val="0"/>
          <w:lang w:val="en-US"/>
          <w14:ligatures w14:val="none"/>
        </w:rPr>
        <w:t>Jaminan</w:t>
      </w:r>
      <w:proofErr w:type="spellEnd"/>
      <w:r w:rsidRPr="0062764E">
        <w:rPr>
          <w:rFonts w:ascii="Times New Roman" w:eastAsia="Times New Roman" w:hAnsi="Times New Roman" w:cs="Times New Roman"/>
          <w:kern w:val="0"/>
          <w:lang w:val="en-US"/>
          <w14:ligatures w14:val="none"/>
        </w:rPr>
        <w:t xml:space="preserve"> </w:t>
      </w:r>
      <w:proofErr w:type="spellStart"/>
      <w:r w:rsidRPr="0062764E">
        <w:rPr>
          <w:rFonts w:ascii="Times New Roman" w:eastAsia="Times New Roman" w:hAnsi="Times New Roman" w:cs="Times New Roman"/>
          <w:kern w:val="0"/>
          <w:lang w:val="en-US"/>
          <w14:ligatures w14:val="none"/>
        </w:rPr>
        <w:t>Produk</w:t>
      </w:r>
      <w:proofErr w:type="spellEnd"/>
      <w:r w:rsidRPr="0062764E">
        <w:rPr>
          <w:rFonts w:ascii="Times New Roman" w:eastAsia="Times New Roman" w:hAnsi="Times New Roman" w:cs="Times New Roman"/>
          <w:kern w:val="0"/>
          <w:lang w:val="en-US"/>
          <w14:ligatures w14:val="none"/>
        </w:rPr>
        <w:t xml:space="preserve"> Halal. (2026, June 11). </w:t>
      </w:r>
      <w:r w:rsidRPr="0062764E">
        <w:rPr>
          <w:rFonts w:ascii="Times New Roman" w:eastAsia="Times New Roman" w:hAnsi="Times New Roman" w:cs="Times New Roman"/>
          <w:i/>
          <w:iCs/>
          <w:kern w:val="0"/>
          <w:lang w:val="en-US"/>
          <w14:ligatures w14:val="none"/>
        </w:rPr>
        <w:t xml:space="preserve">BPJPH dan K/L </w:t>
      </w:r>
      <w:proofErr w:type="spellStart"/>
      <w:r w:rsidRPr="0062764E">
        <w:rPr>
          <w:rFonts w:ascii="Times New Roman" w:eastAsia="Times New Roman" w:hAnsi="Times New Roman" w:cs="Times New Roman"/>
          <w:i/>
          <w:iCs/>
          <w:kern w:val="0"/>
          <w:lang w:val="en-US"/>
          <w14:ligatures w14:val="none"/>
        </w:rPr>
        <w:t>terkait</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rakor</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perkuat</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kebijakan</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produk</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impor</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jelang</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implementasi</w:t>
      </w:r>
      <w:proofErr w:type="spellEnd"/>
      <w:r w:rsidRPr="0062764E">
        <w:rPr>
          <w:rFonts w:ascii="Times New Roman" w:eastAsia="Times New Roman" w:hAnsi="Times New Roman" w:cs="Times New Roman"/>
          <w:i/>
          <w:iCs/>
          <w:kern w:val="0"/>
          <w:lang w:val="en-US"/>
          <w14:ligatures w14:val="none"/>
        </w:rPr>
        <w:t xml:space="preserve"> </w:t>
      </w:r>
      <w:proofErr w:type="spellStart"/>
      <w:r w:rsidRPr="0062764E">
        <w:rPr>
          <w:rFonts w:ascii="Times New Roman" w:eastAsia="Times New Roman" w:hAnsi="Times New Roman" w:cs="Times New Roman"/>
          <w:i/>
          <w:iCs/>
          <w:kern w:val="0"/>
          <w:lang w:val="en-US"/>
          <w14:ligatures w14:val="none"/>
        </w:rPr>
        <w:t>wajib</w:t>
      </w:r>
      <w:proofErr w:type="spellEnd"/>
      <w:r w:rsidRPr="0062764E">
        <w:rPr>
          <w:rFonts w:ascii="Times New Roman" w:eastAsia="Times New Roman" w:hAnsi="Times New Roman" w:cs="Times New Roman"/>
          <w:i/>
          <w:iCs/>
          <w:kern w:val="0"/>
          <w:lang w:val="en-US"/>
          <w14:ligatures w14:val="none"/>
        </w:rPr>
        <w:t xml:space="preserve"> halal Oktober 2026</w:t>
      </w:r>
      <w:r w:rsidRPr="0062764E">
        <w:rPr>
          <w:rFonts w:ascii="Times New Roman" w:eastAsia="Times New Roman" w:hAnsi="Times New Roman" w:cs="Times New Roman"/>
          <w:kern w:val="0"/>
          <w:lang w:val="en-US"/>
          <w14:ligatures w14:val="none"/>
        </w:rPr>
        <w:t xml:space="preserve"> [BPJPH and relevant ministries/agencies strengthen imported-product policy ahead of mandatory Halal implementation in October 2026]. </w:t>
      </w:r>
      <w:hyperlink r:id="rId14" w:tgtFrame="_new" w:history="1">
        <w:r w:rsidRPr="0062764E">
          <w:rPr>
            <w:rFonts w:ascii="Times New Roman" w:eastAsia="Times New Roman" w:hAnsi="Times New Roman" w:cs="Times New Roman"/>
            <w:color w:val="0000FF"/>
            <w:kern w:val="0"/>
            <w:u w:val="single"/>
            <w:lang w:val="en-US"/>
            <w14:ligatures w14:val="none"/>
          </w:rPr>
          <w:t>https://bpjph.halal.go.id/read/bpjph-dan-k-l-terkait-rakor-perkuat-kebijakan-produk-impor-jelang-implementasi-wajib-halal-oktober-2026</w:t>
        </w:r>
      </w:hyperlink>
    </w:p>
    <w:p w14:paraId="4E92BAD8"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Bowen, G. A. (2009). Document analysis as a qualitative research method. </w:t>
      </w:r>
      <w:r w:rsidRPr="0062764E">
        <w:rPr>
          <w:rFonts w:ascii="Times New Roman" w:eastAsia="Times New Roman" w:hAnsi="Times New Roman" w:cs="Times New Roman"/>
          <w:i/>
          <w:iCs/>
          <w:kern w:val="0"/>
          <w:lang w:val="en-US"/>
          <w14:ligatures w14:val="none"/>
        </w:rPr>
        <w:t>Qualitative Research Journal, 9</w:t>
      </w:r>
      <w:r w:rsidRPr="0062764E">
        <w:rPr>
          <w:rFonts w:ascii="Times New Roman" w:eastAsia="Times New Roman" w:hAnsi="Times New Roman" w:cs="Times New Roman"/>
          <w:kern w:val="0"/>
          <w:lang w:val="en-US"/>
          <w14:ligatures w14:val="none"/>
        </w:rPr>
        <w:t xml:space="preserve">(2), 27–40. </w:t>
      </w:r>
      <w:hyperlink r:id="rId15" w:tgtFrame="_new" w:history="1">
        <w:r w:rsidRPr="0062764E">
          <w:rPr>
            <w:rFonts w:ascii="Times New Roman" w:eastAsia="Times New Roman" w:hAnsi="Times New Roman" w:cs="Times New Roman"/>
            <w:color w:val="0000FF"/>
            <w:kern w:val="0"/>
            <w:u w:val="single"/>
            <w:lang w:val="en-US"/>
            <w14:ligatures w14:val="none"/>
          </w:rPr>
          <w:t>https://doi.org/10.3316/QRJ0902027</w:t>
        </w:r>
      </w:hyperlink>
    </w:p>
    <w:p w14:paraId="6E16CB0E"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Central Islamic Council of Thailand. (2016). </w:t>
      </w:r>
      <w:r w:rsidRPr="0062764E">
        <w:rPr>
          <w:rFonts w:ascii="Times New Roman" w:eastAsia="Times New Roman" w:hAnsi="Times New Roman" w:cs="Times New Roman"/>
          <w:i/>
          <w:iCs/>
          <w:kern w:val="0"/>
          <w:lang w:val="en-US"/>
          <w14:ligatures w14:val="none"/>
        </w:rPr>
        <w:t>Announcement on the requirements for the certification process of Halal products B.E. 2559</w:t>
      </w:r>
      <w:r w:rsidRPr="0062764E">
        <w:rPr>
          <w:rFonts w:ascii="Times New Roman" w:eastAsia="Times New Roman" w:hAnsi="Times New Roman" w:cs="Times New Roman"/>
          <w:kern w:val="0"/>
          <w:lang w:val="en-US"/>
          <w14:ligatures w14:val="none"/>
        </w:rPr>
        <w:t xml:space="preserve">. </w:t>
      </w:r>
      <w:hyperlink r:id="rId16" w:tgtFrame="_new" w:history="1">
        <w:r w:rsidRPr="0062764E">
          <w:rPr>
            <w:rFonts w:ascii="Times New Roman" w:eastAsia="Times New Roman" w:hAnsi="Times New Roman" w:cs="Times New Roman"/>
            <w:color w:val="0000FF"/>
            <w:kern w:val="0"/>
            <w:u w:val="single"/>
            <w:lang w:val="en-US"/>
            <w14:ligatures w14:val="none"/>
          </w:rPr>
          <w:t>https://www.cicot.or.th/storages/contents/attachments/3._On_The_requirements_for_certification_process_of_Halal_products_B.E.2559..pdf</w:t>
        </w:r>
      </w:hyperlink>
    </w:p>
    <w:p w14:paraId="7B78C913"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Central Islamic Council of Thailand. </w:t>
      </w:r>
      <w:r w:rsidRPr="0062764E">
        <w:rPr>
          <w:rFonts w:ascii="Times New Roman" w:eastAsia="Times New Roman" w:hAnsi="Times New Roman" w:cs="Times New Roman"/>
          <w:kern w:val="0"/>
          <w:highlight w:val="yellow"/>
          <w:lang w:val="en-US"/>
          <w14:ligatures w14:val="none"/>
        </w:rPr>
        <w:t>(n.d.-a)</w:t>
      </w:r>
      <w:r w:rsidRPr="0062764E">
        <w:rPr>
          <w:rFonts w:ascii="Times New Roman" w:eastAsia="Times New Roman" w:hAnsi="Times New Roman" w:cs="Times New Roman"/>
          <w:kern w:val="0"/>
          <w:lang w:val="en-US"/>
          <w14:ligatures w14:val="none"/>
        </w:rPr>
        <w:t xml:space="preserve">. </w:t>
      </w:r>
      <w:r w:rsidRPr="0062764E">
        <w:rPr>
          <w:rFonts w:ascii="Times New Roman" w:eastAsia="Times New Roman" w:hAnsi="Times New Roman" w:cs="Times New Roman"/>
          <w:i/>
          <w:iCs/>
          <w:kern w:val="0"/>
          <w:lang w:val="en-US"/>
          <w14:ligatures w14:val="none"/>
        </w:rPr>
        <w:t>Find Thai Halal products</w:t>
      </w:r>
      <w:r w:rsidRPr="0062764E">
        <w:rPr>
          <w:rFonts w:ascii="Times New Roman" w:eastAsia="Times New Roman" w:hAnsi="Times New Roman" w:cs="Times New Roman"/>
          <w:kern w:val="0"/>
          <w:lang w:val="en-US"/>
          <w14:ligatures w14:val="none"/>
        </w:rPr>
        <w:t xml:space="preserve">. Retrieved August 5, 2026, from </w:t>
      </w:r>
      <w:hyperlink r:id="rId17" w:tgtFrame="_new" w:history="1">
        <w:r w:rsidRPr="0062764E">
          <w:rPr>
            <w:rFonts w:ascii="Times New Roman" w:eastAsia="Times New Roman" w:hAnsi="Times New Roman" w:cs="Times New Roman"/>
            <w:color w:val="0000FF"/>
            <w:kern w:val="0"/>
            <w:u w:val="single"/>
            <w:lang w:val="en-US"/>
            <w14:ligatures w14:val="none"/>
          </w:rPr>
          <w:t>https://www.halal.co.th/en/</w:t>
        </w:r>
      </w:hyperlink>
    </w:p>
    <w:p w14:paraId="63C6DACE"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Central Islamic Council of Thailand. </w:t>
      </w:r>
      <w:r w:rsidRPr="0062764E">
        <w:rPr>
          <w:rFonts w:ascii="Times New Roman" w:eastAsia="Times New Roman" w:hAnsi="Times New Roman" w:cs="Times New Roman"/>
          <w:kern w:val="0"/>
          <w:highlight w:val="yellow"/>
          <w:lang w:val="en-US"/>
          <w14:ligatures w14:val="none"/>
        </w:rPr>
        <w:t>(n.d.-b)</w:t>
      </w:r>
      <w:r w:rsidRPr="0062764E">
        <w:rPr>
          <w:rFonts w:ascii="Times New Roman" w:eastAsia="Times New Roman" w:hAnsi="Times New Roman" w:cs="Times New Roman"/>
          <w:kern w:val="0"/>
          <w:lang w:val="en-US"/>
          <w14:ligatures w14:val="none"/>
        </w:rPr>
        <w:t xml:space="preserve">. </w:t>
      </w:r>
      <w:r w:rsidRPr="0062764E">
        <w:rPr>
          <w:rFonts w:ascii="Times New Roman" w:eastAsia="Times New Roman" w:hAnsi="Times New Roman" w:cs="Times New Roman"/>
          <w:i/>
          <w:iCs/>
          <w:kern w:val="0"/>
          <w:lang w:val="en-US"/>
          <w14:ligatures w14:val="none"/>
        </w:rPr>
        <w:t>Halal e-services and certification status</w:t>
      </w:r>
      <w:r w:rsidRPr="0062764E">
        <w:rPr>
          <w:rFonts w:ascii="Times New Roman" w:eastAsia="Times New Roman" w:hAnsi="Times New Roman" w:cs="Times New Roman"/>
          <w:kern w:val="0"/>
          <w:lang w:val="en-US"/>
          <w14:ligatures w14:val="none"/>
        </w:rPr>
        <w:t xml:space="preserve">. Retrieved August 5, 2026, from </w:t>
      </w:r>
      <w:hyperlink r:id="rId18" w:tgtFrame="_new" w:history="1">
        <w:r w:rsidRPr="0062764E">
          <w:rPr>
            <w:rFonts w:ascii="Times New Roman" w:eastAsia="Times New Roman" w:hAnsi="Times New Roman" w:cs="Times New Roman"/>
            <w:color w:val="0000FF"/>
            <w:kern w:val="0"/>
            <w:u w:val="single"/>
            <w:lang w:val="en-US"/>
            <w14:ligatures w14:val="none"/>
          </w:rPr>
          <w:t>https://www.halal.or.th/en/</w:t>
        </w:r>
      </w:hyperlink>
    </w:p>
    <w:p w14:paraId="5EC5093F"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Dashti, L. A. H. F., Jackson, T., West, A., &amp; Jackson, L. (2024). Enhancing halal food traceability: A model for rebuilding trust and integrity in Muslim countries. </w:t>
      </w:r>
      <w:r w:rsidRPr="0062764E">
        <w:rPr>
          <w:rFonts w:ascii="Times New Roman" w:eastAsia="Times New Roman" w:hAnsi="Times New Roman" w:cs="Times New Roman"/>
          <w:i/>
          <w:iCs/>
          <w:kern w:val="0"/>
          <w:lang w:val="en-US"/>
          <w14:ligatures w14:val="none"/>
        </w:rPr>
        <w:t>Journal of Islamic Marketing, 15</w:t>
      </w:r>
      <w:r w:rsidRPr="0062764E">
        <w:rPr>
          <w:rFonts w:ascii="Times New Roman" w:eastAsia="Times New Roman" w:hAnsi="Times New Roman" w:cs="Times New Roman"/>
          <w:kern w:val="0"/>
          <w:lang w:val="en-US"/>
          <w14:ligatures w14:val="none"/>
        </w:rPr>
        <w:t xml:space="preserve">(12), 3382–3408. </w:t>
      </w:r>
      <w:hyperlink r:id="rId19" w:tgtFrame="_new" w:history="1">
        <w:r w:rsidRPr="0062764E">
          <w:rPr>
            <w:rFonts w:ascii="Times New Roman" w:eastAsia="Times New Roman" w:hAnsi="Times New Roman" w:cs="Times New Roman"/>
            <w:color w:val="0000FF"/>
            <w:kern w:val="0"/>
            <w:u w:val="single"/>
            <w:lang w:val="en-US"/>
            <w14:ligatures w14:val="none"/>
          </w:rPr>
          <w:t>https://doi.org/10.1108/JIMA-06-2023-0167</w:t>
        </w:r>
      </w:hyperlink>
    </w:p>
    <w:p w14:paraId="48008BC1"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proofErr w:type="spellStart"/>
      <w:r w:rsidRPr="0062764E">
        <w:rPr>
          <w:rFonts w:ascii="Times New Roman" w:eastAsia="Times New Roman" w:hAnsi="Times New Roman" w:cs="Times New Roman"/>
          <w:kern w:val="0"/>
          <w:lang w:val="en-US"/>
          <w14:ligatures w14:val="none"/>
        </w:rPr>
        <w:t>DinarStandard</w:t>
      </w:r>
      <w:proofErr w:type="spellEnd"/>
      <w:r w:rsidRPr="0062764E">
        <w:rPr>
          <w:rFonts w:ascii="Times New Roman" w:eastAsia="Times New Roman" w:hAnsi="Times New Roman" w:cs="Times New Roman"/>
          <w:kern w:val="0"/>
          <w:lang w:val="en-US"/>
          <w14:ligatures w14:val="none"/>
        </w:rPr>
        <w:t xml:space="preserve">. (2026). </w:t>
      </w:r>
      <w:r w:rsidRPr="0062764E">
        <w:rPr>
          <w:rFonts w:ascii="Times New Roman" w:eastAsia="Times New Roman" w:hAnsi="Times New Roman" w:cs="Times New Roman"/>
          <w:i/>
          <w:iCs/>
          <w:kern w:val="0"/>
          <w:lang w:val="en-US"/>
          <w14:ligatures w14:val="none"/>
        </w:rPr>
        <w:t>State of the Global Islamic Economy Report 2025/26</w:t>
      </w:r>
      <w:r w:rsidRPr="0062764E">
        <w:rPr>
          <w:rFonts w:ascii="Times New Roman" w:eastAsia="Times New Roman" w:hAnsi="Times New Roman" w:cs="Times New Roman"/>
          <w:kern w:val="0"/>
          <w:lang w:val="en-US"/>
          <w14:ligatures w14:val="none"/>
        </w:rPr>
        <w:t xml:space="preserve">. </w:t>
      </w:r>
      <w:hyperlink r:id="rId20" w:tgtFrame="_new" w:history="1">
        <w:r w:rsidRPr="0062764E">
          <w:rPr>
            <w:rFonts w:ascii="Times New Roman" w:eastAsia="Times New Roman" w:hAnsi="Times New Roman" w:cs="Times New Roman"/>
            <w:color w:val="0000FF"/>
            <w:kern w:val="0"/>
            <w:u w:val="single"/>
            <w:lang w:val="en-US"/>
            <w14:ligatures w14:val="none"/>
          </w:rPr>
          <w:t>https://www.dinarstandard.com/insights/state-of-the-global-islamic-economy-report-2025-26</w:t>
        </w:r>
      </w:hyperlink>
    </w:p>
    <w:p w14:paraId="57FE4B18"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Government of Indonesia. (2014). </w:t>
      </w:r>
      <w:r w:rsidRPr="0062764E">
        <w:rPr>
          <w:rFonts w:ascii="Times New Roman" w:eastAsia="Times New Roman" w:hAnsi="Times New Roman" w:cs="Times New Roman"/>
          <w:i/>
          <w:iCs/>
          <w:kern w:val="0"/>
          <w:lang w:val="en-US"/>
          <w14:ligatures w14:val="none"/>
        </w:rPr>
        <w:t>Law of the Republic of Indonesia Number 33 of 2014 concerning Halal product assurance</w:t>
      </w:r>
      <w:r w:rsidRPr="0062764E">
        <w:rPr>
          <w:rFonts w:ascii="Times New Roman" w:eastAsia="Times New Roman" w:hAnsi="Times New Roman" w:cs="Times New Roman"/>
          <w:kern w:val="0"/>
          <w:lang w:val="en-US"/>
          <w14:ligatures w14:val="none"/>
        </w:rPr>
        <w:t xml:space="preserve">. </w:t>
      </w:r>
      <w:hyperlink r:id="rId21" w:tgtFrame="_new" w:history="1">
        <w:r w:rsidRPr="0062764E">
          <w:rPr>
            <w:rFonts w:ascii="Times New Roman" w:eastAsia="Times New Roman" w:hAnsi="Times New Roman" w:cs="Times New Roman"/>
            <w:color w:val="0000FF"/>
            <w:kern w:val="0"/>
            <w:u w:val="single"/>
            <w:lang w:val="en-US"/>
            <w14:ligatures w14:val="none"/>
          </w:rPr>
          <w:t>https://peraturan.bpk.go.id/Details/38709/uu-no-33-tahun-2014</w:t>
        </w:r>
      </w:hyperlink>
    </w:p>
    <w:p w14:paraId="5193CBB5"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Government of Indonesia. (2024). </w:t>
      </w:r>
      <w:r w:rsidRPr="0062764E">
        <w:rPr>
          <w:rFonts w:ascii="Times New Roman" w:eastAsia="Times New Roman" w:hAnsi="Times New Roman" w:cs="Times New Roman"/>
          <w:i/>
          <w:iCs/>
          <w:kern w:val="0"/>
          <w:lang w:val="en-US"/>
          <w14:ligatures w14:val="none"/>
        </w:rPr>
        <w:t>Government Regulation Number 42 of 2024 concerning the implementation of Halal product assurance</w:t>
      </w:r>
      <w:r w:rsidRPr="0062764E">
        <w:rPr>
          <w:rFonts w:ascii="Times New Roman" w:eastAsia="Times New Roman" w:hAnsi="Times New Roman" w:cs="Times New Roman"/>
          <w:kern w:val="0"/>
          <w:lang w:val="en-US"/>
          <w14:ligatures w14:val="none"/>
        </w:rPr>
        <w:t xml:space="preserve">. </w:t>
      </w:r>
      <w:hyperlink r:id="rId22" w:tgtFrame="_new" w:history="1">
        <w:r w:rsidRPr="0062764E">
          <w:rPr>
            <w:rFonts w:ascii="Times New Roman" w:eastAsia="Times New Roman" w:hAnsi="Times New Roman" w:cs="Times New Roman"/>
            <w:color w:val="0000FF"/>
            <w:kern w:val="0"/>
            <w:u w:val="single"/>
            <w:lang w:val="en-US"/>
            <w14:ligatures w14:val="none"/>
          </w:rPr>
          <w:t>https://peraturan.bpk.go.id/Details/304896/pp-no-42-tahun-2024</w:t>
        </w:r>
      </w:hyperlink>
    </w:p>
    <w:p w14:paraId="2DFABF7D"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Halal Development Corporation. (n.d.). </w:t>
      </w:r>
      <w:r w:rsidRPr="0062764E">
        <w:rPr>
          <w:rFonts w:ascii="Times New Roman" w:eastAsia="Times New Roman" w:hAnsi="Times New Roman" w:cs="Times New Roman"/>
          <w:i/>
          <w:iCs/>
          <w:kern w:val="0"/>
          <w:lang w:val="en-US"/>
          <w14:ligatures w14:val="none"/>
        </w:rPr>
        <w:t>Halal Integrated Platform (HIP)</w:t>
      </w:r>
      <w:r w:rsidRPr="0062764E">
        <w:rPr>
          <w:rFonts w:ascii="Times New Roman" w:eastAsia="Times New Roman" w:hAnsi="Times New Roman" w:cs="Times New Roman"/>
          <w:kern w:val="0"/>
          <w:lang w:val="en-US"/>
          <w14:ligatures w14:val="none"/>
        </w:rPr>
        <w:t xml:space="preserve">. Retrieved August 5, 2026, from </w:t>
      </w:r>
      <w:hyperlink r:id="rId23" w:tgtFrame="_new" w:history="1">
        <w:r w:rsidRPr="0062764E">
          <w:rPr>
            <w:rFonts w:ascii="Times New Roman" w:eastAsia="Times New Roman" w:hAnsi="Times New Roman" w:cs="Times New Roman"/>
            <w:color w:val="0000FF"/>
            <w:kern w:val="0"/>
            <w:u w:val="single"/>
            <w:lang w:val="en-US"/>
            <w14:ligatures w14:val="none"/>
          </w:rPr>
          <w:t>https://hip.hdcglobal.com</w:t>
        </w:r>
      </w:hyperlink>
    </w:p>
    <w:p w14:paraId="0790E4FF"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Halal Science Center, Chulalongkorn University. (n.d.). </w:t>
      </w:r>
      <w:r w:rsidRPr="0062764E">
        <w:rPr>
          <w:rFonts w:ascii="Times New Roman" w:eastAsia="Times New Roman" w:hAnsi="Times New Roman" w:cs="Times New Roman"/>
          <w:i/>
          <w:iCs/>
          <w:kern w:val="0"/>
          <w:lang w:val="en-US"/>
          <w14:ligatures w14:val="none"/>
        </w:rPr>
        <w:t>Halal Assurance and Liability Quality System (HAL-Q)</w:t>
      </w:r>
      <w:r w:rsidRPr="0062764E">
        <w:rPr>
          <w:rFonts w:ascii="Times New Roman" w:eastAsia="Times New Roman" w:hAnsi="Times New Roman" w:cs="Times New Roman"/>
          <w:kern w:val="0"/>
          <w:lang w:val="en-US"/>
          <w14:ligatures w14:val="none"/>
        </w:rPr>
        <w:t xml:space="preserve">. Retrieved August 5, 2026, from </w:t>
      </w:r>
      <w:hyperlink r:id="rId24" w:tgtFrame="_new" w:history="1">
        <w:r w:rsidRPr="0062764E">
          <w:rPr>
            <w:rFonts w:ascii="Times New Roman" w:eastAsia="Times New Roman" w:hAnsi="Times New Roman" w:cs="Times New Roman"/>
            <w:color w:val="0000FF"/>
            <w:kern w:val="0"/>
            <w:u w:val="single"/>
            <w:lang w:val="en-US"/>
            <w14:ligatures w14:val="none"/>
          </w:rPr>
          <w:t>https://www.halalscience.org/en/hal-q-en/</w:t>
        </w:r>
      </w:hyperlink>
    </w:p>
    <w:p w14:paraId="5CADC228"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proofErr w:type="spellStart"/>
      <w:r w:rsidRPr="0062764E">
        <w:rPr>
          <w:rFonts w:ascii="Times New Roman" w:eastAsia="Times New Roman" w:hAnsi="Times New Roman" w:cs="Times New Roman"/>
          <w:kern w:val="0"/>
          <w:lang w:val="en-US"/>
          <w14:ligatures w14:val="none"/>
        </w:rPr>
        <w:t>Jabatan</w:t>
      </w:r>
      <w:proofErr w:type="spellEnd"/>
      <w:r w:rsidRPr="0062764E">
        <w:rPr>
          <w:rFonts w:ascii="Times New Roman" w:eastAsia="Times New Roman" w:hAnsi="Times New Roman" w:cs="Times New Roman"/>
          <w:kern w:val="0"/>
          <w:lang w:val="en-US"/>
          <w14:ligatures w14:val="none"/>
        </w:rPr>
        <w:t xml:space="preserve"> </w:t>
      </w:r>
      <w:proofErr w:type="spellStart"/>
      <w:r w:rsidRPr="0062764E">
        <w:rPr>
          <w:rFonts w:ascii="Times New Roman" w:eastAsia="Times New Roman" w:hAnsi="Times New Roman" w:cs="Times New Roman"/>
          <w:kern w:val="0"/>
          <w:lang w:val="en-US"/>
          <w14:ligatures w14:val="none"/>
        </w:rPr>
        <w:t>Kemajuan</w:t>
      </w:r>
      <w:proofErr w:type="spellEnd"/>
      <w:r w:rsidRPr="0062764E">
        <w:rPr>
          <w:rFonts w:ascii="Times New Roman" w:eastAsia="Times New Roman" w:hAnsi="Times New Roman" w:cs="Times New Roman"/>
          <w:kern w:val="0"/>
          <w:lang w:val="en-US"/>
          <w14:ligatures w14:val="none"/>
        </w:rPr>
        <w:t xml:space="preserve"> Islam Malaysia. (2023, December 22). </w:t>
      </w:r>
      <w:r w:rsidRPr="0062764E">
        <w:rPr>
          <w:rFonts w:ascii="Times New Roman" w:eastAsia="Times New Roman" w:hAnsi="Times New Roman" w:cs="Times New Roman"/>
          <w:i/>
          <w:iCs/>
          <w:kern w:val="0"/>
          <w:lang w:val="en-US"/>
          <w14:ligatures w14:val="none"/>
        </w:rPr>
        <w:t>Malaysian Halal certifications procedure for international manufacturing</w:t>
      </w:r>
      <w:r w:rsidRPr="0062764E">
        <w:rPr>
          <w:rFonts w:ascii="Times New Roman" w:eastAsia="Times New Roman" w:hAnsi="Times New Roman" w:cs="Times New Roman"/>
          <w:kern w:val="0"/>
          <w:lang w:val="en-US"/>
          <w14:ligatures w14:val="none"/>
        </w:rPr>
        <w:t>. https://www.halal.gov.my/?content_id=202312216583f5b3aa5d9&amp;data=bW9kdWxlcy9jb250ZW50X2RldGFpbHM7Ozs%3D&amp;page_title=Berita</w:t>
      </w:r>
    </w:p>
    <w:p w14:paraId="10FE693A"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proofErr w:type="spellStart"/>
      <w:r w:rsidRPr="0062764E">
        <w:rPr>
          <w:rFonts w:ascii="Times New Roman" w:eastAsia="Times New Roman" w:hAnsi="Times New Roman" w:cs="Times New Roman"/>
          <w:kern w:val="0"/>
          <w:lang w:val="en-US"/>
          <w14:ligatures w14:val="none"/>
        </w:rPr>
        <w:lastRenderedPageBreak/>
        <w:t>Jabatan</w:t>
      </w:r>
      <w:proofErr w:type="spellEnd"/>
      <w:r w:rsidRPr="0062764E">
        <w:rPr>
          <w:rFonts w:ascii="Times New Roman" w:eastAsia="Times New Roman" w:hAnsi="Times New Roman" w:cs="Times New Roman"/>
          <w:kern w:val="0"/>
          <w:lang w:val="en-US"/>
          <w14:ligatures w14:val="none"/>
        </w:rPr>
        <w:t xml:space="preserve"> </w:t>
      </w:r>
      <w:proofErr w:type="spellStart"/>
      <w:r w:rsidRPr="0062764E">
        <w:rPr>
          <w:rFonts w:ascii="Times New Roman" w:eastAsia="Times New Roman" w:hAnsi="Times New Roman" w:cs="Times New Roman"/>
          <w:kern w:val="0"/>
          <w:lang w:val="en-US"/>
          <w14:ligatures w14:val="none"/>
        </w:rPr>
        <w:t>Kemajuan</w:t>
      </w:r>
      <w:proofErr w:type="spellEnd"/>
      <w:r w:rsidRPr="0062764E">
        <w:rPr>
          <w:rFonts w:ascii="Times New Roman" w:eastAsia="Times New Roman" w:hAnsi="Times New Roman" w:cs="Times New Roman"/>
          <w:kern w:val="0"/>
          <w:lang w:val="en-US"/>
          <w14:ligatures w14:val="none"/>
        </w:rPr>
        <w:t xml:space="preserve"> Islam Malaysia. (2026). </w:t>
      </w:r>
      <w:r w:rsidRPr="0062764E">
        <w:rPr>
          <w:rFonts w:ascii="Times New Roman" w:eastAsia="Times New Roman" w:hAnsi="Times New Roman" w:cs="Times New Roman"/>
          <w:i/>
          <w:iCs/>
          <w:kern w:val="0"/>
          <w:lang w:val="en-US"/>
          <w14:ligatures w14:val="none"/>
        </w:rPr>
        <w:t>The recognized foreign Halal certification bodies &amp; authorities</w:t>
      </w:r>
      <w:r w:rsidRPr="0062764E">
        <w:rPr>
          <w:rFonts w:ascii="Times New Roman" w:eastAsia="Times New Roman" w:hAnsi="Times New Roman" w:cs="Times New Roman"/>
          <w:kern w:val="0"/>
          <w:lang w:val="en-US"/>
          <w14:ligatures w14:val="none"/>
        </w:rPr>
        <w:t>. https://www.halal.gov.my/pdf/cb/FHCB06032026.pdf</w:t>
      </w:r>
    </w:p>
    <w:p w14:paraId="0B1790BE"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Johan, E., &amp; </w:t>
      </w:r>
      <w:proofErr w:type="spellStart"/>
      <w:r w:rsidRPr="0062764E">
        <w:rPr>
          <w:rFonts w:ascii="Times New Roman" w:eastAsia="Times New Roman" w:hAnsi="Times New Roman" w:cs="Times New Roman"/>
          <w:kern w:val="0"/>
          <w:lang w:val="en-US"/>
          <w14:ligatures w14:val="none"/>
        </w:rPr>
        <w:t>Schebesta</w:t>
      </w:r>
      <w:proofErr w:type="spellEnd"/>
      <w:r w:rsidRPr="0062764E">
        <w:rPr>
          <w:rFonts w:ascii="Times New Roman" w:eastAsia="Times New Roman" w:hAnsi="Times New Roman" w:cs="Times New Roman"/>
          <w:kern w:val="0"/>
          <w:lang w:val="en-US"/>
          <w14:ligatures w14:val="none"/>
        </w:rPr>
        <w:t xml:space="preserve">, H. (2022). Religious regulation meets international trade law: Halal measures, a trade obstacle? Evidence from the SPS and TBT Committees. </w:t>
      </w:r>
      <w:r w:rsidRPr="0062764E">
        <w:rPr>
          <w:rFonts w:ascii="Times New Roman" w:eastAsia="Times New Roman" w:hAnsi="Times New Roman" w:cs="Times New Roman"/>
          <w:i/>
          <w:iCs/>
          <w:kern w:val="0"/>
          <w:lang w:val="en-US"/>
          <w14:ligatures w14:val="none"/>
        </w:rPr>
        <w:t>Journal of International Economic Law, 25</w:t>
      </w:r>
      <w:r w:rsidRPr="0062764E">
        <w:rPr>
          <w:rFonts w:ascii="Times New Roman" w:eastAsia="Times New Roman" w:hAnsi="Times New Roman" w:cs="Times New Roman"/>
          <w:kern w:val="0"/>
          <w:lang w:val="en-US"/>
          <w14:ligatures w14:val="none"/>
        </w:rPr>
        <w:t xml:space="preserve">(1), 61–73. </w:t>
      </w:r>
      <w:hyperlink r:id="rId25" w:tgtFrame="_new" w:history="1">
        <w:r w:rsidRPr="0062764E">
          <w:rPr>
            <w:rFonts w:ascii="Times New Roman" w:eastAsia="Times New Roman" w:hAnsi="Times New Roman" w:cs="Times New Roman"/>
            <w:color w:val="0000FF"/>
            <w:kern w:val="0"/>
            <w:u w:val="single"/>
            <w:lang w:val="en-US"/>
            <w14:ligatures w14:val="none"/>
          </w:rPr>
          <w:t>https://doi.org/10.1093/jiel/jgac003</w:t>
        </w:r>
      </w:hyperlink>
    </w:p>
    <w:p w14:paraId="2218851E"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Karyani, E., Geraldina, I., Haque, M. G., &amp; Zahir, A. (2024). Intention to adopt a blockchain-based halal certification: Indonesia consumers and regulatory perspective. </w:t>
      </w:r>
      <w:r w:rsidRPr="0062764E">
        <w:rPr>
          <w:rFonts w:ascii="Times New Roman" w:eastAsia="Times New Roman" w:hAnsi="Times New Roman" w:cs="Times New Roman"/>
          <w:i/>
          <w:iCs/>
          <w:kern w:val="0"/>
          <w:lang w:val="en-US"/>
          <w14:ligatures w14:val="none"/>
        </w:rPr>
        <w:t>Journal of Islamic Marketing, 15</w:t>
      </w:r>
      <w:r w:rsidRPr="0062764E">
        <w:rPr>
          <w:rFonts w:ascii="Times New Roman" w:eastAsia="Times New Roman" w:hAnsi="Times New Roman" w:cs="Times New Roman"/>
          <w:kern w:val="0"/>
          <w:lang w:val="en-US"/>
          <w14:ligatures w14:val="none"/>
        </w:rPr>
        <w:t xml:space="preserve">(7), 1766–1782. </w:t>
      </w:r>
      <w:hyperlink r:id="rId26" w:tgtFrame="_new" w:history="1">
        <w:r w:rsidRPr="0062764E">
          <w:rPr>
            <w:rFonts w:ascii="Times New Roman" w:eastAsia="Times New Roman" w:hAnsi="Times New Roman" w:cs="Times New Roman"/>
            <w:color w:val="0000FF"/>
            <w:kern w:val="0"/>
            <w:u w:val="single"/>
            <w:lang w:val="en-US"/>
            <w14:ligatures w14:val="none"/>
          </w:rPr>
          <w:t>https://doi.org/10.1108/JIMA-03-2023-0069</w:t>
        </w:r>
      </w:hyperlink>
    </w:p>
    <w:p w14:paraId="21B79D4D"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Ministry of Domestic Trade and Cost of Living Malaysia. (n.d.). </w:t>
      </w:r>
      <w:r w:rsidRPr="0062764E">
        <w:rPr>
          <w:rFonts w:ascii="Times New Roman" w:eastAsia="Times New Roman" w:hAnsi="Times New Roman" w:cs="Times New Roman"/>
          <w:i/>
          <w:iCs/>
          <w:kern w:val="0"/>
          <w:lang w:val="en-US"/>
          <w14:ligatures w14:val="none"/>
        </w:rPr>
        <w:t>Trade description: Halal definition, certification, and marking</w:t>
      </w:r>
      <w:r w:rsidRPr="0062764E">
        <w:rPr>
          <w:rFonts w:ascii="Times New Roman" w:eastAsia="Times New Roman" w:hAnsi="Times New Roman" w:cs="Times New Roman"/>
          <w:kern w:val="0"/>
          <w:lang w:val="en-US"/>
          <w14:ligatures w14:val="none"/>
        </w:rPr>
        <w:t xml:space="preserve">. Retrieved August 5, 2026, from </w:t>
      </w:r>
      <w:hyperlink r:id="rId27" w:tgtFrame="_new" w:history="1">
        <w:r w:rsidRPr="0062764E">
          <w:rPr>
            <w:rFonts w:ascii="Times New Roman" w:eastAsia="Times New Roman" w:hAnsi="Times New Roman" w:cs="Times New Roman"/>
            <w:color w:val="0000FF"/>
            <w:kern w:val="0"/>
            <w:u w:val="single"/>
            <w:lang w:val="en-US"/>
            <w14:ligatures w14:val="none"/>
          </w:rPr>
          <w:t>https://www.kpdn.gov.my/en/submenu/enforcement-submenu/protecting-intellectual-property/trade-description</w:t>
        </w:r>
      </w:hyperlink>
    </w:p>
    <w:p w14:paraId="1C1A5ECD"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Ministry of Industry and Trade of Vietnam. (2026, June 24). </w:t>
      </w:r>
      <w:r w:rsidRPr="0062764E">
        <w:rPr>
          <w:rFonts w:ascii="Times New Roman" w:eastAsia="Times New Roman" w:hAnsi="Times New Roman" w:cs="Times New Roman"/>
          <w:i/>
          <w:iCs/>
          <w:kern w:val="0"/>
          <w:lang w:val="en-US"/>
          <w14:ligatures w14:val="none"/>
        </w:rPr>
        <w:t>Vietnam-Malaysia trade records strong growth in five months of 2026</w:t>
      </w:r>
      <w:r w:rsidRPr="0062764E">
        <w:rPr>
          <w:rFonts w:ascii="Times New Roman" w:eastAsia="Times New Roman" w:hAnsi="Times New Roman" w:cs="Times New Roman"/>
          <w:kern w:val="0"/>
          <w:lang w:val="en-US"/>
          <w14:ligatures w14:val="none"/>
        </w:rPr>
        <w:t xml:space="preserve">. </w:t>
      </w:r>
      <w:hyperlink r:id="rId28" w:tgtFrame="_new" w:history="1">
        <w:r w:rsidRPr="0062764E">
          <w:rPr>
            <w:rFonts w:ascii="Times New Roman" w:eastAsia="Times New Roman" w:hAnsi="Times New Roman" w:cs="Times New Roman"/>
            <w:color w:val="0000FF"/>
            <w:kern w:val="0"/>
            <w:u w:val="single"/>
            <w:lang w:val="en-US"/>
            <w14:ligatures w14:val="none"/>
          </w:rPr>
          <w:t>https://moit.gov.vn/en/news/vietnam-malaysia-trade-records-strong-growth-in-five-months-of-2026.html</w:t>
        </w:r>
      </w:hyperlink>
    </w:p>
    <w:p w14:paraId="3AB3B16B"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Ministry of Investment, Trade and Industry Malaysia. (2023, March 23). </w:t>
      </w:r>
      <w:r w:rsidRPr="0062764E">
        <w:rPr>
          <w:rFonts w:ascii="Times New Roman" w:eastAsia="Times New Roman" w:hAnsi="Times New Roman" w:cs="Times New Roman"/>
          <w:i/>
          <w:iCs/>
          <w:kern w:val="0"/>
          <w:lang w:val="en-US"/>
          <w14:ligatures w14:val="none"/>
        </w:rPr>
        <w:t>Halal Industry Master Plan 2030 launched to strengthen Malaysia’s leadership in global Halal industry</w:t>
      </w:r>
      <w:r w:rsidRPr="0062764E">
        <w:rPr>
          <w:rFonts w:ascii="Times New Roman" w:eastAsia="Times New Roman" w:hAnsi="Times New Roman" w:cs="Times New Roman"/>
          <w:kern w:val="0"/>
          <w:lang w:val="en-US"/>
          <w14:ligatures w14:val="none"/>
        </w:rPr>
        <w:t xml:space="preserve">. </w:t>
      </w:r>
      <w:hyperlink r:id="rId29" w:tgtFrame="_new" w:history="1">
        <w:r w:rsidRPr="0062764E">
          <w:rPr>
            <w:rFonts w:ascii="Times New Roman" w:eastAsia="Times New Roman" w:hAnsi="Times New Roman" w:cs="Times New Roman"/>
            <w:color w:val="0000FF"/>
            <w:kern w:val="0"/>
            <w:u w:val="single"/>
            <w:lang w:val="en-US"/>
            <w14:ligatures w14:val="none"/>
          </w:rPr>
          <w:t>https://www.miti.gov.my/index.php/announcements/view/300</w:t>
        </w:r>
      </w:hyperlink>
    </w:p>
    <w:p w14:paraId="1AAA32A3"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National Halal Certification Center. (2024a). </w:t>
      </w:r>
      <w:r w:rsidRPr="0062764E">
        <w:rPr>
          <w:rFonts w:ascii="Times New Roman" w:eastAsia="Times New Roman" w:hAnsi="Times New Roman" w:cs="Times New Roman"/>
          <w:i/>
          <w:iCs/>
          <w:kern w:val="0"/>
          <w:lang w:val="en-US"/>
          <w14:ligatures w14:val="none"/>
        </w:rPr>
        <w:t>About HALCERT</w:t>
      </w:r>
      <w:r w:rsidRPr="0062764E">
        <w:rPr>
          <w:rFonts w:ascii="Times New Roman" w:eastAsia="Times New Roman" w:hAnsi="Times New Roman" w:cs="Times New Roman"/>
          <w:kern w:val="0"/>
          <w:lang w:val="en-US"/>
          <w14:ligatures w14:val="none"/>
        </w:rPr>
        <w:t xml:space="preserve">. </w:t>
      </w:r>
      <w:hyperlink r:id="rId30" w:tgtFrame="_new" w:history="1">
        <w:r w:rsidRPr="0062764E">
          <w:rPr>
            <w:rFonts w:ascii="Times New Roman" w:eastAsia="Times New Roman" w:hAnsi="Times New Roman" w:cs="Times New Roman"/>
            <w:color w:val="0000FF"/>
            <w:kern w:val="0"/>
            <w:u w:val="single"/>
            <w:lang w:val="en-US"/>
            <w14:ligatures w14:val="none"/>
          </w:rPr>
          <w:t>https://halcert.mst.gov.vn/en/about-halcert/</w:t>
        </w:r>
      </w:hyperlink>
    </w:p>
    <w:p w14:paraId="0E6545C0"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National Halal Certification Center. (2024b, September 26). </w:t>
      </w:r>
      <w:r w:rsidRPr="0062764E">
        <w:rPr>
          <w:rFonts w:ascii="Times New Roman" w:eastAsia="Times New Roman" w:hAnsi="Times New Roman" w:cs="Times New Roman"/>
          <w:i/>
          <w:iCs/>
          <w:kern w:val="0"/>
          <w:lang w:val="en-US"/>
          <w14:ligatures w14:val="none"/>
        </w:rPr>
        <w:t>Meeting Halal standards: Paving the way for businesses to enter the Islamic market</w:t>
      </w:r>
      <w:r w:rsidRPr="0062764E">
        <w:rPr>
          <w:rFonts w:ascii="Times New Roman" w:eastAsia="Times New Roman" w:hAnsi="Times New Roman" w:cs="Times New Roman"/>
          <w:kern w:val="0"/>
          <w:lang w:val="en-US"/>
          <w14:ligatures w14:val="none"/>
        </w:rPr>
        <w:t xml:space="preserve">. </w:t>
      </w:r>
      <w:hyperlink r:id="rId31" w:tgtFrame="_new" w:history="1">
        <w:r w:rsidRPr="0062764E">
          <w:rPr>
            <w:rFonts w:ascii="Times New Roman" w:eastAsia="Times New Roman" w:hAnsi="Times New Roman" w:cs="Times New Roman"/>
            <w:color w:val="0000FF"/>
            <w:kern w:val="0"/>
            <w:u w:val="single"/>
            <w:lang w:val="en-US"/>
            <w14:ligatures w14:val="none"/>
          </w:rPr>
          <w:t>https://halcert.mst.gov.vn/en/tap-san/meeting-halal-standards-paving-the-way-for-businesses-to-enter-the-islamic-market/</w:t>
        </w:r>
      </w:hyperlink>
    </w:p>
    <w:p w14:paraId="5E318282"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Prime Minister of Vietnam. (2023). </w:t>
      </w:r>
      <w:r w:rsidRPr="0062764E">
        <w:rPr>
          <w:rFonts w:ascii="Times New Roman" w:eastAsia="Times New Roman" w:hAnsi="Times New Roman" w:cs="Times New Roman"/>
          <w:i/>
          <w:iCs/>
          <w:kern w:val="0"/>
          <w:lang w:val="en-US"/>
          <w14:ligatures w14:val="none"/>
        </w:rPr>
        <w:t>Decision No. 10/QD-</w:t>
      </w:r>
      <w:proofErr w:type="spellStart"/>
      <w:r w:rsidRPr="0062764E">
        <w:rPr>
          <w:rFonts w:ascii="Times New Roman" w:eastAsia="Times New Roman" w:hAnsi="Times New Roman" w:cs="Times New Roman"/>
          <w:i/>
          <w:iCs/>
          <w:kern w:val="0"/>
          <w:lang w:val="en-US"/>
          <w14:ligatures w14:val="none"/>
        </w:rPr>
        <w:t>TTg</w:t>
      </w:r>
      <w:proofErr w:type="spellEnd"/>
      <w:r w:rsidRPr="0062764E">
        <w:rPr>
          <w:rFonts w:ascii="Times New Roman" w:eastAsia="Times New Roman" w:hAnsi="Times New Roman" w:cs="Times New Roman"/>
          <w:i/>
          <w:iCs/>
          <w:kern w:val="0"/>
          <w:lang w:val="en-US"/>
          <w14:ligatures w14:val="none"/>
        </w:rPr>
        <w:t xml:space="preserve"> dated February 14, 2023, approving the project “Strengthening international cooperation to build and develop Vietnam’s Halal industry through 2030”</w:t>
      </w:r>
      <w:r w:rsidRPr="0062764E">
        <w:rPr>
          <w:rFonts w:ascii="Times New Roman" w:eastAsia="Times New Roman" w:hAnsi="Times New Roman" w:cs="Times New Roman"/>
          <w:kern w:val="0"/>
          <w:lang w:val="en-US"/>
          <w14:ligatures w14:val="none"/>
        </w:rPr>
        <w:t xml:space="preserve">. </w:t>
      </w:r>
      <w:hyperlink r:id="rId32" w:tgtFrame="_new" w:history="1">
        <w:r w:rsidRPr="0062764E">
          <w:rPr>
            <w:rFonts w:ascii="Times New Roman" w:eastAsia="Times New Roman" w:hAnsi="Times New Roman" w:cs="Times New Roman"/>
            <w:color w:val="0000FF"/>
            <w:kern w:val="0"/>
            <w:u w:val="single"/>
            <w:lang w:val="en-US"/>
            <w14:ligatures w14:val="none"/>
          </w:rPr>
          <w:t>https://halcert.mst.gov.vn/tin-tuc-va-su-kien/tang-cuong-hop-tac-quoc-te-de-phat-trien-nganh-halal-viet-nam/</w:t>
        </w:r>
      </w:hyperlink>
    </w:p>
    <w:p w14:paraId="2C689210"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proofErr w:type="spellStart"/>
      <w:r w:rsidRPr="0062764E">
        <w:rPr>
          <w:rFonts w:ascii="Times New Roman" w:eastAsia="Times New Roman" w:hAnsi="Times New Roman" w:cs="Times New Roman"/>
          <w:kern w:val="0"/>
          <w:lang w:val="en-US"/>
          <w14:ligatures w14:val="none"/>
        </w:rPr>
        <w:t>Rejeb</w:t>
      </w:r>
      <w:proofErr w:type="spellEnd"/>
      <w:r w:rsidRPr="0062764E">
        <w:rPr>
          <w:rFonts w:ascii="Times New Roman" w:eastAsia="Times New Roman" w:hAnsi="Times New Roman" w:cs="Times New Roman"/>
          <w:kern w:val="0"/>
          <w:lang w:val="en-US"/>
          <w14:ligatures w14:val="none"/>
        </w:rPr>
        <w:t xml:space="preserve">, A., Keogh, J. G., </w:t>
      </w:r>
      <w:proofErr w:type="spellStart"/>
      <w:r w:rsidRPr="0062764E">
        <w:rPr>
          <w:rFonts w:ascii="Times New Roman" w:eastAsia="Times New Roman" w:hAnsi="Times New Roman" w:cs="Times New Roman"/>
          <w:kern w:val="0"/>
          <w:lang w:val="en-US"/>
          <w14:ligatures w14:val="none"/>
        </w:rPr>
        <w:t>Rejeb</w:t>
      </w:r>
      <w:proofErr w:type="spellEnd"/>
      <w:r w:rsidRPr="0062764E">
        <w:rPr>
          <w:rFonts w:ascii="Times New Roman" w:eastAsia="Times New Roman" w:hAnsi="Times New Roman" w:cs="Times New Roman"/>
          <w:kern w:val="0"/>
          <w:lang w:val="en-US"/>
          <w14:ligatures w14:val="none"/>
        </w:rPr>
        <w:t xml:space="preserve">, K., &amp; Dean, K. (2021). Halal food supply chains: A literature review of sustainable measures and future research directions. </w:t>
      </w:r>
      <w:r w:rsidRPr="0062764E">
        <w:rPr>
          <w:rFonts w:ascii="Times New Roman" w:eastAsia="Times New Roman" w:hAnsi="Times New Roman" w:cs="Times New Roman"/>
          <w:i/>
          <w:iCs/>
          <w:kern w:val="0"/>
          <w:lang w:val="en-US"/>
          <w14:ligatures w14:val="none"/>
        </w:rPr>
        <w:t>Foods and Raw Materials, 9</w:t>
      </w:r>
      <w:r w:rsidRPr="0062764E">
        <w:rPr>
          <w:rFonts w:ascii="Times New Roman" w:eastAsia="Times New Roman" w:hAnsi="Times New Roman" w:cs="Times New Roman"/>
          <w:kern w:val="0"/>
          <w:lang w:val="en-US"/>
          <w14:ligatures w14:val="none"/>
        </w:rPr>
        <w:t xml:space="preserve">(1), 106–116. </w:t>
      </w:r>
      <w:hyperlink r:id="rId33" w:tgtFrame="_new" w:history="1">
        <w:r w:rsidRPr="0062764E">
          <w:rPr>
            <w:rFonts w:ascii="Times New Roman" w:eastAsia="Times New Roman" w:hAnsi="Times New Roman" w:cs="Times New Roman"/>
            <w:color w:val="0000FF"/>
            <w:kern w:val="0"/>
            <w:u w:val="single"/>
            <w:lang w:val="en-US"/>
            <w14:ligatures w14:val="none"/>
          </w:rPr>
          <w:t>https://doi.org/10.21603/2308-4057-2021-1-106-116</w:t>
        </w:r>
      </w:hyperlink>
    </w:p>
    <w:p w14:paraId="42B84BAD"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Soon, J. M., Chandia, M., &amp; Regenstein, J. M. (2017). Halal integrity in the food supply chain. </w:t>
      </w:r>
      <w:r w:rsidRPr="0062764E">
        <w:rPr>
          <w:rFonts w:ascii="Times New Roman" w:eastAsia="Times New Roman" w:hAnsi="Times New Roman" w:cs="Times New Roman"/>
          <w:i/>
          <w:iCs/>
          <w:kern w:val="0"/>
          <w:lang w:val="en-US"/>
          <w14:ligatures w14:val="none"/>
        </w:rPr>
        <w:t>British Food Journal, 119</w:t>
      </w:r>
      <w:r w:rsidRPr="0062764E">
        <w:rPr>
          <w:rFonts w:ascii="Times New Roman" w:eastAsia="Times New Roman" w:hAnsi="Times New Roman" w:cs="Times New Roman"/>
          <w:kern w:val="0"/>
          <w:lang w:val="en-US"/>
          <w14:ligatures w14:val="none"/>
        </w:rPr>
        <w:t xml:space="preserve">(1), 39–51. </w:t>
      </w:r>
      <w:hyperlink r:id="rId34" w:tgtFrame="_new" w:history="1">
        <w:r w:rsidRPr="0062764E">
          <w:rPr>
            <w:rFonts w:ascii="Times New Roman" w:eastAsia="Times New Roman" w:hAnsi="Times New Roman" w:cs="Times New Roman"/>
            <w:color w:val="0000FF"/>
            <w:kern w:val="0"/>
            <w:u w:val="single"/>
            <w:lang w:val="en-US"/>
            <w14:ligatures w14:val="none"/>
          </w:rPr>
          <w:t>https://doi.org/10.1108/BFJ-04-2016-0150</w:t>
        </w:r>
      </w:hyperlink>
    </w:p>
    <w:p w14:paraId="333BF9D9"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Susanty, A., </w:t>
      </w:r>
      <w:proofErr w:type="spellStart"/>
      <w:r w:rsidRPr="0062764E">
        <w:rPr>
          <w:rFonts w:ascii="Times New Roman" w:eastAsia="Times New Roman" w:hAnsi="Times New Roman" w:cs="Times New Roman"/>
          <w:kern w:val="0"/>
          <w:lang w:val="en-US"/>
          <w14:ligatures w14:val="none"/>
        </w:rPr>
        <w:t>Puspitasari</w:t>
      </w:r>
      <w:proofErr w:type="spellEnd"/>
      <w:r w:rsidRPr="0062764E">
        <w:rPr>
          <w:rFonts w:ascii="Times New Roman" w:eastAsia="Times New Roman" w:hAnsi="Times New Roman" w:cs="Times New Roman"/>
          <w:kern w:val="0"/>
          <w:lang w:val="en-US"/>
          <w14:ligatures w14:val="none"/>
        </w:rPr>
        <w:t xml:space="preserve">, N. B., </w:t>
      </w:r>
      <w:proofErr w:type="spellStart"/>
      <w:r w:rsidRPr="0062764E">
        <w:rPr>
          <w:rFonts w:ascii="Times New Roman" w:eastAsia="Times New Roman" w:hAnsi="Times New Roman" w:cs="Times New Roman"/>
          <w:kern w:val="0"/>
          <w:lang w:val="en-US"/>
          <w14:ligatures w14:val="none"/>
        </w:rPr>
        <w:t>Rosyada</w:t>
      </w:r>
      <w:proofErr w:type="spellEnd"/>
      <w:r w:rsidRPr="0062764E">
        <w:rPr>
          <w:rFonts w:ascii="Times New Roman" w:eastAsia="Times New Roman" w:hAnsi="Times New Roman" w:cs="Times New Roman"/>
          <w:kern w:val="0"/>
          <w:lang w:val="en-US"/>
          <w14:ligatures w14:val="none"/>
        </w:rPr>
        <w:t xml:space="preserve">, Z. F., Pratama, M. A., &amp; Kurniawan, E. (2024). Design of blockchain-based halal traceability system applications for halal chicken meat-based food </w:t>
      </w:r>
      <w:r w:rsidRPr="0062764E">
        <w:rPr>
          <w:rFonts w:ascii="Times New Roman" w:eastAsia="Times New Roman" w:hAnsi="Times New Roman" w:cs="Times New Roman"/>
          <w:kern w:val="0"/>
          <w:lang w:val="en-US"/>
          <w14:ligatures w14:val="none"/>
        </w:rPr>
        <w:lastRenderedPageBreak/>
        <w:t xml:space="preserve">supply chain. </w:t>
      </w:r>
      <w:r w:rsidRPr="0062764E">
        <w:rPr>
          <w:rFonts w:ascii="Times New Roman" w:eastAsia="Times New Roman" w:hAnsi="Times New Roman" w:cs="Times New Roman"/>
          <w:i/>
          <w:iCs/>
          <w:kern w:val="0"/>
          <w:lang w:val="en-US"/>
          <w14:ligatures w14:val="none"/>
        </w:rPr>
        <w:t>International Journal of Information Technology, 16</w:t>
      </w:r>
      <w:r w:rsidRPr="0062764E">
        <w:rPr>
          <w:rFonts w:ascii="Times New Roman" w:eastAsia="Times New Roman" w:hAnsi="Times New Roman" w:cs="Times New Roman"/>
          <w:kern w:val="0"/>
          <w:lang w:val="en-US"/>
          <w14:ligatures w14:val="none"/>
        </w:rPr>
        <w:t xml:space="preserve">(3), 1449–1473. </w:t>
      </w:r>
      <w:hyperlink r:id="rId35" w:tgtFrame="_new" w:history="1">
        <w:r w:rsidRPr="0062764E">
          <w:rPr>
            <w:rFonts w:ascii="Times New Roman" w:eastAsia="Times New Roman" w:hAnsi="Times New Roman" w:cs="Times New Roman"/>
            <w:color w:val="0000FF"/>
            <w:kern w:val="0"/>
            <w:u w:val="single"/>
            <w:lang w:val="en-US"/>
            <w14:ligatures w14:val="none"/>
          </w:rPr>
          <w:t>https://doi.org/10.1007/s41870-023-01650-8</w:t>
        </w:r>
      </w:hyperlink>
    </w:p>
    <w:p w14:paraId="1EECD70C"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Tieman, M., van der Vorst, J. G. A. J., &amp; Ghazali, M. C. (2012). Principles in Halal supply chain management. </w:t>
      </w:r>
      <w:r w:rsidRPr="0062764E">
        <w:rPr>
          <w:rFonts w:ascii="Times New Roman" w:eastAsia="Times New Roman" w:hAnsi="Times New Roman" w:cs="Times New Roman"/>
          <w:i/>
          <w:iCs/>
          <w:kern w:val="0"/>
          <w:lang w:val="en-US"/>
          <w14:ligatures w14:val="none"/>
        </w:rPr>
        <w:t>Journal of Islamic Marketing, 3</w:t>
      </w:r>
      <w:r w:rsidRPr="0062764E">
        <w:rPr>
          <w:rFonts w:ascii="Times New Roman" w:eastAsia="Times New Roman" w:hAnsi="Times New Roman" w:cs="Times New Roman"/>
          <w:kern w:val="0"/>
          <w:lang w:val="en-US"/>
          <w14:ligatures w14:val="none"/>
        </w:rPr>
        <w:t xml:space="preserve">(3), 217–243. </w:t>
      </w:r>
      <w:hyperlink r:id="rId36" w:tgtFrame="_new" w:history="1">
        <w:r w:rsidRPr="0062764E">
          <w:rPr>
            <w:rFonts w:ascii="Times New Roman" w:eastAsia="Times New Roman" w:hAnsi="Times New Roman" w:cs="Times New Roman"/>
            <w:color w:val="0000FF"/>
            <w:kern w:val="0"/>
            <w:u w:val="single"/>
            <w:lang w:val="en-US"/>
            <w14:ligatures w14:val="none"/>
          </w:rPr>
          <w:t>https://doi.org/10.1108/17590831211259727</w:t>
        </w:r>
      </w:hyperlink>
    </w:p>
    <w:p w14:paraId="7F029955" w14:textId="77777777" w:rsidR="00E207A1" w:rsidRPr="0062764E"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Yin, R. K. (2018). </w:t>
      </w:r>
      <w:r w:rsidRPr="0062764E">
        <w:rPr>
          <w:rFonts w:ascii="Times New Roman" w:eastAsia="Times New Roman" w:hAnsi="Times New Roman" w:cs="Times New Roman"/>
          <w:i/>
          <w:iCs/>
          <w:kern w:val="0"/>
          <w:lang w:val="en-US"/>
          <w14:ligatures w14:val="none"/>
        </w:rPr>
        <w:t>Case study research and applications: Design and methods</w:t>
      </w:r>
      <w:r w:rsidRPr="0062764E">
        <w:rPr>
          <w:rFonts w:ascii="Times New Roman" w:eastAsia="Times New Roman" w:hAnsi="Times New Roman" w:cs="Times New Roman"/>
          <w:kern w:val="0"/>
          <w:lang w:val="en-US"/>
          <w14:ligatures w14:val="none"/>
        </w:rPr>
        <w:t xml:space="preserve"> (6th ed.). SAGE Publications. </w:t>
      </w:r>
      <w:hyperlink r:id="rId37" w:tgtFrame="_new" w:history="1">
        <w:r w:rsidRPr="0062764E">
          <w:rPr>
            <w:rFonts w:ascii="Times New Roman" w:eastAsia="Times New Roman" w:hAnsi="Times New Roman" w:cs="Times New Roman"/>
            <w:color w:val="0000FF"/>
            <w:kern w:val="0"/>
            <w:u w:val="single"/>
            <w:lang w:val="en-US"/>
            <w14:ligatures w14:val="none"/>
          </w:rPr>
          <w:t>https://study.sagepub.com/yin6e</w:t>
        </w:r>
      </w:hyperlink>
    </w:p>
    <w:p w14:paraId="21C15801" w14:textId="77777777" w:rsidR="00E207A1" w:rsidRPr="00E207A1" w:rsidRDefault="00E207A1" w:rsidP="00E207A1">
      <w:pPr>
        <w:spacing w:before="100" w:beforeAutospacing="1" w:after="100" w:afterAutospacing="1"/>
        <w:rPr>
          <w:rFonts w:ascii="Times New Roman" w:eastAsia="Times New Roman" w:hAnsi="Times New Roman" w:cs="Times New Roman"/>
          <w:kern w:val="0"/>
          <w:lang w:val="en-US"/>
          <w14:ligatures w14:val="none"/>
        </w:rPr>
      </w:pPr>
      <w:r w:rsidRPr="0062764E">
        <w:rPr>
          <w:rFonts w:ascii="Times New Roman" w:eastAsia="Times New Roman" w:hAnsi="Times New Roman" w:cs="Times New Roman"/>
          <w:kern w:val="0"/>
          <w:lang w:val="en-US"/>
          <w14:ligatures w14:val="none"/>
        </w:rPr>
        <w:t xml:space="preserve">Zhang, Y., Mohd Balwi, M. A. W. F., Mansor, F., Yao, Y., &amp; Cao, Y. (2026). From molecular truth to systemic trust: A socio-technical mapping of digital halal research. </w:t>
      </w:r>
      <w:r w:rsidRPr="0062764E">
        <w:rPr>
          <w:rFonts w:ascii="Times New Roman" w:eastAsia="Times New Roman" w:hAnsi="Times New Roman" w:cs="Times New Roman"/>
          <w:i/>
          <w:iCs/>
          <w:kern w:val="0"/>
          <w:lang w:val="en-US"/>
          <w14:ligatures w14:val="none"/>
        </w:rPr>
        <w:t>British Food Journal</w:t>
      </w:r>
      <w:r w:rsidRPr="0062764E">
        <w:rPr>
          <w:rFonts w:ascii="Times New Roman" w:eastAsia="Times New Roman" w:hAnsi="Times New Roman" w:cs="Times New Roman"/>
          <w:kern w:val="0"/>
          <w:lang w:val="en-US"/>
          <w14:ligatures w14:val="none"/>
        </w:rPr>
        <w:t xml:space="preserve">. Advance online publication. </w:t>
      </w:r>
      <w:hyperlink r:id="rId38" w:tgtFrame="_new" w:history="1">
        <w:r w:rsidRPr="0062764E">
          <w:rPr>
            <w:rFonts w:ascii="Times New Roman" w:eastAsia="Times New Roman" w:hAnsi="Times New Roman" w:cs="Times New Roman"/>
            <w:color w:val="0000FF"/>
            <w:kern w:val="0"/>
            <w:u w:val="single"/>
            <w:lang w:val="en-US"/>
            <w14:ligatures w14:val="none"/>
          </w:rPr>
          <w:t>https://doi.org/10.1108/BFJ-10-2025-1440</w:t>
        </w:r>
      </w:hyperlink>
    </w:p>
    <w:p w14:paraId="1159D73D" w14:textId="77777777" w:rsidR="00E207A1" w:rsidRDefault="00E207A1" w:rsidP="00B26259">
      <w:pPr>
        <w:pStyle w:val="Body"/>
        <w:spacing w:after="60" w:line="276" w:lineRule="auto"/>
        <w:ind w:left="360" w:hanging="360"/>
        <w:rPr>
          <w:rFonts w:ascii="Arial" w:eastAsia="Calibri" w:hAnsi="Arial" w:cs="Arial"/>
          <w:sz w:val="22"/>
          <w:szCs w:val="28"/>
        </w:rPr>
      </w:pPr>
    </w:p>
    <w:p w14:paraId="3EA2ED77" w14:textId="77777777" w:rsidR="00DF578C" w:rsidRDefault="00DF578C" w:rsidP="008103CE">
      <w:pPr>
        <w:pStyle w:val="Body"/>
        <w:spacing w:after="60" w:line="276" w:lineRule="auto"/>
        <w:rPr>
          <w:rFonts w:ascii="Arial" w:eastAsia="Calibri" w:hAnsi="Arial" w:cs="Arial"/>
          <w:b/>
          <w:sz w:val="22"/>
          <w:szCs w:val="28"/>
        </w:rPr>
      </w:pPr>
    </w:p>
    <w:p w14:paraId="0B7CD1D0" w14:textId="77777777" w:rsidR="00DF578C" w:rsidRDefault="00DF578C" w:rsidP="008103CE">
      <w:pPr>
        <w:pStyle w:val="Body"/>
        <w:spacing w:after="60" w:line="276" w:lineRule="auto"/>
        <w:rPr>
          <w:rFonts w:ascii="Arial" w:eastAsia="Calibri" w:hAnsi="Arial" w:cs="Arial"/>
          <w:b/>
          <w:sz w:val="22"/>
          <w:szCs w:val="28"/>
        </w:rPr>
      </w:pPr>
    </w:p>
    <w:p w14:paraId="4E89DB66" w14:textId="77777777" w:rsidR="00DF578C" w:rsidRDefault="00DF578C" w:rsidP="008103CE">
      <w:pPr>
        <w:pStyle w:val="Body"/>
        <w:spacing w:after="60" w:line="276" w:lineRule="auto"/>
        <w:rPr>
          <w:rFonts w:ascii="Arial" w:eastAsia="Calibri" w:hAnsi="Arial" w:cs="Arial"/>
          <w:b/>
          <w:sz w:val="22"/>
          <w:szCs w:val="28"/>
        </w:rPr>
      </w:pPr>
    </w:p>
    <w:p w14:paraId="19B2B2CC" w14:textId="77777777" w:rsidR="00DF578C" w:rsidRDefault="00DF578C" w:rsidP="008103CE">
      <w:pPr>
        <w:pStyle w:val="Body"/>
        <w:spacing w:after="60" w:line="276" w:lineRule="auto"/>
        <w:rPr>
          <w:rFonts w:ascii="Arial" w:eastAsia="Calibri" w:hAnsi="Arial" w:cs="Arial"/>
          <w:b/>
          <w:sz w:val="22"/>
          <w:szCs w:val="28"/>
        </w:rPr>
      </w:pPr>
    </w:p>
    <w:p w14:paraId="7781EE4F" w14:textId="77777777" w:rsidR="00DF578C" w:rsidRDefault="00DF578C" w:rsidP="008103CE">
      <w:pPr>
        <w:pStyle w:val="Body"/>
        <w:spacing w:after="60" w:line="276" w:lineRule="auto"/>
        <w:rPr>
          <w:rFonts w:ascii="Arial" w:eastAsia="Calibri" w:hAnsi="Arial" w:cs="Arial"/>
          <w:b/>
          <w:sz w:val="22"/>
          <w:szCs w:val="28"/>
        </w:rPr>
      </w:pPr>
    </w:p>
    <w:p w14:paraId="4EA0415D" w14:textId="77777777" w:rsidR="00DF578C" w:rsidRDefault="00DF578C" w:rsidP="008103CE">
      <w:pPr>
        <w:pStyle w:val="Body"/>
        <w:spacing w:after="60" w:line="276" w:lineRule="auto"/>
        <w:rPr>
          <w:rFonts w:ascii="Arial" w:eastAsia="Calibri" w:hAnsi="Arial" w:cs="Arial"/>
          <w:b/>
          <w:sz w:val="22"/>
          <w:szCs w:val="28"/>
        </w:rPr>
      </w:pPr>
    </w:p>
    <w:p w14:paraId="74F85F94" w14:textId="77777777" w:rsidR="00DF578C" w:rsidRDefault="00DF578C" w:rsidP="008103CE">
      <w:pPr>
        <w:pStyle w:val="Body"/>
        <w:spacing w:after="60" w:line="276" w:lineRule="auto"/>
        <w:rPr>
          <w:rFonts w:ascii="Arial" w:hAnsi="Arial" w:cs="Arial"/>
        </w:rPr>
      </w:pPr>
    </w:p>
    <w:sectPr w:rsidR="00DF578C" w:rsidSect="00FF59B1">
      <w:headerReference w:type="even" r:id="rId39"/>
      <w:headerReference w:type="default" r:id="rId40"/>
      <w:footerReference w:type="even" r:id="rId41"/>
      <w:footerReference w:type="default" r:id="rId42"/>
      <w:headerReference w:type="first" r:id="rId43"/>
      <w:footerReference w:type="first" r:id="rId44"/>
      <w:pgSz w:w="12240" w:h="15840"/>
      <w:pgMar w:top="15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FFABD" w14:textId="77777777" w:rsidR="00665F51" w:rsidRDefault="00665F51" w:rsidP="00FF59B1">
      <w:r>
        <w:separator/>
      </w:r>
    </w:p>
  </w:endnote>
  <w:endnote w:type="continuationSeparator" w:id="0">
    <w:p w14:paraId="2D82993E" w14:textId="77777777" w:rsidR="00665F51" w:rsidRDefault="00665F51" w:rsidP="00FF5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1799676"/>
      <w:docPartObj>
        <w:docPartGallery w:val="Page Numbers (Bottom of Page)"/>
        <w:docPartUnique/>
      </w:docPartObj>
    </w:sdtPr>
    <w:sdtContent>
      <w:p w14:paraId="632F4ACB" w14:textId="77777777" w:rsidR="000F4F66" w:rsidRDefault="000F4F66" w:rsidP="005A43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8554243" w14:textId="77777777" w:rsidR="000F4F66" w:rsidRDefault="000F4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3637206"/>
      <w:docPartObj>
        <w:docPartGallery w:val="Page Numbers (Bottom of Page)"/>
        <w:docPartUnique/>
      </w:docPartObj>
    </w:sdtPr>
    <w:sdtContent>
      <w:p w14:paraId="2FBFA0BA" w14:textId="77777777" w:rsidR="000F4F66" w:rsidRDefault="000F4F66" w:rsidP="005A435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85B9B6" w14:textId="77777777" w:rsidR="000F4F66" w:rsidRDefault="000F4F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02F56" w14:textId="77777777" w:rsidR="00A90C8D" w:rsidRDefault="00A90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CF343" w14:textId="77777777" w:rsidR="00665F51" w:rsidRDefault="00665F51" w:rsidP="00FF59B1">
      <w:r>
        <w:separator/>
      </w:r>
    </w:p>
  </w:footnote>
  <w:footnote w:type="continuationSeparator" w:id="0">
    <w:p w14:paraId="4E4B9CC6" w14:textId="77777777" w:rsidR="00665F51" w:rsidRDefault="00665F51" w:rsidP="00FF5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44C6C" w14:textId="77777777" w:rsidR="00A90C8D" w:rsidRDefault="00000000">
    <w:pPr>
      <w:pStyle w:val="Header"/>
    </w:pPr>
    <w:r>
      <w:rPr>
        <w:noProof/>
      </w:rPr>
      <w:pict w14:anchorId="7550ED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764438" o:spid="_x0000_s1027" type="#_x0000_t136" alt="" style="position:absolute;margin-left:0;margin-top:0;width:555.6pt;height:104.1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DC716" w14:textId="77777777" w:rsidR="00A90C8D" w:rsidRDefault="00000000">
    <w:pPr>
      <w:pStyle w:val="Header"/>
    </w:pPr>
    <w:r>
      <w:rPr>
        <w:noProof/>
      </w:rPr>
      <w:pict w14:anchorId="12ED7D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764439" o:spid="_x0000_s1026" type="#_x0000_t136" alt="" style="position:absolute;margin-left:0;margin-top:0;width:555.6pt;height:104.1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CD90" w14:textId="77777777" w:rsidR="00A90C8D" w:rsidRDefault="00000000">
    <w:pPr>
      <w:pStyle w:val="Header"/>
    </w:pPr>
    <w:r>
      <w:rPr>
        <w:noProof/>
      </w:rPr>
      <w:pict w14:anchorId="294EB0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0764437" o:spid="_x0000_s1025" type="#_x0000_t136" alt="" style="position:absolute;margin-left:0;margin-top:0;width:555.6pt;height:104.1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A3186"/>
    <w:multiLevelType w:val="multilevel"/>
    <w:tmpl w:val="26387E2E"/>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62513F"/>
    <w:multiLevelType w:val="multilevel"/>
    <w:tmpl w:val="6368F1C2"/>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D91162"/>
    <w:multiLevelType w:val="hybridMultilevel"/>
    <w:tmpl w:val="3F8C4F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B104B4"/>
    <w:multiLevelType w:val="hybridMultilevel"/>
    <w:tmpl w:val="250A7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362AAB"/>
    <w:multiLevelType w:val="hybridMultilevel"/>
    <w:tmpl w:val="3F503E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2D5BA6"/>
    <w:multiLevelType w:val="hybridMultilevel"/>
    <w:tmpl w:val="854C5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6573624">
    <w:abstractNumId w:val="2"/>
  </w:num>
  <w:num w:numId="2" w16cid:durableId="1886942675">
    <w:abstractNumId w:val="4"/>
  </w:num>
  <w:num w:numId="3" w16cid:durableId="473526562">
    <w:abstractNumId w:val="0"/>
  </w:num>
  <w:num w:numId="4" w16cid:durableId="1614902650">
    <w:abstractNumId w:val="1"/>
  </w:num>
  <w:num w:numId="5" w16cid:durableId="305551475">
    <w:abstractNumId w:val="3"/>
  </w:num>
  <w:num w:numId="6" w16cid:durableId="8395844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Q3M7I0NTczNDAxMDNR0lEKTi0uzszPAykwqgUAiJbKuCwAAAA="/>
  </w:docVars>
  <w:rsids>
    <w:rsidRoot w:val="00FF59B1"/>
    <w:rsid w:val="0001694F"/>
    <w:rsid w:val="00017D02"/>
    <w:rsid w:val="00066EB1"/>
    <w:rsid w:val="00067017"/>
    <w:rsid w:val="000757C4"/>
    <w:rsid w:val="000F4F66"/>
    <w:rsid w:val="001A4AA4"/>
    <w:rsid w:val="001B16BF"/>
    <w:rsid w:val="001D50A1"/>
    <w:rsid w:val="001D5DDE"/>
    <w:rsid w:val="001F4B16"/>
    <w:rsid w:val="00203A80"/>
    <w:rsid w:val="0021374F"/>
    <w:rsid w:val="00284307"/>
    <w:rsid w:val="002B354B"/>
    <w:rsid w:val="002C62CA"/>
    <w:rsid w:val="002D44EE"/>
    <w:rsid w:val="00343EA0"/>
    <w:rsid w:val="003B6334"/>
    <w:rsid w:val="003C2A60"/>
    <w:rsid w:val="003D0046"/>
    <w:rsid w:val="003E4F36"/>
    <w:rsid w:val="003E51D4"/>
    <w:rsid w:val="003F4153"/>
    <w:rsid w:val="00403277"/>
    <w:rsid w:val="004359B6"/>
    <w:rsid w:val="0053581E"/>
    <w:rsid w:val="005579B7"/>
    <w:rsid w:val="0062764E"/>
    <w:rsid w:val="00665F51"/>
    <w:rsid w:val="007708C4"/>
    <w:rsid w:val="00791DE6"/>
    <w:rsid w:val="007D7025"/>
    <w:rsid w:val="008103CE"/>
    <w:rsid w:val="00854A71"/>
    <w:rsid w:val="00877EAE"/>
    <w:rsid w:val="00964AA8"/>
    <w:rsid w:val="009A2349"/>
    <w:rsid w:val="009B587A"/>
    <w:rsid w:val="00A709B4"/>
    <w:rsid w:val="00A90C8D"/>
    <w:rsid w:val="00AB617D"/>
    <w:rsid w:val="00B00F38"/>
    <w:rsid w:val="00B26259"/>
    <w:rsid w:val="00B645AA"/>
    <w:rsid w:val="00B86B7A"/>
    <w:rsid w:val="00B93972"/>
    <w:rsid w:val="00BC74FD"/>
    <w:rsid w:val="00BE5626"/>
    <w:rsid w:val="00BF745A"/>
    <w:rsid w:val="00C03D45"/>
    <w:rsid w:val="00C22D90"/>
    <w:rsid w:val="00CB0D2E"/>
    <w:rsid w:val="00D06355"/>
    <w:rsid w:val="00D21925"/>
    <w:rsid w:val="00DD13A4"/>
    <w:rsid w:val="00DF578C"/>
    <w:rsid w:val="00E207A1"/>
    <w:rsid w:val="00E837E0"/>
    <w:rsid w:val="00E954D5"/>
    <w:rsid w:val="00EA36CE"/>
    <w:rsid w:val="00ED0393"/>
    <w:rsid w:val="00FF5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022B8"/>
  <w15:chartTrackingRefBased/>
  <w15:docId w15:val="{76D4FAEA-75B2-E644-A84D-66F103C9E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FF59B1"/>
    <w:pPr>
      <w:spacing w:line="280" w:lineRule="exact"/>
      <w:jc w:val="right"/>
    </w:pPr>
    <w:rPr>
      <w:rFonts w:ascii="Helvetica" w:eastAsia="Times New Roman" w:hAnsi="Helvetica" w:cs="Times New Roman"/>
      <w:b/>
      <w:kern w:val="0"/>
      <w:szCs w:val="20"/>
      <w:lang w:val="en-US"/>
      <w14:ligatures w14:val="none"/>
    </w:rPr>
  </w:style>
  <w:style w:type="character" w:styleId="FootnoteReference">
    <w:name w:val="footnote reference"/>
    <w:basedOn w:val="DefaultParagraphFont"/>
    <w:semiHidden/>
    <w:unhideWhenUsed/>
    <w:rsid w:val="00FF59B1"/>
    <w:rPr>
      <w:vertAlign w:val="superscript"/>
    </w:rPr>
  </w:style>
  <w:style w:type="paragraph" w:styleId="FootnoteText">
    <w:name w:val="footnote text"/>
    <w:basedOn w:val="Normal"/>
    <w:link w:val="FootnoteTextChar"/>
    <w:uiPriority w:val="99"/>
    <w:unhideWhenUsed/>
    <w:rsid w:val="00FF59B1"/>
    <w:rPr>
      <w:sz w:val="20"/>
      <w:szCs w:val="20"/>
    </w:rPr>
  </w:style>
  <w:style w:type="character" w:customStyle="1" w:styleId="FootnoteTextChar">
    <w:name w:val="Footnote Text Char"/>
    <w:basedOn w:val="DefaultParagraphFont"/>
    <w:link w:val="FootnoteText"/>
    <w:uiPriority w:val="99"/>
    <w:rsid w:val="00FF59B1"/>
    <w:rPr>
      <w:sz w:val="20"/>
      <w:szCs w:val="20"/>
    </w:rPr>
  </w:style>
  <w:style w:type="paragraph" w:styleId="Footer">
    <w:name w:val="footer"/>
    <w:basedOn w:val="Normal"/>
    <w:link w:val="FooterChar"/>
    <w:rsid w:val="007708C4"/>
    <w:pPr>
      <w:tabs>
        <w:tab w:val="center" w:pos="4320"/>
        <w:tab w:val="right" w:pos="8640"/>
      </w:tabs>
    </w:pPr>
    <w:rPr>
      <w:rFonts w:ascii="Helvetica" w:eastAsia="Times New Roman" w:hAnsi="Helvetica" w:cs="Times New Roman"/>
      <w:kern w:val="0"/>
      <w:sz w:val="20"/>
      <w:szCs w:val="20"/>
      <w:lang w:val="en-US"/>
      <w14:ligatures w14:val="none"/>
    </w:rPr>
  </w:style>
  <w:style w:type="character" w:customStyle="1" w:styleId="FooterChar">
    <w:name w:val="Footer Char"/>
    <w:basedOn w:val="DefaultParagraphFont"/>
    <w:link w:val="Footer"/>
    <w:rsid w:val="007708C4"/>
    <w:rPr>
      <w:rFonts w:ascii="Helvetica" w:eastAsia="Times New Roman" w:hAnsi="Helvetica" w:cs="Times New Roman"/>
      <w:kern w:val="0"/>
      <w:sz w:val="20"/>
      <w:szCs w:val="20"/>
      <w:lang w:val="en-US"/>
      <w14:ligatures w14:val="none"/>
    </w:rPr>
  </w:style>
  <w:style w:type="paragraph" w:customStyle="1" w:styleId="Body">
    <w:name w:val="Body"/>
    <w:basedOn w:val="Normal"/>
    <w:rsid w:val="00CB0D2E"/>
    <w:pPr>
      <w:spacing w:after="240"/>
      <w:jc w:val="both"/>
    </w:pPr>
    <w:rPr>
      <w:rFonts w:ascii="Helvetica" w:eastAsia="Times New Roman" w:hAnsi="Helvetica" w:cs="Times New Roman"/>
      <w:kern w:val="0"/>
      <w:sz w:val="20"/>
      <w:szCs w:val="20"/>
      <w:lang w:val="en-US"/>
      <w14:ligatures w14:val="none"/>
    </w:rPr>
  </w:style>
  <w:style w:type="table" w:styleId="TableGrid">
    <w:name w:val="Table Grid"/>
    <w:basedOn w:val="TableNormal"/>
    <w:uiPriority w:val="39"/>
    <w:rsid w:val="00CB0D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1">
    <w:name w:val="Head1"/>
    <w:basedOn w:val="Normal"/>
    <w:rsid w:val="008103CE"/>
    <w:pPr>
      <w:keepNext/>
      <w:spacing w:after="240"/>
    </w:pPr>
    <w:rPr>
      <w:rFonts w:ascii="Helvetica" w:eastAsia="Times New Roman" w:hAnsi="Helvetica" w:cs="Times New Roman"/>
      <w:b/>
      <w:caps/>
      <w:kern w:val="0"/>
      <w:sz w:val="22"/>
      <w:szCs w:val="20"/>
      <w:lang w:val="en-US"/>
      <w14:ligatures w14:val="none"/>
    </w:rPr>
  </w:style>
  <w:style w:type="character" w:styleId="Hyperlink">
    <w:name w:val="Hyperlink"/>
    <w:basedOn w:val="DefaultParagraphFont"/>
    <w:uiPriority w:val="99"/>
    <w:unhideWhenUsed/>
    <w:rsid w:val="00343EA0"/>
    <w:rPr>
      <w:color w:val="0563C1" w:themeColor="hyperlink"/>
      <w:u w:val="single"/>
    </w:rPr>
  </w:style>
  <w:style w:type="character" w:styleId="UnresolvedMention">
    <w:name w:val="Unresolved Mention"/>
    <w:basedOn w:val="DefaultParagraphFont"/>
    <w:uiPriority w:val="99"/>
    <w:semiHidden/>
    <w:unhideWhenUsed/>
    <w:rsid w:val="00343EA0"/>
    <w:rPr>
      <w:color w:val="605E5C"/>
      <w:shd w:val="clear" w:color="auto" w:fill="E1DFDD"/>
    </w:rPr>
  </w:style>
  <w:style w:type="paragraph" w:styleId="ListParagraph">
    <w:name w:val="List Paragraph"/>
    <w:basedOn w:val="Normal"/>
    <w:uiPriority w:val="34"/>
    <w:qFormat/>
    <w:rsid w:val="00343EA0"/>
    <w:pPr>
      <w:ind w:left="720"/>
      <w:contextualSpacing/>
    </w:pPr>
  </w:style>
  <w:style w:type="paragraph" w:styleId="NormalWeb">
    <w:name w:val="Normal (Web)"/>
    <w:basedOn w:val="Normal"/>
    <w:uiPriority w:val="99"/>
    <w:semiHidden/>
    <w:unhideWhenUsed/>
    <w:rsid w:val="00DF578C"/>
    <w:rPr>
      <w:rFonts w:ascii="Times New Roman" w:hAnsi="Times New Roman" w:cs="Times New Roman"/>
    </w:rPr>
  </w:style>
  <w:style w:type="character" w:styleId="PageNumber">
    <w:name w:val="page number"/>
    <w:basedOn w:val="DefaultParagraphFont"/>
    <w:uiPriority w:val="99"/>
    <w:semiHidden/>
    <w:unhideWhenUsed/>
    <w:rsid w:val="000F4F66"/>
  </w:style>
  <w:style w:type="paragraph" w:styleId="Header">
    <w:name w:val="header"/>
    <w:basedOn w:val="Normal"/>
    <w:link w:val="HeaderChar"/>
    <w:uiPriority w:val="99"/>
    <w:unhideWhenUsed/>
    <w:rsid w:val="00A90C8D"/>
    <w:pPr>
      <w:tabs>
        <w:tab w:val="center" w:pos="4513"/>
        <w:tab w:val="right" w:pos="9026"/>
      </w:tabs>
    </w:pPr>
  </w:style>
  <w:style w:type="character" w:customStyle="1" w:styleId="HeaderChar">
    <w:name w:val="Header Char"/>
    <w:basedOn w:val="DefaultParagraphFont"/>
    <w:link w:val="Header"/>
    <w:uiPriority w:val="99"/>
    <w:rsid w:val="00A90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4165">
      <w:bodyDiv w:val="1"/>
      <w:marLeft w:val="0"/>
      <w:marRight w:val="0"/>
      <w:marTop w:val="0"/>
      <w:marBottom w:val="0"/>
      <w:divBdr>
        <w:top w:val="none" w:sz="0" w:space="0" w:color="auto"/>
        <w:left w:val="none" w:sz="0" w:space="0" w:color="auto"/>
        <w:bottom w:val="none" w:sz="0" w:space="0" w:color="auto"/>
        <w:right w:val="none" w:sz="0" w:space="0" w:color="auto"/>
      </w:divBdr>
    </w:div>
    <w:div w:id="159395466">
      <w:bodyDiv w:val="1"/>
      <w:marLeft w:val="0"/>
      <w:marRight w:val="0"/>
      <w:marTop w:val="0"/>
      <w:marBottom w:val="0"/>
      <w:divBdr>
        <w:top w:val="none" w:sz="0" w:space="0" w:color="auto"/>
        <w:left w:val="none" w:sz="0" w:space="0" w:color="auto"/>
        <w:bottom w:val="none" w:sz="0" w:space="0" w:color="auto"/>
        <w:right w:val="none" w:sz="0" w:space="0" w:color="auto"/>
      </w:divBdr>
    </w:div>
    <w:div w:id="292440866">
      <w:bodyDiv w:val="1"/>
      <w:marLeft w:val="0"/>
      <w:marRight w:val="0"/>
      <w:marTop w:val="0"/>
      <w:marBottom w:val="0"/>
      <w:divBdr>
        <w:top w:val="none" w:sz="0" w:space="0" w:color="auto"/>
        <w:left w:val="none" w:sz="0" w:space="0" w:color="auto"/>
        <w:bottom w:val="none" w:sz="0" w:space="0" w:color="auto"/>
        <w:right w:val="none" w:sz="0" w:space="0" w:color="auto"/>
      </w:divBdr>
    </w:div>
    <w:div w:id="432626385">
      <w:bodyDiv w:val="1"/>
      <w:marLeft w:val="0"/>
      <w:marRight w:val="0"/>
      <w:marTop w:val="0"/>
      <w:marBottom w:val="0"/>
      <w:divBdr>
        <w:top w:val="none" w:sz="0" w:space="0" w:color="auto"/>
        <w:left w:val="none" w:sz="0" w:space="0" w:color="auto"/>
        <w:bottom w:val="none" w:sz="0" w:space="0" w:color="auto"/>
        <w:right w:val="none" w:sz="0" w:space="0" w:color="auto"/>
      </w:divBdr>
    </w:div>
    <w:div w:id="888806405">
      <w:bodyDiv w:val="1"/>
      <w:marLeft w:val="0"/>
      <w:marRight w:val="0"/>
      <w:marTop w:val="0"/>
      <w:marBottom w:val="0"/>
      <w:divBdr>
        <w:top w:val="none" w:sz="0" w:space="0" w:color="auto"/>
        <w:left w:val="none" w:sz="0" w:space="0" w:color="auto"/>
        <w:bottom w:val="none" w:sz="0" w:space="0" w:color="auto"/>
        <w:right w:val="none" w:sz="0" w:space="0" w:color="auto"/>
      </w:divBdr>
    </w:div>
    <w:div w:id="1202521387">
      <w:bodyDiv w:val="1"/>
      <w:marLeft w:val="0"/>
      <w:marRight w:val="0"/>
      <w:marTop w:val="0"/>
      <w:marBottom w:val="0"/>
      <w:divBdr>
        <w:top w:val="none" w:sz="0" w:space="0" w:color="auto"/>
        <w:left w:val="none" w:sz="0" w:space="0" w:color="auto"/>
        <w:bottom w:val="none" w:sz="0" w:space="0" w:color="auto"/>
        <w:right w:val="none" w:sz="0" w:space="0" w:color="auto"/>
      </w:divBdr>
    </w:div>
    <w:div w:id="1269312638">
      <w:bodyDiv w:val="1"/>
      <w:marLeft w:val="0"/>
      <w:marRight w:val="0"/>
      <w:marTop w:val="0"/>
      <w:marBottom w:val="0"/>
      <w:divBdr>
        <w:top w:val="none" w:sz="0" w:space="0" w:color="auto"/>
        <w:left w:val="none" w:sz="0" w:space="0" w:color="auto"/>
        <w:bottom w:val="none" w:sz="0" w:space="0" w:color="auto"/>
        <w:right w:val="none" w:sz="0" w:space="0" w:color="auto"/>
      </w:divBdr>
    </w:div>
    <w:div w:id="1366103723">
      <w:bodyDiv w:val="1"/>
      <w:marLeft w:val="0"/>
      <w:marRight w:val="0"/>
      <w:marTop w:val="0"/>
      <w:marBottom w:val="0"/>
      <w:divBdr>
        <w:top w:val="none" w:sz="0" w:space="0" w:color="auto"/>
        <w:left w:val="none" w:sz="0" w:space="0" w:color="auto"/>
        <w:bottom w:val="none" w:sz="0" w:space="0" w:color="auto"/>
        <w:right w:val="none" w:sz="0" w:space="0" w:color="auto"/>
      </w:divBdr>
    </w:div>
    <w:div w:id="1749617492">
      <w:bodyDiv w:val="1"/>
      <w:marLeft w:val="0"/>
      <w:marRight w:val="0"/>
      <w:marTop w:val="0"/>
      <w:marBottom w:val="0"/>
      <w:divBdr>
        <w:top w:val="none" w:sz="0" w:space="0" w:color="auto"/>
        <w:left w:val="none" w:sz="0" w:space="0" w:color="auto"/>
        <w:bottom w:val="none" w:sz="0" w:space="0" w:color="auto"/>
        <w:right w:val="none" w:sz="0" w:space="0" w:color="auto"/>
      </w:divBdr>
    </w:div>
    <w:div w:id="2056345766">
      <w:bodyDiv w:val="1"/>
      <w:marLeft w:val="0"/>
      <w:marRight w:val="0"/>
      <w:marTop w:val="0"/>
      <w:marBottom w:val="0"/>
      <w:divBdr>
        <w:top w:val="none" w:sz="0" w:space="0" w:color="auto"/>
        <w:left w:val="none" w:sz="0" w:space="0" w:color="auto"/>
        <w:bottom w:val="none" w:sz="0" w:space="0" w:color="auto"/>
        <w:right w:val="none" w:sz="0" w:space="0" w:color="auto"/>
      </w:divBdr>
    </w:div>
    <w:div w:id="2058317414">
      <w:bodyDiv w:val="1"/>
      <w:marLeft w:val="0"/>
      <w:marRight w:val="0"/>
      <w:marTop w:val="0"/>
      <w:marBottom w:val="0"/>
      <w:divBdr>
        <w:top w:val="none" w:sz="0" w:space="0" w:color="auto"/>
        <w:left w:val="none" w:sz="0" w:space="0" w:color="auto"/>
        <w:bottom w:val="none" w:sz="0" w:space="0" w:color="auto"/>
        <w:right w:val="none" w:sz="0" w:space="0" w:color="auto"/>
      </w:divBdr>
    </w:div>
    <w:div w:id="213105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pjph.halal.go.id/read/sihalal-diperbarui-begini-panduan-mudah-daftar-sertifikasi-halal?utm_source=chatgpt.com" TargetMode="External"/><Relationship Id="rId18" Type="http://schemas.openxmlformats.org/officeDocument/2006/relationships/hyperlink" Target="https://www.halal.or.th/en/?utm_source=chatgpt.com" TargetMode="External"/><Relationship Id="rId26" Type="http://schemas.openxmlformats.org/officeDocument/2006/relationships/hyperlink" Target="https://doi.org/10.1108/JIMA-03-2023-0069" TargetMode="External"/><Relationship Id="rId39" Type="http://schemas.openxmlformats.org/officeDocument/2006/relationships/header" Target="header1.xml"/><Relationship Id="rId21" Type="http://schemas.openxmlformats.org/officeDocument/2006/relationships/hyperlink" Target="https://peraturan.bpk.go.id/Details/38709/uu-no-33-tahun-2014" TargetMode="External"/><Relationship Id="rId34" Type="http://schemas.openxmlformats.org/officeDocument/2006/relationships/hyperlink" Target="https://doi.org/10.1108/BFJ-04-2016-0150" TargetMode="External"/><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icot.or.th/storages/contents/attachments/3._On_The_requirements_for_certification_process_of_Halal_products_B.E.2559..pdf?utm_source=chatgpt.com" TargetMode="External"/><Relationship Id="rId29" Type="http://schemas.openxmlformats.org/officeDocument/2006/relationships/hyperlink" Target="https://www.miti.gov.my/index.php/announcements/view/300?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pjph.halal.go.id/read/bpjph-17-oktober-2026-produk-makanan-minuman-umk-harus-sudah-bersertifikat-halal-bagaimana-dengan-produk-luar-negeri?utm_source=chatgpt.com" TargetMode="External"/><Relationship Id="rId24" Type="http://schemas.openxmlformats.org/officeDocument/2006/relationships/hyperlink" Target="https://www.halalscience.org/en/hal-q-en/" TargetMode="External"/><Relationship Id="rId32" Type="http://schemas.openxmlformats.org/officeDocument/2006/relationships/hyperlink" Target="https://halcert.mst.gov.vn/tin-tuc-va-su-kien/tang-cuong-hop-tac-quoc-te-de-phat-trien-nganh-halal-viet-nam/?utm_source=chatgpt.com" TargetMode="External"/><Relationship Id="rId37" Type="http://schemas.openxmlformats.org/officeDocument/2006/relationships/hyperlink" Target="https://study.sagepub.com/yin6e?utm_source=chatgpt.com"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3316/QRJ0902027" TargetMode="External"/><Relationship Id="rId23" Type="http://schemas.openxmlformats.org/officeDocument/2006/relationships/hyperlink" Target="https://hip.hdcglobal.com?utm_source=chatgpt.com" TargetMode="External"/><Relationship Id="rId28" Type="http://schemas.openxmlformats.org/officeDocument/2006/relationships/hyperlink" Target="https://moit.gov.vn/en/news/vietnam-malaysia-trade-records-strong-growth-in-five-months-of-2026.html?utm_source=chatgpt.com" TargetMode="External"/><Relationship Id="rId36" Type="http://schemas.openxmlformats.org/officeDocument/2006/relationships/hyperlink" Target="https://doi.org/10.1108/17590831211259727" TargetMode="External"/><Relationship Id="rId10" Type="http://schemas.openxmlformats.org/officeDocument/2006/relationships/hyperlink" Target="https://doi.org/10.1108/JIMA-12-2023-0412" TargetMode="External"/><Relationship Id="rId19" Type="http://schemas.openxmlformats.org/officeDocument/2006/relationships/hyperlink" Target="https://doi.org/10.1108/JIMA-06-2023-0167" TargetMode="External"/><Relationship Id="rId31" Type="http://schemas.openxmlformats.org/officeDocument/2006/relationships/hyperlink" Target="https://halcert.mst.gov.vn/en/tap-san/meeting-halal-standards-paving-the-way-for-businesses-to-enter-the-islamic-market/?utm_source=chatgpt.com"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1080/23311975.2023.2246739" TargetMode="External"/><Relationship Id="rId14" Type="http://schemas.openxmlformats.org/officeDocument/2006/relationships/hyperlink" Target="https://bpjph.halal.go.id/read/bpjph-dan-k-l-terkait-rakor-perkuat-kebijakan-produk-impor-jelang-implementasi-wajib-halal-oktober-2026?utm_source=chatgpt.com" TargetMode="External"/><Relationship Id="rId22" Type="http://schemas.openxmlformats.org/officeDocument/2006/relationships/hyperlink" Target="https://peraturan.bpk.go.id/Details/304896/pp-no-42-tahun-2024" TargetMode="External"/><Relationship Id="rId27" Type="http://schemas.openxmlformats.org/officeDocument/2006/relationships/hyperlink" Target="https://www.kpdn.gov.my/en/submenu/enforcement-submenu/protecting-intellectual-property/trade-description" TargetMode="External"/><Relationship Id="rId30" Type="http://schemas.openxmlformats.org/officeDocument/2006/relationships/hyperlink" Target="https://halcert.mst.gov.vn/en/about-halcert/?utm_source=chatgpt.com" TargetMode="External"/><Relationship Id="rId35" Type="http://schemas.openxmlformats.org/officeDocument/2006/relationships/hyperlink" Target="https://doi.org/10.1007/s41870-023-01650-8" TargetMode="External"/><Relationship Id="rId43" Type="http://schemas.openxmlformats.org/officeDocument/2006/relationships/header" Target="header3.xml"/><Relationship Id="rId8" Type="http://schemas.openxmlformats.org/officeDocument/2006/relationships/hyperlink" Target="https://asean.org/wp-content/uploads/2026/01/ASEAN-Digital-Master-Plan-2030-final-2026.pdf?utm_source=chatgpt.com" TargetMode="External"/><Relationship Id="rId3" Type="http://schemas.openxmlformats.org/officeDocument/2006/relationships/styles" Target="styles.xml"/><Relationship Id="rId12" Type="http://schemas.openxmlformats.org/officeDocument/2006/relationships/hyperlink" Target="https://bpjph.halal.go.id/read/kabar-baik-registrasi-sertifikat-halal-luar-negeri-dibuka-di-menu-sihalal?utm_source=chatgpt.com" TargetMode="External"/><Relationship Id="rId17" Type="http://schemas.openxmlformats.org/officeDocument/2006/relationships/hyperlink" Target="https://www.halal.co.th/en/" TargetMode="External"/><Relationship Id="rId25" Type="http://schemas.openxmlformats.org/officeDocument/2006/relationships/hyperlink" Target="https://doi.org/10.1093/jiel/jgac003" TargetMode="External"/><Relationship Id="rId33" Type="http://schemas.openxmlformats.org/officeDocument/2006/relationships/hyperlink" Target="https://doi.org/10.21603/2308-4057-2021-1-106-116" TargetMode="External"/><Relationship Id="rId38" Type="http://schemas.openxmlformats.org/officeDocument/2006/relationships/hyperlink" Target="https://doi.org/10.1108/BFJ-10-2025-1440" TargetMode="External"/><Relationship Id="rId46" Type="http://schemas.openxmlformats.org/officeDocument/2006/relationships/theme" Target="theme/theme1.xml"/><Relationship Id="rId20" Type="http://schemas.openxmlformats.org/officeDocument/2006/relationships/hyperlink" Target="https://www.dinarstandard.com/insights/state-of-the-global-islamic-economy-report-2025-26?utm_source=chatgpt.com"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BC8A7-A9B7-5842-A90C-F52DB58AA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16</Pages>
  <Words>8756</Words>
  <Characters>49913</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SDI CPU 1117</cp:lastModifiedBy>
  <cp:revision>21</cp:revision>
  <dcterms:created xsi:type="dcterms:W3CDTF">2026-07-24T15:23:00Z</dcterms:created>
  <dcterms:modified xsi:type="dcterms:W3CDTF">2026-08-21T06:48:00Z</dcterms:modified>
</cp:coreProperties>
</file>