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826AB" w14:textId="77777777" w:rsidR="005E0EA4" w:rsidRPr="009A627C" w:rsidRDefault="005E0EA4" w:rsidP="005E0EA4">
      <w:pPr>
        <w:shd w:val="clear" w:color="auto" w:fill="FFFFFF"/>
        <w:spacing w:before="240" w:after="240"/>
        <w:jc w:val="right"/>
        <w:rPr>
          <w:rFonts w:ascii="Times New Roman" w:hAnsi="Times New Roman"/>
          <w:b/>
          <w:bCs/>
          <w:color w:val="0F1115"/>
          <w:sz w:val="32"/>
          <w:szCs w:val="32"/>
        </w:rPr>
      </w:pPr>
      <w:r w:rsidRPr="009A627C">
        <w:rPr>
          <w:b/>
          <w:bCs/>
          <w:sz w:val="24"/>
          <w:szCs w:val="24"/>
          <w:highlight w:val="yellow"/>
        </w:rPr>
        <w:t>Functional Role of Cosmos (</w:t>
      </w:r>
      <w:r w:rsidRPr="009A627C">
        <w:rPr>
          <w:b/>
          <w:bCs/>
          <w:i/>
          <w:sz w:val="24"/>
          <w:szCs w:val="24"/>
          <w:highlight w:val="yellow"/>
        </w:rPr>
        <w:t>Cosmos caudatus</w:t>
      </w:r>
      <w:r w:rsidRPr="009A627C">
        <w:rPr>
          <w:b/>
          <w:bCs/>
          <w:sz w:val="24"/>
          <w:szCs w:val="24"/>
          <w:highlight w:val="yellow"/>
        </w:rPr>
        <w:t> Kunth) Refugia in Supporting Agroecosystem Balance of Cayenne Pepper (</w:t>
      </w:r>
      <w:r w:rsidRPr="009A627C">
        <w:rPr>
          <w:b/>
          <w:bCs/>
          <w:i/>
          <w:sz w:val="24"/>
          <w:szCs w:val="24"/>
          <w:highlight w:val="yellow"/>
        </w:rPr>
        <w:t>Capsicum frutescens</w:t>
      </w:r>
      <w:r w:rsidRPr="009A627C">
        <w:rPr>
          <w:b/>
          <w:bCs/>
          <w:sz w:val="24"/>
          <w:szCs w:val="24"/>
          <w:highlight w:val="yellow"/>
        </w:rPr>
        <w:t> L.)</w:t>
      </w:r>
    </w:p>
    <w:p w14:paraId="4FB0555F" w14:textId="77777777" w:rsidR="005E0EA4" w:rsidRDefault="005E0EA4" w:rsidP="005E0EA4">
      <w:pPr>
        <w:shd w:val="clear" w:color="auto" w:fill="FFFFFF"/>
        <w:spacing w:before="240" w:after="240"/>
        <w:jc w:val="right"/>
        <w:rPr>
          <w:rFonts w:ascii="Arial" w:hAnsi="Arial" w:cs="Arial"/>
          <w:b/>
          <w:bCs/>
          <w:color w:val="0F1115"/>
        </w:rPr>
      </w:pPr>
    </w:p>
    <w:p w14:paraId="3AC802E4" w14:textId="77777777" w:rsidR="002C57D2" w:rsidRPr="00FB3A86" w:rsidRDefault="002C57D2" w:rsidP="00441B6F">
      <w:pPr>
        <w:pStyle w:val="Affiliation"/>
        <w:spacing w:after="0" w:line="240" w:lineRule="auto"/>
        <w:jc w:val="both"/>
        <w:rPr>
          <w:rFonts w:ascii="Arial" w:hAnsi="Arial" w:cs="Arial"/>
        </w:rPr>
      </w:pPr>
    </w:p>
    <w:p w14:paraId="2623B574" w14:textId="77777777" w:rsidR="00B01FCD" w:rsidRPr="00FB3A86" w:rsidRDefault="00766FA0" w:rsidP="00441B6F">
      <w:pPr>
        <w:pStyle w:val="Copyright"/>
        <w:spacing w:after="0" w:line="240" w:lineRule="auto"/>
        <w:jc w:val="both"/>
        <w:rPr>
          <w:rFonts w:ascii="Arial" w:hAnsi="Arial" w:cs="Arial"/>
        </w:rPr>
        <w:sectPr w:rsidR="00B01FCD" w:rsidRPr="00FB3A86" w:rsidSect="003F5D42">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0664D0A" wp14:editId="6F2364F6">
                <wp:extent cx="5303520" cy="635"/>
                <wp:effectExtent l="13335" t="13335" r="17145" b="15240"/>
                <wp:docPr id="149592677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93AC108"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42F4E7B3" w14:textId="77777777"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48699F95"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0452910C" w14:textId="77777777" w:rsidTr="001E44FE">
        <w:tc>
          <w:tcPr>
            <w:tcW w:w="9576" w:type="dxa"/>
            <w:shd w:val="clear" w:color="auto" w:fill="F2F2F2"/>
          </w:tcPr>
          <w:p w14:paraId="171C0401" w14:textId="77777777" w:rsidR="00E3114E" w:rsidRDefault="00E3114E" w:rsidP="00441B6F">
            <w:pPr>
              <w:pStyle w:val="Body"/>
              <w:spacing w:after="0"/>
              <w:rPr>
                <w:rFonts w:ascii="Arial" w:eastAsia="Calibri" w:hAnsi="Arial" w:cs="Arial"/>
                <w:szCs w:val="22"/>
              </w:rPr>
            </w:pPr>
          </w:p>
          <w:p w14:paraId="28D24AEB" w14:textId="77777777" w:rsidR="00BA1B01" w:rsidRPr="00D51877" w:rsidRDefault="00BA1B01" w:rsidP="00441B6F">
            <w:pPr>
              <w:pStyle w:val="Body"/>
              <w:spacing w:after="0"/>
              <w:rPr>
                <w:rFonts w:ascii="Arial" w:eastAsia="Calibri" w:hAnsi="Arial" w:cs="Arial"/>
              </w:rPr>
            </w:pPr>
            <w:r>
              <w:rPr>
                <w:b/>
                <w:highlight w:val="yellow"/>
              </w:rPr>
              <w:t>Aims:</w:t>
            </w:r>
            <w:r>
              <w:rPr>
                <w:highlight w:val="yellow"/>
              </w:rPr>
              <w:t>This study aimed to evaluate the functional role of Cosmos (</w:t>
            </w:r>
            <w:r>
              <w:rPr>
                <w:i/>
                <w:highlight w:val="yellow"/>
              </w:rPr>
              <w:t>Cosmos caudatus</w:t>
            </w:r>
            <w:r>
              <w:rPr>
                <w:highlight w:val="yellow"/>
              </w:rPr>
              <w:t> Kunth) refugia in supporting agroecosystem balance through the provision of ecological services, particularly the conservation of natural enemies and the suppression of pest populations in cayenne pepper (</w:t>
            </w:r>
            <w:r>
              <w:rPr>
                <w:i/>
                <w:highlight w:val="yellow"/>
              </w:rPr>
              <w:t>Capsicum frutescens</w:t>
            </w:r>
            <w:r>
              <w:rPr>
                <w:highlight w:val="yellow"/>
              </w:rPr>
              <w:t> L.).</w:t>
            </w:r>
          </w:p>
          <w:p w14:paraId="2690E7D3" w14:textId="77777777" w:rsidR="00D51877" w:rsidRDefault="00BA1B01" w:rsidP="00441B6F">
            <w:pPr>
              <w:pStyle w:val="Body"/>
              <w:spacing w:after="0"/>
              <w:rPr>
                <w:rFonts w:ascii="Arial" w:hAnsi="Arial" w:cs="Arial"/>
                <w:color w:val="0F1115"/>
                <w:lang w:val="en"/>
              </w:rPr>
            </w:pPr>
            <w:r>
              <w:rPr>
                <w:b/>
                <w:highlight w:val="yellow"/>
              </w:rPr>
              <w:t>Study design:</w:t>
            </w:r>
            <w:r>
              <w:rPr>
                <w:highlight w:val="yellow"/>
              </w:rPr>
              <w:t>The study employed quantitative descriptive analysis, followed by a two-sample t-test assuming unequal variances, to compare diversity, evenness, and dominance indices between the treatments.</w:t>
            </w:r>
          </w:p>
          <w:p w14:paraId="201A43F3" w14:textId="77777777" w:rsidR="00BA1B01" w:rsidRPr="00D51877" w:rsidRDefault="00BA1B01" w:rsidP="00441B6F">
            <w:pPr>
              <w:pStyle w:val="Body"/>
              <w:spacing w:after="0"/>
              <w:rPr>
                <w:rFonts w:ascii="Arial" w:eastAsia="Calibri" w:hAnsi="Arial" w:cs="Arial"/>
              </w:rPr>
            </w:pPr>
            <w:r>
              <w:rPr>
                <w:b/>
                <w:highlight w:val="yellow"/>
              </w:rPr>
              <w:t>Place and Duration of Study:</w:t>
            </w:r>
            <w:r>
              <w:rPr>
                <w:highlight w:val="yellow"/>
              </w:rPr>
              <w:t>Field activities were conducted in Lolu Village, Sigi Biromaru Subdistrict, Sigi Regency, Central Sulawesi, from October 2024 to March 2025.</w:t>
            </w:r>
          </w:p>
          <w:p w14:paraId="2AAD80E5" w14:textId="77777777" w:rsidR="00BA1B01" w:rsidRPr="00D51877" w:rsidRDefault="00BA1B01" w:rsidP="00441B6F">
            <w:pPr>
              <w:pStyle w:val="Body"/>
              <w:spacing w:after="0"/>
              <w:rPr>
                <w:rFonts w:ascii="Arial" w:eastAsia="Calibri" w:hAnsi="Arial" w:cs="Arial"/>
              </w:rPr>
            </w:pPr>
            <w:r>
              <w:rPr>
                <w:b/>
                <w:highlight w:val="yellow"/>
              </w:rPr>
              <w:t>Methodology:</w:t>
            </w:r>
            <w:r>
              <w:rPr>
                <w:highlight w:val="yellow"/>
              </w:rPr>
              <w:t>Two treatments were compared: cayenne pepper plots with Cosmos refugia and plots without refugia (control). Arthropod sampling was performed weekly for 10 weeks (14 to 77 days after planting [DAP]) using yellow traps, pitfall traps, and hand collection. Data analysis focused on functional-role composition. The arthropod diversity index was determined using the Shannon–Wiener formula; the arthropod evenness index was calculated using the Pielou formula and the modified Ludwig and Reynolds formula; and the arthropod dominance index was calculated using the modified Simpson formula.</w:t>
            </w:r>
          </w:p>
          <w:p w14:paraId="5D368CD5" w14:textId="77777777" w:rsidR="00BA1B01" w:rsidRPr="00D51877" w:rsidRDefault="00BA1B01" w:rsidP="00441B6F">
            <w:pPr>
              <w:pStyle w:val="Body"/>
              <w:spacing w:after="0"/>
              <w:rPr>
                <w:rFonts w:ascii="Arial" w:eastAsia="Calibri" w:hAnsi="Arial" w:cs="Arial"/>
                <w:b/>
                <w:bCs/>
              </w:rPr>
            </w:pPr>
            <w:r>
              <w:rPr>
                <w:b/>
                <w:highlight w:val="yellow"/>
              </w:rPr>
              <w:t>Results:</w:t>
            </w:r>
            <w:r>
              <w:rPr>
                <w:highlight w:val="yellow"/>
              </w:rPr>
              <w:t>Refugia plots contained 2,350 individuals from 36 families, whereas control plots contained 1,997 individuals from 26 families. Predators represented 26.9% (631 individuals) of arthropods in refugia plots compared with 3.8% (76 individuals) in plots without refugia. Parasitoid groups (Ichneumonidae, Tachinidae, and Tiphiidae) were detected exclusively in refugia plots. Pollinator abundance increased from 0.5% (10 individuals) to 6.4% (151 individuals) in the presence of refugia, whereas the pest proportion decreased from 93.6% to 60.4%. The mean diversity index was significantly higher in refugia plots (2.525) than in control plots (2.122) (p = 0.009), while the dominance index was significantly lower in refugia plots (0.107) than in control plots (0.148) (p = 0.012). These findings indicate that cosmos refugia support beneficial arthropod populations and the conservation of natural enemies, thereby contributing to agroecosystem balance.</w:t>
            </w:r>
          </w:p>
          <w:p w14:paraId="10C5B7B3" w14:textId="77777777" w:rsidR="00CD5A52" w:rsidRPr="00CD5A52" w:rsidRDefault="00BA1B01" w:rsidP="00CD5A52">
            <w:pPr>
              <w:pStyle w:val="Body"/>
              <w:spacing w:after="0"/>
              <w:rPr>
                <w:rFonts w:ascii="Arial" w:eastAsia="Calibri" w:hAnsi="Arial" w:cs="Arial"/>
              </w:rPr>
            </w:pPr>
            <w:r>
              <w:rPr>
                <w:b/>
                <w:highlight w:val="yellow"/>
              </w:rPr>
              <w:t>Conclusion:</w:t>
            </w:r>
            <w:r>
              <w:rPr>
                <w:highlight w:val="yellow"/>
              </w:rPr>
              <w:t>Cayenne pepper plots with Cosmos refugia supported higher proportions of predators (26.9%) and parasitoids (3.9%) than plots without refugia (3.8% predators and 0% parasitoids). Parasitoid groups (Ichneumonidae, Tachinidae, and Tiphiidae) were found exclusively in refugia plots, indicating a role for refugia in providing nectar resources for adult parasitoids. The presence of Cosmos refugia was associated with a lower pest proportion (60.4% versus 93.6% without refugia). Pollinator populations were also higher in refugia plots (6.4% versus 0.5%), particularly among Halictidae, Nymphalidae, and Stratiomyidae. Overall, the observed community composition and ecological indices indicate that Cosmos refugia can support ecosystem services related to biological control, pollination, and nutrient cycling in cayenne pepper cropping systems.</w:t>
            </w:r>
          </w:p>
          <w:p w14:paraId="0C250C39" w14:textId="77777777" w:rsidR="00505F06" w:rsidRPr="00BA1B01" w:rsidRDefault="00505F06" w:rsidP="00441B6F">
            <w:pPr>
              <w:pStyle w:val="Body"/>
              <w:spacing w:after="0"/>
              <w:rPr>
                <w:rFonts w:ascii="Arial" w:eastAsia="Calibri" w:hAnsi="Arial" w:cs="Arial"/>
                <w:szCs w:val="22"/>
              </w:rPr>
            </w:pPr>
          </w:p>
        </w:tc>
      </w:tr>
    </w:tbl>
    <w:p w14:paraId="6E931E85" w14:textId="77777777" w:rsidR="00636EB2" w:rsidRDefault="00636EB2" w:rsidP="00441B6F">
      <w:pPr>
        <w:pStyle w:val="Body"/>
        <w:spacing w:after="0"/>
        <w:rPr>
          <w:rFonts w:ascii="Arial" w:hAnsi="Arial" w:cs="Arial"/>
          <w:i/>
        </w:rPr>
      </w:pPr>
    </w:p>
    <w:p w14:paraId="1D06D81E" w14:textId="77777777" w:rsidR="00A24E7E" w:rsidRDefault="00A24E7E" w:rsidP="00441B6F">
      <w:pPr>
        <w:pStyle w:val="Body"/>
        <w:spacing w:after="0"/>
        <w:rPr>
          <w:rFonts w:ascii="Arial" w:hAnsi="Arial" w:cs="Arial"/>
          <w:i/>
        </w:rPr>
      </w:pPr>
      <w:r>
        <w:rPr>
          <w:rFonts w:ascii="Arial" w:hAnsi="Arial" w:cs="Arial"/>
          <w:i/>
        </w:rPr>
        <w:lastRenderedPageBreak/>
        <w:t xml:space="preserve">Keywords: </w:t>
      </w:r>
      <w:r w:rsidR="00CD5A52" w:rsidRPr="00CD5A52">
        <w:rPr>
          <w:rFonts w:ascii="Arial" w:hAnsi="Arial" w:cs="Arial"/>
          <w:i/>
          <w:lang w:val="en"/>
        </w:rPr>
        <w:t>Capsicum frutescens, Cosmos caudatus, refugia, functional role, natural enemies, biological control, agroecosystem balance</w:t>
      </w:r>
    </w:p>
    <w:p w14:paraId="2A9DBDDB" w14:textId="77777777" w:rsidR="00790ADA" w:rsidRDefault="00790ADA" w:rsidP="00441B6F">
      <w:pPr>
        <w:pStyle w:val="Body"/>
        <w:spacing w:after="0"/>
        <w:rPr>
          <w:rFonts w:ascii="Arial" w:hAnsi="Arial" w:cs="Arial"/>
          <w:i/>
        </w:rPr>
      </w:pPr>
    </w:p>
    <w:p w14:paraId="008954ED" w14:textId="77777777" w:rsidR="00505F06" w:rsidRPr="00A24E7E" w:rsidRDefault="00505F06" w:rsidP="00441B6F">
      <w:pPr>
        <w:pStyle w:val="Body"/>
        <w:spacing w:after="0"/>
        <w:rPr>
          <w:rFonts w:ascii="Arial" w:hAnsi="Arial" w:cs="Arial"/>
          <w:i/>
        </w:rPr>
      </w:pPr>
    </w:p>
    <w:p w14:paraId="2F8BBDD3"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1EFE0433" w14:textId="77777777" w:rsidR="00790ADA" w:rsidRPr="00FB3A86" w:rsidRDefault="00790ADA" w:rsidP="00441B6F">
      <w:pPr>
        <w:pStyle w:val="AbstHead"/>
        <w:spacing w:after="0"/>
        <w:jc w:val="both"/>
        <w:rPr>
          <w:rFonts w:ascii="Arial" w:hAnsi="Arial" w:cs="Arial"/>
        </w:rPr>
      </w:pPr>
    </w:p>
    <w:p w14:paraId="11F3CE84" w14:textId="77777777" w:rsidR="00CD5A52" w:rsidRDefault="00485CEF" w:rsidP="00B27D63">
      <w:pPr>
        <w:pStyle w:val="Body"/>
        <w:spacing w:after="0"/>
        <w:ind w:firstLine="567"/>
        <w:rPr>
          <w:rFonts w:ascii="Arial" w:hAnsi="Arial" w:cs="Arial"/>
          <w:lang w:val="en"/>
        </w:rPr>
      </w:pPr>
      <w:r>
        <w:rPr>
          <w:highlight w:val="yellow"/>
        </w:rPr>
        <w:t>Cayenne pepper (</w:t>
      </w:r>
      <w:r>
        <w:rPr>
          <w:i/>
          <w:highlight w:val="yellow"/>
        </w:rPr>
        <w:t>Capsicum frutescens</w:t>
      </w:r>
      <w:r>
        <w:rPr>
          <w:highlight w:val="yellow"/>
        </w:rPr>
        <w:t xml:space="preserve"> L.) is a high-value horticultural commodity with steadily increasing market demand in Indonesia (Jeksen &amp; Sari, 2022). However, its productivity faces serious constraints from plant pests, particularly arthropods such as whiteflies (Aleyrodidae), leafhoppers (Cicadellidae), stink bugs (Pentatomidae), and fruit flies (Tephritidae) (Setiawan et al., 2023). Data from Statistics Indonesia indicate that national cayenne pepper production declined from 1,544,441 tonnes in 2022 to 1,506,762 tonnes in 2023, with a similar trend observed in Central Sulawesi (BPS-Statistics Indonesia, 2024).</w:t>
      </w:r>
    </w:p>
    <w:p w14:paraId="51465FB4" w14:textId="77777777" w:rsidR="003D3DDD" w:rsidRDefault="00265203" w:rsidP="00B27D63">
      <w:pPr>
        <w:pStyle w:val="Body"/>
        <w:spacing w:after="0"/>
        <w:ind w:firstLine="567"/>
        <w:rPr>
          <w:rFonts w:ascii="Arial" w:hAnsi="Arial" w:cs="Arial"/>
          <w:lang w:val="en"/>
        </w:rPr>
      </w:pPr>
      <w:r>
        <w:rPr>
          <w:highlight w:val="yellow"/>
        </w:rPr>
        <w:t>Conventional pest-control practices that rely heavily on synthetic pesticides have been shown to cause various negative consequences, including pest resistance, pest resurgence, mortality of natural enemies, and environmental pollution (Al Naggar et al., 2025; Khan &amp; Ahmad, 2019). This situation highlights the need for a more environmentally friendly Integrated Pest Management (IPM) approach. One promising IPM strategy is habitat manipulation through the planting of refugia crops. Refugia are defined as vegetation other than the main crop that provides shelter, alternative food sources (nectar and pollen), and breeding grounds for natural enemies such as predators, parasitoids, and pollinators (Mahanani et al., 2020; Sanz-Martín et al., 2026). Planting refugia has been reported to increase populations of beneficial insects that naturally regulate pests, thereby supporting agroecosystem balance (Putri et al., 2025; Sánchez-Velásquez et al., 2023).</w:t>
      </w:r>
    </w:p>
    <w:p w14:paraId="13D25200" w14:textId="77777777" w:rsidR="00ED454A" w:rsidRDefault="00000000">
      <w:pPr>
        <w:pStyle w:val="Body"/>
        <w:spacing w:after="0"/>
        <w:ind w:firstLine="567"/>
        <w:rPr>
          <w:rFonts w:ascii="Arial" w:hAnsi="Arial" w:cs="Arial"/>
          <w:lang w:val="en"/>
        </w:rPr>
      </w:pPr>
      <w:r>
        <w:rPr>
          <w:highlight w:val="yellow"/>
        </w:rPr>
        <w:t>Recent syntheses and crop-based observations further support the conservation of predators and parasitoids as a core component of biodiversity-based pest regulation in agricultural systems (Chaitanya et al., 2024; Mallick et al., 2026).</w:t>
      </w:r>
    </w:p>
    <w:p w14:paraId="06A07E74" w14:textId="77777777" w:rsidR="00CD5A52" w:rsidRPr="003D3DDD" w:rsidRDefault="00265203" w:rsidP="00B27D63">
      <w:pPr>
        <w:pStyle w:val="Body"/>
        <w:spacing w:after="0"/>
        <w:ind w:firstLine="567"/>
        <w:rPr>
          <w:rFonts w:ascii="Arial" w:hAnsi="Arial" w:cs="Arial"/>
          <w:b/>
          <w:bCs/>
          <w:lang w:val="en"/>
        </w:rPr>
      </w:pPr>
      <w:r>
        <w:rPr>
          <w:highlight w:val="yellow"/>
        </w:rPr>
        <w:t>The functional role of refugia plants in agroecosystems encompasses four primary ecological functions: serving as a resource for natural enemies (predators and parasitoids) by providing nectar, pollen, and microhabitats; supporting pollinator populations that facilitate crop pollination; regulating pest populations through increased predation and parasitism pressure; and sustaining functional biodiversity that contributes to ecosystem stability (Aminah et al., 2021). This functional-role-based approach allows for a more practical understanding of how refugia contribute to natural pest control and agricultural sustainability than merely measuring general species diversity (Trevisan et al., 2026).</w:t>
      </w:r>
    </w:p>
    <w:p w14:paraId="561FE14F" w14:textId="77777777" w:rsidR="00CD5A52" w:rsidRDefault="00265203" w:rsidP="00B27D63">
      <w:pPr>
        <w:pStyle w:val="Body"/>
        <w:spacing w:after="0"/>
        <w:ind w:firstLine="567"/>
        <w:rPr>
          <w:rFonts w:ascii="Arial" w:hAnsi="Arial" w:cs="Arial"/>
          <w:lang w:val="en"/>
        </w:rPr>
      </w:pPr>
      <w:r>
        <w:rPr>
          <w:highlight w:val="yellow"/>
        </w:rPr>
        <w:t>Cosmos (</w:t>
      </w:r>
      <w:r>
        <w:rPr>
          <w:i/>
          <w:highlight w:val="yellow"/>
        </w:rPr>
        <w:t>Cosmos caudatus</w:t>
      </w:r>
      <w:r>
        <w:rPr>
          <w:highlight w:val="yellow"/>
        </w:rPr>
        <w:t xml:space="preserve"> Kunth) is a flowering plant with significant potential as a refugium. Its conspicuous flowers and ability to bloom throughout the growing season make it a reliable source of nectar and pollen for various beneficial arthropods (Cheng et al., 2015). The plant is highly adaptable to diverse environmental conditions and can thrive without intensive maintenance (Ahda et al., 2023). Cosmos flowers are known to attract pollinators such as bees, wasps, and butterflies, as well as parasitoids and predators (Rueda-Uribe et al., 2025). The advantages of cosmos as a refugium lie in its open flower morphology (ray floret type), which facilitates insect access to nectar and pollen, and its extended flowering period (Putri et al., 2025).</w:t>
      </w:r>
    </w:p>
    <w:p w14:paraId="2013843E" w14:textId="77777777" w:rsidR="00ED454A" w:rsidRDefault="00000000">
      <w:pPr>
        <w:pStyle w:val="Body"/>
        <w:spacing w:after="0"/>
        <w:ind w:firstLine="567"/>
        <w:rPr>
          <w:rFonts w:ascii="Arial" w:hAnsi="Arial" w:cs="Arial"/>
          <w:lang w:val="en"/>
        </w:rPr>
      </w:pPr>
      <w:r>
        <w:rPr>
          <w:highlight w:val="yellow"/>
        </w:rPr>
        <w:t>Flower-strip studies indicate that the functional value of flowering vegetation depends on the resources it provides to natural enemies, particularly accessible nectar and alternative prey, and that these resources can influence predator–prey ratios, parasitism, and pest regulation (Gardarin, 2023).</w:t>
      </w:r>
    </w:p>
    <w:p w14:paraId="27C5119F" w14:textId="77777777" w:rsidR="00ED454A" w:rsidRDefault="00000000">
      <w:pPr>
        <w:pStyle w:val="Body"/>
        <w:spacing w:after="0"/>
        <w:ind w:firstLine="567"/>
        <w:rPr>
          <w:rFonts w:ascii="Arial" w:hAnsi="Arial" w:cs="Arial"/>
          <w:lang w:val="en"/>
        </w:rPr>
      </w:pPr>
      <w:r>
        <w:rPr>
          <w:highlight w:val="yellow"/>
        </w:rPr>
        <w:t>Field evidence from a perennial fruit system further indicates that companion flower strips can increase predatory arthropod abundance and associated biocontrol services, supporting flowering habitats as a habitat-management tool (Han et al., 2025).</w:t>
      </w:r>
    </w:p>
    <w:p w14:paraId="4E41C519" w14:textId="77777777" w:rsidR="00CD5A52" w:rsidRDefault="00265203" w:rsidP="00B27D63">
      <w:pPr>
        <w:pStyle w:val="Body"/>
        <w:spacing w:after="0"/>
        <w:ind w:firstLine="567"/>
        <w:rPr>
          <w:rFonts w:ascii="Arial" w:hAnsi="Arial" w:cs="Arial"/>
          <w:lang w:val="en"/>
        </w:rPr>
      </w:pPr>
      <w:r>
        <w:rPr>
          <w:highlight w:val="yellow"/>
        </w:rPr>
        <w:t xml:space="preserve">The functional success of a refugia strategy can be evaluated using a community ecology approach by analysing arthropod community structure through three primary indices: </w:t>
      </w:r>
      <w:r>
        <w:rPr>
          <w:highlight w:val="yellow"/>
        </w:rPr>
        <w:lastRenderedPageBreak/>
        <w:t>the Shannon–Wiener Diversity Index (H'), Pielou’s Evenness Index (E), and Simpson’s Dominance Index (C). These indices provide insights into species richness, the evenness of individual distribution across taxa, and the presence or absence of dominant species within the community (Grammatikopoulou et al., 2024). Agroecosystems characterised by high diversity and low dominance tend to be more stable and capable of naturally suppressing pest population outbreaks (Vialatte et al., 2025). However, a functional-role-based approach offers information that is more applicable to farmers and agricultural practitioners, as it directly links the presence of refugia to the resulting ecosystem services (Kissi et al., 2023).</w:t>
      </w:r>
    </w:p>
    <w:p w14:paraId="4C331CBC" w14:textId="77777777" w:rsidR="00ED454A" w:rsidRDefault="00000000">
      <w:pPr>
        <w:pStyle w:val="Body"/>
        <w:spacing w:after="0"/>
        <w:ind w:firstLine="567"/>
        <w:rPr>
          <w:rFonts w:ascii="Arial" w:hAnsi="Arial" w:cs="Arial"/>
          <w:lang w:val="en"/>
        </w:rPr>
      </w:pPr>
      <w:r>
        <w:rPr>
          <w:highlight w:val="yellow"/>
        </w:rPr>
        <w:t>Recent evidence also shows that more diverse flower strips can favour natural-enemy populations, although effects on pest abundance are less consistent across studies (Jachowicz &amp; Sigsgaard, 2025).</w:t>
      </w:r>
    </w:p>
    <w:p w14:paraId="5FE22B2A" w14:textId="77777777" w:rsidR="00265203" w:rsidRPr="00FA03A0" w:rsidRDefault="00265203" w:rsidP="00B27D63">
      <w:pPr>
        <w:pStyle w:val="Body"/>
        <w:spacing w:after="0"/>
        <w:ind w:firstLine="567"/>
        <w:rPr>
          <w:rFonts w:ascii="Arial" w:hAnsi="Arial" w:cs="Arial"/>
          <w:color w:val="EE0000"/>
          <w:lang w:val="en"/>
        </w:rPr>
      </w:pPr>
      <w:r>
        <w:rPr>
          <w:highlight w:val="yellow"/>
        </w:rPr>
        <w:t>Although the role of refugia plants is widely acknowledged, research specifically examining the functional role of cosmos refugia in relation to arthropod communities in cayenne pepper (</w:t>
      </w:r>
      <w:r>
        <w:rPr>
          <w:i/>
          <w:highlight w:val="yellow"/>
        </w:rPr>
        <w:t>C. frutescens</w:t>
      </w:r>
      <w:r>
        <w:rPr>
          <w:highlight w:val="yellow"/>
        </w:rPr>
        <w:t>) crops remains limited. This study aims to analyse the functional role of Cosmos refugia in supporting agroecosystem balance in cayenne pepper cultivation by evaluating the composition of arthropod functional roles, thereby providing a scientific basis for the development of sustainable Integrated Pest Management (IPM) systems (Lami et al., 2026).</w:t>
      </w:r>
    </w:p>
    <w:p w14:paraId="029EE66B" w14:textId="77777777" w:rsidR="00ED454A" w:rsidRDefault="00000000">
      <w:pPr>
        <w:pStyle w:val="Body"/>
        <w:spacing w:after="0"/>
        <w:ind w:firstLine="567"/>
        <w:rPr>
          <w:rFonts w:ascii="Arial" w:hAnsi="Arial" w:cs="Arial"/>
          <w:color w:val="EE0000"/>
          <w:lang w:val="en"/>
        </w:rPr>
      </w:pPr>
      <w:r>
        <w:rPr>
          <w:highlight w:val="yellow"/>
        </w:rPr>
        <w:t>Accordingly, the objective of the present study is to evaluate the functional role of Cosmos refugia in supporting agroecosystem balance in cayenne pepper cultivation through arthropod functional-role composition and community ecological indices.</w:t>
      </w:r>
    </w:p>
    <w:p w14:paraId="24FA4986" w14:textId="77777777" w:rsidR="00B27D63" w:rsidRPr="00265203" w:rsidRDefault="00B27D63" w:rsidP="00B27D63">
      <w:pPr>
        <w:pStyle w:val="Body"/>
        <w:spacing w:after="0"/>
        <w:ind w:firstLine="567"/>
        <w:rPr>
          <w:rFonts w:ascii="Arial" w:hAnsi="Arial" w:cs="Arial"/>
        </w:rPr>
      </w:pPr>
    </w:p>
    <w:p w14:paraId="30E36B6E" w14:textId="3CCF1BD2" w:rsidR="007F7B32" w:rsidRDefault="00902823" w:rsidP="009455A2">
      <w:pPr>
        <w:pStyle w:val="AbstHead"/>
        <w:jc w:val="both"/>
        <w:rPr>
          <w:rFonts w:ascii="Arial" w:hAnsi="Arial" w:cs="Arial"/>
        </w:rPr>
      </w:pPr>
      <w:r>
        <w:rPr>
          <w:highlight w:val="yellow"/>
        </w:rPr>
        <w:t>2. MATERIAL</w:t>
      </w:r>
      <w:r w:rsidR="009A627C">
        <w:rPr>
          <w:highlight w:val="yellow"/>
        </w:rPr>
        <w:t>S</w:t>
      </w:r>
      <w:r>
        <w:rPr>
          <w:highlight w:val="yellow"/>
        </w:rPr>
        <w:t xml:space="preserve"> AND METHODS</w:t>
      </w:r>
    </w:p>
    <w:p w14:paraId="1F9D2BF6" w14:textId="77777777" w:rsidR="00265203" w:rsidRPr="00485CEF" w:rsidRDefault="00B27D63" w:rsidP="00B27D63">
      <w:pPr>
        <w:pStyle w:val="Body"/>
        <w:spacing w:after="0"/>
        <w:rPr>
          <w:rFonts w:ascii="Arial" w:hAnsi="Arial" w:cs="Arial"/>
          <w:b/>
          <w:bCs/>
          <w:lang w:val="en"/>
        </w:rPr>
      </w:pPr>
      <w:r>
        <w:rPr>
          <w:rFonts w:ascii="Arial" w:hAnsi="Arial" w:cs="Arial"/>
          <w:b/>
          <w:bCs/>
        </w:rPr>
        <w:t xml:space="preserve">2.1. </w:t>
      </w:r>
      <w:r w:rsidR="002F7240" w:rsidRPr="002F7240">
        <w:rPr>
          <w:rFonts w:ascii="Arial" w:hAnsi="Arial" w:cs="Arial"/>
          <w:b/>
          <w:bCs/>
        </w:rPr>
        <w:t xml:space="preserve">Study </w:t>
      </w:r>
      <w:r>
        <w:rPr>
          <w:rFonts w:ascii="Arial" w:hAnsi="Arial" w:cs="Arial"/>
          <w:b/>
          <w:bCs/>
        </w:rPr>
        <w:t>A</w:t>
      </w:r>
      <w:r w:rsidR="002F7240" w:rsidRPr="002F7240">
        <w:rPr>
          <w:rFonts w:ascii="Arial" w:hAnsi="Arial" w:cs="Arial"/>
          <w:b/>
          <w:bCs/>
        </w:rPr>
        <w:t>rea</w:t>
      </w:r>
    </w:p>
    <w:p w14:paraId="6BAC3D67" w14:textId="77777777" w:rsidR="0076494F" w:rsidRDefault="0076494F" w:rsidP="00B27D63">
      <w:pPr>
        <w:pStyle w:val="Body"/>
        <w:spacing w:after="0"/>
        <w:ind w:firstLine="567"/>
        <w:rPr>
          <w:rFonts w:ascii="Arial" w:hAnsi="Arial" w:cs="Arial"/>
          <w:lang w:val="en"/>
        </w:rPr>
      </w:pPr>
      <w:r>
        <w:rPr>
          <w:highlight w:val="yellow"/>
        </w:rPr>
        <w:t>This study was conducted on agricultural land in Lolu Village, Sigi Biromaru District, Sigi Regency, Central Sulawesi. Arthropod identification was carried out at the Pest Laboratory, Faculty of Agriculture, Tadulako University, Palu, from October 2024 to March 2025.</w:t>
      </w:r>
    </w:p>
    <w:p w14:paraId="49BC8BBB" w14:textId="77777777" w:rsidR="009455A2" w:rsidRDefault="009455A2" w:rsidP="009455A2">
      <w:pPr>
        <w:pStyle w:val="Body"/>
        <w:spacing w:after="0"/>
        <w:rPr>
          <w:rFonts w:ascii="Arial" w:hAnsi="Arial" w:cs="Arial"/>
          <w:lang w:val="en"/>
        </w:rPr>
      </w:pPr>
    </w:p>
    <w:p w14:paraId="614973C0" w14:textId="77777777" w:rsidR="009455A2" w:rsidRPr="009455A2" w:rsidRDefault="009455A2" w:rsidP="009455A2">
      <w:pPr>
        <w:pStyle w:val="Body"/>
        <w:spacing w:after="0"/>
        <w:rPr>
          <w:rFonts w:ascii="Arial" w:hAnsi="Arial" w:cs="Arial"/>
          <w:b/>
          <w:bCs/>
          <w:lang w:val="nb-NO"/>
        </w:rPr>
      </w:pPr>
      <w:r w:rsidRPr="009455A2">
        <w:rPr>
          <w:rFonts w:ascii="Arial" w:hAnsi="Arial" w:cs="Arial"/>
          <w:b/>
          <w:bCs/>
          <w:lang w:val="nb-NO"/>
        </w:rPr>
        <w:t>2.</w:t>
      </w:r>
      <w:r>
        <w:rPr>
          <w:rFonts w:ascii="Arial" w:hAnsi="Arial" w:cs="Arial"/>
          <w:b/>
          <w:bCs/>
          <w:lang w:val="nb-NO"/>
        </w:rPr>
        <w:t>2</w:t>
      </w:r>
      <w:r w:rsidRPr="009455A2">
        <w:rPr>
          <w:rFonts w:ascii="Arial" w:hAnsi="Arial" w:cs="Arial"/>
          <w:b/>
          <w:bCs/>
          <w:lang w:val="nb-NO"/>
        </w:rPr>
        <w:t xml:space="preserve">. Experimental Design </w:t>
      </w:r>
    </w:p>
    <w:p w14:paraId="59EA7F64" w14:textId="77777777" w:rsidR="009455A2" w:rsidRDefault="009455A2" w:rsidP="009455A2">
      <w:pPr>
        <w:pStyle w:val="Body"/>
        <w:spacing w:after="0"/>
        <w:ind w:firstLine="567"/>
        <w:rPr>
          <w:rFonts w:ascii="Arial" w:hAnsi="Arial" w:cs="Arial"/>
          <w:lang w:val="en"/>
        </w:rPr>
      </w:pPr>
      <w:r>
        <w:rPr>
          <w:highlight w:val="yellow"/>
        </w:rPr>
        <w:t>This study employed quantitative descriptive analysis followed by a two-sample t-test to compare diversity, evenness, and dominance indices across treatments. The treatments consisted of Plot A, a cayenne pepper field with cosmos refugia plants grown along each side, and Plot B, a cayenne pepper field without refugia plants (control). Each plot measured 5 × 6 metres and contained five observation subplots, resulting in a total of ten observation subplots. The distance between the two plots was approximately 50 metres to minimise potential cross-influence.</w:t>
      </w:r>
    </w:p>
    <w:p w14:paraId="1425F5B9" w14:textId="77777777" w:rsidR="009455A2" w:rsidRDefault="009455A2" w:rsidP="009455A2">
      <w:pPr>
        <w:pStyle w:val="Body"/>
        <w:spacing w:after="0"/>
        <w:ind w:firstLine="567"/>
        <w:rPr>
          <w:rFonts w:ascii="Arial" w:hAnsi="Arial" w:cs="Arial"/>
          <w:lang w:val="en"/>
        </w:rPr>
      </w:pPr>
    </w:p>
    <w:p w14:paraId="0F507E3F" w14:textId="77777777" w:rsidR="00265203" w:rsidRPr="00485CEF" w:rsidRDefault="00B27D63" w:rsidP="00B27D63">
      <w:pPr>
        <w:pStyle w:val="Body"/>
        <w:spacing w:after="120"/>
        <w:rPr>
          <w:rFonts w:ascii="Arial" w:hAnsi="Arial" w:cs="Arial"/>
          <w:b/>
          <w:bCs/>
          <w:lang w:val="en"/>
        </w:rPr>
      </w:pPr>
      <w:r>
        <w:rPr>
          <w:rFonts w:ascii="Arial" w:hAnsi="Arial" w:cs="Arial"/>
          <w:b/>
          <w:bCs/>
        </w:rPr>
        <w:t>2.</w:t>
      </w:r>
      <w:r w:rsidR="009455A2">
        <w:rPr>
          <w:rFonts w:ascii="Arial" w:hAnsi="Arial" w:cs="Arial"/>
          <w:b/>
          <w:bCs/>
        </w:rPr>
        <w:t>3</w:t>
      </w:r>
      <w:r>
        <w:rPr>
          <w:rFonts w:ascii="Arial" w:hAnsi="Arial" w:cs="Arial"/>
          <w:b/>
          <w:bCs/>
        </w:rPr>
        <w:t xml:space="preserve">. </w:t>
      </w:r>
      <w:r w:rsidR="002F7240" w:rsidRPr="002F7240">
        <w:rPr>
          <w:rFonts w:ascii="Arial" w:hAnsi="Arial" w:cs="Arial"/>
          <w:b/>
          <w:bCs/>
        </w:rPr>
        <w:t xml:space="preserve">Procedures </w:t>
      </w:r>
      <w:r w:rsidR="00265203" w:rsidRPr="00265203">
        <w:rPr>
          <w:rFonts w:ascii="Arial" w:hAnsi="Arial" w:cs="Arial"/>
          <w:b/>
          <w:bCs/>
          <w:lang w:val="en"/>
        </w:rPr>
        <w:t xml:space="preserve"> </w:t>
      </w:r>
    </w:p>
    <w:p w14:paraId="1E07E7AB" w14:textId="77777777" w:rsidR="00CD5A52" w:rsidRPr="002F7240" w:rsidRDefault="00B27D63" w:rsidP="00AD5B19">
      <w:pPr>
        <w:pStyle w:val="Body"/>
        <w:spacing w:after="0"/>
        <w:rPr>
          <w:rFonts w:ascii="Arial" w:hAnsi="Arial" w:cs="Arial"/>
          <w:b/>
          <w:bCs/>
          <w:lang w:val="en"/>
        </w:rPr>
      </w:pPr>
      <w:r>
        <w:rPr>
          <w:highlight w:val="yellow"/>
        </w:rPr>
        <w:t>2.3.1. Refugia Preparation and Planting.</w:t>
      </w:r>
    </w:p>
    <w:p w14:paraId="304F481D" w14:textId="77777777" w:rsidR="00265203" w:rsidRDefault="00265203" w:rsidP="00B27D63">
      <w:pPr>
        <w:pStyle w:val="Body"/>
        <w:spacing w:after="120"/>
        <w:ind w:firstLine="426"/>
        <w:rPr>
          <w:rFonts w:ascii="Arial" w:hAnsi="Arial" w:cs="Arial"/>
          <w:lang w:val="en"/>
        </w:rPr>
      </w:pPr>
      <w:r>
        <w:rPr>
          <w:highlight w:val="yellow"/>
        </w:rPr>
        <w:t>Cosmos seeds were first sown for four weeks before being transplanted to the plots. Cosmos planting was carried out before cayenne pepper planting at a spacing of 50 cm; a total of 44 plants were planted to form a border on each side of the cayenne pepper plot.</w:t>
      </w:r>
    </w:p>
    <w:p w14:paraId="6C8E54D4" w14:textId="77777777" w:rsidR="00CD5A52" w:rsidRDefault="00B27D63" w:rsidP="00AD5B19">
      <w:pPr>
        <w:pStyle w:val="Body"/>
        <w:spacing w:after="0"/>
        <w:rPr>
          <w:rFonts w:ascii="Arial" w:hAnsi="Arial" w:cs="Arial"/>
          <w:lang w:val="en"/>
        </w:rPr>
      </w:pPr>
      <w:r>
        <w:rPr>
          <w:highlight w:val="yellow"/>
        </w:rPr>
        <w:t>2.3.2. Cayenne Pepper Planting.</w:t>
      </w:r>
    </w:p>
    <w:p w14:paraId="2B59301E" w14:textId="77777777" w:rsidR="00265203" w:rsidRDefault="00265203" w:rsidP="00B27D63">
      <w:pPr>
        <w:pStyle w:val="Body"/>
        <w:spacing w:after="120"/>
        <w:ind w:firstLine="426"/>
        <w:rPr>
          <w:rFonts w:ascii="Arial" w:hAnsi="Arial" w:cs="Arial"/>
          <w:lang w:val="en"/>
        </w:rPr>
      </w:pPr>
      <w:r>
        <w:rPr>
          <w:highlight w:val="yellow"/>
        </w:rPr>
        <w:t>The land was cleared of weeds, tilled, and shaped into planting beds. Cayenne pepper seeds were sown for four weeks until they developed 3–4 true leaves and were then transplanted at a spacing of 60 cm × 50 cm, resulting in a total of 90 cayenne pepper plants per plot.</w:t>
      </w:r>
    </w:p>
    <w:p w14:paraId="1797C658" w14:textId="77777777" w:rsidR="00CD5A52" w:rsidRPr="002F7240" w:rsidRDefault="00B27D63" w:rsidP="00AD5B19">
      <w:pPr>
        <w:pStyle w:val="Body"/>
        <w:spacing w:after="0"/>
        <w:rPr>
          <w:rFonts w:ascii="Arial" w:hAnsi="Arial" w:cs="Arial"/>
          <w:b/>
          <w:bCs/>
          <w:lang w:val="en"/>
        </w:rPr>
      </w:pPr>
      <w:r>
        <w:rPr>
          <w:highlight w:val="yellow"/>
        </w:rPr>
        <w:t>2.3.3. Arthropod Sampling.</w:t>
      </w:r>
    </w:p>
    <w:p w14:paraId="34A0D079" w14:textId="77777777" w:rsidR="00265203" w:rsidRDefault="00265203" w:rsidP="00B27D63">
      <w:pPr>
        <w:pStyle w:val="Body"/>
        <w:spacing w:after="0"/>
        <w:ind w:firstLine="426"/>
        <w:rPr>
          <w:rFonts w:ascii="Arial" w:hAnsi="Arial" w:cs="Arial"/>
          <w:lang w:val="en"/>
        </w:rPr>
      </w:pPr>
      <w:r>
        <w:rPr>
          <w:highlight w:val="yellow"/>
        </w:rPr>
        <w:t>Sampling was conducted once a week for 10 weeks (14, 21, 28, 35, 42, 49, 56, 63, 70, and 77 days after planting [DAP]) using three methods:</w:t>
      </w:r>
    </w:p>
    <w:p w14:paraId="186A75C5" w14:textId="77777777" w:rsidR="00265203" w:rsidRDefault="00265203" w:rsidP="00666147">
      <w:pPr>
        <w:pStyle w:val="Body"/>
        <w:numPr>
          <w:ilvl w:val="0"/>
          <w:numId w:val="34"/>
        </w:numPr>
        <w:spacing w:after="0"/>
        <w:rPr>
          <w:rFonts w:ascii="Arial" w:hAnsi="Arial" w:cs="Arial"/>
          <w:lang w:val="en"/>
        </w:rPr>
      </w:pPr>
      <w:r>
        <w:rPr>
          <w:highlight w:val="yellow"/>
        </w:rPr>
        <w:lastRenderedPageBreak/>
        <w:t>Yellow trap: Five traps per plot were deployed in the morning (07:00 WITA) and left for 48 hours before observation.</w:t>
      </w:r>
    </w:p>
    <w:p w14:paraId="4734C8CE" w14:textId="77777777" w:rsidR="00265203" w:rsidRDefault="00265203" w:rsidP="00666147">
      <w:pPr>
        <w:pStyle w:val="Body"/>
        <w:numPr>
          <w:ilvl w:val="0"/>
          <w:numId w:val="34"/>
        </w:numPr>
        <w:spacing w:after="0"/>
        <w:rPr>
          <w:rFonts w:ascii="Arial" w:hAnsi="Arial" w:cs="Arial"/>
          <w:lang w:val="en"/>
        </w:rPr>
      </w:pPr>
      <w:r>
        <w:rPr>
          <w:highlight w:val="yellow"/>
        </w:rPr>
        <w:t>Pitfall trap: Ten traps per plot were installed flush with the soil surface for 48 hours before observation.</w:t>
      </w:r>
    </w:p>
    <w:p w14:paraId="4F085031" w14:textId="77777777" w:rsidR="00265203" w:rsidRPr="00265203" w:rsidRDefault="00265203" w:rsidP="00666147">
      <w:pPr>
        <w:pStyle w:val="Body"/>
        <w:numPr>
          <w:ilvl w:val="0"/>
          <w:numId w:val="34"/>
        </w:numPr>
        <w:spacing w:after="0"/>
        <w:rPr>
          <w:rFonts w:ascii="Arial" w:hAnsi="Arial" w:cs="Arial"/>
        </w:rPr>
      </w:pPr>
      <w:r>
        <w:rPr>
          <w:highlight w:val="yellow"/>
        </w:rPr>
        <w:t>Hand collection: Arthropods were collected directly from plant surfaces.</w:t>
      </w:r>
    </w:p>
    <w:p w14:paraId="0CF93AFA" w14:textId="77777777" w:rsidR="00265203" w:rsidRDefault="00265203" w:rsidP="00666147">
      <w:pPr>
        <w:pStyle w:val="Body"/>
        <w:numPr>
          <w:ilvl w:val="0"/>
          <w:numId w:val="34"/>
        </w:numPr>
        <w:spacing w:after="0"/>
        <w:rPr>
          <w:rFonts w:ascii="Arial" w:hAnsi="Arial" w:cs="Arial"/>
          <w:lang w:val="en"/>
        </w:rPr>
      </w:pPr>
      <w:r>
        <w:rPr>
          <w:highlight w:val="yellow"/>
        </w:rPr>
        <w:t>The collected arthropods were placed in specimen bottles containing 90% alcohol for subsequent identification.</w:t>
      </w:r>
    </w:p>
    <w:p w14:paraId="50582DC2" w14:textId="77777777" w:rsidR="00666147" w:rsidRPr="00265203" w:rsidRDefault="00666147" w:rsidP="00AD5B19">
      <w:pPr>
        <w:pStyle w:val="Body"/>
        <w:spacing w:after="0"/>
        <w:rPr>
          <w:rFonts w:ascii="Arial" w:hAnsi="Arial" w:cs="Arial"/>
        </w:rPr>
      </w:pPr>
    </w:p>
    <w:p w14:paraId="61E05A5E" w14:textId="77777777" w:rsidR="00CD5A52" w:rsidRPr="002F7240" w:rsidRDefault="00B27D63" w:rsidP="00AD5B19">
      <w:pPr>
        <w:pStyle w:val="Body"/>
        <w:spacing w:after="0"/>
        <w:rPr>
          <w:rFonts w:ascii="Arial" w:hAnsi="Arial" w:cs="Arial"/>
          <w:b/>
          <w:bCs/>
          <w:lang w:val="en"/>
        </w:rPr>
      </w:pPr>
      <w:r>
        <w:rPr>
          <w:highlight w:val="yellow"/>
        </w:rPr>
        <w:t>2.4. Arthropod Identification.</w:t>
      </w:r>
    </w:p>
    <w:p w14:paraId="76F7C1C1" w14:textId="77777777" w:rsidR="00265203" w:rsidRDefault="00265203" w:rsidP="00B27D63">
      <w:pPr>
        <w:pStyle w:val="Body"/>
        <w:spacing w:after="0"/>
        <w:ind w:firstLine="567"/>
        <w:rPr>
          <w:rFonts w:ascii="Arial" w:hAnsi="Arial" w:cs="Arial"/>
          <w:lang w:val="en"/>
        </w:rPr>
      </w:pPr>
      <w:r>
        <w:rPr>
          <w:highlight w:val="yellow"/>
        </w:rPr>
        <w:t>Identification was carried out to the family level based on morphological characteristics, using the identification guide of Triplehorn and Johnson (2005), as well as digital sources such as iNaturalist, BugGuide.net, and the Picture Insect app. The observed variables included arthropod functional-role composition, with arthropods grouped according to their functional roles within the agroecosystem (pests, predators, parasitoids, and decomposers), and the number of trapped arthropod individuals.</w:t>
      </w:r>
    </w:p>
    <w:p w14:paraId="19D101C0" w14:textId="77777777" w:rsidR="00961483" w:rsidRDefault="00961483" w:rsidP="00AD5B19">
      <w:pPr>
        <w:pStyle w:val="Body"/>
        <w:spacing w:after="0"/>
        <w:ind w:left="720"/>
        <w:rPr>
          <w:rFonts w:ascii="Arial" w:hAnsi="Arial" w:cs="Arial"/>
          <w:lang w:val="en"/>
        </w:rPr>
      </w:pPr>
    </w:p>
    <w:p w14:paraId="023CE750" w14:textId="77777777" w:rsidR="000A68AA" w:rsidRPr="00485CEF" w:rsidRDefault="00B27D63" w:rsidP="00B27D63">
      <w:pPr>
        <w:pStyle w:val="Body"/>
        <w:spacing w:after="120"/>
        <w:rPr>
          <w:rFonts w:ascii="Arial" w:hAnsi="Arial" w:cs="Arial"/>
          <w:b/>
          <w:bCs/>
          <w:lang w:val="en"/>
        </w:rPr>
      </w:pPr>
      <w:r>
        <w:rPr>
          <w:highlight w:val="yellow"/>
        </w:rPr>
        <w:t>2.5. Data Analysis</w:t>
      </w:r>
    </w:p>
    <w:p w14:paraId="7582A341" w14:textId="77777777" w:rsidR="00AD5B19" w:rsidRPr="00195D52" w:rsidRDefault="00B27D63" w:rsidP="00AD5B19">
      <w:pPr>
        <w:pStyle w:val="Body"/>
        <w:spacing w:after="0"/>
        <w:rPr>
          <w:rFonts w:ascii="Arial" w:hAnsi="Arial" w:cs="Arial"/>
          <w:b/>
          <w:bCs/>
          <w:lang w:val="en"/>
        </w:rPr>
      </w:pPr>
      <w:r>
        <w:rPr>
          <w:rFonts w:ascii="Arial" w:hAnsi="Arial" w:cs="Arial"/>
          <w:b/>
          <w:bCs/>
          <w:lang w:val="en"/>
        </w:rPr>
        <w:t>2.</w:t>
      </w:r>
      <w:r w:rsidR="0076494F">
        <w:rPr>
          <w:rFonts w:ascii="Arial" w:hAnsi="Arial" w:cs="Arial"/>
          <w:b/>
          <w:bCs/>
          <w:lang w:val="en"/>
        </w:rPr>
        <w:t>5</w:t>
      </w:r>
      <w:r>
        <w:rPr>
          <w:rFonts w:ascii="Arial" w:hAnsi="Arial" w:cs="Arial"/>
          <w:b/>
          <w:bCs/>
          <w:lang w:val="en"/>
        </w:rPr>
        <w:t xml:space="preserve">.1. </w:t>
      </w:r>
      <w:r w:rsidR="000A68AA" w:rsidRPr="00195D52">
        <w:rPr>
          <w:rFonts w:ascii="Arial" w:hAnsi="Arial" w:cs="Arial"/>
          <w:b/>
          <w:bCs/>
          <w:lang w:val="en"/>
        </w:rPr>
        <w:t xml:space="preserve">Analysis of Functional Role Composition. </w:t>
      </w:r>
    </w:p>
    <w:p w14:paraId="2FBDE17D" w14:textId="77777777" w:rsidR="000A68AA" w:rsidRDefault="000A68AA" w:rsidP="00B27D63">
      <w:pPr>
        <w:pStyle w:val="Body"/>
        <w:spacing w:after="0"/>
        <w:ind w:firstLine="567"/>
        <w:rPr>
          <w:rFonts w:ascii="Arial" w:hAnsi="Arial" w:cs="Arial"/>
          <w:lang w:val="en"/>
        </w:rPr>
      </w:pPr>
      <w:r>
        <w:rPr>
          <w:highlight w:val="yellow"/>
        </w:rPr>
        <w:t>The composition of functional roles was analysed using quantitative descriptive methods by calculating the number of individuals and the percentage of each functional group (pests, predators, parasitoids, pollinators, and decomposers) in both treatment plots.</w:t>
      </w:r>
    </w:p>
    <w:p w14:paraId="22803FF8" w14:textId="77777777" w:rsidR="00AD5B19" w:rsidRPr="000A68AA" w:rsidRDefault="00AD5B19" w:rsidP="00AD5B19">
      <w:pPr>
        <w:pStyle w:val="Body"/>
        <w:spacing w:after="0"/>
        <w:rPr>
          <w:rFonts w:ascii="Arial" w:hAnsi="Arial" w:cs="Arial"/>
        </w:rPr>
      </w:pPr>
    </w:p>
    <w:p w14:paraId="2D22D27B" w14:textId="77777777" w:rsidR="002F7240" w:rsidRPr="002F7240" w:rsidRDefault="00B27D63" w:rsidP="00AD5B19">
      <w:pPr>
        <w:pStyle w:val="Body"/>
        <w:spacing w:after="0"/>
        <w:rPr>
          <w:rFonts w:ascii="Arial" w:hAnsi="Arial" w:cs="Arial"/>
          <w:b/>
          <w:bCs/>
          <w:lang w:val="en"/>
        </w:rPr>
      </w:pPr>
      <w:r>
        <w:rPr>
          <w:highlight w:val="yellow"/>
        </w:rPr>
        <w:t>2.5.2. Arthropod Diversity Index.</w:t>
      </w:r>
    </w:p>
    <w:p w14:paraId="2BF173CE" w14:textId="77777777" w:rsidR="00265203" w:rsidRDefault="000A68AA" w:rsidP="00B27D63">
      <w:pPr>
        <w:pStyle w:val="Body"/>
        <w:spacing w:after="0"/>
        <w:ind w:firstLine="567"/>
        <w:rPr>
          <w:rFonts w:ascii="Arial" w:hAnsi="Arial" w:cs="Arial"/>
          <w:lang w:val="en"/>
        </w:rPr>
      </w:pPr>
      <w:r>
        <w:rPr>
          <w:highlight w:val="yellow"/>
        </w:rPr>
        <w:t>The arthropod diversity index was calculated using the Shannon–Wiener Diversity Index (H') formula, as follows:</w:t>
      </w:r>
    </w:p>
    <w:p w14:paraId="68F4655F" w14:textId="77777777" w:rsidR="000A68AA" w:rsidRPr="000A68AA" w:rsidRDefault="00000000" w:rsidP="000A68AA">
      <w:pPr>
        <w:ind w:firstLine="540"/>
        <w:jc w:val="both"/>
        <w:rPr>
          <w:rFonts w:ascii="Arial" w:hAnsi="Arial" w:cs="Arial"/>
          <w:sz w:val="24"/>
          <w:szCs w:val="24"/>
        </w:rPr>
      </w:pPr>
      <m:oMathPara>
        <m:oMath>
          <m:sSup>
            <m:sSupPr>
              <m:ctrlPr>
                <w:rPr>
                  <w:rFonts w:ascii="Cambria Math" w:hAnsi="Cambria Math" w:cs="Arial"/>
                  <w:i/>
                  <w:sz w:val="24"/>
                  <w:szCs w:val="24"/>
                </w:rPr>
              </m:ctrlPr>
            </m:sSupPr>
            <m:e>
              <m:r>
                <w:rPr>
                  <w:rFonts w:ascii="Cambria Math" w:hAnsi="Cambria Math" w:cs="Arial"/>
                  <w:sz w:val="24"/>
                  <w:szCs w:val="24"/>
                </w:rPr>
                <m:t>H</m:t>
              </m:r>
            </m:e>
            <m:sup>
              <m:r>
                <w:rPr>
                  <w:rFonts w:ascii="Cambria Math" w:hAnsi="Cambria Math" w:cs="Arial"/>
                  <w:sz w:val="24"/>
                  <w:szCs w:val="24"/>
                </w:rPr>
                <m:t>'</m:t>
              </m:r>
            </m:sup>
          </m:sSup>
          <m:r>
            <w:rPr>
              <w:rFonts w:ascii="Cambria Math" w:hAnsi="Cambria Math" w:cs="Arial"/>
              <w:sz w:val="24"/>
              <w:szCs w:val="24"/>
            </w:rPr>
            <m:t>=-</m:t>
          </m:r>
          <m:nary>
            <m:naryPr>
              <m:chr m:val="∑"/>
              <m:limLoc m:val="undOvr"/>
              <m:subHide m:val="1"/>
              <m:supHide m:val="1"/>
              <m:ctrlPr>
                <w:rPr>
                  <w:rFonts w:ascii="Cambria Math" w:hAnsi="Cambria Math" w:cs="Arial"/>
                  <w:i/>
                  <w:sz w:val="24"/>
                  <w:szCs w:val="24"/>
                </w:rPr>
              </m:ctrlPr>
            </m:naryPr>
            <m:sub/>
            <m:sup/>
            <m:e>
              <m:r>
                <w:rPr>
                  <w:rFonts w:ascii="Cambria Math" w:hAnsi="Cambria Math" w:cs="Arial"/>
                  <w:sz w:val="24"/>
                  <w:szCs w:val="24"/>
                </w:rPr>
                <m:t>Pi</m:t>
              </m:r>
            </m:e>
          </m:nary>
          <m:r>
            <w:rPr>
              <w:rFonts w:ascii="Cambria Math" w:hAnsi="Cambria Math" w:cs="Arial"/>
              <w:sz w:val="24"/>
              <w:szCs w:val="24"/>
            </w:rPr>
            <m:t xml:space="preserve"> Ln Pi</m:t>
          </m:r>
        </m:oMath>
      </m:oMathPara>
    </w:p>
    <w:p w14:paraId="02E1EEEB" w14:textId="77777777" w:rsidR="00B27D63" w:rsidRDefault="00B27D63" w:rsidP="002F7240">
      <w:pPr>
        <w:pStyle w:val="Body"/>
        <w:spacing w:after="0"/>
        <w:rPr>
          <w:rFonts w:ascii="Arial" w:hAnsi="Arial" w:cs="Arial"/>
          <w:lang w:val="en"/>
        </w:rPr>
      </w:pPr>
    </w:p>
    <w:p w14:paraId="30975516" w14:textId="77777777" w:rsidR="002F7240" w:rsidRDefault="002F7240" w:rsidP="002F7240">
      <w:pPr>
        <w:pStyle w:val="Body"/>
        <w:spacing w:after="0"/>
        <w:rPr>
          <w:rFonts w:ascii="Arial" w:hAnsi="Arial" w:cs="Arial"/>
          <w:lang w:val="en"/>
        </w:rPr>
      </w:pPr>
      <w:r>
        <w:rPr>
          <w:rFonts w:ascii="Arial" w:hAnsi="Arial" w:cs="Arial"/>
          <w:lang w:val="en"/>
        </w:rPr>
        <w:t>Where</w:t>
      </w:r>
      <w:r w:rsidR="000A68AA" w:rsidRPr="000A68AA">
        <w:rPr>
          <w:rFonts w:ascii="Arial" w:hAnsi="Arial" w:cs="Arial"/>
          <w:lang w:val="en"/>
        </w:rPr>
        <w:t>: H’: Diversity index</w:t>
      </w:r>
      <w:r w:rsidR="00AD5B19">
        <w:rPr>
          <w:rFonts w:ascii="Arial" w:hAnsi="Arial" w:cs="Arial"/>
          <w:lang w:val="en"/>
        </w:rPr>
        <w:t>;</w:t>
      </w:r>
      <w:r w:rsidR="000A68AA" w:rsidRPr="000A68AA">
        <w:rPr>
          <w:rFonts w:ascii="Arial" w:hAnsi="Arial" w:cs="Arial"/>
          <w:lang w:val="en"/>
        </w:rPr>
        <w:t xml:space="preserve"> Pi: Total number of all families</w:t>
      </w:r>
      <w:r w:rsidR="00AD5B19">
        <w:rPr>
          <w:rFonts w:ascii="Arial" w:hAnsi="Arial" w:cs="Arial"/>
          <w:lang w:val="en"/>
        </w:rPr>
        <w:t>;</w:t>
      </w:r>
      <w:r w:rsidR="000A68AA" w:rsidRPr="000A68AA">
        <w:rPr>
          <w:rFonts w:ascii="Arial" w:hAnsi="Arial" w:cs="Arial"/>
          <w:lang w:val="en"/>
        </w:rPr>
        <w:t xml:space="preserve"> Ln: Natural logarithm </w:t>
      </w:r>
    </w:p>
    <w:p w14:paraId="38A7EAD0" w14:textId="77777777" w:rsidR="000A68AA" w:rsidRPr="000A68AA" w:rsidRDefault="002F7240" w:rsidP="002F7240">
      <w:pPr>
        <w:pStyle w:val="Body"/>
        <w:spacing w:after="0"/>
        <w:rPr>
          <w:rFonts w:ascii="Arial" w:hAnsi="Arial" w:cs="Arial"/>
        </w:rPr>
      </w:pPr>
      <w:r>
        <w:rPr>
          <w:rFonts w:ascii="Arial" w:hAnsi="Arial" w:cs="Arial"/>
          <w:lang w:val="en"/>
        </w:rPr>
        <w:t>C</w:t>
      </w:r>
      <w:r w:rsidR="000A68AA" w:rsidRPr="000A68AA">
        <w:rPr>
          <w:rFonts w:ascii="Arial" w:hAnsi="Arial" w:cs="Arial"/>
          <w:lang w:val="en"/>
        </w:rPr>
        <w:t>riteria</w:t>
      </w:r>
      <w:r>
        <w:rPr>
          <w:rFonts w:ascii="Arial" w:hAnsi="Arial" w:cs="Arial"/>
          <w:lang w:val="en"/>
        </w:rPr>
        <w:t xml:space="preserve">: </w:t>
      </w:r>
      <w:r w:rsidR="000A68AA" w:rsidRPr="000A68AA">
        <w:rPr>
          <w:rFonts w:ascii="Arial" w:hAnsi="Arial" w:cs="Arial"/>
          <w:lang w:val="en"/>
        </w:rPr>
        <w:t>H</w:t>
      </w:r>
      <w:r w:rsidRPr="000A68AA">
        <w:rPr>
          <w:rFonts w:ascii="Arial" w:hAnsi="Arial" w:cs="Arial"/>
          <w:lang w:val="en"/>
        </w:rPr>
        <w:t>’</w:t>
      </w:r>
      <w:r w:rsidR="000A68AA" w:rsidRPr="000A68AA">
        <w:rPr>
          <w:rFonts w:ascii="Arial" w:hAnsi="Arial" w:cs="Arial"/>
          <w:lang w:val="en"/>
        </w:rPr>
        <w:t xml:space="preserve"> ≤ 1: Low diversity 1 &lt; H</w:t>
      </w:r>
      <w:r w:rsidRPr="000A68AA">
        <w:rPr>
          <w:rFonts w:ascii="Arial" w:hAnsi="Arial" w:cs="Arial"/>
          <w:lang w:val="en"/>
        </w:rPr>
        <w:t>’</w:t>
      </w:r>
      <w:r w:rsidR="000A68AA" w:rsidRPr="000A68AA">
        <w:rPr>
          <w:rFonts w:ascii="Arial" w:hAnsi="Arial" w:cs="Arial"/>
          <w:lang w:val="en"/>
        </w:rPr>
        <w:t xml:space="preserve"> &lt; 3: M</w:t>
      </w:r>
      <w:r>
        <w:rPr>
          <w:rFonts w:ascii="Arial" w:hAnsi="Arial" w:cs="Arial"/>
          <w:lang w:val="en"/>
        </w:rPr>
        <w:t xml:space="preserve">edium </w:t>
      </w:r>
      <w:r w:rsidR="000A68AA" w:rsidRPr="000A68AA">
        <w:rPr>
          <w:rFonts w:ascii="Arial" w:hAnsi="Arial" w:cs="Arial"/>
          <w:lang w:val="en"/>
        </w:rPr>
        <w:t>diversity H</w:t>
      </w:r>
      <w:r w:rsidRPr="000A68AA">
        <w:rPr>
          <w:rFonts w:ascii="Arial" w:hAnsi="Arial" w:cs="Arial"/>
          <w:lang w:val="en"/>
        </w:rPr>
        <w:t>’</w:t>
      </w:r>
      <w:r w:rsidR="000A68AA" w:rsidRPr="000A68AA">
        <w:rPr>
          <w:rFonts w:ascii="Arial" w:hAnsi="Arial" w:cs="Arial"/>
          <w:lang w:val="en"/>
        </w:rPr>
        <w:t xml:space="preserve"> ≥ 3: High diversity</w:t>
      </w:r>
    </w:p>
    <w:p w14:paraId="1CE7F26D" w14:textId="77777777" w:rsidR="000A68AA" w:rsidRDefault="000A68AA" w:rsidP="00441B6F">
      <w:pPr>
        <w:pStyle w:val="Body"/>
        <w:spacing w:after="0"/>
        <w:rPr>
          <w:rFonts w:ascii="Arial" w:hAnsi="Arial" w:cs="Arial"/>
          <w:lang w:val="en"/>
        </w:rPr>
      </w:pPr>
    </w:p>
    <w:p w14:paraId="094BF04E" w14:textId="77777777" w:rsidR="002F7240" w:rsidRPr="00AD5B19" w:rsidRDefault="00B27D63" w:rsidP="002F7240">
      <w:pPr>
        <w:pStyle w:val="Body"/>
        <w:spacing w:after="0"/>
        <w:rPr>
          <w:rFonts w:ascii="Arial" w:hAnsi="Arial" w:cs="Arial"/>
          <w:lang w:val="en"/>
        </w:rPr>
      </w:pPr>
      <w:r>
        <w:rPr>
          <w:highlight w:val="yellow"/>
        </w:rPr>
        <w:t>2.5.3. Arthropod Evenness Index.</w:t>
      </w:r>
    </w:p>
    <w:p w14:paraId="414E965C" w14:textId="77777777" w:rsidR="00776AE0" w:rsidRPr="00AD5B19" w:rsidRDefault="00776AE0" w:rsidP="00B27D63">
      <w:pPr>
        <w:pStyle w:val="Body"/>
        <w:spacing w:after="0"/>
        <w:ind w:firstLine="426"/>
        <w:rPr>
          <w:rFonts w:ascii="Arial" w:hAnsi="Arial" w:cs="Arial"/>
        </w:rPr>
      </w:pPr>
      <w:r>
        <w:rPr>
          <w:highlight w:val="yellow"/>
        </w:rPr>
        <w:t>Arthropod evenness was calculated using the modified Pielou and Ludwig and Reynolds formula, as follows:</w:t>
      </w:r>
    </w:p>
    <w:p w14:paraId="7EEB1FD5" w14:textId="77777777" w:rsidR="00776AE0" w:rsidRPr="00AD5B19" w:rsidRDefault="00776AE0" w:rsidP="00776AE0">
      <w:pPr>
        <w:jc w:val="both"/>
        <w:rPr>
          <w:rFonts w:ascii="Arial" w:hAnsi="Arial" w:cs="Arial"/>
        </w:rPr>
      </w:pPr>
      <m:oMathPara>
        <m:oMath>
          <m:r>
            <m:rPr>
              <m:sty m:val="p"/>
            </m:rPr>
            <w:rPr>
              <w:rFonts w:ascii="Cambria Math" w:hAnsi="Cambria Math" w:cs="Arial"/>
              <w:sz w:val="24"/>
              <w:szCs w:val="24"/>
            </w:rPr>
            <m:t>E=</m:t>
          </m:r>
          <m:sSup>
            <m:sSupPr>
              <m:ctrlPr>
                <w:rPr>
                  <w:rFonts w:ascii="Cambria Math" w:hAnsi="Cambria Math" w:cs="Arial"/>
                  <w:iCs/>
                  <w:sz w:val="24"/>
                  <w:szCs w:val="24"/>
                </w:rPr>
              </m:ctrlPr>
            </m:sSupPr>
            <m:e>
              <m:r>
                <m:rPr>
                  <m:sty m:val="p"/>
                </m:rPr>
                <w:rPr>
                  <w:rFonts w:ascii="Cambria Math" w:hAnsi="Cambria Math" w:cs="Arial"/>
                  <w:sz w:val="24"/>
                  <w:szCs w:val="24"/>
                </w:rPr>
                <m:t>H</m:t>
              </m:r>
            </m:e>
            <m:sup>
              <m:r>
                <m:rPr>
                  <m:sty m:val="p"/>
                </m:rPr>
                <w:rPr>
                  <w:rFonts w:ascii="Cambria Math" w:hAnsi="Cambria Math" w:cs="Arial"/>
                  <w:sz w:val="24"/>
                  <w:szCs w:val="24"/>
                </w:rPr>
                <m:t>'</m:t>
              </m:r>
            </m:sup>
          </m:sSup>
          <m:r>
            <m:rPr>
              <m:sty m:val="p"/>
            </m:rPr>
            <w:rPr>
              <w:rFonts w:ascii="Cambria Math" w:hAnsi="Cambria Math" w:cs="Arial"/>
              <w:sz w:val="24"/>
              <w:szCs w:val="24"/>
            </w:rPr>
            <m:t>/Ln S</m:t>
          </m:r>
        </m:oMath>
      </m:oMathPara>
    </w:p>
    <w:p w14:paraId="1D313B79" w14:textId="77777777" w:rsidR="00AD5B19" w:rsidRPr="00AD5B19" w:rsidRDefault="00AD5B19" w:rsidP="00776AE0">
      <w:pPr>
        <w:jc w:val="both"/>
        <w:rPr>
          <w:rFonts w:ascii="Arial" w:hAnsi="Arial" w:cs="Arial"/>
          <w:iCs/>
        </w:rPr>
      </w:pPr>
    </w:p>
    <w:p w14:paraId="04C345A3" w14:textId="77777777" w:rsidR="00776AE0" w:rsidRPr="00AD5B19" w:rsidRDefault="00AD5B19" w:rsidP="00776AE0">
      <w:pPr>
        <w:jc w:val="both"/>
        <w:rPr>
          <w:rFonts w:ascii="Arial" w:hAnsi="Arial" w:cs="Arial"/>
        </w:rPr>
      </w:pPr>
      <w:r w:rsidRPr="00AD5B19">
        <w:rPr>
          <w:rFonts w:ascii="Arial" w:hAnsi="Arial" w:cs="Arial"/>
          <w:lang w:val="en"/>
        </w:rPr>
        <w:t>Where: E: Evenness index; H': Family diversity index; S: Number of observed families</w:t>
      </w:r>
    </w:p>
    <w:p w14:paraId="525325ED" w14:textId="77777777" w:rsidR="00776AE0" w:rsidRPr="00AD5B19" w:rsidRDefault="00AD5B19" w:rsidP="00AD5B19">
      <w:pPr>
        <w:jc w:val="both"/>
        <w:rPr>
          <w:rFonts w:ascii="Arial" w:hAnsi="Arial" w:cs="Arial"/>
          <w:lang w:val="en"/>
        </w:rPr>
      </w:pPr>
      <w:r w:rsidRPr="00AD5B19">
        <w:rPr>
          <w:rFonts w:ascii="Arial" w:hAnsi="Arial" w:cs="Arial"/>
          <w:lang w:val="en"/>
        </w:rPr>
        <w:t>Criteria:</w:t>
      </w:r>
      <w:r w:rsidR="00776AE0" w:rsidRPr="00AD5B19">
        <w:rPr>
          <w:rFonts w:ascii="Arial" w:hAnsi="Arial" w:cs="Arial"/>
          <w:lang w:val="en"/>
        </w:rPr>
        <w:t xml:space="preserve"> 0 &lt; E ≤ 0.4: Low evenness</w:t>
      </w:r>
      <w:r w:rsidRPr="00AD5B19">
        <w:rPr>
          <w:rFonts w:ascii="Arial" w:hAnsi="Arial" w:cs="Arial"/>
          <w:lang w:val="en"/>
        </w:rPr>
        <w:t>;</w:t>
      </w:r>
      <w:r w:rsidR="00776AE0" w:rsidRPr="00AD5B19">
        <w:rPr>
          <w:rFonts w:ascii="Arial" w:hAnsi="Arial" w:cs="Arial"/>
          <w:lang w:val="en"/>
        </w:rPr>
        <w:t xml:space="preserve"> 0.4 &lt; E ≤ 0.6: M</w:t>
      </w:r>
      <w:r w:rsidRPr="00AD5B19">
        <w:rPr>
          <w:rFonts w:ascii="Arial" w:hAnsi="Arial" w:cs="Arial"/>
          <w:lang w:val="en"/>
        </w:rPr>
        <w:t>edium</w:t>
      </w:r>
      <w:r w:rsidR="00776AE0" w:rsidRPr="00AD5B19">
        <w:rPr>
          <w:rFonts w:ascii="Arial" w:hAnsi="Arial" w:cs="Arial"/>
          <w:lang w:val="en"/>
        </w:rPr>
        <w:t xml:space="preserve"> </w:t>
      </w:r>
      <w:proofErr w:type="gramStart"/>
      <w:r w:rsidR="00776AE0" w:rsidRPr="00AD5B19">
        <w:rPr>
          <w:rFonts w:ascii="Arial" w:hAnsi="Arial" w:cs="Arial"/>
          <w:lang w:val="en"/>
        </w:rPr>
        <w:t>evenness</w:t>
      </w:r>
      <w:r w:rsidRPr="00AD5B19">
        <w:rPr>
          <w:rFonts w:ascii="Arial" w:hAnsi="Arial" w:cs="Arial"/>
          <w:lang w:val="en"/>
        </w:rPr>
        <w:t xml:space="preserve">; </w:t>
      </w:r>
      <w:r w:rsidR="00776AE0" w:rsidRPr="00AD5B19">
        <w:rPr>
          <w:rFonts w:ascii="Arial" w:hAnsi="Arial" w:cs="Arial"/>
          <w:lang w:val="en"/>
        </w:rPr>
        <w:t xml:space="preserve"> 0.6</w:t>
      </w:r>
      <w:proofErr w:type="gramEnd"/>
      <w:r w:rsidR="00776AE0" w:rsidRPr="00AD5B19">
        <w:rPr>
          <w:rFonts w:ascii="Arial" w:hAnsi="Arial" w:cs="Arial"/>
          <w:lang w:val="en"/>
        </w:rPr>
        <w:t xml:space="preserve"> &lt; E ≤ 1.0: High evenness</w:t>
      </w:r>
    </w:p>
    <w:p w14:paraId="5AE2D947" w14:textId="77777777" w:rsidR="00AD5B19" w:rsidRPr="00AD5B19" w:rsidRDefault="00AD5B19" w:rsidP="00AD5B19">
      <w:pPr>
        <w:jc w:val="both"/>
        <w:rPr>
          <w:rFonts w:ascii="Arial" w:hAnsi="Arial" w:cs="Arial"/>
          <w:lang w:val="en"/>
        </w:rPr>
      </w:pPr>
    </w:p>
    <w:p w14:paraId="4BB64D03" w14:textId="77777777" w:rsidR="00AD5B19" w:rsidRPr="00AD5B19" w:rsidRDefault="00B27D63" w:rsidP="00AD5B19">
      <w:pPr>
        <w:shd w:val="clear" w:color="auto" w:fill="FFFFFF"/>
        <w:jc w:val="both"/>
        <w:rPr>
          <w:rFonts w:ascii="Arial" w:hAnsi="Arial" w:cs="Arial"/>
          <w:lang w:val="en"/>
        </w:rPr>
      </w:pPr>
      <w:r>
        <w:rPr>
          <w:highlight w:val="yellow"/>
        </w:rPr>
        <w:t>2.5.4. Arthropod Dominance Index.</w:t>
      </w:r>
    </w:p>
    <w:p w14:paraId="2BB54C39" w14:textId="77777777" w:rsidR="00AD5B19" w:rsidRPr="00AD5B19" w:rsidRDefault="00AD5B19" w:rsidP="00B27D63">
      <w:pPr>
        <w:shd w:val="clear" w:color="auto" w:fill="FFFFFF"/>
        <w:ind w:firstLine="426"/>
        <w:jc w:val="both"/>
        <w:rPr>
          <w:rFonts w:ascii="Arial" w:hAnsi="Arial" w:cs="Arial"/>
        </w:rPr>
      </w:pPr>
      <w:r>
        <w:rPr>
          <w:highlight w:val="yellow"/>
        </w:rPr>
        <w:t>Arthropod dominance was calculated using the modified Simpson formula, as follows:</w:t>
      </w:r>
    </w:p>
    <w:p w14:paraId="653A0244" w14:textId="77777777" w:rsidR="00776AE0" w:rsidRPr="00AD5B19" w:rsidRDefault="00776AE0" w:rsidP="00AD5B19">
      <w:pPr>
        <w:jc w:val="both"/>
        <w:rPr>
          <w:rFonts w:ascii="Arial" w:hAnsi="Arial" w:cs="Arial"/>
          <w:iCs/>
          <w:sz w:val="24"/>
          <w:szCs w:val="24"/>
          <w:vertAlign w:val="superscript"/>
        </w:rPr>
      </w:pPr>
      <m:oMathPara>
        <m:oMath>
          <m:r>
            <m:rPr>
              <m:sty m:val="p"/>
            </m:rPr>
            <w:rPr>
              <w:rFonts w:ascii="Cambria Math" w:hAnsi="Cambria Math" w:cs="Arial"/>
              <w:sz w:val="24"/>
              <w:szCs w:val="24"/>
            </w:rPr>
            <m:t xml:space="preserve">D= </m:t>
          </m:r>
          <m:nary>
            <m:naryPr>
              <m:chr m:val="∑"/>
              <m:limLoc m:val="undOvr"/>
              <m:ctrlPr>
                <w:rPr>
                  <w:rFonts w:ascii="Cambria Math" w:hAnsi="Cambria Math" w:cs="Arial"/>
                  <w:sz w:val="24"/>
                  <w:szCs w:val="24"/>
                </w:rPr>
              </m:ctrlPr>
            </m:naryPr>
            <m:sub>
              <m:r>
                <m:rPr>
                  <m:sty m:val="p"/>
                </m:rPr>
                <w:rPr>
                  <w:rFonts w:ascii="Cambria Math" w:hAnsi="Cambria Math" w:cs="Arial"/>
                  <w:sz w:val="24"/>
                  <w:szCs w:val="24"/>
                </w:rPr>
                <m:t>i=1</m:t>
              </m:r>
            </m:sub>
            <m:sup>
              <m:r>
                <m:rPr>
                  <m:sty m:val="p"/>
                </m:rPr>
                <w:rPr>
                  <w:rFonts w:ascii="Cambria Math" w:hAnsi="Cambria Math" w:cs="Arial"/>
                  <w:sz w:val="24"/>
                  <w:szCs w:val="24"/>
                </w:rPr>
                <m:t>s</m:t>
              </m:r>
            </m:sup>
            <m:e>
              <m:d>
                <m:dPr>
                  <m:ctrlPr>
                    <w:rPr>
                      <w:rFonts w:ascii="Cambria Math" w:hAnsi="Cambria Math" w:cs="Arial"/>
                      <w:i/>
                      <w:sz w:val="24"/>
                      <w:szCs w:val="24"/>
                    </w:rPr>
                  </m:ctrlPr>
                </m:dPr>
                <m:e>
                  <m:f>
                    <m:fPr>
                      <m:ctrlPr>
                        <w:rPr>
                          <w:rFonts w:ascii="Cambria Math" w:hAnsi="Cambria Math" w:cs="Arial"/>
                          <w:i/>
                          <w:sz w:val="24"/>
                          <w:szCs w:val="24"/>
                        </w:rPr>
                      </m:ctrlPr>
                    </m:fPr>
                    <m:num>
                      <m:r>
                        <w:rPr>
                          <w:rFonts w:ascii="Cambria Math" w:hAnsi="Cambria Math" w:cs="Arial"/>
                          <w:sz w:val="24"/>
                          <w:szCs w:val="24"/>
                        </w:rPr>
                        <m:t>ni</m:t>
                      </m:r>
                    </m:num>
                    <m:den>
                      <m:r>
                        <w:rPr>
                          <w:rFonts w:ascii="Cambria Math" w:hAnsi="Cambria Math" w:cs="Arial"/>
                          <w:sz w:val="24"/>
                          <w:szCs w:val="24"/>
                        </w:rPr>
                        <m:t>N</m:t>
                      </m:r>
                    </m:den>
                  </m:f>
                </m:e>
              </m:d>
            </m:e>
          </m:nary>
          <m:r>
            <w:rPr>
              <w:rFonts w:ascii="Cambria Math" w:hAnsi="Cambria Math" w:cs="Arial"/>
              <w:sz w:val="24"/>
              <w:szCs w:val="24"/>
            </w:rPr>
            <m:t>2</m:t>
          </m:r>
        </m:oMath>
      </m:oMathPara>
    </w:p>
    <w:p w14:paraId="7D75E98E" w14:textId="77777777" w:rsidR="00B27D63" w:rsidRDefault="00B27D63" w:rsidP="00AD5B19">
      <w:pPr>
        <w:jc w:val="both"/>
        <w:rPr>
          <w:rFonts w:ascii="Arial" w:hAnsi="Arial" w:cs="Arial"/>
          <w:lang w:val="en"/>
        </w:rPr>
      </w:pPr>
    </w:p>
    <w:p w14:paraId="2F8DDA48" w14:textId="77777777" w:rsidR="00AD5B19" w:rsidRPr="00AD5B19" w:rsidRDefault="00AD5B19" w:rsidP="00AD5B19">
      <w:pPr>
        <w:jc w:val="both"/>
        <w:rPr>
          <w:rFonts w:ascii="Arial" w:hAnsi="Arial" w:cs="Arial"/>
          <w:lang w:val="en"/>
        </w:rPr>
      </w:pPr>
      <w:r w:rsidRPr="00AD5B19">
        <w:rPr>
          <w:rFonts w:ascii="Arial" w:hAnsi="Arial" w:cs="Arial"/>
          <w:lang w:val="en"/>
        </w:rPr>
        <w:t xml:space="preserve">Where: D: Dominance </w:t>
      </w:r>
      <w:proofErr w:type="gramStart"/>
      <w:r w:rsidRPr="00AD5B19">
        <w:rPr>
          <w:rFonts w:ascii="Arial" w:hAnsi="Arial" w:cs="Arial"/>
          <w:lang w:val="en"/>
        </w:rPr>
        <w:t xml:space="preserve">index;  </w:t>
      </w:r>
      <w:proofErr w:type="spellStart"/>
      <w:r w:rsidRPr="00AD5B19">
        <w:rPr>
          <w:rFonts w:ascii="Arial" w:hAnsi="Arial" w:cs="Arial"/>
          <w:lang w:val="en"/>
        </w:rPr>
        <w:t>ni</w:t>
      </w:r>
      <w:proofErr w:type="spellEnd"/>
      <w:proofErr w:type="gramEnd"/>
      <w:r w:rsidRPr="00AD5B19">
        <w:rPr>
          <w:rFonts w:ascii="Arial" w:hAnsi="Arial" w:cs="Arial"/>
          <w:lang w:val="en"/>
        </w:rPr>
        <w:t xml:space="preserve">: Number of individuals per </w:t>
      </w:r>
      <w:proofErr w:type="gramStart"/>
      <w:r w:rsidRPr="00AD5B19">
        <w:rPr>
          <w:rFonts w:ascii="Arial" w:hAnsi="Arial" w:cs="Arial"/>
          <w:lang w:val="en"/>
        </w:rPr>
        <w:t>family;  N</w:t>
      </w:r>
      <w:proofErr w:type="gramEnd"/>
      <w:r w:rsidRPr="00AD5B19">
        <w:rPr>
          <w:rFonts w:ascii="Arial" w:hAnsi="Arial" w:cs="Arial"/>
          <w:lang w:val="en"/>
        </w:rPr>
        <w:t>: Total number of individuals across all families.</w:t>
      </w:r>
    </w:p>
    <w:p w14:paraId="6FFBD2FF" w14:textId="77777777" w:rsidR="00AD5B19" w:rsidRDefault="00AD5B19" w:rsidP="00AD5B19">
      <w:pPr>
        <w:jc w:val="both"/>
        <w:rPr>
          <w:rFonts w:ascii="Arial" w:hAnsi="Arial" w:cs="Arial"/>
          <w:lang w:val="en"/>
        </w:rPr>
      </w:pPr>
      <w:r w:rsidRPr="00AD5B19">
        <w:rPr>
          <w:rFonts w:ascii="Arial" w:hAnsi="Arial" w:cs="Arial"/>
          <w:lang w:val="en"/>
        </w:rPr>
        <w:t xml:space="preserve">Criteria: 0 &lt; D ≤ 0.5: low dominance, 0.5 &lt; D ≤ 0.75: medium </w:t>
      </w:r>
      <w:proofErr w:type="gramStart"/>
      <w:r w:rsidRPr="00AD5B19">
        <w:rPr>
          <w:rFonts w:ascii="Arial" w:hAnsi="Arial" w:cs="Arial"/>
          <w:lang w:val="en"/>
        </w:rPr>
        <w:t>dominance;  0.75</w:t>
      </w:r>
      <w:proofErr w:type="gramEnd"/>
      <w:r w:rsidRPr="00AD5B19">
        <w:rPr>
          <w:rFonts w:ascii="Arial" w:hAnsi="Arial" w:cs="Arial"/>
          <w:lang w:val="en"/>
        </w:rPr>
        <w:t xml:space="preserve"> &lt; D ≤ 1: high dominance.</w:t>
      </w:r>
    </w:p>
    <w:p w14:paraId="2ADA6E7C" w14:textId="77777777" w:rsidR="00032D45" w:rsidRDefault="00032D45" w:rsidP="00AD5B19">
      <w:pPr>
        <w:jc w:val="both"/>
        <w:rPr>
          <w:rFonts w:ascii="Arial" w:hAnsi="Arial" w:cs="Arial"/>
          <w:lang w:val="en"/>
        </w:rPr>
      </w:pPr>
    </w:p>
    <w:p w14:paraId="18CD499D" w14:textId="77777777" w:rsidR="00032D45" w:rsidRDefault="00032D45" w:rsidP="00AD5B19">
      <w:pPr>
        <w:jc w:val="both"/>
        <w:rPr>
          <w:rFonts w:ascii="Arial" w:hAnsi="Arial" w:cs="Arial"/>
          <w:lang w:val="en"/>
        </w:rPr>
      </w:pPr>
    </w:p>
    <w:p w14:paraId="168DD937" w14:textId="77777777" w:rsidR="00032D45" w:rsidRPr="00AD5B19" w:rsidRDefault="00032D45" w:rsidP="00AD5B19">
      <w:pPr>
        <w:jc w:val="both"/>
        <w:rPr>
          <w:rFonts w:ascii="Arial" w:hAnsi="Arial" w:cs="Arial"/>
          <w:lang w:val="en"/>
        </w:rPr>
      </w:pPr>
    </w:p>
    <w:p w14:paraId="5AD2C9E7" w14:textId="77777777" w:rsidR="00AD5B19" w:rsidRPr="00AD5B19" w:rsidRDefault="00B27D63" w:rsidP="00AD5B19">
      <w:pPr>
        <w:shd w:val="clear" w:color="auto" w:fill="FFFFFF"/>
        <w:spacing w:line="420" w:lineRule="atLeast"/>
        <w:jc w:val="both"/>
        <w:rPr>
          <w:rFonts w:ascii="Arial" w:hAnsi="Arial" w:cs="Arial"/>
          <w:b/>
          <w:bCs/>
          <w:color w:val="0F1115"/>
          <w:lang w:val="en"/>
        </w:rPr>
      </w:pPr>
      <w:r>
        <w:rPr>
          <w:highlight w:val="yellow"/>
        </w:rPr>
        <w:t>2.5.5. t-test.</w:t>
      </w:r>
    </w:p>
    <w:p w14:paraId="6398823A" w14:textId="77777777" w:rsidR="00AD5B19" w:rsidRDefault="00AD5B19" w:rsidP="00B27D63">
      <w:pPr>
        <w:shd w:val="clear" w:color="auto" w:fill="FFFFFF"/>
        <w:ind w:firstLine="426"/>
        <w:jc w:val="both"/>
        <w:rPr>
          <w:rFonts w:ascii="Arial" w:hAnsi="Arial" w:cs="Arial"/>
          <w:color w:val="0F1115"/>
          <w:lang w:val="en"/>
        </w:rPr>
      </w:pPr>
      <w:r>
        <w:rPr>
          <w:highlight w:val="yellow"/>
        </w:rPr>
        <w:t>Weekly data on H', E, and C indices were analysed using a two-sample t-test assuming unequal variances at a 95% confidence level (α = 0.05) to test for differences between plots with and without cosmos refugia (Gomez &amp; Gomez, 1984).</w:t>
      </w:r>
    </w:p>
    <w:p w14:paraId="6CC8C6B5" w14:textId="77777777" w:rsidR="00B27D63" w:rsidRPr="00AD5B19" w:rsidRDefault="00B27D63" w:rsidP="00B27D63">
      <w:pPr>
        <w:shd w:val="clear" w:color="auto" w:fill="FFFFFF"/>
        <w:ind w:firstLine="426"/>
        <w:jc w:val="both"/>
        <w:rPr>
          <w:rFonts w:ascii="Arial" w:hAnsi="Arial" w:cs="Arial"/>
          <w:color w:val="0F1115"/>
        </w:rPr>
      </w:pPr>
    </w:p>
    <w:p w14:paraId="6D7BED36" w14:textId="77777777" w:rsidR="00902823" w:rsidRDefault="00000F8F" w:rsidP="00B27D63">
      <w:pPr>
        <w:pStyle w:val="Head1"/>
        <w:jc w:val="both"/>
        <w:rPr>
          <w:rFonts w:ascii="Arial" w:hAnsi="Arial" w:cs="Arial"/>
        </w:rPr>
      </w:pPr>
      <w:r>
        <w:rPr>
          <w:highlight w:val="yellow"/>
        </w:rPr>
        <w:t>3. RESULTS AND DISCUSSION</w:t>
      </w:r>
    </w:p>
    <w:p w14:paraId="46481A57" w14:textId="77777777" w:rsidR="00C64D9E" w:rsidRPr="00C64D9E" w:rsidRDefault="00B27D63" w:rsidP="00B27D63">
      <w:pPr>
        <w:shd w:val="clear" w:color="auto" w:fill="FFFFFF"/>
        <w:jc w:val="both"/>
        <w:rPr>
          <w:rFonts w:ascii="Arial" w:hAnsi="Arial" w:cs="Arial"/>
          <w:b/>
          <w:bCs/>
          <w:color w:val="0F1115"/>
          <w:lang w:val="en"/>
        </w:rPr>
      </w:pPr>
      <w:r>
        <w:rPr>
          <w:highlight w:val="yellow"/>
        </w:rPr>
        <w:t>3.1. Arthropod Composition and Abundance Based on Functional Roles</w:t>
      </w:r>
    </w:p>
    <w:p w14:paraId="572760D5" w14:textId="77777777" w:rsidR="00C64D9E" w:rsidRDefault="00C64D9E" w:rsidP="00B27D63">
      <w:pPr>
        <w:shd w:val="clear" w:color="auto" w:fill="FFFFFF"/>
        <w:ind w:firstLine="567"/>
        <w:jc w:val="both"/>
        <w:rPr>
          <w:rFonts w:ascii="Arial" w:hAnsi="Arial" w:cs="Arial"/>
          <w:color w:val="0F1115"/>
          <w:lang w:val="en"/>
        </w:rPr>
      </w:pPr>
      <w:r>
        <w:rPr>
          <w:highlight w:val="yellow"/>
        </w:rPr>
        <w:t>Observations of composition based on functional roles revealed clear differences between cayenne pepper agroecosystems with cosmos refugia and those without cosmos refugia (Table 1).</w:t>
      </w:r>
    </w:p>
    <w:p w14:paraId="1CBAB46E" w14:textId="77777777" w:rsidR="00B27D63" w:rsidRDefault="00B27D63" w:rsidP="00B27D63">
      <w:pPr>
        <w:shd w:val="clear" w:color="auto" w:fill="FFFFFF"/>
        <w:ind w:firstLine="567"/>
        <w:jc w:val="both"/>
        <w:rPr>
          <w:rFonts w:ascii="Arial" w:hAnsi="Arial" w:cs="Arial"/>
          <w:color w:val="0F1115"/>
          <w:lang w:val="en"/>
        </w:rPr>
      </w:pPr>
    </w:p>
    <w:p w14:paraId="41A8ACC3" w14:textId="77777777" w:rsidR="00C64D9E" w:rsidRPr="009455A2" w:rsidRDefault="00C64D9E" w:rsidP="009455A2">
      <w:pPr>
        <w:shd w:val="clear" w:color="auto" w:fill="FFFFFF"/>
        <w:spacing w:after="120"/>
        <w:ind w:left="567" w:hanging="567"/>
        <w:jc w:val="both"/>
        <w:rPr>
          <w:rFonts w:ascii="Arial" w:hAnsi="Arial" w:cs="Arial"/>
          <w:b/>
          <w:bCs/>
          <w:color w:val="0F1115"/>
        </w:rPr>
      </w:pPr>
      <w:r w:rsidRPr="009455A2">
        <w:rPr>
          <w:rFonts w:ascii="Arial" w:hAnsi="Arial" w:cs="Arial"/>
          <w:b/>
          <w:bCs/>
          <w:color w:val="0F1115"/>
          <w:lang w:val="en"/>
        </w:rPr>
        <w:t xml:space="preserve">Table 1. Composition of arthropod functional roles </w:t>
      </w:r>
      <w:r w:rsidRPr="00DD76CD">
        <w:rPr>
          <w:rFonts w:ascii="Arial" w:hAnsi="Arial" w:cs="Arial"/>
          <w:b/>
          <w:bCs/>
          <w:color w:val="0F1115"/>
          <w:lang w:val="en"/>
        </w:rPr>
        <w:t xml:space="preserve">in </w:t>
      </w:r>
      <w:r w:rsidR="00A1511B" w:rsidRPr="00DD76CD">
        <w:rPr>
          <w:rFonts w:ascii="Arial" w:hAnsi="Arial" w:cs="Arial"/>
          <w:b/>
          <w:bCs/>
          <w:color w:val="0F1115"/>
          <w:lang w:val="en"/>
        </w:rPr>
        <w:t>c</w:t>
      </w:r>
      <w:proofErr w:type="spellStart"/>
      <w:r w:rsidR="00A1511B" w:rsidRPr="00DD76CD">
        <w:rPr>
          <w:rFonts w:ascii="Arial" w:hAnsi="Arial" w:cs="Arial"/>
          <w:b/>
          <w:bCs/>
          <w:color w:val="0F1115"/>
        </w:rPr>
        <w:t>ayenne</w:t>
      </w:r>
      <w:proofErr w:type="spellEnd"/>
      <w:r w:rsidR="00A1511B" w:rsidRPr="00DD76CD">
        <w:rPr>
          <w:rFonts w:ascii="Arial" w:hAnsi="Arial" w:cs="Arial"/>
          <w:b/>
          <w:bCs/>
          <w:color w:val="0F1115"/>
        </w:rPr>
        <w:t xml:space="preserve"> pepper</w:t>
      </w:r>
      <w:r w:rsidRPr="009455A2">
        <w:rPr>
          <w:rFonts w:ascii="Arial" w:hAnsi="Arial" w:cs="Arial"/>
          <w:b/>
          <w:bCs/>
          <w:color w:val="0F1115"/>
          <w:lang w:val="en"/>
        </w:rPr>
        <w:t xml:space="preserve"> fields with and without Cosmos refugia.</w:t>
      </w:r>
    </w:p>
    <w:tbl>
      <w:tblPr>
        <w:tblStyle w:val="TableGrid"/>
        <w:tblW w:w="0" w:type="auto"/>
        <w:tblLook w:val="04A0" w:firstRow="1" w:lastRow="0" w:firstColumn="1" w:lastColumn="0" w:noHBand="0" w:noVBand="1"/>
      </w:tblPr>
      <w:tblGrid>
        <w:gridCol w:w="483"/>
        <w:gridCol w:w="2075"/>
        <w:gridCol w:w="1984"/>
        <w:gridCol w:w="1984"/>
        <w:gridCol w:w="1640"/>
      </w:tblGrid>
      <w:tr w:rsidR="00C64D9E" w14:paraId="6AFC3268" w14:textId="77777777" w:rsidTr="00C94702">
        <w:tc>
          <w:tcPr>
            <w:tcW w:w="472" w:type="dxa"/>
            <w:tcBorders>
              <w:top w:val="single" w:sz="4" w:space="0" w:color="auto"/>
              <w:left w:val="nil"/>
              <w:bottom w:val="single" w:sz="4" w:space="0" w:color="auto"/>
              <w:right w:val="nil"/>
            </w:tcBorders>
            <w:vAlign w:val="center"/>
          </w:tcPr>
          <w:p w14:paraId="7EF895A5" w14:textId="77777777" w:rsidR="00C64D9E" w:rsidRPr="00FC691F" w:rsidRDefault="00C64D9E" w:rsidP="00C64D9E">
            <w:pPr>
              <w:spacing w:after="120"/>
              <w:jc w:val="both"/>
              <w:rPr>
                <w:rFonts w:ascii="Arial" w:hAnsi="Arial" w:cs="Arial"/>
                <w:b/>
                <w:bCs/>
                <w:color w:val="0F1115"/>
                <w:sz w:val="20"/>
                <w:szCs w:val="20"/>
              </w:rPr>
            </w:pPr>
            <w:r w:rsidRPr="00FC691F">
              <w:rPr>
                <w:rFonts w:ascii="Arial" w:hAnsi="Arial" w:cs="Arial"/>
                <w:b/>
                <w:bCs/>
                <w:sz w:val="20"/>
                <w:szCs w:val="20"/>
              </w:rPr>
              <w:t>No</w:t>
            </w:r>
          </w:p>
        </w:tc>
        <w:tc>
          <w:tcPr>
            <w:tcW w:w="2075" w:type="dxa"/>
            <w:tcBorders>
              <w:top w:val="single" w:sz="4" w:space="0" w:color="auto"/>
              <w:left w:val="nil"/>
              <w:bottom w:val="single" w:sz="4" w:space="0" w:color="auto"/>
              <w:right w:val="nil"/>
            </w:tcBorders>
            <w:vAlign w:val="center"/>
          </w:tcPr>
          <w:p w14:paraId="2191CEDC" w14:textId="77777777" w:rsidR="00C64D9E" w:rsidRPr="00FC691F" w:rsidRDefault="00C64D9E" w:rsidP="00C64D9E">
            <w:pPr>
              <w:spacing w:after="120"/>
              <w:jc w:val="both"/>
              <w:rPr>
                <w:rFonts w:ascii="Arial" w:hAnsi="Arial" w:cs="Arial"/>
                <w:b/>
                <w:bCs/>
                <w:color w:val="0F1115"/>
                <w:sz w:val="20"/>
                <w:szCs w:val="20"/>
              </w:rPr>
            </w:pPr>
            <w:r w:rsidRPr="00FC691F">
              <w:rPr>
                <w:rFonts w:ascii="Arial" w:hAnsi="Arial" w:cs="Arial"/>
                <w:b/>
                <w:bCs/>
                <w:sz w:val="20"/>
                <w:szCs w:val="20"/>
                <w:lang w:val="en"/>
              </w:rPr>
              <w:t>Functional Role</w:t>
            </w:r>
            <w:r w:rsidRPr="00FC691F">
              <w:rPr>
                <w:rFonts w:ascii="Arial" w:hAnsi="Arial" w:cs="Arial"/>
                <w:b/>
                <w:bCs/>
                <w:sz w:val="20"/>
                <w:szCs w:val="20"/>
              </w:rPr>
              <w:t>l</w:t>
            </w:r>
          </w:p>
        </w:tc>
        <w:tc>
          <w:tcPr>
            <w:tcW w:w="1984" w:type="dxa"/>
            <w:tcBorders>
              <w:top w:val="single" w:sz="4" w:space="0" w:color="auto"/>
              <w:left w:val="nil"/>
              <w:bottom w:val="single" w:sz="4" w:space="0" w:color="auto"/>
              <w:right w:val="nil"/>
            </w:tcBorders>
            <w:vAlign w:val="center"/>
          </w:tcPr>
          <w:p w14:paraId="71B98165" w14:textId="77777777" w:rsidR="00C64D9E" w:rsidRPr="00FC691F" w:rsidRDefault="00C64D9E" w:rsidP="00C64D9E">
            <w:pPr>
              <w:spacing w:after="120"/>
              <w:jc w:val="center"/>
              <w:rPr>
                <w:rFonts w:ascii="Arial" w:hAnsi="Arial" w:cs="Arial"/>
                <w:b/>
                <w:bCs/>
                <w:color w:val="0F1115"/>
                <w:sz w:val="20"/>
                <w:szCs w:val="20"/>
              </w:rPr>
            </w:pPr>
            <w:r w:rsidRPr="00FC691F">
              <w:rPr>
                <w:rFonts w:ascii="Arial" w:hAnsi="Arial" w:cs="Arial"/>
                <w:b/>
                <w:bCs/>
                <w:color w:val="0F1115"/>
                <w:sz w:val="20"/>
                <w:szCs w:val="20"/>
              </w:rPr>
              <w:t>Cayenne pepper</w:t>
            </w:r>
            <w:r w:rsidRPr="00FC691F">
              <w:rPr>
                <w:rFonts w:ascii="Arial" w:hAnsi="Arial" w:cs="Arial"/>
                <w:b/>
                <w:bCs/>
                <w:sz w:val="20"/>
                <w:szCs w:val="20"/>
                <w:lang w:val="en"/>
              </w:rPr>
              <w:t xml:space="preserve"> with Cosmos Refugia</w:t>
            </w:r>
            <w:r w:rsidRPr="00FC691F">
              <w:rPr>
                <w:rFonts w:ascii="Arial" w:hAnsi="Arial" w:cs="Arial"/>
                <w:b/>
                <w:bCs/>
                <w:sz w:val="20"/>
                <w:szCs w:val="20"/>
              </w:rPr>
              <w:t>s</w:t>
            </w:r>
          </w:p>
        </w:tc>
        <w:tc>
          <w:tcPr>
            <w:tcW w:w="1984" w:type="dxa"/>
            <w:tcBorders>
              <w:top w:val="single" w:sz="4" w:space="0" w:color="auto"/>
              <w:left w:val="nil"/>
              <w:bottom w:val="single" w:sz="4" w:space="0" w:color="auto"/>
              <w:right w:val="nil"/>
            </w:tcBorders>
            <w:vAlign w:val="center"/>
          </w:tcPr>
          <w:p w14:paraId="74A5F7B9" w14:textId="77777777" w:rsidR="00C64D9E" w:rsidRPr="00FC691F" w:rsidRDefault="00C64D9E" w:rsidP="00C64D9E">
            <w:pPr>
              <w:spacing w:after="120"/>
              <w:jc w:val="center"/>
              <w:rPr>
                <w:rFonts w:ascii="Arial" w:hAnsi="Arial" w:cs="Arial"/>
                <w:b/>
                <w:bCs/>
                <w:color w:val="0F1115"/>
                <w:sz w:val="20"/>
                <w:szCs w:val="20"/>
              </w:rPr>
            </w:pPr>
            <w:r w:rsidRPr="00FC691F">
              <w:rPr>
                <w:rFonts w:ascii="Arial" w:hAnsi="Arial" w:cs="Arial"/>
                <w:b/>
                <w:bCs/>
                <w:color w:val="0F1115"/>
                <w:sz w:val="20"/>
                <w:szCs w:val="20"/>
              </w:rPr>
              <w:t>Cayenne pepper</w:t>
            </w:r>
            <w:r w:rsidRPr="00FC691F">
              <w:rPr>
                <w:rFonts w:ascii="Arial" w:hAnsi="Arial" w:cs="Arial"/>
                <w:b/>
                <w:bCs/>
                <w:sz w:val="20"/>
                <w:szCs w:val="20"/>
                <w:lang w:val="en"/>
              </w:rPr>
              <w:t xml:space="preserve"> without Cosmos Refugia</w:t>
            </w:r>
          </w:p>
        </w:tc>
        <w:tc>
          <w:tcPr>
            <w:tcW w:w="1640" w:type="dxa"/>
            <w:tcBorders>
              <w:top w:val="single" w:sz="4" w:space="0" w:color="auto"/>
              <w:left w:val="nil"/>
              <w:bottom w:val="single" w:sz="4" w:space="0" w:color="auto"/>
              <w:right w:val="nil"/>
            </w:tcBorders>
            <w:vAlign w:val="center"/>
          </w:tcPr>
          <w:p w14:paraId="1E1D741D" w14:textId="77777777" w:rsidR="00C64D9E" w:rsidRPr="00FC691F" w:rsidRDefault="00C64D9E" w:rsidP="00C64D9E">
            <w:pPr>
              <w:spacing w:after="120"/>
              <w:jc w:val="center"/>
              <w:rPr>
                <w:rFonts w:ascii="Arial" w:hAnsi="Arial" w:cs="Arial"/>
                <w:b/>
                <w:bCs/>
                <w:color w:val="0F1115"/>
                <w:sz w:val="20"/>
                <w:szCs w:val="20"/>
              </w:rPr>
            </w:pPr>
            <w:r w:rsidRPr="00FC691F">
              <w:rPr>
                <w:rFonts w:ascii="Arial" w:hAnsi="Arial" w:cs="Arial"/>
                <w:b/>
                <w:bCs/>
                <w:sz w:val="20"/>
                <w:szCs w:val="20"/>
                <w:lang w:val="en"/>
              </w:rPr>
              <w:t>Change</w:t>
            </w:r>
          </w:p>
        </w:tc>
      </w:tr>
      <w:tr w:rsidR="00C64D9E" w14:paraId="4ADEDC38" w14:textId="77777777" w:rsidTr="00C94702">
        <w:tc>
          <w:tcPr>
            <w:tcW w:w="472" w:type="dxa"/>
            <w:tcBorders>
              <w:top w:val="single" w:sz="4" w:space="0" w:color="auto"/>
              <w:left w:val="nil"/>
              <w:bottom w:val="nil"/>
              <w:right w:val="nil"/>
            </w:tcBorders>
          </w:tcPr>
          <w:p w14:paraId="6826B09F" w14:textId="77777777" w:rsidR="00C64D9E" w:rsidRDefault="00C64D9E" w:rsidP="00C64D9E">
            <w:pPr>
              <w:spacing w:after="120"/>
              <w:jc w:val="both"/>
              <w:rPr>
                <w:rFonts w:ascii="Arial" w:hAnsi="Arial" w:cs="Arial"/>
                <w:color w:val="0F1115"/>
              </w:rPr>
            </w:pPr>
            <w:r>
              <w:rPr>
                <w:rFonts w:ascii="Arial" w:hAnsi="Arial" w:cs="Arial"/>
                <w:color w:val="0F1115"/>
              </w:rPr>
              <w:t>1</w:t>
            </w:r>
          </w:p>
        </w:tc>
        <w:tc>
          <w:tcPr>
            <w:tcW w:w="2075" w:type="dxa"/>
            <w:tcBorders>
              <w:top w:val="single" w:sz="4" w:space="0" w:color="auto"/>
              <w:left w:val="nil"/>
              <w:bottom w:val="nil"/>
              <w:right w:val="nil"/>
            </w:tcBorders>
          </w:tcPr>
          <w:p w14:paraId="2F52B2E2" w14:textId="77777777"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Pest </w:t>
            </w:r>
          </w:p>
        </w:tc>
        <w:tc>
          <w:tcPr>
            <w:tcW w:w="1984" w:type="dxa"/>
            <w:tcBorders>
              <w:top w:val="single" w:sz="4" w:space="0" w:color="auto"/>
              <w:left w:val="nil"/>
              <w:bottom w:val="nil"/>
              <w:right w:val="nil"/>
            </w:tcBorders>
            <w:vAlign w:val="center"/>
          </w:tcPr>
          <w:p w14:paraId="12A549E4"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1.421 (60,4%)</w:t>
            </w:r>
          </w:p>
        </w:tc>
        <w:tc>
          <w:tcPr>
            <w:tcW w:w="1984" w:type="dxa"/>
            <w:tcBorders>
              <w:top w:val="single" w:sz="4" w:space="0" w:color="auto"/>
              <w:left w:val="nil"/>
              <w:bottom w:val="nil"/>
              <w:right w:val="nil"/>
            </w:tcBorders>
            <w:vAlign w:val="center"/>
          </w:tcPr>
          <w:p w14:paraId="6A1075BC"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1.870 (93,6%)</w:t>
            </w:r>
          </w:p>
        </w:tc>
        <w:tc>
          <w:tcPr>
            <w:tcW w:w="1640" w:type="dxa"/>
            <w:tcBorders>
              <w:top w:val="single" w:sz="4" w:space="0" w:color="auto"/>
              <w:left w:val="nil"/>
              <w:bottom w:val="nil"/>
              <w:right w:val="nil"/>
            </w:tcBorders>
            <w:vAlign w:val="center"/>
          </w:tcPr>
          <w:p w14:paraId="14819932"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33,2%</w:t>
            </w:r>
          </w:p>
        </w:tc>
      </w:tr>
      <w:tr w:rsidR="00C64D9E" w14:paraId="5788BA9D" w14:textId="77777777" w:rsidTr="00C94702">
        <w:tc>
          <w:tcPr>
            <w:tcW w:w="472" w:type="dxa"/>
            <w:tcBorders>
              <w:top w:val="nil"/>
              <w:left w:val="nil"/>
              <w:bottom w:val="nil"/>
              <w:right w:val="nil"/>
            </w:tcBorders>
          </w:tcPr>
          <w:p w14:paraId="62B32E01" w14:textId="77777777" w:rsidR="00C64D9E" w:rsidRDefault="00C64D9E" w:rsidP="00C64D9E">
            <w:pPr>
              <w:spacing w:after="120"/>
              <w:jc w:val="both"/>
              <w:rPr>
                <w:rFonts w:ascii="Arial" w:hAnsi="Arial" w:cs="Arial"/>
                <w:color w:val="0F1115"/>
              </w:rPr>
            </w:pPr>
            <w:r>
              <w:rPr>
                <w:rFonts w:ascii="Arial" w:hAnsi="Arial" w:cs="Arial"/>
                <w:color w:val="0F1115"/>
              </w:rPr>
              <w:t>2</w:t>
            </w:r>
          </w:p>
        </w:tc>
        <w:tc>
          <w:tcPr>
            <w:tcW w:w="2075" w:type="dxa"/>
            <w:tcBorders>
              <w:top w:val="nil"/>
              <w:left w:val="nil"/>
              <w:bottom w:val="nil"/>
              <w:right w:val="nil"/>
            </w:tcBorders>
          </w:tcPr>
          <w:p w14:paraId="0EF8B827" w14:textId="77777777"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Predator </w:t>
            </w:r>
          </w:p>
        </w:tc>
        <w:tc>
          <w:tcPr>
            <w:tcW w:w="1984" w:type="dxa"/>
            <w:tcBorders>
              <w:top w:val="nil"/>
              <w:left w:val="nil"/>
              <w:bottom w:val="nil"/>
              <w:right w:val="nil"/>
            </w:tcBorders>
            <w:vAlign w:val="center"/>
          </w:tcPr>
          <w:p w14:paraId="76BD7732"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631 (26,9%)</w:t>
            </w:r>
          </w:p>
        </w:tc>
        <w:tc>
          <w:tcPr>
            <w:tcW w:w="1984" w:type="dxa"/>
            <w:tcBorders>
              <w:top w:val="nil"/>
              <w:left w:val="nil"/>
              <w:bottom w:val="nil"/>
              <w:right w:val="nil"/>
            </w:tcBorders>
            <w:vAlign w:val="center"/>
          </w:tcPr>
          <w:p w14:paraId="5D92C0DC"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76 (3,8%)</w:t>
            </w:r>
          </w:p>
        </w:tc>
        <w:tc>
          <w:tcPr>
            <w:tcW w:w="1640" w:type="dxa"/>
            <w:tcBorders>
              <w:top w:val="nil"/>
              <w:left w:val="nil"/>
              <w:bottom w:val="nil"/>
              <w:right w:val="nil"/>
            </w:tcBorders>
            <w:vAlign w:val="center"/>
          </w:tcPr>
          <w:p w14:paraId="61FD8FF6"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23,1%</w:t>
            </w:r>
          </w:p>
        </w:tc>
      </w:tr>
      <w:tr w:rsidR="00C64D9E" w14:paraId="36C01940" w14:textId="77777777" w:rsidTr="00C94702">
        <w:tc>
          <w:tcPr>
            <w:tcW w:w="472" w:type="dxa"/>
            <w:tcBorders>
              <w:top w:val="nil"/>
              <w:left w:val="nil"/>
              <w:bottom w:val="nil"/>
              <w:right w:val="nil"/>
            </w:tcBorders>
          </w:tcPr>
          <w:p w14:paraId="336C089B" w14:textId="77777777" w:rsidR="00C64D9E" w:rsidRDefault="00C64D9E" w:rsidP="00C64D9E">
            <w:pPr>
              <w:spacing w:after="120"/>
              <w:jc w:val="both"/>
              <w:rPr>
                <w:rFonts w:ascii="Arial" w:hAnsi="Arial" w:cs="Arial"/>
                <w:color w:val="0F1115"/>
              </w:rPr>
            </w:pPr>
            <w:r>
              <w:rPr>
                <w:rFonts w:ascii="Arial" w:hAnsi="Arial" w:cs="Arial"/>
                <w:color w:val="0F1115"/>
              </w:rPr>
              <w:t>3</w:t>
            </w:r>
          </w:p>
        </w:tc>
        <w:tc>
          <w:tcPr>
            <w:tcW w:w="2075" w:type="dxa"/>
            <w:tcBorders>
              <w:top w:val="nil"/>
              <w:left w:val="nil"/>
              <w:bottom w:val="nil"/>
              <w:right w:val="nil"/>
            </w:tcBorders>
          </w:tcPr>
          <w:p w14:paraId="5292E78B" w14:textId="77777777"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Parasitoid </w:t>
            </w:r>
          </w:p>
        </w:tc>
        <w:tc>
          <w:tcPr>
            <w:tcW w:w="1984" w:type="dxa"/>
            <w:tcBorders>
              <w:top w:val="nil"/>
              <w:left w:val="nil"/>
              <w:bottom w:val="nil"/>
              <w:right w:val="nil"/>
            </w:tcBorders>
            <w:vAlign w:val="center"/>
          </w:tcPr>
          <w:p w14:paraId="68C9930A"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91 (3,9%)</w:t>
            </w:r>
          </w:p>
        </w:tc>
        <w:tc>
          <w:tcPr>
            <w:tcW w:w="1984" w:type="dxa"/>
            <w:tcBorders>
              <w:top w:val="nil"/>
              <w:left w:val="nil"/>
              <w:bottom w:val="nil"/>
              <w:right w:val="nil"/>
            </w:tcBorders>
            <w:vAlign w:val="center"/>
          </w:tcPr>
          <w:p w14:paraId="181AD4C8"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0 (0%)</w:t>
            </w:r>
          </w:p>
        </w:tc>
        <w:tc>
          <w:tcPr>
            <w:tcW w:w="1640" w:type="dxa"/>
            <w:tcBorders>
              <w:top w:val="nil"/>
              <w:left w:val="nil"/>
              <w:bottom w:val="nil"/>
              <w:right w:val="nil"/>
            </w:tcBorders>
            <w:vAlign w:val="center"/>
          </w:tcPr>
          <w:p w14:paraId="5861B095"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3,9%</w:t>
            </w:r>
          </w:p>
        </w:tc>
      </w:tr>
      <w:tr w:rsidR="00C64D9E" w14:paraId="431D3F3F" w14:textId="77777777" w:rsidTr="00C94702">
        <w:tc>
          <w:tcPr>
            <w:tcW w:w="472" w:type="dxa"/>
            <w:tcBorders>
              <w:top w:val="nil"/>
              <w:left w:val="nil"/>
              <w:bottom w:val="nil"/>
              <w:right w:val="nil"/>
            </w:tcBorders>
          </w:tcPr>
          <w:p w14:paraId="02956CEB" w14:textId="77777777" w:rsidR="00C64D9E" w:rsidRDefault="00C64D9E" w:rsidP="00C64D9E">
            <w:pPr>
              <w:spacing w:after="120"/>
              <w:jc w:val="both"/>
              <w:rPr>
                <w:rFonts w:ascii="Arial" w:hAnsi="Arial" w:cs="Arial"/>
                <w:color w:val="0F1115"/>
              </w:rPr>
            </w:pPr>
            <w:r>
              <w:rPr>
                <w:rFonts w:ascii="Arial" w:hAnsi="Arial" w:cs="Arial"/>
                <w:color w:val="0F1115"/>
              </w:rPr>
              <w:t>4</w:t>
            </w:r>
          </w:p>
        </w:tc>
        <w:tc>
          <w:tcPr>
            <w:tcW w:w="2075" w:type="dxa"/>
            <w:tcBorders>
              <w:top w:val="nil"/>
              <w:left w:val="nil"/>
              <w:bottom w:val="nil"/>
              <w:right w:val="nil"/>
            </w:tcBorders>
          </w:tcPr>
          <w:p w14:paraId="39801D7B" w14:textId="77777777"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Pollinator </w:t>
            </w:r>
          </w:p>
        </w:tc>
        <w:tc>
          <w:tcPr>
            <w:tcW w:w="1984" w:type="dxa"/>
            <w:tcBorders>
              <w:top w:val="nil"/>
              <w:left w:val="nil"/>
              <w:bottom w:val="nil"/>
              <w:right w:val="nil"/>
            </w:tcBorders>
            <w:vAlign w:val="center"/>
          </w:tcPr>
          <w:p w14:paraId="02F7D4AD"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151 (6,4%)</w:t>
            </w:r>
          </w:p>
        </w:tc>
        <w:tc>
          <w:tcPr>
            <w:tcW w:w="1984" w:type="dxa"/>
            <w:tcBorders>
              <w:top w:val="nil"/>
              <w:left w:val="nil"/>
              <w:bottom w:val="nil"/>
              <w:right w:val="nil"/>
            </w:tcBorders>
            <w:vAlign w:val="center"/>
          </w:tcPr>
          <w:p w14:paraId="78A6A4EB"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10 (0,5%)</w:t>
            </w:r>
          </w:p>
        </w:tc>
        <w:tc>
          <w:tcPr>
            <w:tcW w:w="1640" w:type="dxa"/>
            <w:tcBorders>
              <w:top w:val="nil"/>
              <w:left w:val="nil"/>
              <w:bottom w:val="nil"/>
              <w:right w:val="nil"/>
            </w:tcBorders>
            <w:vAlign w:val="center"/>
          </w:tcPr>
          <w:p w14:paraId="2C11D4CB"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5,9%</w:t>
            </w:r>
          </w:p>
        </w:tc>
      </w:tr>
      <w:tr w:rsidR="00C64D9E" w14:paraId="6F3A6272" w14:textId="77777777" w:rsidTr="00C94702">
        <w:tc>
          <w:tcPr>
            <w:tcW w:w="472" w:type="dxa"/>
            <w:tcBorders>
              <w:top w:val="nil"/>
              <w:left w:val="nil"/>
              <w:bottom w:val="single" w:sz="4" w:space="0" w:color="auto"/>
              <w:right w:val="nil"/>
            </w:tcBorders>
          </w:tcPr>
          <w:p w14:paraId="54102303" w14:textId="77777777" w:rsidR="00C64D9E" w:rsidRDefault="00C64D9E" w:rsidP="00C64D9E">
            <w:pPr>
              <w:spacing w:after="120"/>
              <w:jc w:val="both"/>
              <w:rPr>
                <w:rFonts w:ascii="Arial" w:hAnsi="Arial" w:cs="Arial"/>
                <w:color w:val="0F1115"/>
              </w:rPr>
            </w:pPr>
            <w:r>
              <w:rPr>
                <w:rFonts w:ascii="Arial" w:hAnsi="Arial" w:cs="Arial"/>
                <w:color w:val="0F1115"/>
              </w:rPr>
              <w:t>5</w:t>
            </w:r>
          </w:p>
        </w:tc>
        <w:tc>
          <w:tcPr>
            <w:tcW w:w="2075" w:type="dxa"/>
            <w:tcBorders>
              <w:top w:val="nil"/>
              <w:left w:val="nil"/>
              <w:bottom w:val="single" w:sz="4" w:space="0" w:color="auto"/>
              <w:right w:val="nil"/>
            </w:tcBorders>
          </w:tcPr>
          <w:p w14:paraId="0A1BFCBD" w14:textId="77777777" w:rsidR="00C64D9E" w:rsidRPr="00C64D9E" w:rsidRDefault="00C64D9E" w:rsidP="00C64D9E">
            <w:pPr>
              <w:spacing w:after="120"/>
              <w:jc w:val="both"/>
              <w:rPr>
                <w:rFonts w:ascii="Arial" w:hAnsi="Arial" w:cs="Arial"/>
                <w:color w:val="0F1115"/>
                <w:sz w:val="20"/>
                <w:szCs w:val="20"/>
                <w:lang w:val="en"/>
              </w:rPr>
            </w:pPr>
            <w:r w:rsidRPr="00C64D9E">
              <w:rPr>
                <w:rFonts w:ascii="Arial" w:hAnsi="Arial" w:cs="Arial"/>
                <w:color w:val="0F1115"/>
                <w:sz w:val="20"/>
                <w:szCs w:val="20"/>
                <w:lang w:val="en"/>
              </w:rPr>
              <w:t>Decomposer</w:t>
            </w:r>
          </w:p>
        </w:tc>
        <w:tc>
          <w:tcPr>
            <w:tcW w:w="1984" w:type="dxa"/>
            <w:tcBorders>
              <w:top w:val="nil"/>
              <w:left w:val="nil"/>
              <w:bottom w:val="single" w:sz="4" w:space="0" w:color="auto"/>
              <w:right w:val="nil"/>
            </w:tcBorders>
            <w:vAlign w:val="center"/>
          </w:tcPr>
          <w:p w14:paraId="6EBB9F8C"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56 (2,4%)</w:t>
            </w:r>
          </w:p>
        </w:tc>
        <w:tc>
          <w:tcPr>
            <w:tcW w:w="1984" w:type="dxa"/>
            <w:tcBorders>
              <w:top w:val="nil"/>
              <w:left w:val="nil"/>
              <w:bottom w:val="single" w:sz="4" w:space="0" w:color="auto"/>
              <w:right w:val="nil"/>
            </w:tcBorders>
            <w:vAlign w:val="center"/>
          </w:tcPr>
          <w:p w14:paraId="2EE4A33D"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41 (2,1%)</w:t>
            </w:r>
          </w:p>
        </w:tc>
        <w:tc>
          <w:tcPr>
            <w:tcW w:w="1640" w:type="dxa"/>
            <w:tcBorders>
              <w:top w:val="nil"/>
              <w:left w:val="nil"/>
              <w:bottom w:val="single" w:sz="4" w:space="0" w:color="auto"/>
              <w:right w:val="nil"/>
            </w:tcBorders>
            <w:vAlign w:val="center"/>
          </w:tcPr>
          <w:p w14:paraId="14572BDC"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0,3%</w:t>
            </w:r>
          </w:p>
        </w:tc>
      </w:tr>
      <w:tr w:rsidR="00C64D9E" w14:paraId="67D5B258" w14:textId="77777777" w:rsidTr="00631F4C">
        <w:tc>
          <w:tcPr>
            <w:tcW w:w="2547" w:type="dxa"/>
            <w:gridSpan w:val="2"/>
            <w:tcBorders>
              <w:top w:val="single" w:sz="4" w:space="0" w:color="auto"/>
              <w:left w:val="nil"/>
              <w:bottom w:val="single" w:sz="4" w:space="0" w:color="auto"/>
              <w:right w:val="nil"/>
            </w:tcBorders>
          </w:tcPr>
          <w:p w14:paraId="2DDFB337" w14:textId="77777777" w:rsidR="00C64D9E" w:rsidRPr="00C64D9E" w:rsidRDefault="00C64D9E" w:rsidP="00C64D9E">
            <w:pPr>
              <w:spacing w:after="120"/>
              <w:jc w:val="both"/>
              <w:rPr>
                <w:rFonts w:ascii="Arial" w:hAnsi="Arial" w:cs="Arial"/>
                <w:color w:val="0F1115"/>
                <w:sz w:val="20"/>
                <w:szCs w:val="20"/>
                <w:lang w:val="en"/>
              </w:rPr>
            </w:pPr>
            <w:r w:rsidRPr="00C64D9E">
              <w:rPr>
                <w:rFonts w:ascii="Arial" w:hAnsi="Arial" w:cs="Arial"/>
                <w:color w:val="0F1115"/>
                <w:sz w:val="20"/>
                <w:szCs w:val="20"/>
                <w:lang w:val="en"/>
              </w:rPr>
              <w:t xml:space="preserve">Total Individuals </w:t>
            </w:r>
          </w:p>
        </w:tc>
        <w:tc>
          <w:tcPr>
            <w:tcW w:w="1984" w:type="dxa"/>
            <w:tcBorders>
              <w:top w:val="single" w:sz="4" w:space="0" w:color="auto"/>
              <w:left w:val="nil"/>
              <w:bottom w:val="single" w:sz="4" w:space="0" w:color="auto"/>
              <w:right w:val="nil"/>
            </w:tcBorders>
            <w:vAlign w:val="center"/>
          </w:tcPr>
          <w:p w14:paraId="79EB0BEF" w14:textId="77777777" w:rsidR="00C64D9E" w:rsidRPr="00C64D9E" w:rsidRDefault="00C64D9E" w:rsidP="00C64D9E">
            <w:pPr>
              <w:spacing w:after="120"/>
              <w:jc w:val="center"/>
              <w:rPr>
                <w:rFonts w:ascii="Arial" w:hAnsi="Arial" w:cs="Arial"/>
              </w:rPr>
            </w:pPr>
            <w:r w:rsidRPr="00485CEF">
              <w:t>2.350</w:t>
            </w:r>
          </w:p>
        </w:tc>
        <w:tc>
          <w:tcPr>
            <w:tcW w:w="1984" w:type="dxa"/>
            <w:tcBorders>
              <w:top w:val="single" w:sz="4" w:space="0" w:color="auto"/>
              <w:left w:val="nil"/>
              <w:bottom w:val="single" w:sz="4" w:space="0" w:color="auto"/>
              <w:right w:val="nil"/>
            </w:tcBorders>
            <w:vAlign w:val="center"/>
          </w:tcPr>
          <w:p w14:paraId="4935D08D" w14:textId="77777777" w:rsidR="00C64D9E" w:rsidRPr="00C64D9E" w:rsidRDefault="00C64D9E" w:rsidP="00C64D9E">
            <w:pPr>
              <w:spacing w:after="120"/>
              <w:jc w:val="center"/>
              <w:rPr>
                <w:rFonts w:ascii="Arial" w:hAnsi="Arial" w:cs="Arial"/>
              </w:rPr>
            </w:pPr>
            <w:r w:rsidRPr="00485CEF">
              <w:t>1.997</w:t>
            </w:r>
          </w:p>
        </w:tc>
        <w:tc>
          <w:tcPr>
            <w:tcW w:w="1640" w:type="dxa"/>
            <w:tcBorders>
              <w:top w:val="single" w:sz="4" w:space="0" w:color="auto"/>
              <w:left w:val="nil"/>
              <w:bottom w:val="single" w:sz="4" w:space="0" w:color="auto"/>
              <w:right w:val="nil"/>
            </w:tcBorders>
            <w:vAlign w:val="center"/>
          </w:tcPr>
          <w:p w14:paraId="308E8D76" w14:textId="77777777" w:rsidR="00C64D9E" w:rsidRPr="00C64D9E" w:rsidRDefault="00C64D9E" w:rsidP="00C64D9E">
            <w:pPr>
              <w:spacing w:after="120"/>
              <w:jc w:val="center"/>
              <w:rPr>
                <w:rFonts w:ascii="Arial" w:hAnsi="Arial" w:cs="Arial"/>
              </w:rPr>
            </w:pPr>
          </w:p>
        </w:tc>
      </w:tr>
      <w:tr w:rsidR="00C64D9E" w14:paraId="1CA681A0" w14:textId="77777777" w:rsidTr="00631F4C">
        <w:tc>
          <w:tcPr>
            <w:tcW w:w="2547" w:type="dxa"/>
            <w:gridSpan w:val="2"/>
            <w:tcBorders>
              <w:top w:val="single" w:sz="4" w:space="0" w:color="auto"/>
              <w:left w:val="nil"/>
              <w:bottom w:val="single" w:sz="4" w:space="0" w:color="auto"/>
              <w:right w:val="nil"/>
            </w:tcBorders>
          </w:tcPr>
          <w:p w14:paraId="0C27C8F1" w14:textId="77777777" w:rsidR="00C64D9E" w:rsidRPr="00C64D9E" w:rsidRDefault="00C64D9E" w:rsidP="00C64D9E">
            <w:pPr>
              <w:spacing w:after="120"/>
              <w:jc w:val="both"/>
              <w:rPr>
                <w:rFonts w:ascii="Arial" w:hAnsi="Arial" w:cs="Arial"/>
                <w:color w:val="0F1115"/>
                <w:sz w:val="20"/>
                <w:szCs w:val="20"/>
                <w:lang w:val="en"/>
              </w:rPr>
            </w:pPr>
            <w:r w:rsidRPr="00C64D9E">
              <w:rPr>
                <w:rFonts w:ascii="Arial" w:hAnsi="Arial" w:cs="Arial"/>
                <w:color w:val="0F1115"/>
                <w:sz w:val="20"/>
                <w:szCs w:val="20"/>
                <w:lang w:val="en"/>
              </w:rPr>
              <w:t>Number of Families</w:t>
            </w:r>
          </w:p>
        </w:tc>
        <w:tc>
          <w:tcPr>
            <w:tcW w:w="1984" w:type="dxa"/>
            <w:tcBorders>
              <w:top w:val="single" w:sz="4" w:space="0" w:color="auto"/>
              <w:left w:val="nil"/>
              <w:bottom w:val="single" w:sz="4" w:space="0" w:color="auto"/>
              <w:right w:val="nil"/>
            </w:tcBorders>
            <w:vAlign w:val="center"/>
          </w:tcPr>
          <w:p w14:paraId="6D547966" w14:textId="77777777" w:rsidR="00C64D9E" w:rsidRPr="00C64D9E" w:rsidRDefault="00C64D9E" w:rsidP="00C64D9E">
            <w:pPr>
              <w:spacing w:after="120"/>
              <w:jc w:val="center"/>
              <w:rPr>
                <w:rFonts w:ascii="Arial" w:hAnsi="Arial" w:cs="Arial"/>
              </w:rPr>
            </w:pPr>
            <w:r w:rsidRPr="00485CEF">
              <w:t>36</w:t>
            </w:r>
          </w:p>
        </w:tc>
        <w:tc>
          <w:tcPr>
            <w:tcW w:w="1984" w:type="dxa"/>
            <w:tcBorders>
              <w:top w:val="single" w:sz="4" w:space="0" w:color="auto"/>
              <w:left w:val="nil"/>
              <w:bottom w:val="single" w:sz="4" w:space="0" w:color="auto"/>
              <w:right w:val="nil"/>
            </w:tcBorders>
            <w:vAlign w:val="center"/>
          </w:tcPr>
          <w:p w14:paraId="5CC23291" w14:textId="77777777" w:rsidR="00C64D9E" w:rsidRPr="00C64D9E" w:rsidRDefault="00C64D9E" w:rsidP="00C64D9E">
            <w:pPr>
              <w:spacing w:after="120"/>
              <w:jc w:val="center"/>
              <w:rPr>
                <w:rFonts w:ascii="Arial" w:hAnsi="Arial" w:cs="Arial"/>
              </w:rPr>
            </w:pPr>
            <w:r w:rsidRPr="00485CEF">
              <w:t>26</w:t>
            </w:r>
          </w:p>
        </w:tc>
        <w:tc>
          <w:tcPr>
            <w:tcW w:w="1640" w:type="dxa"/>
            <w:tcBorders>
              <w:top w:val="single" w:sz="4" w:space="0" w:color="auto"/>
              <w:left w:val="nil"/>
              <w:bottom w:val="single" w:sz="4" w:space="0" w:color="auto"/>
              <w:right w:val="nil"/>
            </w:tcBorders>
            <w:vAlign w:val="center"/>
          </w:tcPr>
          <w:p w14:paraId="211ACFE6" w14:textId="77777777" w:rsidR="00C64D9E" w:rsidRPr="00C64D9E" w:rsidRDefault="00C64D9E" w:rsidP="00C64D9E">
            <w:pPr>
              <w:spacing w:after="120"/>
              <w:jc w:val="center"/>
              <w:rPr>
                <w:rFonts w:ascii="Arial" w:hAnsi="Arial" w:cs="Arial"/>
              </w:rPr>
            </w:pPr>
          </w:p>
        </w:tc>
      </w:tr>
    </w:tbl>
    <w:p w14:paraId="3AC78D26" w14:textId="77777777" w:rsidR="00C64D9E" w:rsidRDefault="00C64D9E" w:rsidP="00631F4C">
      <w:pPr>
        <w:shd w:val="clear" w:color="auto" w:fill="FFFFFF"/>
        <w:spacing w:before="60" w:after="240"/>
        <w:jc w:val="both"/>
        <w:rPr>
          <w:rFonts w:ascii="Arial" w:hAnsi="Arial" w:cs="Arial"/>
          <w:color w:val="0F1115"/>
        </w:rPr>
      </w:pPr>
      <w:r w:rsidRPr="00C64D9E">
        <w:rPr>
          <w:rFonts w:ascii="Arial" w:hAnsi="Arial" w:cs="Arial"/>
          <w:color w:val="0F1115"/>
          <w:lang w:val="en"/>
        </w:rPr>
        <w:t>Source: Processed primary data (2025)</w:t>
      </w:r>
    </w:p>
    <w:p w14:paraId="147EC339" w14:textId="77777777" w:rsidR="00FB0D3D" w:rsidRDefault="00C64D9E" w:rsidP="00AF0BAD">
      <w:pPr>
        <w:shd w:val="clear" w:color="auto" w:fill="FFFFFF"/>
        <w:ind w:firstLine="567"/>
        <w:jc w:val="both"/>
        <w:rPr>
          <w:rFonts w:ascii="Arial" w:hAnsi="Arial" w:cs="Arial"/>
          <w:color w:val="0F1115"/>
          <w:lang w:val="en"/>
        </w:rPr>
      </w:pPr>
      <w:r>
        <w:rPr>
          <w:highlight w:val="yellow"/>
        </w:rPr>
        <w:t>Based on observations of the functional-role composition of arthropods (Table 1), a distinct difference was evident between plots planted with cosmos refugia and plots without refugia. In fields with refugia, predatory arthropods accounted for 631 individuals (26.9%) of the total catch, a substantially higher proportion than that recorded in fields without refugia, which yielded only 76 individuals (3.8%). The most dominant predator group in the refugia plots was Coccinellidae (288 individuals), followed by Dolichopodidae (47), Lycosidae (44), Vespidae (42), Libellulidae (39), Crabronidae (37), Syrphidae (21), Carabidae (9), Oxyopidae (8), Staphylinidae (6), Sphecidae (18), and Cheiracanthiidae (29). This is consistent with the findings of Arsi et al. (2021), who reported Coccinellidae as a primary predator in cayenne pepper crops. The increase in predator populations indicates that cosmos flowers provide alternative food sources (nectar and pollen) that are important for the activity and reproduction of adult predators, particularly those from the orders Coleoptera (Coccinellidae) and Hymenoptera (Vespidae and Crabronidae) (Barros et al., 2022). According to Wang et al. (2025), refugia plants serve as an important source of nectar for adult predators, helping to sustain their populations within the agroecosystem. Syrphidae (flower flies), found exclusively in the refugia plots (21 individuals), are important aphid predators during their larval stage, whereas adults require nectar for reproduction (Barros et al., 2022).</w:t>
      </w:r>
    </w:p>
    <w:p w14:paraId="5E142212" w14:textId="77777777" w:rsidR="00FB0D3D" w:rsidRDefault="002C34CC" w:rsidP="002C34CC">
      <w:pPr>
        <w:shd w:val="clear" w:color="auto" w:fill="FFFFFF"/>
        <w:ind w:firstLine="567"/>
        <w:jc w:val="both"/>
        <w:rPr>
          <w:rFonts w:ascii="Arial" w:hAnsi="Arial" w:cs="Arial"/>
          <w:color w:val="0F1115"/>
          <w:lang w:val="en"/>
        </w:rPr>
      </w:pPr>
      <w:r>
        <w:rPr>
          <w:highlight w:val="yellow"/>
        </w:rPr>
        <w:t xml:space="preserve">Arthropods acting as parasitoids were found only in plots with refugia, with a total of 91 identified individuals (3.9%) belonging to the families Ichneumonidae (31), Tachinidae (30), </w:t>
      </w:r>
      <w:r>
        <w:rPr>
          <w:highlight w:val="yellow"/>
        </w:rPr>
        <w:lastRenderedPageBreak/>
        <w:t>and Tiphiidae (30); they were completely absent from the control plots. This indicates that the presence of cosmos flowers provides a supplementary food source for adult parasitoids, supporting their survival and reproduction (Zhu et al., 2023). Adult parasitoids require nectar as a carbohydrate source for flight energy and egg maturation; thus, the availability of refugia flowers can influence parasitoid effectiveness as biological control agents (Gillespie et al., 2016). Ichneumonidae are known as important parasitoids of Lepidoptera and Coleoptera larvae; Tachinidae are parasitic flies that attack various Lepidoptera and Coleoptera pests; and Tiphiidae are parasitoids of scarab beetles. The absence of parasitoids in the control plots indicates that the observed control agroecosystem lacked this ecosystem service during the study period.</w:t>
      </w:r>
    </w:p>
    <w:p w14:paraId="456BE781" w14:textId="77777777" w:rsidR="00BF5B18" w:rsidRPr="002C34CC" w:rsidRDefault="002C34CC" w:rsidP="002C34CC">
      <w:pPr>
        <w:shd w:val="clear" w:color="auto" w:fill="FFFFFF"/>
        <w:ind w:firstLine="567"/>
        <w:jc w:val="both"/>
        <w:rPr>
          <w:rFonts w:ascii="Arial" w:hAnsi="Arial" w:cs="Arial"/>
          <w:color w:val="0F1115"/>
          <w:lang w:val="en"/>
        </w:rPr>
      </w:pPr>
      <w:r>
        <w:rPr>
          <w:highlight w:val="yellow"/>
        </w:rPr>
        <w:t>The pollinator functional group showed a marked increase in the presence of refugia, rising from 10 individuals (0.5%) in the control plots to 151 individuals (6.4%) in the refugia plots. The dominant pollinator groups were Halictidae (57), Nymphalidae (94), and Stratiomyidae (12). Nymphalidae butterflies showed a particularly marked increase (94 vs. 7) in the presence of cosmos, indicating that cosmos flowers attracted pollinating insects. This increase in pollinator populations may benefit the refugia plants and may also support the pollination of cayenne pepper plants, with potential implications for fruit quality and quantity (Bar-Shai et al., 2022). This finding illustrates the functional role of refugia in supporting the ecosystem service of pollination.</w:t>
      </w:r>
    </w:p>
    <w:p w14:paraId="579D06F8" w14:textId="77777777" w:rsidR="00FB0D3D" w:rsidRPr="00AF0BAD" w:rsidRDefault="00AF0BAD" w:rsidP="00AF0BAD">
      <w:pPr>
        <w:shd w:val="clear" w:color="auto" w:fill="FFFFFF"/>
        <w:ind w:firstLine="567"/>
        <w:jc w:val="both"/>
        <w:rPr>
          <w:rFonts w:ascii="Arial" w:hAnsi="Arial" w:cs="Arial"/>
          <w:color w:val="0F1115"/>
          <w:lang w:val="en"/>
        </w:rPr>
      </w:pPr>
      <w:r>
        <w:rPr>
          <w:highlight w:val="yellow"/>
        </w:rPr>
        <w:t>Although the number of arthropods acting as pests in the refugia plots remained high (1,421 individuals or 60.4%), the proportion was lower than that in the control plots, which reached 93.6% (1,870 individuals). The dominant pest groups in both plot types were Aleyrodidae (453 vs. 365), Cicadellidae (270 vs. 221), and Pentatomidae (162 vs. 128). However, natural enemies such as predators and parasitoids were more abundant in the refugia plots, which may have contributed to the observed suppression of pest populations. The 33.2% reduction in pest proportion is consistent with a role for refugia in supporting biological control. In plots without refugia, the arthropod community was dominated by pests such as Aleyrodidae (453), Muscidae (317), Cicadellidae (270), and Acrididae (227). Predator numbers were low (Coccinellidae 44, Carabidae 17, and Lycosidae 6), while parasitoids were entirely absent. This indicates that the absence of refugia was associated with lower natural-enemy populations and greater pest dominance in the observed control plots.</w:t>
      </w:r>
    </w:p>
    <w:p w14:paraId="3E214065" w14:textId="77777777" w:rsidR="00AF0BAD" w:rsidRPr="00AF0BAD" w:rsidRDefault="00AF0BAD" w:rsidP="00B27D63">
      <w:pPr>
        <w:shd w:val="clear" w:color="auto" w:fill="FFFFFF"/>
        <w:ind w:firstLine="567"/>
        <w:jc w:val="both"/>
        <w:rPr>
          <w:rFonts w:ascii="Arial" w:hAnsi="Arial" w:cs="Arial"/>
          <w:color w:val="0F1115"/>
          <w:lang w:val="en"/>
        </w:rPr>
      </w:pPr>
      <w:r>
        <w:rPr>
          <w:highlight w:val="yellow"/>
        </w:rPr>
        <w:t>Arthropods acting as decomposers showed relatively stable proportions between the two plots (2.4% vs. 2.1%), comprising the families Paradoxosomatidae (29 vs. 37), Blattidae (15 vs. 0), Gryllidae (5 vs. 0), and Oniscidae (27 vs. 4). The presence of decomposers indicates that refugia may also contribute to nutrient cycling and organic-matter decomposition within the agroecosystem.</w:t>
      </w:r>
    </w:p>
    <w:p w14:paraId="1CB0368A" w14:textId="77777777" w:rsidR="00666147" w:rsidRDefault="00666147" w:rsidP="00666147">
      <w:pPr>
        <w:shd w:val="clear" w:color="auto" w:fill="FFFFFF"/>
        <w:jc w:val="both"/>
        <w:rPr>
          <w:rFonts w:ascii="Arial" w:hAnsi="Arial" w:cs="Arial"/>
          <w:b/>
          <w:bCs/>
          <w:color w:val="0F1115"/>
          <w:lang w:val="en"/>
        </w:rPr>
      </w:pPr>
    </w:p>
    <w:p w14:paraId="2F29096D" w14:textId="77777777" w:rsidR="00FC691F" w:rsidRPr="00FC691F" w:rsidRDefault="00FC691F" w:rsidP="00666147">
      <w:pPr>
        <w:shd w:val="clear" w:color="auto" w:fill="FFFFFF"/>
        <w:jc w:val="both"/>
        <w:rPr>
          <w:rFonts w:ascii="Arial" w:hAnsi="Arial" w:cs="Arial"/>
          <w:b/>
          <w:bCs/>
          <w:color w:val="0F1115"/>
          <w:lang w:val="en"/>
        </w:rPr>
      </w:pPr>
      <w:r>
        <w:rPr>
          <w:highlight w:val="yellow"/>
        </w:rPr>
        <w:t>Analysis of Ecological Indices Supporting Functional Roles</w:t>
      </w:r>
    </w:p>
    <w:p w14:paraId="545B6467" w14:textId="77777777" w:rsidR="00FC691F" w:rsidRPr="00FC691F" w:rsidRDefault="00FC691F" w:rsidP="009455A2">
      <w:pPr>
        <w:shd w:val="clear" w:color="auto" w:fill="FFFFFF"/>
        <w:spacing w:after="120"/>
        <w:ind w:firstLine="567"/>
        <w:jc w:val="both"/>
        <w:rPr>
          <w:rFonts w:ascii="Arial" w:hAnsi="Arial" w:cs="Arial"/>
          <w:color w:val="0F1115"/>
        </w:rPr>
      </w:pPr>
      <w:r>
        <w:rPr>
          <w:highlight w:val="yellow"/>
        </w:rPr>
        <w:t>The cumulative values of the arthropod community indices for both plots are presented in Table 2.</w:t>
      </w:r>
    </w:p>
    <w:p w14:paraId="51279A09" w14:textId="77777777" w:rsidR="00FC691F" w:rsidRPr="009455A2" w:rsidRDefault="00FC691F" w:rsidP="009455A2">
      <w:pPr>
        <w:shd w:val="clear" w:color="auto" w:fill="FFFFFF"/>
        <w:spacing w:after="120"/>
        <w:ind w:left="567" w:hanging="567"/>
        <w:jc w:val="both"/>
        <w:rPr>
          <w:rFonts w:ascii="Arial" w:hAnsi="Arial" w:cs="Arial"/>
          <w:b/>
          <w:bCs/>
          <w:color w:val="0F1115"/>
        </w:rPr>
      </w:pPr>
      <w:r w:rsidRPr="009455A2">
        <w:rPr>
          <w:rFonts w:ascii="Arial" w:hAnsi="Arial" w:cs="Arial"/>
          <w:b/>
          <w:bCs/>
          <w:color w:val="0F1115"/>
          <w:lang w:val="en"/>
        </w:rPr>
        <w:t xml:space="preserve">Table 2. Values ​​of diversity index (H'), evenness (E), and dominance (C) of arthropods in </w:t>
      </w:r>
      <w:r w:rsidR="005D199A" w:rsidRPr="005D199A">
        <w:rPr>
          <w:rFonts w:ascii="Arial" w:hAnsi="Arial" w:cs="Arial"/>
          <w:b/>
          <w:color w:val="0F1115"/>
          <w:lang w:val="en"/>
        </w:rPr>
        <w:t>c</w:t>
      </w:r>
      <w:proofErr w:type="spellStart"/>
      <w:r w:rsidR="005D199A" w:rsidRPr="005D199A">
        <w:rPr>
          <w:rFonts w:ascii="Arial" w:hAnsi="Arial" w:cs="Arial"/>
          <w:b/>
          <w:color w:val="0F1115"/>
        </w:rPr>
        <w:t>ayenne</w:t>
      </w:r>
      <w:proofErr w:type="spellEnd"/>
      <w:r w:rsidR="005D199A" w:rsidRPr="005D199A">
        <w:rPr>
          <w:rFonts w:ascii="Arial" w:hAnsi="Arial" w:cs="Arial"/>
          <w:b/>
          <w:color w:val="0F1115"/>
        </w:rPr>
        <w:t xml:space="preserve"> pepper</w:t>
      </w:r>
      <w:r w:rsidR="005D199A">
        <w:rPr>
          <w:rFonts w:ascii="Arial" w:hAnsi="Arial" w:cs="Arial"/>
          <w:bCs/>
          <w:color w:val="0F1115"/>
        </w:rPr>
        <w:t xml:space="preserve"> </w:t>
      </w:r>
      <w:r w:rsidRPr="009455A2">
        <w:rPr>
          <w:rFonts w:ascii="Arial" w:hAnsi="Arial" w:cs="Arial"/>
          <w:b/>
          <w:bCs/>
          <w:color w:val="0F1115"/>
          <w:lang w:val="en"/>
        </w:rPr>
        <w:t>fields with refugia and control plots.</w:t>
      </w:r>
    </w:p>
    <w:tbl>
      <w:tblPr>
        <w:tblStyle w:val="TableGrid"/>
        <w:tblW w:w="8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854"/>
        <w:gridCol w:w="1083"/>
        <w:gridCol w:w="848"/>
        <w:gridCol w:w="1083"/>
        <w:gridCol w:w="828"/>
        <w:gridCol w:w="1083"/>
      </w:tblGrid>
      <w:tr w:rsidR="00FC691F" w14:paraId="07C84784" w14:textId="77777777" w:rsidTr="00C94702">
        <w:tc>
          <w:tcPr>
            <w:tcW w:w="2547" w:type="dxa"/>
            <w:tcBorders>
              <w:top w:val="single" w:sz="4" w:space="0" w:color="auto"/>
              <w:bottom w:val="single" w:sz="4" w:space="0" w:color="auto"/>
            </w:tcBorders>
            <w:vAlign w:val="center"/>
          </w:tcPr>
          <w:p w14:paraId="774D2435"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Habitat</w:t>
            </w:r>
          </w:p>
        </w:tc>
        <w:tc>
          <w:tcPr>
            <w:tcW w:w="857" w:type="dxa"/>
            <w:tcBorders>
              <w:top w:val="single" w:sz="4" w:space="0" w:color="auto"/>
              <w:bottom w:val="single" w:sz="4" w:space="0" w:color="auto"/>
            </w:tcBorders>
            <w:vAlign w:val="center"/>
          </w:tcPr>
          <w:p w14:paraId="6572F665"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H'</w:t>
            </w:r>
          </w:p>
        </w:tc>
        <w:tc>
          <w:tcPr>
            <w:tcW w:w="1034" w:type="dxa"/>
            <w:tcBorders>
              <w:top w:val="single" w:sz="4" w:space="0" w:color="auto"/>
              <w:bottom w:val="single" w:sz="4" w:space="0" w:color="auto"/>
            </w:tcBorders>
          </w:tcPr>
          <w:p w14:paraId="06636553"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color w:val="0F1115"/>
                <w:sz w:val="20"/>
                <w:szCs w:val="20"/>
                <w:lang w:val="en"/>
              </w:rPr>
              <w:t>Category</w:t>
            </w:r>
          </w:p>
        </w:tc>
        <w:tc>
          <w:tcPr>
            <w:tcW w:w="850" w:type="dxa"/>
            <w:tcBorders>
              <w:top w:val="single" w:sz="4" w:space="0" w:color="auto"/>
              <w:bottom w:val="single" w:sz="4" w:space="0" w:color="auto"/>
            </w:tcBorders>
          </w:tcPr>
          <w:p w14:paraId="2E32D275"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E</w:t>
            </w:r>
          </w:p>
        </w:tc>
        <w:tc>
          <w:tcPr>
            <w:tcW w:w="1034" w:type="dxa"/>
            <w:tcBorders>
              <w:top w:val="single" w:sz="4" w:space="0" w:color="auto"/>
              <w:bottom w:val="single" w:sz="4" w:space="0" w:color="auto"/>
            </w:tcBorders>
          </w:tcPr>
          <w:p w14:paraId="6EC099E8"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color w:val="0F1115"/>
                <w:sz w:val="20"/>
                <w:szCs w:val="20"/>
                <w:lang w:val="en"/>
              </w:rPr>
              <w:t>Category</w:t>
            </w:r>
          </w:p>
        </w:tc>
        <w:tc>
          <w:tcPr>
            <w:tcW w:w="828" w:type="dxa"/>
            <w:tcBorders>
              <w:top w:val="single" w:sz="4" w:space="0" w:color="auto"/>
              <w:bottom w:val="single" w:sz="4" w:space="0" w:color="auto"/>
            </w:tcBorders>
          </w:tcPr>
          <w:p w14:paraId="6DDD5D74"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C</w:t>
            </w:r>
          </w:p>
        </w:tc>
        <w:tc>
          <w:tcPr>
            <w:tcW w:w="1034" w:type="dxa"/>
            <w:tcBorders>
              <w:top w:val="single" w:sz="4" w:space="0" w:color="auto"/>
              <w:bottom w:val="single" w:sz="4" w:space="0" w:color="auto"/>
            </w:tcBorders>
          </w:tcPr>
          <w:p w14:paraId="605714DD"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color w:val="0F1115"/>
                <w:sz w:val="20"/>
                <w:szCs w:val="20"/>
                <w:lang w:val="en"/>
              </w:rPr>
              <w:t>Category</w:t>
            </w:r>
          </w:p>
        </w:tc>
      </w:tr>
      <w:tr w:rsidR="00FC691F" w14:paraId="7D1BCFE0" w14:textId="77777777" w:rsidTr="00C94702">
        <w:tc>
          <w:tcPr>
            <w:tcW w:w="2547" w:type="dxa"/>
            <w:tcBorders>
              <w:top w:val="single" w:sz="4" w:space="0" w:color="auto"/>
            </w:tcBorders>
            <w:vAlign w:val="center"/>
          </w:tcPr>
          <w:p w14:paraId="296C55A4" w14:textId="77777777" w:rsidR="00FC691F" w:rsidRDefault="00FC691F" w:rsidP="00FC691F">
            <w:pPr>
              <w:jc w:val="both"/>
              <w:rPr>
                <w:rFonts w:ascii="Arial" w:hAnsi="Arial" w:cs="Arial"/>
                <w:sz w:val="20"/>
                <w:szCs w:val="20"/>
                <w:lang w:val="en"/>
              </w:rPr>
            </w:pPr>
            <w:r w:rsidRPr="00FC691F">
              <w:rPr>
                <w:rFonts w:ascii="Arial" w:hAnsi="Arial" w:cs="Arial"/>
                <w:bCs/>
                <w:color w:val="0F1115"/>
                <w:sz w:val="20"/>
                <w:szCs w:val="20"/>
              </w:rPr>
              <w:t>Cayenne pepper</w:t>
            </w:r>
            <w:r w:rsidRPr="00FC691F">
              <w:rPr>
                <w:rFonts w:ascii="Arial" w:hAnsi="Arial" w:cs="Arial"/>
                <w:sz w:val="20"/>
                <w:szCs w:val="20"/>
                <w:lang w:val="en"/>
              </w:rPr>
              <w:t xml:space="preserve"> </w:t>
            </w:r>
          </w:p>
          <w:p w14:paraId="3C1E4161"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with refugia</w:t>
            </w:r>
          </w:p>
        </w:tc>
        <w:tc>
          <w:tcPr>
            <w:tcW w:w="857" w:type="dxa"/>
            <w:tcBorders>
              <w:top w:val="single" w:sz="4" w:space="0" w:color="auto"/>
            </w:tcBorders>
            <w:vAlign w:val="center"/>
          </w:tcPr>
          <w:p w14:paraId="6FBF070B"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2,9318</w:t>
            </w:r>
          </w:p>
        </w:tc>
        <w:tc>
          <w:tcPr>
            <w:tcW w:w="1034" w:type="dxa"/>
            <w:tcBorders>
              <w:top w:val="single" w:sz="4" w:space="0" w:color="auto"/>
            </w:tcBorders>
            <w:vAlign w:val="center"/>
          </w:tcPr>
          <w:p w14:paraId="0E7E24EA"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Medium </w:t>
            </w:r>
          </w:p>
        </w:tc>
        <w:tc>
          <w:tcPr>
            <w:tcW w:w="850" w:type="dxa"/>
            <w:tcBorders>
              <w:top w:val="single" w:sz="4" w:space="0" w:color="auto"/>
            </w:tcBorders>
            <w:vAlign w:val="center"/>
          </w:tcPr>
          <w:p w14:paraId="185AD87C"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0,8181</w:t>
            </w:r>
          </w:p>
        </w:tc>
        <w:tc>
          <w:tcPr>
            <w:tcW w:w="1034" w:type="dxa"/>
            <w:tcBorders>
              <w:top w:val="single" w:sz="4" w:space="0" w:color="auto"/>
            </w:tcBorders>
            <w:vAlign w:val="center"/>
          </w:tcPr>
          <w:p w14:paraId="702FDEB7"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High </w:t>
            </w:r>
          </w:p>
        </w:tc>
        <w:tc>
          <w:tcPr>
            <w:tcW w:w="828" w:type="dxa"/>
            <w:tcBorders>
              <w:top w:val="single" w:sz="4" w:space="0" w:color="auto"/>
            </w:tcBorders>
            <w:vAlign w:val="center"/>
          </w:tcPr>
          <w:p w14:paraId="7780123B"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0,0767</w:t>
            </w:r>
          </w:p>
        </w:tc>
        <w:tc>
          <w:tcPr>
            <w:tcW w:w="1034" w:type="dxa"/>
            <w:tcBorders>
              <w:top w:val="single" w:sz="4" w:space="0" w:color="auto"/>
            </w:tcBorders>
            <w:vAlign w:val="center"/>
          </w:tcPr>
          <w:p w14:paraId="0748561A"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Low</w:t>
            </w:r>
          </w:p>
        </w:tc>
      </w:tr>
      <w:tr w:rsidR="00FC691F" w14:paraId="1AC15139" w14:textId="77777777" w:rsidTr="00C94702">
        <w:tc>
          <w:tcPr>
            <w:tcW w:w="2547" w:type="dxa"/>
            <w:tcBorders>
              <w:bottom w:val="single" w:sz="4" w:space="0" w:color="auto"/>
            </w:tcBorders>
            <w:vAlign w:val="center"/>
          </w:tcPr>
          <w:p w14:paraId="2F02B990" w14:textId="77777777" w:rsidR="00FC691F" w:rsidRDefault="00FC691F" w:rsidP="00FC691F">
            <w:pPr>
              <w:jc w:val="both"/>
              <w:rPr>
                <w:rFonts w:ascii="Arial" w:hAnsi="Arial" w:cs="Arial"/>
                <w:color w:val="0F1115"/>
                <w:sz w:val="20"/>
                <w:szCs w:val="20"/>
                <w:lang w:val="en"/>
              </w:rPr>
            </w:pPr>
            <w:r w:rsidRPr="00FC691F">
              <w:rPr>
                <w:rFonts w:ascii="Arial" w:hAnsi="Arial" w:cs="Arial"/>
                <w:bCs/>
                <w:color w:val="0F1115"/>
                <w:sz w:val="20"/>
                <w:szCs w:val="20"/>
              </w:rPr>
              <w:t>Cayenne pepper</w:t>
            </w:r>
            <w:r w:rsidRPr="00FC691F">
              <w:rPr>
                <w:rFonts w:ascii="Arial" w:hAnsi="Arial" w:cs="Arial"/>
                <w:color w:val="0F1115"/>
                <w:sz w:val="20"/>
                <w:szCs w:val="20"/>
                <w:lang w:val="en"/>
              </w:rPr>
              <w:t xml:space="preserve"> </w:t>
            </w:r>
          </w:p>
          <w:p w14:paraId="1695A674"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without refugia</w:t>
            </w:r>
          </w:p>
        </w:tc>
        <w:tc>
          <w:tcPr>
            <w:tcW w:w="857" w:type="dxa"/>
            <w:tcBorders>
              <w:bottom w:val="single" w:sz="4" w:space="0" w:color="auto"/>
            </w:tcBorders>
            <w:vAlign w:val="center"/>
          </w:tcPr>
          <w:p w14:paraId="061F5B27"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2,3785</w:t>
            </w:r>
          </w:p>
        </w:tc>
        <w:tc>
          <w:tcPr>
            <w:tcW w:w="1034" w:type="dxa"/>
            <w:tcBorders>
              <w:bottom w:val="single" w:sz="4" w:space="0" w:color="auto"/>
            </w:tcBorders>
            <w:vAlign w:val="center"/>
          </w:tcPr>
          <w:p w14:paraId="7BF8A4AE"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Medium </w:t>
            </w:r>
          </w:p>
        </w:tc>
        <w:tc>
          <w:tcPr>
            <w:tcW w:w="850" w:type="dxa"/>
            <w:tcBorders>
              <w:bottom w:val="single" w:sz="4" w:space="0" w:color="auto"/>
            </w:tcBorders>
            <w:vAlign w:val="center"/>
          </w:tcPr>
          <w:p w14:paraId="0CD2AC49"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0,7300</w:t>
            </w:r>
          </w:p>
        </w:tc>
        <w:tc>
          <w:tcPr>
            <w:tcW w:w="1034" w:type="dxa"/>
            <w:tcBorders>
              <w:bottom w:val="single" w:sz="4" w:space="0" w:color="auto"/>
            </w:tcBorders>
            <w:vAlign w:val="center"/>
          </w:tcPr>
          <w:p w14:paraId="092836C7"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High </w:t>
            </w:r>
          </w:p>
        </w:tc>
        <w:tc>
          <w:tcPr>
            <w:tcW w:w="828" w:type="dxa"/>
            <w:tcBorders>
              <w:bottom w:val="single" w:sz="4" w:space="0" w:color="auto"/>
            </w:tcBorders>
            <w:vAlign w:val="center"/>
          </w:tcPr>
          <w:p w14:paraId="66CA23FE"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0,1271</w:t>
            </w:r>
          </w:p>
        </w:tc>
        <w:tc>
          <w:tcPr>
            <w:tcW w:w="1034" w:type="dxa"/>
            <w:tcBorders>
              <w:bottom w:val="single" w:sz="4" w:space="0" w:color="auto"/>
            </w:tcBorders>
            <w:vAlign w:val="center"/>
          </w:tcPr>
          <w:p w14:paraId="73D3ADD9"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Low</w:t>
            </w:r>
          </w:p>
        </w:tc>
      </w:tr>
    </w:tbl>
    <w:p w14:paraId="0555C70F" w14:textId="77777777" w:rsidR="00FC691F" w:rsidRDefault="00FC691F" w:rsidP="00631F4C">
      <w:pPr>
        <w:shd w:val="clear" w:color="auto" w:fill="FFFFFF"/>
        <w:spacing w:after="240"/>
        <w:jc w:val="both"/>
        <w:rPr>
          <w:rFonts w:ascii="Arial" w:hAnsi="Arial" w:cs="Arial"/>
          <w:color w:val="0F1115"/>
        </w:rPr>
      </w:pPr>
      <w:r w:rsidRPr="00C64D9E">
        <w:rPr>
          <w:rFonts w:ascii="Arial" w:hAnsi="Arial" w:cs="Arial"/>
          <w:color w:val="0F1115"/>
          <w:lang w:val="en"/>
        </w:rPr>
        <w:t>Source: Processed primary data (2025)</w:t>
      </w:r>
    </w:p>
    <w:p w14:paraId="46C24BA3" w14:textId="77777777" w:rsidR="00FB0D3D" w:rsidRDefault="00FC691F" w:rsidP="00631F4C">
      <w:pPr>
        <w:shd w:val="clear" w:color="auto" w:fill="FFFFFF"/>
        <w:spacing w:before="120" w:after="240"/>
        <w:ind w:firstLine="567"/>
        <w:jc w:val="both"/>
        <w:rPr>
          <w:rFonts w:ascii="Arial" w:hAnsi="Arial" w:cs="Arial"/>
          <w:color w:val="0F1115"/>
        </w:rPr>
      </w:pPr>
      <w:r>
        <w:rPr>
          <w:highlight w:val="yellow"/>
        </w:rPr>
        <w:t xml:space="preserve">Based on the data in Table 2, all three ecological indices showed differences between cayenne pepper fields with refugia and those without, supporting the findings regarding the functional role of refugia. The H' value for the plot with refugia (2.9318) was higher than that </w:t>
      </w:r>
      <w:r>
        <w:rPr>
          <w:highlight w:val="yellow"/>
        </w:rPr>
        <w:lastRenderedPageBreak/>
        <w:t>of the plot without refugia (2.3785), although both fell within the medium category. This higher value indicates that refugia contribute to increased arthropod diversity, reflecting a greater number of functional roles represented within the community (van Emden &amp; Williams, 1974). The higher H' value in the refugia plot indicates that the agroecosystem supported a wider range of functional groups (predators, parasitoids, pollinators, and decomposers) than the control plot, which was dominated by pests.</w:t>
      </w:r>
    </w:p>
    <w:p w14:paraId="26DC871B" w14:textId="77777777" w:rsidR="00FB0D3D" w:rsidRPr="00485CEF" w:rsidRDefault="00FB0D3D" w:rsidP="00B27D63">
      <w:pPr>
        <w:shd w:val="clear" w:color="auto" w:fill="FFFFFF"/>
        <w:ind w:firstLine="567"/>
        <w:jc w:val="both"/>
        <w:rPr>
          <w:rFonts w:ascii="Arial" w:hAnsi="Arial" w:cs="Arial"/>
          <w:color w:val="0F1115"/>
        </w:rPr>
      </w:pPr>
      <w:r>
        <w:rPr>
          <w:highlight w:val="yellow"/>
        </w:rPr>
        <w:t>The refugia plot exhibited an evenness value (E) of 0.8181 (high category), slightly higher than that of the control plot (0.7300). This value indicates that the distribution of individuals across families in both plots was relatively balanced. High evenness indicates the absence of excessive dominance by any single family, which is an indicator of a balanced community structure. In the refugia plot, high evenness reflects a balance among functional groups, whereas the lower evenness in the control plot indicates greater dominance by a few pest families.</w:t>
      </w:r>
    </w:p>
    <w:p w14:paraId="7537D6F2" w14:textId="77777777" w:rsidR="00FB0D3D" w:rsidRDefault="00FB0D3D" w:rsidP="00B27D63">
      <w:pPr>
        <w:shd w:val="clear" w:color="auto" w:fill="FFFFFF"/>
        <w:ind w:firstLine="567"/>
        <w:jc w:val="both"/>
        <w:rPr>
          <w:rFonts w:ascii="Arial" w:hAnsi="Arial" w:cs="Arial"/>
          <w:color w:val="0F1115"/>
          <w:lang w:val="en"/>
        </w:rPr>
      </w:pPr>
      <w:r>
        <w:rPr>
          <w:highlight w:val="yellow"/>
        </w:rPr>
        <w:t>The dominance value (C) in the refugia plot (0.0767) was lower than that in the plot without refugia (0.1271). The lower C value in the refugia plot indicates that no single family was excessively dominant; this contrasts with the plot without refugia, which showed a tendency towards higher dominance by specific pests (Aleyrodidae and Cicadellidae) under lower natural-enemy pressure. A low dominance value is consistent with a community exhibiting higher biodiversity (Piola et al., 2025).</w:t>
      </w:r>
    </w:p>
    <w:p w14:paraId="7A3DEE55" w14:textId="77777777" w:rsidR="00666147" w:rsidRPr="00FB0D3D" w:rsidRDefault="00666147" w:rsidP="00666147">
      <w:pPr>
        <w:shd w:val="clear" w:color="auto" w:fill="FFFFFF"/>
        <w:jc w:val="both"/>
        <w:rPr>
          <w:rFonts w:ascii="Arial" w:hAnsi="Arial" w:cs="Arial"/>
          <w:color w:val="0F1115"/>
        </w:rPr>
      </w:pPr>
    </w:p>
    <w:p w14:paraId="34ED2CCA" w14:textId="77777777" w:rsidR="00666147" w:rsidRPr="00666147" w:rsidRDefault="00666147" w:rsidP="00666147">
      <w:pPr>
        <w:shd w:val="clear" w:color="auto" w:fill="FFFFFF"/>
        <w:jc w:val="both"/>
        <w:rPr>
          <w:rFonts w:ascii="Arial" w:hAnsi="Arial" w:cs="Arial"/>
          <w:b/>
          <w:bCs/>
          <w:color w:val="0F1115"/>
          <w:lang w:val="en"/>
        </w:rPr>
      </w:pPr>
      <w:r>
        <w:rPr>
          <w:highlight w:val="yellow"/>
        </w:rPr>
        <w:t>Ecological Index t-test</w:t>
      </w:r>
    </w:p>
    <w:p w14:paraId="09DC093E" w14:textId="77777777" w:rsidR="00666147" w:rsidRDefault="00666147" w:rsidP="00666147">
      <w:pPr>
        <w:shd w:val="clear" w:color="auto" w:fill="FFFFFF"/>
        <w:jc w:val="both"/>
        <w:rPr>
          <w:rFonts w:ascii="Arial" w:hAnsi="Arial" w:cs="Arial"/>
          <w:color w:val="0F1115"/>
          <w:lang w:val="en"/>
        </w:rPr>
      </w:pPr>
    </w:p>
    <w:p w14:paraId="595B4A6A" w14:textId="77777777" w:rsidR="00666147" w:rsidRDefault="00666147" w:rsidP="00666147">
      <w:pPr>
        <w:shd w:val="clear" w:color="auto" w:fill="FFFFFF"/>
        <w:jc w:val="both"/>
        <w:rPr>
          <w:rFonts w:ascii="Arial" w:hAnsi="Arial" w:cs="Arial"/>
          <w:color w:val="0F1115"/>
          <w:lang w:val="en"/>
        </w:rPr>
      </w:pPr>
      <w:r>
        <w:rPr>
          <w:highlight w:val="yellow"/>
        </w:rPr>
        <w:t>The results of the t-test on weekly H', E, and C values are presented in Table 3.</w:t>
      </w:r>
    </w:p>
    <w:p w14:paraId="1E42BBDF" w14:textId="77777777" w:rsidR="00666147" w:rsidRDefault="00666147" w:rsidP="00666147">
      <w:pPr>
        <w:shd w:val="clear" w:color="auto" w:fill="FFFFFF"/>
        <w:jc w:val="both"/>
        <w:rPr>
          <w:rFonts w:ascii="Arial" w:hAnsi="Arial" w:cs="Arial"/>
          <w:color w:val="0F1115"/>
          <w:lang w:val="en"/>
        </w:rPr>
      </w:pPr>
    </w:p>
    <w:p w14:paraId="012E1B0E" w14:textId="77777777" w:rsidR="00666147" w:rsidRPr="00B27D63" w:rsidRDefault="00666147" w:rsidP="009455A2">
      <w:pPr>
        <w:shd w:val="clear" w:color="auto" w:fill="FFFFFF"/>
        <w:ind w:left="567" w:hanging="567"/>
        <w:jc w:val="both"/>
        <w:rPr>
          <w:rFonts w:ascii="Arial" w:hAnsi="Arial" w:cs="Arial"/>
          <w:b/>
          <w:bCs/>
          <w:color w:val="0F1115"/>
          <w:lang w:val="en"/>
        </w:rPr>
      </w:pPr>
      <w:r w:rsidRPr="00B27D63">
        <w:rPr>
          <w:rFonts w:ascii="Arial" w:hAnsi="Arial" w:cs="Arial"/>
          <w:b/>
          <w:bCs/>
          <w:color w:val="0F1115"/>
          <w:lang w:val="en"/>
        </w:rPr>
        <w:t xml:space="preserve">Table 3. Results of t-tests on weekly H', E, and C values ​​comparing </w:t>
      </w:r>
      <w:r w:rsidR="005D199A" w:rsidRPr="005D199A">
        <w:rPr>
          <w:rFonts w:ascii="Arial" w:hAnsi="Arial" w:cs="Arial"/>
          <w:b/>
          <w:color w:val="0F1115"/>
          <w:lang w:val="en"/>
        </w:rPr>
        <w:t>c</w:t>
      </w:r>
      <w:proofErr w:type="spellStart"/>
      <w:r w:rsidR="005D199A" w:rsidRPr="005D199A">
        <w:rPr>
          <w:rFonts w:ascii="Arial" w:hAnsi="Arial" w:cs="Arial"/>
          <w:b/>
          <w:color w:val="0F1115"/>
        </w:rPr>
        <w:t>ayenne</w:t>
      </w:r>
      <w:proofErr w:type="spellEnd"/>
      <w:r w:rsidR="005D199A" w:rsidRPr="005D199A">
        <w:rPr>
          <w:rFonts w:ascii="Arial" w:hAnsi="Arial" w:cs="Arial"/>
          <w:b/>
          <w:color w:val="0F1115"/>
        </w:rPr>
        <w:t xml:space="preserve"> pepper</w:t>
      </w:r>
      <w:r w:rsidR="005D199A">
        <w:rPr>
          <w:rFonts w:ascii="Arial" w:hAnsi="Arial" w:cs="Arial"/>
          <w:bCs/>
          <w:color w:val="0F1115"/>
        </w:rPr>
        <w:t xml:space="preserve"> </w:t>
      </w:r>
      <w:r w:rsidRPr="00B27D63">
        <w:rPr>
          <w:rFonts w:ascii="Arial" w:hAnsi="Arial" w:cs="Arial"/>
          <w:b/>
          <w:bCs/>
          <w:color w:val="0F1115"/>
          <w:lang w:val="en"/>
        </w:rPr>
        <w:t>plots with refugia and control plots (α = 0.05)</w:t>
      </w:r>
    </w:p>
    <w:p w14:paraId="60D08EAC" w14:textId="77777777" w:rsidR="00666147" w:rsidRPr="00485CEF" w:rsidRDefault="00666147" w:rsidP="00666147">
      <w:pPr>
        <w:shd w:val="clear" w:color="auto" w:fill="FFFFFF"/>
        <w:jc w:val="both"/>
        <w:rPr>
          <w:rFonts w:ascii="Arial" w:hAnsi="Arial" w:cs="Arial"/>
          <w:color w:val="0F1115"/>
        </w:rPr>
      </w:pPr>
    </w:p>
    <w:tbl>
      <w:tblPr>
        <w:tblStyle w:val="TableGrid"/>
        <w:tblW w:w="8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134"/>
        <w:gridCol w:w="1154"/>
        <w:gridCol w:w="972"/>
        <w:gridCol w:w="661"/>
        <w:gridCol w:w="1455"/>
        <w:gridCol w:w="1853"/>
      </w:tblGrid>
      <w:tr w:rsidR="00BF5B18" w14:paraId="0A8A8C79" w14:textId="77777777" w:rsidTr="00C94702">
        <w:tc>
          <w:tcPr>
            <w:tcW w:w="988" w:type="dxa"/>
            <w:tcBorders>
              <w:top w:val="single" w:sz="4" w:space="0" w:color="auto"/>
              <w:bottom w:val="single" w:sz="4" w:space="0" w:color="auto"/>
            </w:tcBorders>
          </w:tcPr>
          <w:p w14:paraId="3BFE4B3B"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Index</w:t>
            </w:r>
          </w:p>
        </w:tc>
        <w:tc>
          <w:tcPr>
            <w:tcW w:w="1134" w:type="dxa"/>
            <w:tcBorders>
              <w:top w:val="single" w:sz="4" w:space="0" w:color="auto"/>
              <w:bottom w:val="single" w:sz="4" w:space="0" w:color="auto"/>
            </w:tcBorders>
          </w:tcPr>
          <w:p w14:paraId="2598E735"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Mean (refugia)</w:t>
            </w:r>
          </w:p>
        </w:tc>
        <w:tc>
          <w:tcPr>
            <w:tcW w:w="1154" w:type="dxa"/>
            <w:tcBorders>
              <w:top w:val="single" w:sz="4" w:space="0" w:color="auto"/>
              <w:bottom w:val="single" w:sz="4" w:space="0" w:color="auto"/>
            </w:tcBorders>
          </w:tcPr>
          <w:p w14:paraId="75EAAEBF"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Mean (control)</w:t>
            </w:r>
          </w:p>
        </w:tc>
        <w:tc>
          <w:tcPr>
            <w:tcW w:w="972" w:type="dxa"/>
            <w:tcBorders>
              <w:top w:val="single" w:sz="4" w:space="0" w:color="auto"/>
              <w:bottom w:val="single" w:sz="4" w:space="0" w:color="auto"/>
            </w:tcBorders>
          </w:tcPr>
          <w:p w14:paraId="473ED510"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t-Stat</w:t>
            </w:r>
          </w:p>
        </w:tc>
        <w:tc>
          <w:tcPr>
            <w:tcW w:w="661" w:type="dxa"/>
            <w:tcBorders>
              <w:top w:val="single" w:sz="4" w:space="0" w:color="auto"/>
              <w:bottom w:val="single" w:sz="4" w:space="0" w:color="auto"/>
            </w:tcBorders>
          </w:tcPr>
          <w:p w14:paraId="5080B46F" w14:textId="77777777" w:rsidR="00BF5B18" w:rsidRPr="00FC691F" w:rsidRDefault="00BF5B18" w:rsidP="00BF5B18">
            <w:pPr>
              <w:jc w:val="center"/>
              <w:rPr>
                <w:rFonts w:ascii="Arial" w:hAnsi="Arial" w:cs="Arial"/>
                <w:b/>
                <w:bCs/>
                <w:color w:val="0F1115"/>
                <w:sz w:val="20"/>
                <w:szCs w:val="20"/>
                <w:lang w:val="en"/>
              </w:rPr>
            </w:pPr>
            <w:proofErr w:type="spellStart"/>
            <w:r w:rsidRPr="00FC691F">
              <w:rPr>
                <w:rFonts w:ascii="Arial" w:hAnsi="Arial" w:cs="Arial"/>
                <w:b/>
                <w:bCs/>
                <w:color w:val="0F1115"/>
                <w:sz w:val="20"/>
                <w:szCs w:val="20"/>
                <w:lang w:val="en"/>
              </w:rPr>
              <w:t>df</w:t>
            </w:r>
            <w:proofErr w:type="spellEnd"/>
          </w:p>
        </w:tc>
        <w:tc>
          <w:tcPr>
            <w:tcW w:w="1455" w:type="dxa"/>
            <w:tcBorders>
              <w:top w:val="single" w:sz="4" w:space="0" w:color="auto"/>
              <w:bottom w:val="single" w:sz="4" w:space="0" w:color="auto"/>
            </w:tcBorders>
          </w:tcPr>
          <w:p w14:paraId="7496D632"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P(two-tailed)</w:t>
            </w:r>
          </w:p>
        </w:tc>
        <w:tc>
          <w:tcPr>
            <w:tcW w:w="1853" w:type="dxa"/>
            <w:tcBorders>
              <w:top w:val="single" w:sz="4" w:space="0" w:color="auto"/>
              <w:bottom w:val="single" w:sz="4" w:space="0" w:color="auto"/>
            </w:tcBorders>
          </w:tcPr>
          <w:p w14:paraId="59A42E21"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Note</w:t>
            </w:r>
          </w:p>
        </w:tc>
      </w:tr>
      <w:tr w:rsidR="00BF5B18" w14:paraId="6482FB34" w14:textId="77777777" w:rsidTr="00C94702">
        <w:tc>
          <w:tcPr>
            <w:tcW w:w="988" w:type="dxa"/>
            <w:tcBorders>
              <w:top w:val="single" w:sz="4" w:space="0" w:color="auto"/>
            </w:tcBorders>
            <w:vAlign w:val="center"/>
          </w:tcPr>
          <w:p w14:paraId="003BA154"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H'</w:t>
            </w:r>
          </w:p>
        </w:tc>
        <w:tc>
          <w:tcPr>
            <w:tcW w:w="1134" w:type="dxa"/>
            <w:tcBorders>
              <w:top w:val="single" w:sz="4" w:space="0" w:color="auto"/>
            </w:tcBorders>
            <w:vAlign w:val="center"/>
          </w:tcPr>
          <w:p w14:paraId="0AA8BCCE"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2,525</w:t>
            </w:r>
          </w:p>
        </w:tc>
        <w:tc>
          <w:tcPr>
            <w:tcW w:w="1154" w:type="dxa"/>
            <w:tcBorders>
              <w:top w:val="single" w:sz="4" w:space="0" w:color="auto"/>
            </w:tcBorders>
            <w:vAlign w:val="center"/>
          </w:tcPr>
          <w:p w14:paraId="065FE18A"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2,122</w:t>
            </w:r>
          </w:p>
        </w:tc>
        <w:tc>
          <w:tcPr>
            <w:tcW w:w="972" w:type="dxa"/>
            <w:tcBorders>
              <w:top w:val="single" w:sz="4" w:space="0" w:color="auto"/>
            </w:tcBorders>
            <w:vAlign w:val="center"/>
          </w:tcPr>
          <w:p w14:paraId="275C1D8D"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2,969</w:t>
            </w:r>
          </w:p>
        </w:tc>
        <w:tc>
          <w:tcPr>
            <w:tcW w:w="661" w:type="dxa"/>
            <w:tcBorders>
              <w:top w:val="single" w:sz="4" w:space="0" w:color="auto"/>
            </w:tcBorders>
            <w:vAlign w:val="center"/>
          </w:tcPr>
          <w:p w14:paraId="13E67E2C"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16</w:t>
            </w:r>
          </w:p>
        </w:tc>
        <w:tc>
          <w:tcPr>
            <w:tcW w:w="1455" w:type="dxa"/>
            <w:tcBorders>
              <w:top w:val="single" w:sz="4" w:space="0" w:color="auto"/>
            </w:tcBorders>
            <w:vAlign w:val="center"/>
          </w:tcPr>
          <w:p w14:paraId="0C8329AA"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0,009</w:t>
            </w:r>
          </w:p>
        </w:tc>
        <w:tc>
          <w:tcPr>
            <w:tcW w:w="1853" w:type="dxa"/>
            <w:tcBorders>
              <w:top w:val="single" w:sz="4" w:space="0" w:color="auto"/>
            </w:tcBorders>
          </w:tcPr>
          <w:p w14:paraId="1EE223C5" w14:textId="77777777" w:rsidR="00BF5B18" w:rsidRPr="00FC691F" w:rsidRDefault="00BF5B18" w:rsidP="00BF5B18">
            <w:pPr>
              <w:jc w:val="both"/>
              <w:rPr>
                <w:rFonts w:ascii="Arial" w:hAnsi="Arial" w:cs="Arial"/>
                <w:b/>
                <w:bCs/>
                <w:color w:val="0F1115"/>
                <w:sz w:val="20"/>
                <w:szCs w:val="20"/>
                <w:lang w:val="en"/>
              </w:rPr>
            </w:pPr>
            <w:r w:rsidRPr="00FC691F">
              <w:rPr>
                <w:rFonts w:ascii="Arial" w:hAnsi="Arial" w:cs="Arial"/>
                <w:color w:val="0F1115"/>
                <w:sz w:val="20"/>
                <w:szCs w:val="20"/>
                <w:lang w:val="en"/>
              </w:rPr>
              <w:t xml:space="preserve">Significantly </w:t>
            </w:r>
          </w:p>
        </w:tc>
      </w:tr>
      <w:tr w:rsidR="00BF5B18" w14:paraId="15D1C34C" w14:textId="77777777" w:rsidTr="00C94702">
        <w:tc>
          <w:tcPr>
            <w:tcW w:w="988" w:type="dxa"/>
            <w:vAlign w:val="center"/>
          </w:tcPr>
          <w:p w14:paraId="0FEBF467"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E</w:t>
            </w:r>
          </w:p>
        </w:tc>
        <w:tc>
          <w:tcPr>
            <w:tcW w:w="1134" w:type="dxa"/>
            <w:vAlign w:val="center"/>
          </w:tcPr>
          <w:p w14:paraId="6A0BC638"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0,866</w:t>
            </w:r>
          </w:p>
        </w:tc>
        <w:tc>
          <w:tcPr>
            <w:tcW w:w="1154" w:type="dxa"/>
            <w:vAlign w:val="center"/>
          </w:tcPr>
          <w:p w14:paraId="60C03207"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0,848</w:t>
            </w:r>
          </w:p>
        </w:tc>
        <w:tc>
          <w:tcPr>
            <w:tcW w:w="972" w:type="dxa"/>
            <w:vAlign w:val="center"/>
          </w:tcPr>
          <w:p w14:paraId="484C0EA9"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1,186</w:t>
            </w:r>
          </w:p>
        </w:tc>
        <w:tc>
          <w:tcPr>
            <w:tcW w:w="661" w:type="dxa"/>
            <w:vAlign w:val="center"/>
          </w:tcPr>
          <w:p w14:paraId="28DB3440"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18</w:t>
            </w:r>
          </w:p>
        </w:tc>
        <w:tc>
          <w:tcPr>
            <w:tcW w:w="1455" w:type="dxa"/>
            <w:vAlign w:val="center"/>
          </w:tcPr>
          <w:p w14:paraId="7C704055"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0,251</w:t>
            </w:r>
          </w:p>
        </w:tc>
        <w:tc>
          <w:tcPr>
            <w:tcW w:w="1853" w:type="dxa"/>
          </w:tcPr>
          <w:p w14:paraId="7960E8D9" w14:textId="77777777" w:rsidR="00BF5B18" w:rsidRPr="00FC691F" w:rsidRDefault="00BF5B18" w:rsidP="00BF5B18">
            <w:pPr>
              <w:jc w:val="both"/>
              <w:rPr>
                <w:rFonts w:ascii="Arial" w:hAnsi="Arial" w:cs="Arial"/>
                <w:b/>
                <w:bCs/>
                <w:color w:val="0F1115"/>
                <w:sz w:val="20"/>
                <w:szCs w:val="20"/>
                <w:lang w:val="en"/>
              </w:rPr>
            </w:pPr>
            <w:r w:rsidRPr="00FC691F">
              <w:rPr>
                <w:rFonts w:ascii="Arial" w:hAnsi="Arial" w:cs="Arial"/>
                <w:color w:val="0F1115"/>
                <w:sz w:val="20"/>
                <w:szCs w:val="20"/>
                <w:lang w:val="en"/>
              </w:rPr>
              <w:t xml:space="preserve">Not significantly </w:t>
            </w:r>
          </w:p>
        </w:tc>
      </w:tr>
      <w:tr w:rsidR="00BF5B18" w14:paraId="6B847889" w14:textId="77777777" w:rsidTr="00C94702">
        <w:tc>
          <w:tcPr>
            <w:tcW w:w="988" w:type="dxa"/>
            <w:tcBorders>
              <w:bottom w:val="single" w:sz="4" w:space="0" w:color="auto"/>
            </w:tcBorders>
            <w:vAlign w:val="center"/>
          </w:tcPr>
          <w:p w14:paraId="2B3DF4D5"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C</w:t>
            </w:r>
          </w:p>
        </w:tc>
        <w:tc>
          <w:tcPr>
            <w:tcW w:w="1134" w:type="dxa"/>
            <w:tcBorders>
              <w:bottom w:val="single" w:sz="4" w:space="0" w:color="auto"/>
            </w:tcBorders>
            <w:vAlign w:val="center"/>
          </w:tcPr>
          <w:p w14:paraId="02E64807"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0,107</w:t>
            </w:r>
          </w:p>
        </w:tc>
        <w:tc>
          <w:tcPr>
            <w:tcW w:w="1154" w:type="dxa"/>
            <w:tcBorders>
              <w:bottom w:val="single" w:sz="4" w:space="0" w:color="auto"/>
            </w:tcBorders>
            <w:vAlign w:val="center"/>
          </w:tcPr>
          <w:p w14:paraId="5765F44E"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0,148</w:t>
            </w:r>
          </w:p>
        </w:tc>
        <w:tc>
          <w:tcPr>
            <w:tcW w:w="972" w:type="dxa"/>
            <w:tcBorders>
              <w:bottom w:val="single" w:sz="4" w:space="0" w:color="auto"/>
            </w:tcBorders>
            <w:vAlign w:val="center"/>
          </w:tcPr>
          <w:p w14:paraId="7D5A4447"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-2,817</w:t>
            </w:r>
          </w:p>
        </w:tc>
        <w:tc>
          <w:tcPr>
            <w:tcW w:w="661" w:type="dxa"/>
            <w:tcBorders>
              <w:bottom w:val="single" w:sz="4" w:space="0" w:color="auto"/>
            </w:tcBorders>
            <w:vAlign w:val="center"/>
          </w:tcPr>
          <w:p w14:paraId="0AFA56E0"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17</w:t>
            </w:r>
          </w:p>
        </w:tc>
        <w:tc>
          <w:tcPr>
            <w:tcW w:w="1455" w:type="dxa"/>
            <w:tcBorders>
              <w:bottom w:val="single" w:sz="4" w:space="0" w:color="auto"/>
            </w:tcBorders>
            <w:vAlign w:val="center"/>
          </w:tcPr>
          <w:p w14:paraId="40E38540"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0,012</w:t>
            </w:r>
          </w:p>
        </w:tc>
        <w:tc>
          <w:tcPr>
            <w:tcW w:w="1853" w:type="dxa"/>
            <w:tcBorders>
              <w:bottom w:val="single" w:sz="4" w:space="0" w:color="auto"/>
            </w:tcBorders>
          </w:tcPr>
          <w:p w14:paraId="737BB2BA" w14:textId="77777777" w:rsidR="00BF5B18" w:rsidRPr="00FC691F" w:rsidRDefault="00BF5B18" w:rsidP="00BF5B18">
            <w:pPr>
              <w:jc w:val="both"/>
              <w:rPr>
                <w:rFonts w:ascii="Arial" w:hAnsi="Arial" w:cs="Arial"/>
                <w:b/>
                <w:bCs/>
                <w:color w:val="0F1115"/>
                <w:sz w:val="20"/>
                <w:szCs w:val="20"/>
                <w:lang w:val="en"/>
              </w:rPr>
            </w:pPr>
            <w:r w:rsidRPr="00FC691F">
              <w:rPr>
                <w:rFonts w:ascii="Arial" w:hAnsi="Arial" w:cs="Arial"/>
                <w:color w:val="0F1115"/>
                <w:sz w:val="20"/>
                <w:szCs w:val="20"/>
                <w:lang w:val="en"/>
              </w:rPr>
              <w:t xml:space="preserve">Significantly </w:t>
            </w:r>
          </w:p>
        </w:tc>
      </w:tr>
    </w:tbl>
    <w:p w14:paraId="5411206C" w14:textId="77777777" w:rsidR="00BF5B18" w:rsidRDefault="00BF5B18" w:rsidP="00631F4C">
      <w:pPr>
        <w:shd w:val="clear" w:color="auto" w:fill="FFFFFF"/>
        <w:spacing w:before="120" w:after="120"/>
        <w:jc w:val="both"/>
        <w:rPr>
          <w:rFonts w:ascii="Arial" w:hAnsi="Arial" w:cs="Arial"/>
          <w:color w:val="0F1115"/>
          <w:lang w:val="en"/>
        </w:rPr>
      </w:pPr>
      <w:r w:rsidRPr="00BF5B18">
        <w:rPr>
          <w:rFonts w:ascii="Arial" w:hAnsi="Arial" w:cs="Arial"/>
          <w:color w:val="0F1115"/>
          <w:lang w:val="en"/>
        </w:rPr>
        <w:t>Source: Processed primary data (2025)</w:t>
      </w:r>
    </w:p>
    <w:p w14:paraId="3015A46E" w14:textId="77777777" w:rsidR="00B27D63" w:rsidRPr="00BF5B18" w:rsidRDefault="00B27D63" w:rsidP="00BF5B18">
      <w:pPr>
        <w:shd w:val="clear" w:color="auto" w:fill="FFFFFF"/>
        <w:jc w:val="both"/>
        <w:rPr>
          <w:rFonts w:ascii="Arial" w:hAnsi="Arial" w:cs="Arial"/>
          <w:color w:val="0F1115"/>
          <w:lang w:val="en"/>
        </w:rPr>
      </w:pPr>
    </w:p>
    <w:p w14:paraId="4951D798" w14:textId="77777777" w:rsidR="00FB0D3D" w:rsidRPr="00984CD3" w:rsidRDefault="00FB0D3D" w:rsidP="00B27D63">
      <w:pPr>
        <w:shd w:val="clear" w:color="auto" w:fill="FFFFFF"/>
        <w:ind w:firstLine="567"/>
        <w:jc w:val="both"/>
        <w:rPr>
          <w:rFonts w:ascii="Arial" w:hAnsi="Arial" w:cs="Arial"/>
          <w:b/>
          <w:bCs/>
          <w:color w:val="0F1115"/>
        </w:rPr>
      </w:pPr>
      <w:r>
        <w:rPr>
          <w:highlight w:val="yellow"/>
        </w:rPr>
        <w:t>The t-test results showed that the mean H' value in the refugia plot (2.525) was significantly higher than that in the control plot (2.122) (p = 0.009). This indicates that the presence of refugia plants was associated with greater functional biodiversity within the cropping area. Refugia plants provide resources such as nectar, pollen, and microhabitats that support species with diverse functional roles, thereby attracting a wider range of organisms to colonise and remain in the area. These results indicate that cosmos refugia can increase the functional diversity of arthropod communities in cayenne pepper agroecosystems (Piola et al., 2025).</w:t>
      </w:r>
    </w:p>
    <w:p w14:paraId="63C8AE92" w14:textId="77777777" w:rsidR="00FB0D3D" w:rsidRPr="00FB0D3D" w:rsidRDefault="00FB0D3D" w:rsidP="00B27D63">
      <w:pPr>
        <w:shd w:val="clear" w:color="auto" w:fill="FFFFFF"/>
        <w:ind w:firstLine="567"/>
        <w:jc w:val="both"/>
        <w:rPr>
          <w:rFonts w:ascii="Arial" w:hAnsi="Arial" w:cs="Arial"/>
          <w:color w:val="0F1115"/>
        </w:rPr>
      </w:pPr>
      <w:r>
        <w:rPr>
          <w:highlight w:val="yellow"/>
        </w:rPr>
        <w:t>Regarding the evenness index, the mean value for the refugia plot (0.866) was slightly higher than that of the control plot (0.848), although the difference was not statistically significant (p = 0.251). These findings indicate that, despite the higher diversity in the refugia plot, the distribution of individual abundance was relatively similar between the two plots. The high evenness observed in both plots reflects a relatively balanced community structure; however, the presence of refugia did not significantly alter the pattern of individual abundance distribution compared with the control (Putri et al., 2025).</w:t>
      </w:r>
    </w:p>
    <w:p w14:paraId="24DDF467" w14:textId="77777777" w:rsidR="00666147" w:rsidRDefault="00FB0D3D" w:rsidP="00B27D63">
      <w:pPr>
        <w:shd w:val="clear" w:color="auto" w:fill="FFFFFF"/>
        <w:ind w:firstLine="567"/>
        <w:jc w:val="both"/>
        <w:rPr>
          <w:rFonts w:ascii="Arial" w:hAnsi="Arial" w:cs="Arial"/>
          <w:color w:val="0F1115"/>
          <w:lang w:val="en"/>
        </w:rPr>
      </w:pPr>
      <w:r>
        <w:rPr>
          <w:highlight w:val="yellow"/>
        </w:rPr>
        <w:t xml:space="preserve">The t-test results for the dominance index showed that the mean value in the refugia plot (0.107) was significantly lower (p = 0.012) than that in the control plot (0.148). The lower </w:t>
      </w:r>
      <w:r>
        <w:rPr>
          <w:highlight w:val="yellow"/>
        </w:rPr>
        <w:lastRenderedPageBreak/>
        <w:t>dominance value in the refugia plot indicates the absence of any single group strongly dominating the community, a finding consistent with higher biodiversity and the enhanced functional roles of predators and parasitoids. Conversely, the higher dominance value in the control plot indicates that a few pest groups dominated the community, a pattern commonly observed in less diverse environments with fewer natural enemies.</w:t>
      </w:r>
    </w:p>
    <w:p w14:paraId="71F5D354" w14:textId="77777777" w:rsidR="00B937F5" w:rsidRDefault="00B937F5" w:rsidP="00B27D63">
      <w:pPr>
        <w:shd w:val="clear" w:color="auto" w:fill="FFFFFF"/>
        <w:ind w:firstLine="567"/>
        <w:jc w:val="both"/>
        <w:rPr>
          <w:rFonts w:ascii="Arial" w:hAnsi="Arial" w:cs="Arial"/>
          <w:color w:val="0F1115"/>
          <w:lang w:val="en"/>
        </w:rPr>
      </w:pPr>
    </w:p>
    <w:p w14:paraId="7EB93B64" w14:textId="77777777" w:rsidR="00BF5B18" w:rsidRDefault="00FB0D3D" w:rsidP="00FB0D3D">
      <w:pPr>
        <w:shd w:val="clear" w:color="auto" w:fill="FFFFFF"/>
        <w:jc w:val="both"/>
        <w:rPr>
          <w:rFonts w:ascii="Arial" w:hAnsi="Arial" w:cs="Arial"/>
          <w:color w:val="0F1115"/>
          <w:lang w:val="en"/>
        </w:rPr>
      </w:pPr>
      <w:r>
        <w:rPr>
          <w:highlight w:val="yellow"/>
        </w:rPr>
        <w:t>Practical Implications for Agroecosystem Management</w:t>
      </w:r>
    </w:p>
    <w:p w14:paraId="23287187" w14:textId="77777777" w:rsidR="00FB0D3D" w:rsidRPr="00FB0D3D" w:rsidRDefault="000C1F1C" w:rsidP="00B27D63">
      <w:pPr>
        <w:shd w:val="clear" w:color="auto" w:fill="FFFFFF"/>
        <w:ind w:firstLine="567"/>
        <w:jc w:val="both"/>
        <w:rPr>
          <w:rFonts w:ascii="Arial" w:hAnsi="Arial" w:cs="Arial"/>
          <w:color w:val="0F1115"/>
        </w:rPr>
      </w:pPr>
      <w:r>
        <w:rPr>
          <w:highlight w:val="yellow"/>
        </w:rPr>
        <w:t>The findings of this study have practical implications for the development of sustainable agricultural systems: the increased proportions of predators (26.9%) and parasitoids (3.9%) in refugia plots indicate that cosmos plants may support the conservation of natural enemies and potentially reduce pesticide reliance; the presence of refugia may support cayenne pepper pollination; the enrichment of functional diversity within refugia plots indicates a more ecologically functional community structure; and cosmos can be planted along field margins without encroaching on the main crop area, allowing habitat management without sacrificing productive land (Hatt &amp; Döring, 2023).</w:t>
      </w:r>
    </w:p>
    <w:p w14:paraId="619807CE" w14:textId="77777777" w:rsidR="00FB0D3D" w:rsidRPr="00984CD3" w:rsidRDefault="00FB0D3D" w:rsidP="00B27D63">
      <w:pPr>
        <w:shd w:val="clear" w:color="auto" w:fill="FFFFFF"/>
        <w:ind w:firstLine="567"/>
        <w:jc w:val="both"/>
        <w:rPr>
          <w:rFonts w:ascii="Arial" w:hAnsi="Arial" w:cs="Arial"/>
          <w:b/>
          <w:bCs/>
          <w:color w:val="0F1115"/>
        </w:rPr>
      </w:pPr>
      <w:r>
        <w:rPr>
          <w:highlight w:val="yellow"/>
        </w:rPr>
        <w:t>These findings reinforce evidence that habitat manipulation through flowering refugia can be an important component of sustainable Integrated Pest Management (IPM) systems in cayenne pepper cultivation (Hatt &amp; Döring, 2023). However, cosmos refugia did not substantially alter community evenness patterns; therefore, they may be combined with other IPM strategies, such as field sanitation, the use of traps, and regular monitoring, to suppress key pest populations more effectively (Zhou et al., 2024). Furthermore, refugia may be integrated with other good agricultural practices, such as crop rotation, the use of resistant varieties, and healthy soil management, to support sustainable pest management (Barros et al., 2022).</w:t>
      </w:r>
    </w:p>
    <w:p w14:paraId="207059C8" w14:textId="77777777" w:rsidR="00FB0D3D" w:rsidRPr="00FB0D3D" w:rsidRDefault="00FB0D3D" w:rsidP="00CD5A52">
      <w:pPr>
        <w:shd w:val="clear" w:color="auto" w:fill="FFFFFF"/>
        <w:jc w:val="both"/>
        <w:rPr>
          <w:rFonts w:ascii="Arial" w:hAnsi="Arial" w:cs="Arial"/>
          <w:color w:val="0F1115"/>
          <w:lang w:val="en"/>
        </w:rPr>
      </w:pPr>
    </w:p>
    <w:p w14:paraId="11310F5F" w14:textId="77777777" w:rsidR="00B01FCD" w:rsidRDefault="00000F8F" w:rsidP="00441B6F">
      <w:pPr>
        <w:pStyle w:val="ConcHead"/>
        <w:spacing w:after="0"/>
        <w:jc w:val="both"/>
      </w:pPr>
      <w:r>
        <w:rPr>
          <w:highlight w:val="yellow"/>
        </w:rPr>
        <w:t>4. CONCLUSION</w:t>
      </w:r>
    </w:p>
    <w:p w14:paraId="10D93D85" w14:textId="77777777" w:rsidR="009A627C" w:rsidRDefault="009A627C" w:rsidP="00441B6F">
      <w:pPr>
        <w:pStyle w:val="ConcHead"/>
        <w:spacing w:after="0"/>
        <w:jc w:val="both"/>
        <w:rPr>
          <w:rFonts w:ascii="Arial" w:hAnsi="Arial" w:cs="Arial"/>
        </w:rPr>
      </w:pPr>
    </w:p>
    <w:p w14:paraId="5DC521CB" w14:textId="0F59F502" w:rsidR="00485CEF" w:rsidRDefault="009A627C" w:rsidP="00441B6F">
      <w:pPr>
        <w:pStyle w:val="Body"/>
        <w:spacing w:after="0"/>
      </w:pPr>
      <w:r>
        <w:t>The study indicates that Cosmos refugia can contribute to a more functionally diverse arthropod community in cayenne pepper cultivation. Plots with refugia supported higher proportions of predators and parasitoids than plots without refugia, while parasitoids were recorded only in the refugia treatment. Pollinator representation was also higher in refugia plots, whereas the proportion of pests was lower. The ecological-index analysis was consistent with these patterns: mean arthropod diversity was significantly higher and dominance significantly lower in refugia plots, although evenness did not differ significantly between treatments. Collectively, these observations suggest that flowering Cosmos refugia can provide habitat and food resources that support natural enemies and other beneficial arthropods within the cropping system. Their use may therefore complement integrated pest management by strengthening ecological functions related to biological control, pollination, and nutrient cycling. However, refugia should be regarded as one component of a broader management strategy, because community evenness was not significantly altered and key pest groups remained present in the refugia plots.</w:t>
      </w:r>
    </w:p>
    <w:p w14:paraId="2F23F308" w14:textId="77777777" w:rsidR="009A627C" w:rsidRDefault="009A627C" w:rsidP="00441B6F">
      <w:pPr>
        <w:pStyle w:val="Body"/>
        <w:spacing w:after="0"/>
      </w:pPr>
    </w:p>
    <w:p w14:paraId="5E5F270F" w14:textId="424702E9" w:rsidR="009A627C" w:rsidRPr="009A627C" w:rsidRDefault="009A627C" w:rsidP="00441B6F">
      <w:pPr>
        <w:pStyle w:val="Body"/>
        <w:spacing w:after="0"/>
        <w:rPr>
          <w:b/>
          <w:bCs/>
        </w:rPr>
      </w:pPr>
      <w:r w:rsidRPr="009A627C">
        <w:rPr>
          <w:b/>
          <w:bCs/>
        </w:rPr>
        <w:t>Limitations</w:t>
      </w:r>
    </w:p>
    <w:p w14:paraId="05F4966C" w14:textId="799ACC3B" w:rsidR="009A627C" w:rsidRDefault="009A627C" w:rsidP="00441B6F">
      <w:pPr>
        <w:pStyle w:val="Body"/>
        <w:spacing w:after="0"/>
      </w:pPr>
      <w:r>
        <w:t>This study was conducted at a single location during one cropping period, and arthropods were identified primarily to the family level. The findings therefore describe the observed community under the stated field conditions and may not represent other locations, seasons, or management contexts. The study focused on arthropod functional groups and ecological indices rather than direct measurements of crop yield or fruit quality. Further multi-site and multi-season evaluations with finer taxonomic resolution would help assess the consistency of the observed patterns.</w:t>
      </w:r>
    </w:p>
    <w:p w14:paraId="2C0C18FE" w14:textId="77777777" w:rsidR="009A627C" w:rsidRDefault="009A627C" w:rsidP="00441B6F">
      <w:pPr>
        <w:pStyle w:val="Body"/>
        <w:spacing w:after="0"/>
        <w:rPr>
          <w:rFonts w:ascii="Arial" w:hAnsi="Arial" w:cs="Arial"/>
        </w:rPr>
      </w:pPr>
    </w:p>
    <w:p w14:paraId="6790A1C7" w14:textId="67279AFE" w:rsidR="00DD23B8" w:rsidRDefault="00DD23B8" w:rsidP="00DD23B8">
      <w:pPr>
        <w:rPr>
          <w:rFonts w:ascii="Times New Roman" w:hAnsi="Times New Roman"/>
          <w:b/>
        </w:rPr>
      </w:pPr>
      <w:r w:rsidRPr="000839CE">
        <w:rPr>
          <w:rFonts w:ascii="Times New Roman" w:hAnsi="Times New Roman"/>
          <w:b/>
        </w:rPr>
        <w:t>Declaration of AI Use</w:t>
      </w:r>
    </w:p>
    <w:p w14:paraId="329B41C9" w14:textId="77777777" w:rsidR="00DD23B8" w:rsidRDefault="00DD23B8" w:rsidP="00DD23B8">
      <w:pPr>
        <w:rPr>
          <w:rFonts w:ascii="Times New Roman" w:hAnsi="Times New Roman"/>
          <w:b/>
        </w:rPr>
      </w:pPr>
    </w:p>
    <w:p w14:paraId="0937847B" w14:textId="77777777" w:rsidR="00DD23B8" w:rsidRPr="002D08AC" w:rsidRDefault="00DD23B8" w:rsidP="00DD23B8">
      <w:pPr>
        <w:rPr>
          <w:rFonts w:ascii="Arial" w:hAnsi="Arial" w:cs="Arial"/>
        </w:rPr>
      </w:pPr>
      <w:r w:rsidRPr="002D08AC">
        <w:rPr>
          <w:rFonts w:ascii="Arial" w:hAnsi="Arial" w:cs="Arial"/>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1E20899" w14:textId="77777777" w:rsidR="00350A91" w:rsidRPr="00FB3A86" w:rsidRDefault="00350A91" w:rsidP="00350A91">
      <w:pPr>
        <w:pStyle w:val="Body"/>
        <w:spacing w:after="0"/>
        <w:rPr>
          <w:rFonts w:ascii="Arial" w:hAnsi="Arial" w:cs="Arial"/>
        </w:rPr>
      </w:pPr>
    </w:p>
    <w:p w14:paraId="4770ABF9" w14:textId="77777777" w:rsidR="00315186" w:rsidRPr="00315186" w:rsidRDefault="00315186" w:rsidP="00441B6F"/>
    <w:p w14:paraId="488259DB"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4BBDFDB3" w14:textId="77777777" w:rsidR="00860000" w:rsidRPr="00786D36" w:rsidRDefault="00860000" w:rsidP="00441B6F">
      <w:pPr>
        <w:pStyle w:val="ReferHead"/>
        <w:spacing w:after="0"/>
        <w:jc w:val="both"/>
        <w:rPr>
          <w:rFonts w:ascii="Arial" w:hAnsi="Arial" w:cs="Arial"/>
        </w:rPr>
      </w:pPr>
    </w:p>
    <w:p w14:paraId="52BA9F62" w14:textId="77777777" w:rsidR="00836600" w:rsidRDefault="00836600" w:rsidP="00836600">
      <w:pPr>
        <w:pStyle w:val="ReferHead"/>
        <w:spacing w:after="0"/>
        <w:jc w:val="both"/>
        <w:rPr>
          <w:rFonts w:ascii="Arial" w:hAnsi="Arial" w:cs="Arial"/>
          <w:b w:val="0"/>
          <w:caps w:val="0"/>
          <w:sz w:val="20"/>
        </w:rPr>
      </w:pPr>
      <w:r>
        <w:rPr>
          <w:rFonts w:ascii="Arial" w:hAnsi="Arial" w:cs="Arial"/>
          <w:b w:val="0"/>
          <w:caps w:val="0"/>
          <w:sz w:val="20"/>
        </w:rPr>
        <w:t>Authors have declared that no competing interests exist.</w:t>
      </w:r>
    </w:p>
    <w:p w14:paraId="5C8146E5" w14:textId="77777777" w:rsidR="00371FB6" w:rsidRDefault="00371FB6" w:rsidP="00441B6F">
      <w:pPr>
        <w:pStyle w:val="ReferHead"/>
        <w:spacing w:after="0"/>
        <w:jc w:val="both"/>
        <w:rPr>
          <w:rFonts w:ascii="Arial" w:hAnsi="Arial" w:cs="Arial"/>
          <w:b w:val="0"/>
          <w:caps w:val="0"/>
          <w:sz w:val="20"/>
        </w:rPr>
      </w:pPr>
    </w:p>
    <w:p w14:paraId="6689A64A" w14:textId="77777777" w:rsidR="002B685A" w:rsidRDefault="002B685A" w:rsidP="00441B6F">
      <w:pPr>
        <w:pStyle w:val="ReferHead"/>
        <w:spacing w:after="0"/>
        <w:jc w:val="both"/>
        <w:rPr>
          <w:rFonts w:ascii="Arial" w:hAnsi="Arial" w:cs="Arial"/>
          <w:b w:val="0"/>
          <w:caps w:val="0"/>
          <w:sz w:val="20"/>
        </w:rPr>
      </w:pPr>
    </w:p>
    <w:p w14:paraId="49BD62B0"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017FD2CE" w14:textId="77777777" w:rsidR="00790ADA" w:rsidRPr="002C57D2" w:rsidRDefault="00790ADA" w:rsidP="00441B6F">
      <w:pPr>
        <w:pStyle w:val="Body"/>
        <w:spacing w:after="0"/>
        <w:rPr>
          <w:rFonts w:ascii="Arial" w:hAnsi="Arial" w:cs="Arial"/>
        </w:rPr>
      </w:pPr>
    </w:p>
    <w:p w14:paraId="1FC6ECA6" w14:textId="77777777" w:rsidR="00B937F5" w:rsidRPr="00B528F0" w:rsidRDefault="00AC27D1" w:rsidP="00B528F0">
      <w:pPr>
        <w:pStyle w:val="Bibliography"/>
        <w:ind w:left="720" w:hanging="720"/>
        <w:jc w:val="both"/>
        <w:rPr>
          <w:rFonts w:ascii="Arial" w:hAnsi="Arial" w:cs="Arial"/>
        </w:rPr>
      </w:pPr>
      <w:r>
        <w:rPr>
          <w:highlight w:val="yellow"/>
        </w:rPr>
        <w:t xml:space="preserve">Ahda, M., Jaswir, I., Khatib, A., Ahmed, Q. U., &amp; Syed Mohamad, S. N. A. (2023). A review on </w:t>
      </w:r>
      <w:r>
        <w:rPr>
          <w:i/>
          <w:highlight w:val="yellow"/>
        </w:rPr>
        <w:t>Cosmos caudatus</w:t>
      </w:r>
      <w:r>
        <w:rPr>
          <w:highlight w:val="yellow"/>
        </w:rPr>
        <w:t xml:space="preserve"> as a potential medicinal plant based on pharmacognosy, phytochemistry, and pharmacological activities. </w:t>
      </w:r>
      <w:r>
        <w:rPr>
          <w:i/>
          <w:highlight w:val="yellow"/>
        </w:rPr>
        <w:t>International Journal of Food Properties, 26</w:t>
      </w:r>
      <w:r>
        <w:rPr>
          <w:highlight w:val="yellow"/>
        </w:rPr>
        <w:t>(1), 344–358. https://doi.org/10.1080/10942912.2022.2158862</w:t>
      </w:r>
    </w:p>
    <w:p w14:paraId="2D715E8B" w14:textId="77777777" w:rsidR="00B937F5" w:rsidRPr="00B528F0" w:rsidRDefault="00B937F5" w:rsidP="00B528F0">
      <w:pPr>
        <w:pStyle w:val="Bibliography"/>
        <w:ind w:left="720" w:hanging="720"/>
        <w:jc w:val="both"/>
        <w:rPr>
          <w:rFonts w:ascii="Arial" w:hAnsi="Arial" w:cs="Arial"/>
        </w:rPr>
      </w:pPr>
      <w:r>
        <w:rPr>
          <w:highlight w:val="yellow"/>
        </w:rPr>
        <w:t xml:space="preserve">Al Naggar, Y., Fahmy, N. M., Alkhaibari, A. M., Al-Akeel, R. K., Alharbi, H. M., Mohamed, A., Eleftherianos, I., El-Seedi, H. R., Giesy, J. P., &amp; Alharbi, H. A. (2025). Mechanisms and genetic drivers of resistance of insect pests to insecticides and approaches to its control. </w:t>
      </w:r>
      <w:r>
        <w:rPr>
          <w:i/>
          <w:highlight w:val="yellow"/>
        </w:rPr>
        <w:t>Toxics, 13</w:t>
      </w:r>
      <w:r>
        <w:rPr>
          <w:highlight w:val="yellow"/>
        </w:rPr>
        <w:t>(8), 681. https://doi.org/10.3390/toxics13080681</w:t>
      </w:r>
    </w:p>
    <w:p w14:paraId="7144CF5A" w14:textId="77777777" w:rsidR="00B937F5" w:rsidRPr="00B528F0" w:rsidRDefault="00B937F5" w:rsidP="00B528F0">
      <w:pPr>
        <w:pStyle w:val="Bibliography"/>
        <w:ind w:left="720" w:hanging="720"/>
        <w:jc w:val="both"/>
        <w:rPr>
          <w:rFonts w:ascii="Arial" w:hAnsi="Arial" w:cs="Arial"/>
        </w:rPr>
      </w:pPr>
      <w:r>
        <w:rPr>
          <w:highlight w:val="yellow"/>
        </w:rPr>
        <w:t xml:space="preserve">Aminah, S. N., Nasruddin, A., Annisaa, N. W., Abdullah, T., &amp; Fatahuddin. (2021). The presence of refugia and population of insect pest in rice field. </w:t>
      </w:r>
      <w:r>
        <w:rPr>
          <w:i/>
          <w:highlight w:val="yellow"/>
        </w:rPr>
        <w:t>IOP Conference Series: Earth and Environmental Science, 807</w:t>
      </w:r>
      <w:r>
        <w:rPr>
          <w:highlight w:val="yellow"/>
        </w:rPr>
        <w:t>(2), 022093. https://doi.org/10.1088/1755-1315/807/2/022093</w:t>
      </w:r>
    </w:p>
    <w:p w14:paraId="77D39183" w14:textId="77777777" w:rsidR="00B937F5" w:rsidRPr="00B528F0" w:rsidRDefault="00B937F5" w:rsidP="00B528F0">
      <w:pPr>
        <w:pStyle w:val="Bibliography"/>
        <w:ind w:left="720" w:hanging="720"/>
        <w:jc w:val="both"/>
        <w:rPr>
          <w:rFonts w:ascii="Arial" w:hAnsi="Arial" w:cs="Arial"/>
        </w:rPr>
      </w:pPr>
      <w:r>
        <w:rPr>
          <w:highlight w:val="yellow"/>
        </w:rPr>
        <w:t>Arsi, A., Sukma, A. T., BP, K. C., F., M. R., Gustiar, F., Irmawati, I., Suparman, S. H. K., Hamidson, H., Pujiastuti, Y., Gunawan, B., Umayah, A., &amp; Nurhayati, N. (2021). Keanekaragaman Arthropoda dan intensitas serangan pada tanaman cabai (</w:t>
      </w:r>
      <w:r>
        <w:rPr>
          <w:i/>
          <w:highlight w:val="yellow"/>
        </w:rPr>
        <w:t>Capsicum annuum</w:t>
      </w:r>
      <w:r>
        <w:rPr>
          <w:highlight w:val="yellow"/>
        </w:rPr>
        <w:t xml:space="preserve"> L.) di Desa Tanjung Pering Kecamatan Indralaya Utara. </w:t>
      </w:r>
      <w:r>
        <w:rPr>
          <w:i/>
          <w:highlight w:val="yellow"/>
        </w:rPr>
        <w:t>Sainmatika: Jurnal Ilmiah Matematika dan Ilmu Pengetahuan Alam, 18</w:t>
      </w:r>
      <w:r>
        <w:rPr>
          <w:highlight w:val="yellow"/>
        </w:rPr>
        <w:t>(2), 183–198. https://doi.org/10.31851/sainmatika.v18i2.6584</w:t>
      </w:r>
    </w:p>
    <w:p w14:paraId="0A8240B6" w14:textId="77777777" w:rsidR="00B937F5" w:rsidRPr="00B528F0" w:rsidRDefault="00B937F5" w:rsidP="00B528F0">
      <w:pPr>
        <w:pStyle w:val="Bibliography"/>
        <w:ind w:left="720" w:hanging="720"/>
        <w:jc w:val="both"/>
        <w:rPr>
          <w:rFonts w:ascii="Arial" w:hAnsi="Arial" w:cs="Arial"/>
        </w:rPr>
      </w:pPr>
      <w:r>
        <w:rPr>
          <w:highlight w:val="yellow"/>
        </w:rPr>
        <w:t xml:space="preserve">Barros, A. P., de Carvalho Silva, A., de Souza Abboud, A. C., Ricalde, M. P., &amp; Ataide, J. O. (2022). Effect of </w:t>
      </w:r>
      <w:r>
        <w:rPr>
          <w:i/>
          <w:highlight w:val="yellow"/>
        </w:rPr>
        <w:t>Cosmos</w:t>
      </w:r>
      <w:r>
        <w:rPr>
          <w:highlight w:val="yellow"/>
        </w:rPr>
        <w:t xml:space="preserve">, </w:t>
      </w:r>
      <w:r>
        <w:rPr>
          <w:i/>
          <w:highlight w:val="yellow"/>
        </w:rPr>
        <w:t>Crotalaria</w:t>
      </w:r>
      <w:r>
        <w:rPr>
          <w:highlight w:val="yellow"/>
        </w:rPr>
        <w:t xml:space="preserve">, </w:t>
      </w:r>
      <w:r>
        <w:rPr>
          <w:i/>
          <w:highlight w:val="yellow"/>
        </w:rPr>
        <w:t>Foeniculum</w:t>
      </w:r>
      <w:r>
        <w:rPr>
          <w:highlight w:val="yellow"/>
        </w:rPr>
        <w:t xml:space="preserve">, and </w:t>
      </w:r>
      <w:r>
        <w:rPr>
          <w:i/>
          <w:highlight w:val="yellow"/>
        </w:rPr>
        <w:t>Canavalia</w:t>
      </w:r>
      <w:r>
        <w:rPr>
          <w:highlight w:val="yellow"/>
        </w:rPr>
        <w:t xml:space="preserve"> species, single-cropped or mixes, on the community of predatory arthropods. </w:t>
      </w:r>
      <w:r>
        <w:rPr>
          <w:i/>
          <w:highlight w:val="yellow"/>
        </w:rPr>
        <w:t>Scientific Reports, 12</w:t>
      </w:r>
      <w:r>
        <w:rPr>
          <w:highlight w:val="yellow"/>
        </w:rPr>
        <w:t>, 16013. https://doi.org/10.1038/s41598-022-20188-6</w:t>
      </w:r>
    </w:p>
    <w:p w14:paraId="41F92BCE" w14:textId="77777777" w:rsidR="00B937F5" w:rsidRPr="00B528F0" w:rsidRDefault="00B937F5" w:rsidP="00B528F0">
      <w:pPr>
        <w:pStyle w:val="Bibliography"/>
        <w:ind w:left="720" w:hanging="720"/>
        <w:jc w:val="both"/>
        <w:rPr>
          <w:rFonts w:ascii="Arial" w:hAnsi="Arial" w:cs="Arial"/>
        </w:rPr>
      </w:pPr>
      <w:r>
        <w:rPr>
          <w:highlight w:val="yellow"/>
        </w:rPr>
        <w:t xml:space="preserve">Bar-Shai, N., Motro, U., Shmida, A., &amp; Bloch, G. (2022). Earlier morning arrival to pollen-rewarding flowers may enable feral bumble bees to successfully compete with local bee species and expand their distribution range in a Mediterranean habitat. </w:t>
      </w:r>
      <w:r>
        <w:rPr>
          <w:i/>
          <w:highlight w:val="yellow"/>
        </w:rPr>
        <w:t>Insects, 13</w:t>
      </w:r>
      <w:r>
        <w:rPr>
          <w:highlight w:val="yellow"/>
        </w:rPr>
        <w:t>(9), 816. https://doi.org/10.3390/insects13090816</w:t>
      </w:r>
    </w:p>
    <w:p w14:paraId="0F1265B1" w14:textId="77777777" w:rsidR="00B937F5" w:rsidRPr="00B528F0" w:rsidRDefault="00B937F5" w:rsidP="00B528F0">
      <w:pPr>
        <w:pStyle w:val="Bibliography"/>
        <w:ind w:left="720" w:hanging="720"/>
        <w:jc w:val="both"/>
        <w:rPr>
          <w:rFonts w:ascii="Arial" w:hAnsi="Arial" w:cs="Arial"/>
        </w:rPr>
      </w:pPr>
      <w:r>
        <w:rPr>
          <w:highlight w:val="yellow"/>
        </w:rPr>
        <w:t xml:space="preserve">BPS-Statistics Indonesia. (2024). </w:t>
      </w:r>
      <w:r>
        <w:rPr>
          <w:i/>
          <w:highlight w:val="yellow"/>
        </w:rPr>
        <w:t>Statistical Yearbook of Indonesia 2024</w:t>
      </w:r>
      <w:r>
        <w:rPr>
          <w:highlight w:val="yellow"/>
        </w:rPr>
        <w:t>. BPS-Statistics Indonesia. https://www.bps.go.id/en/publication/2024/02/28/c1bacde03256343b2bf769b0/statistical-yearbook-of-indonesia-2024.html</w:t>
      </w:r>
    </w:p>
    <w:p w14:paraId="4FD3E156" w14:textId="77777777" w:rsidR="00B937F5" w:rsidRPr="00B528F0" w:rsidRDefault="00B937F5" w:rsidP="00B528F0">
      <w:pPr>
        <w:pStyle w:val="Bibliography"/>
        <w:ind w:left="720" w:hanging="720"/>
        <w:jc w:val="both"/>
        <w:rPr>
          <w:rFonts w:ascii="Arial" w:hAnsi="Arial" w:cs="Arial"/>
        </w:rPr>
      </w:pPr>
      <w:r>
        <w:rPr>
          <w:highlight w:val="yellow"/>
        </w:rPr>
        <w:t xml:space="preserve">Chaitanya, M., Pavan, J. S., Vireesha, P., &amp; Nekkanti, A. (2024). Natural enemies as guardians of crop ecosystem with special emphasis on rice and cotton. </w:t>
      </w:r>
      <w:r>
        <w:rPr>
          <w:i/>
          <w:highlight w:val="yellow"/>
        </w:rPr>
        <w:t xml:space="preserve">Journal of </w:t>
      </w:r>
      <w:r>
        <w:rPr>
          <w:i/>
          <w:highlight w:val="yellow"/>
        </w:rPr>
        <w:lastRenderedPageBreak/>
        <w:t>Experimental Agriculture International, 46</w:t>
      </w:r>
      <w:r>
        <w:rPr>
          <w:highlight w:val="yellow"/>
        </w:rPr>
        <w:t>(9), 600–612. https://doi.org/10.9734/jeai/2024/v46i92858</w:t>
      </w:r>
    </w:p>
    <w:p w14:paraId="0E787643" w14:textId="77777777" w:rsidR="00B937F5" w:rsidRPr="00B528F0" w:rsidRDefault="00B937F5" w:rsidP="00B528F0">
      <w:pPr>
        <w:pStyle w:val="Bibliography"/>
        <w:ind w:left="720" w:hanging="720"/>
        <w:jc w:val="both"/>
        <w:rPr>
          <w:rFonts w:ascii="Arial" w:hAnsi="Arial" w:cs="Arial"/>
        </w:rPr>
      </w:pPr>
      <w:r>
        <w:rPr>
          <w:highlight w:val="yellow"/>
        </w:rPr>
        <w:t xml:space="preserve">Cheng, S.-H., Barakatun-Nisak, M. Y., Anthony, J., &amp; Ismail, A. (2015). Potential medicinal benefits of </w:t>
      </w:r>
      <w:r>
        <w:rPr>
          <w:i/>
          <w:highlight w:val="yellow"/>
        </w:rPr>
        <w:t>Cosmos caudatus</w:t>
      </w:r>
      <w:r>
        <w:rPr>
          <w:highlight w:val="yellow"/>
        </w:rPr>
        <w:t xml:space="preserve"> (Ulam Raja): A scoping review. </w:t>
      </w:r>
      <w:r>
        <w:rPr>
          <w:i/>
          <w:highlight w:val="yellow"/>
        </w:rPr>
        <w:t>Journal of Research in Medical Sciences, 20</w:t>
      </w:r>
      <w:r>
        <w:rPr>
          <w:highlight w:val="yellow"/>
        </w:rPr>
        <w:t>(10), 1000–1006. https://doi.org/10.4103/1735-1995.172796</w:t>
      </w:r>
    </w:p>
    <w:p w14:paraId="3E5DAFE6" w14:textId="77777777" w:rsidR="00B937F5" w:rsidRPr="00B528F0" w:rsidRDefault="00B937F5" w:rsidP="00B528F0">
      <w:pPr>
        <w:pStyle w:val="Bibliography"/>
        <w:ind w:left="720" w:hanging="720"/>
        <w:jc w:val="both"/>
        <w:rPr>
          <w:rFonts w:ascii="Arial" w:hAnsi="Arial" w:cs="Arial"/>
        </w:rPr>
      </w:pPr>
      <w:r>
        <w:rPr>
          <w:highlight w:val="yellow"/>
        </w:rPr>
        <w:t xml:space="preserve">Gardarin, A. (2023). Aphid biological control in arable crops via flower strips: The predominant role of food resources over diversity effects. </w:t>
      </w:r>
      <w:r>
        <w:rPr>
          <w:i/>
          <w:highlight w:val="yellow"/>
        </w:rPr>
        <w:t>Journal of Applied Ecology, 60</w:t>
      </w:r>
      <w:r>
        <w:rPr>
          <w:highlight w:val="yellow"/>
        </w:rPr>
        <w:t>(10), 2118–2131. https://doi.org/10.1111/1365-2664.14495</w:t>
      </w:r>
    </w:p>
    <w:p w14:paraId="2B31CFF1" w14:textId="77777777" w:rsidR="00B937F5" w:rsidRPr="00B528F0" w:rsidRDefault="00B937F5" w:rsidP="00B528F0">
      <w:pPr>
        <w:pStyle w:val="Bibliography"/>
        <w:ind w:left="720" w:hanging="720"/>
        <w:jc w:val="both"/>
        <w:rPr>
          <w:rFonts w:ascii="Arial" w:hAnsi="Arial" w:cs="Arial"/>
        </w:rPr>
      </w:pPr>
      <w:r>
        <w:rPr>
          <w:highlight w:val="yellow"/>
        </w:rPr>
        <w:t xml:space="preserve">Gillespie, M. A. K., Gurr, G. M., &amp; Wratten, S. D. (2016). Beyond nectar provision: The other resource requirements of parasitoid biological control agents. </w:t>
      </w:r>
      <w:r>
        <w:rPr>
          <w:i/>
          <w:highlight w:val="yellow"/>
        </w:rPr>
        <w:t>Entomologia Experimentalis et Applicata, 159</w:t>
      </w:r>
      <w:r>
        <w:rPr>
          <w:highlight w:val="yellow"/>
        </w:rPr>
        <w:t>(2), 207–221. https://doi.org/10.1111/eea.12424</w:t>
      </w:r>
    </w:p>
    <w:p w14:paraId="31030BAC" w14:textId="77777777" w:rsidR="00B937F5" w:rsidRPr="00B528F0" w:rsidRDefault="00B937F5" w:rsidP="00B528F0">
      <w:pPr>
        <w:pStyle w:val="Bibliography"/>
        <w:ind w:left="720" w:hanging="720"/>
        <w:jc w:val="both"/>
        <w:rPr>
          <w:rFonts w:ascii="Arial" w:hAnsi="Arial" w:cs="Arial"/>
        </w:rPr>
      </w:pPr>
      <w:r>
        <w:rPr>
          <w:highlight w:val="yellow"/>
        </w:rPr>
        <w:t xml:space="preserve">Gomez, K. A., &amp; Gomez, A. A. (1984). </w:t>
      </w:r>
      <w:r>
        <w:rPr>
          <w:i/>
          <w:highlight w:val="yellow"/>
        </w:rPr>
        <w:t>Statistical procedures for agricultural research</w:t>
      </w:r>
      <w:r>
        <w:rPr>
          <w:highlight w:val="yellow"/>
        </w:rPr>
        <w:t xml:space="preserve"> (2nd ed.). John Wiley &amp; Sons.</w:t>
      </w:r>
    </w:p>
    <w:p w14:paraId="5CE38506" w14:textId="77777777" w:rsidR="00B937F5" w:rsidRPr="00B528F0" w:rsidRDefault="00B937F5" w:rsidP="00B528F0">
      <w:pPr>
        <w:pStyle w:val="Bibliography"/>
        <w:ind w:left="720" w:hanging="720"/>
        <w:jc w:val="both"/>
        <w:rPr>
          <w:rFonts w:ascii="Arial" w:hAnsi="Arial" w:cs="Arial"/>
        </w:rPr>
      </w:pPr>
      <w:r>
        <w:rPr>
          <w:highlight w:val="yellow"/>
        </w:rPr>
        <w:t xml:space="preserve">Grammatikopoulou, I., Chatzimichael, K., Sylla, M., La Notte, A., Zurbaran Nucci, M., &amp; Paracchini, M. L. (2024). </w:t>
      </w:r>
      <w:r>
        <w:rPr>
          <w:i/>
          <w:highlight w:val="yellow"/>
        </w:rPr>
        <w:t>The contribution of ecosystem services in agricultural production: An application of the production function approach</w:t>
      </w:r>
      <w:r>
        <w:rPr>
          <w:highlight w:val="yellow"/>
        </w:rPr>
        <w:t>. Publications Office of the European Union. https://doi.org/10.2760/1432445</w:t>
      </w:r>
    </w:p>
    <w:p w14:paraId="1F731238" w14:textId="77777777" w:rsidR="00B937F5" w:rsidRPr="00B528F0" w:rsidRDefault="00B937F5" w:rsidP="00B528F0">
      <w:pPr>
        <w:pStyle w:val="Bibliography"/>
        <w:ind w:left="720" w:hanging="720"/>
        <w:jc w:val="both"/>
        <w:rPr>
          <w:rFonts w:ascii="Arial" w:hAnsi="Arial" w:cs="Arial"/>
        </w:rPr>
      </w:pPr>
      <w:r>
        <w:rPr>
          <w:highlight w:val="yellow"/>
        </w:rPr>
        <w:t xml:space="preserve">Han, G., Zhang, X., Cai, Z., Xiao, Y., &amp; Ge, F. (2025). Flower strips enhance the abundance and biocontrol services of predatory arthropods in a pear orchard. </w:t>
      </w:r>
      <w:r>
        <w:rPr>
          <w:i/>
          <w:highlight w:val="yellow"/>
        </w:rPr>
        <w:t>Biological Control, 200</w:t>
      </w:r>
      <w:r>
        <w:rPr>
          <w:highlight w:val="yellow"/>
        </w:rPr>
        <w:t>, 105680. https://doi.org/10.1016/j.biocontrol.2024.105680</w:t>
      </w:r>
    </w:p>
    <w:p w14:paraId="1C8EBC6C" w14:textId="77777777" w:rsidR="00B937F5" w:rsidRPr="00B528F0" w:rsidRDefault="00B937F5" w:rsidP="00B528F0">
      <w:pPr>
        <w:pStyle w:val="Bibliography"/>
        <w:ind w:left="720" w:hanging="720"/>
        <w:jc w:val="both"/>
        <w:rPr>
          <w:rFonts w:ascii="Arial" w:hAnsi="Arial" w:cs="Arial"/>
        </w:rPr>
      </w:pPr>
      <w:r>
        <w:rPr>
          <w:highlight w:val="yellow"/>
        </w:rPr>
        <w:t xml:space="preserve">Hatt, S., &amp; Döring, T. F. (2023). Designing pest suppressive agroecosystems: Principles for an integrative diversification science. </w:t>
      </w:r>
      <w:r>
        <w:rPr>
          <w:i/>
          <w:highlight w:val="yellow"/>
        </w:rPr>
        <w:t>Journal of Cleaner Production, 432</w:t>
      </w:r>
      <w:r>
        <w:rPr>
          <w:highlight w:val="yellow"/>
        </w:rPr>
        <w:t>, 139701. https://doi.org/10.1016/j.jclepro.2023.139701</w:t>
      </w:r>
    </w:p>
    <w:p w14:paraId="2ADF390D" w14:textId="77777777" w:rsidR="00B937F5" w:rsidRPr="00B528F0" w:rsidRDefault="00B937F5" w:rsidP="00B528F0">
      <w:pPr>
        <w:pStyle w:val="Bibliography"/>
        <w:ind w:left="720" w:hanging="720"/>
        <w:jc w:val="both"/>
        <w:rPr>
          <w:rFonts w:ascii="Arial" w:hAnsi="Arial" w:cs="Arial"/>
        </w:rPr>
      </w:pPr>
      <w:r>
        <w:rPr>
          <w:highlight w:val="yellow"/>
        </w:rPr>
        <w:t xml:space="preserve">Jachowicz, N., &amp; Sigsgaard, L. (2025). Highly diverse flower strips promote natural enemies more in annual field crops: A review and meta-analysis. </w:t>
      </w:r>
      <w:r>
        <w:rPr>
          <w:i/>
          <w:highlight w:val="yellow"/>
        </w:rPr>
        <w:t>Agriculture, Ecosystems &amp; Environment, 381</w:t>
      </w:r>
      <w:r>
        <w:rPr>
          <w:highlight w:val="yellow"/>
        </w:rPr>
        <w:t>, 109412. https://doi.org/10.1016/j.agee.2024.109412</w:t>
      </w:r>
    </w:p>
    <w:p w14:paraId="509C7BF1" w14:textId="77777777" w:rsidR="00B937F5" w:rsidRPr="00B528F0" w:rsidRDefault="00B937F5" w:rsidP="00B528F0">
      <w:pPr>
        <w:pStyle w:val="Bibliography"/>
        <w:ind w:left="720" w:hanging="720"/>
        <w:jc w:val="both"/>
        <w:rPr>
          <w:rFonts w:ascii="Arial" w:hAnsi="Arial" w:cs="Arial"/>
        </w:rPr>
      </w:pPr>
      <w:r>
        <w:rPr>
          <w:highlight w:val="yellow"/>
        </w:rPr>
        <w:t>Jeksen, E. E., &amp; Sari, D. (2022). Peningkatan produksi cabai rawit (</w:t>
      </w:r>
      <w:r>
        <w:rPr>
          <w:i/>
          <w:highlight w:val="yellow"/>
        </w:rPr>
        <w:t>Capsicum frutescens</w:t>
      </w:r>
      <w:r>
        <w:rPr>
          <w:highlight w:val="yellow"/>
        </w:rPr>
        <w:t xml:space="preserve"> L.) di Indonesia (Production increase prospect analysis of cayenne pepper [</w:t>
      </w:r>
      <w:r>
        <w:rPr>
          <w:i/>
          <w:highlight w:val="yellow"/>
        </w:rPr>
        <w:t>Capsicum frutescens</w:t>
      </w:r>
      <w:r>
        <w:rPr>
          <w:highlight w:val="yellow"/>
        </w:rPr>
        <w:t xml:space="preserve"> L.] in Indonesia). SSRN. https://doi.org/10.2139/ssrn.4285742</w:t>
      </w:r>
    </w:p>
    <w:p w14:paraId="1E4BACB0" w14:textId="77777777" w:rsidR="00B937F5" w:rsidRPr="00B528F0" w:rsidRDefault="00B937F5" w:rsidP="00B528F0">
      <w:pPr>
        <w:pStyle w:val="Bibliography"/>
        <w:ind w:left="720" w:hanging="720"/>
        <w:jc w:val="both"/>
        <w:rPr>
          <w:rFonts w:ascii="Arial" w:hAnsi="Arial" w:cs="Arial"/>
        </w:rPr>
      </w:pPr>
      <w:r>
        <w:rPr>
          <w:highlight w:val="yellow"/>
        </w:rPr>
        <w:t xml:space="preserve">Khan, M. A., &amp; Ahmad, W. (2019). Synthetic chemical insecticides: Environmental and agro contaminants. In M. A. Khan &amp; W. Ahmad (Eds.), </w:t>
      </w:r>
      <w:r>
        <w:rPr>
          <w:i/>
          <w:highlight w:val="yellow"/>
        </w:rPr>
        <w:t>Microbes for sustainable insect pest management</w:t>
      </w:r>
      <w:r>
        <w:rPr>
          <w:highlight w:val="yellow"/>
        </w:rPr>
        <w:t xml:space="preserve"> (pp. 1–22). Springer. https://doi.org/10.1007/978-3-030-23045-6_1</w:t>
      </w:r>
    </w:p>
    <w:p w14:paraId="582C9123" w14:textId="77777777" w:rsidR="00B937F5" w:rsidRPr="00B528F0" w:rsidRDefault="00B937F5" w:rsidP="00B528F0">
      <w:pPr>
        <w:pStyle w:val="Bibliography"/>
        <w:ind w:left="720" w:hanging="720"/>
        <w:jc w:val="both"/>
        <w:rPr>
          <w:rFonts w:ascii="Arial" w:hAnsi="Arial" w:cs="Arial"/>
        </w:rPr>
      </w:pPr>
      <w:r>
        <w:rPr>
          <w:highlight w:val="yellow"/>
        </w:rPr>
        <w:t xml:space="preserve">Kissi, A. E., Villamor, G. B., &amp; Abbey, G. A. (2023). Ecosystem-based adaptation practices of smallholder farmers in the Oti Basin, Togo: Probing their effectiveness and co-benefits. </w:t>
      </w:r>
      <w:r>
        <w:rPr>
          <w:i/>
          <w:highlight w:val="yellow"/>
        </w:rPr>
        <w:t>Ecologies, 4</w:t>
      </w:r>
      <w:r>
        <w:rPr>
          <w:highlight w:val="yellow"/>
        </w:rPr>
        <w:t>(3), 535–551. https://doi.org/10.3390/ecologies4030035</w:t>
      </w:r>
    </w:p>
    <w:p w14:paraId="40C8C435" w14:textId="77777777" w:rsidR="00B937F5" w:rsidRPr="00B528F0" w:rsidRDefault="00B937F5" w:rsidP="00B528F0">
      <w:pPr>
        <w:pStyle w:val="Bibliography"/>
        <w:ind w:left="720" w:hanging="720"/>
        <w:jc w:val="both"/>
        <w:rPr>
          <w:rFonts w:ascii="Arial" w:hAnsi="Arial" w:cs="Arial"/>
        </w:rPr>
      </w:pPr>
      <w:r>
        <w:rPr>
          <w:highlight w:val="yellow"/>
        </w:rPr>
        <w:t xml:space="preserve">Lami, F., Venturi, M., Cabiddu, L., Lenzi, L., Mazzei, M. P., Missere, D., Morandi, B., &amp; Sgolastra, F. (2026). The role of cultivar interactions with arthropods in integrated pest and pollinator management strategies for apple orchards. </w:t>
      </w:r>
      <w:r>
        <w:rPr>
          <w:i/>
          <w:highlight w:val="yellow"/>
        </w:rPr>
        <w:t>Crop Protection, 209</w:t>
      </w:r>
      <w:r>
        <w:rPr>
          <w:highlight w:val="yellow"/>
        </w:rPr>
        <w:t>, 107770. https://doi.org/10.1016/j.cropro.2026.107770</w:t>
      </w:r>
    </w:p>
    <w:p w14:paraId="711BEC95" w14:textId="77777777" w:rsidR="00B937F5" w:rsidRPr="00B528F0" w:rsidRDefault="00B937F5" w:rsidP="00B528F0">
      <w:pPr>
        <w:pStyle w:val="Bibliography"/>
        <w:ind w:left="720" w:hanging="720"/>
        <w:jc w:val="both"/>
        <w:rPr>
          <w:rFonts w:ascii="Arial" w:hAnsi="Arial" w:cs="Arial"/>
        </w:rPr>
      </w:pPr>
      <w:r>
        <w:rPr>
          <w:highlight w:val="yellow"/>
        </w:rPr>
        <w:lastRenderedPageBreak/>
        <w:t xml:space="preserve">Mahanani, A. P., Ramazayandi, R., &amp; Suryana, J. (2020). Pengenalan sistem refugia pada lahan pertanian di Desa Jalaksana, Kabupaten Kuningan. </w:t>
      </w:r>
      <w:r>
        <w:rPr>
          <w:i/>
          <w:highlight w:val="yellow"/>
        </w:rPr>
        <w:t>Jurnal Pusat Inovasi Masyarakat, 2</w:t>
      </w:r>
      <w:r>
        <w:rPr>
          <w:highlight w:val="yellow"/>
        </w:rPr>
        <w:t>(4), 591–596.</w:t>
      </w:r>
    </w:p>
    <w:p w14:paraId="57500D55" w14:textId="77777777" w:rsidR="00B937F5" w:rsidRPr="00B528F0" w:rsidRDefault="00B937F5" w:rsidP="00B528F0">
      <w:pPr>
        <w:pStyle w:val="Bibliography"/>
        <w:ind w:left="720" w:hanging="720"/>
        <w:jc w:val="both"/>
        <w:rPr>
          <w:rFonts w:ascii="Arial" w:hAnsi="Arial" w:cs="Arial"/>
        </w:rPr>
      </w:pPr>
      <w:r>
        <w:rPr>
          <w:highlight w:val="yellow"/>
        </w:rPr>
        <w:t xml:space="preserve">Mallick, A., Samajder, A., &amp; Roy, K. (2026). Diversity of entomofauna associated with tomato in the Lower Gangetic Alluvial Plains of West Bengal, India. </w:t>
      </w:r>
      <w:r>
        <w:rPr>
          <w:i/>
          <w:highlight w:val="yellow"/>
        </w:rPr>
        <w:t>Uttar Pradesh Journal of Zoology, 47</w:t>
      </w:r>
      <w:r>
        <w:rPr>
          <w:highlight w:val="yellow"/>
        </w:rPr>
        <w:t>(11), 1–16. https://doi.org/10.56557/upjoz/2026/v47i115681</w:t>
      </w:r>
    </w:p>
    <w:p w14:paraId="351C63CD" w14:textId="77777777" w:rsidR="00B937F5" w:rsidRPr="00B528F0" w:rsidRDefault="00B937F5" w:rsidP="00B528F0">
      <w:pPr>
        <w:pStyle w:val="Bibliography"/>
        <w:ind w:left="720" w:hanging="720"/>
        <w:jc w:val="both"/>
        <w:rPr>
          <w:rFonts w:ascii="Arial" w:hAnsi="Arial" w:cs="Arial"/>
        </w:rPr>
      </w:pPr>
      <w:r>
        <w:rPr>
          <w:highlight w:val="yellow"/>
        </w:rPr>
        <w:t>Piola, R., Solihin, A. P., &amp; Jamin, F. S. (2025). Pengaruh penggunaan tanaman refugia terhadap kelimpahan dan biodiversitas musuh alami pada tanaman cabai rawit (</w:t>
      </w:r>
      <w:r>
        <w:rPr>
          <w:i/>
          <w:highlight w:val="yellow"/>
        </w:rPr>
        <w:t>Capsicum frutescens</w:t>
      </w:r>
      <w:r>
        <w:rPr>
          <w:highlight w:val="yellow"/>
        </w:rPr>
        <w:t xml:space="preserve"> L.). </w:t>
      </w:r>
      <w:r>
        <w:rPr>
          <w:i/>
          <w:highlight w:val="yellow"/>
        </w:rPr>
        <w:t>Research Review Journal, 4</w:t>
      </w:r>
      <w:r>
        <w:rPr>
          <w:highlight w:val="yellow"/>
        </w:rPr>
        <w:t>(1), 170–180. https://doi.org/10.54923/researchreview.v4i1.133</w:t>
      </w:r>
    </w:p>
    <w:p w14:paraId="1D2D74DC" w14:textId="77777777" w:rsidR="00B937F5" w:rsidRPr="00B528F0" w:rsidRDefault="00B937F5" w:rsidP="00B528F0">
      <w:pPr>
        <w:pStyle w:val="Bibliography"/>
        <w:ind w:left="720" w:hanging="720"/>
        <w:jc w:val="both"/>
        <w:rPr>
          <w:rFonts w:ascii="Arial" w:hAnsi="Arial" w:cs="Arial"/>
        </w:rPr>
      </w:pPr>
      <w:r>
        <w:rPr>
          <w:highlight w:val="yellow"/>
        </w:rPr>
        <w:t xml:space="preserve">Putri, V. M., Windriyanti, W., &amp; Rahmadhini, N. (2025). The effect of refugia crops on the abundance of insect pests and natural enemies in fruits plantations. </w:t>
      </w:r>
      <w:r>
        <w:rPr>
          <w:i/>
          <w:highlight w:val="yellow"/>
        </w:rPr>
        <w:t>BIOEDUSCIENCE, 9</w:t>
      </w:r>
      <w:r>
        <w:rPr>
          <w:highlight w:val="yellow"/>
        </w:rPr>
        <w:t>(1), 73–81. https://doi.org/10.22236/jbes/12475</w:t>
      </w:r>
    </w:p>
    <w:p w14:paraId="73E8D70A" w14:textId="77777777" w:rsidR="00B937F5" w:rsidRPr="00B528F0" w:rsidRDefault="00B937F5" w:rsidP="00B528F0">
      <w:pPr>
        <w:pStyle w:val="Bibliography"/>
        <w:ind w:left="720" w:hanging="720"/>
        <w:jc w:val="both"/>
        <w:rPr>
          <w:rFonts w:ascii="Arial" w:hAnsi="Arial" w:cs="Arial"/>
        </w:rPr>
      </w:pPr>
      <w:r>
        <w:rPr>
          <w:highlight w:val="yellow"/>
        </w:rPr>
        <w:t xml:space="preserve">Rueda-Uribe, C., Chautá, A., Woodman, T. L., Lasso, E., Pelayo, R. C., Manrique-Garzón, L. M., Muñoz, M. C., Allgayer, R., Ashman, T.-L., Bocedi, G., Burslem, D. F. R. P., Camargo-Martínez, P. A., Echeverry-Galvis, M. Á., González-Arango, C., Gubry-Rangin, C., Lancaster, L. T., Layton, K. K. S., Manfredini, F., Martel, C., … Travis, J. M. J. (2025). Pollination ecology in the tropical Andes: Moving towards a cross-scale approach. </w:t>
      </w:r>
      <w:r>
        <w:rPr>
          <w:i/>
          <w:highlight w:val="yellow"/>
        </w:rPr>
        <w:t>Biological Reviews, 100</w:t>
      </w:r>
      <w:r>
        <w:rPr>
          <w:highlight w:val="yellow"/>
        </w:rPr>
        <w:t>(6), 2312–2345. https://doi.org/10.1111/brv.70049</w:t>
      </w:r>
    </w:p>
    <w:p w14:paraId="468E8089" w14:textId="77777777" w:rsidR="00B937F5" w:rsidRPr="00B528F0" w:rsidRDefault="00B937F5" w:rsidP="00B528F0">
      <w:pPr>
        <w:pStyle w:val="Bibliography"/>
        <w:ind w:left="720" w:hanging="720"/>
        <w:jc w:val="both"/>
        <w:rPr>
          <w:rFonts w:ascii="Arial" w:hAnsi="Arial" w:cs="Arial"/>
        </w:rPr>
      </w:pPr>
      <w:r>
        <w:rPr>
          <w:highlight w:val="yellow"/>
        </w:rPr>
        <w:t xml:space="preserve">Sánchez-Velásquez, L. R., Hernández-Vargas, G., Ibarra-Zavaleta, S. P., Pineda-López, M. R., Saldaña-Vázquez, R. A., &amp; Ruiz-Sanchez, E. (2023). Climatic variability and plant functional traits in tropical montane cloud forest refugia along the Trans-Mexican Volcanic Belt. </w:t>
      </w:r>
      <w:r>
        <w:rPr>
          <w:i/>
          <w:highlight w:val="yellow"/>
        </w:rPr>
        <w:t>Flora, 308</w:t>
      </w:r>
      <w:r>
        <w:rPr>
          <w:highlight w:val="yellow"/>
        </w:rPr>
        <w:t>, 152397. https://doi.org/10.1016/j.flora.2023.152397</w:t>
      </w:r>
    </w:p>
    <w:p w14:paraId="63E5E2CE" w14:textId="77777777" w:rsidR="00B937F5" w:rsidRPr="00B528F0" w:rsidRDefault="00B937F5" w:rsidP="00B528F0">
      <w:pPr>
        <w:pStyle w:val="Bibliography"/>
        <w:ind w:left="720" w:hanging="720"/>
        <w:jc w:val="both"/>
        <w:rPr>
          <w:rFonts w:ascii="Arial" w:hAnsi="Arial" w:cs="Arial"/>
        </w:rPr>
      </w:pPr>
      <w:r>
        <w:rPr>
          <w:highlight w:val="yellow"/>
        </w:rPr>
        <w:t xml:space="preserve">Sanz-Martín, M., Olguín-Jacobson, C., Bolin, J. A., Quiles-Pons, C., Brito-Morales, I., García Molinos, J., Hidalgo, M., Alabia, I. D., Gissi, E., Provost, M. M., Micheli, F., &amp; Arafeh-Dalmau, N. (2026). Identifying marine climate refugia to advance climate-smart conservation. </w:t>
      </w:r>
      <w:r>
        <w:rPr>
          <w:i/>
          <w:highlight w:val="yellow"/>
        </w:rPr>
        <w:t>Trends in Ecology &amp; Evolution, 41</w:t>
      </w:r>
      <w:r>
        <w:rPr>
          <w:highlight w:val="yellow"/>
        </w:rPr>
        <w:t>(7), 651–667. https://doi.org/10.1016/j.tree.2026.04.007</w:t>
      </w:r>
    </w:p>
    <w:p w14:paraId="053AED47" w14:textId="77777777" w:rsidR="00B937F5" w:rsidRPr="00B528F0" w:rsidRDefault="00B937F5" w:rsidP="00B528F0">
      <w:pPr>
        <w:pStyle w:val="Bibliography"/>
        <w:ind w:left="720" w:hanging="720"/>
        <w:jc w:val="both"/>
        <w:rPr>
          <w:rFonts w:ascii="Arial" w:hAnsi="Arial" w:cs="Arial"/>
        </w:rPr>
      </w:pPr>
      <w:r>
        <w:rPr>
          <w:highlight w:val="yellow"/>
        </w:rPr>
        <w:t xml:space="preserve">Setiawan, J., Nirwanto, H., &amp; Windriyanti, W. (2023). Estimation of yield damage due to whitefly pest attack on cayenne pepper plants based on drone imagery. </w:t>
      </w:r>
      <w:r>
        <w:rPr>
          <w:i/>
          <w:highlight w:val="yellow"/>
        </w:rPr>
        <w:t>Himalayan Journal of Agriculture, 4</w:t>
      </w:r>
      <w:r>
        <w:rPr>
          <w:highlight w:val="yellow"/>
        </w:rPr>
        <w:t>(1), 1–5. https://doi.org/10.47310/hja.2023.v04i01.026</w:t>
      </w:r>
    </w:p>
    <w:p w14:paraId="40AD7A9C" w14:textId="77777777" w:rsidR="00B937F5" w:rsidRPr="00B528F0" w:rsidRDefault="00B937F5" w:rsidP="00B528F0">
      <w:pPr>
        <w:pStyle w:val="Bibliography"/>
        <w:ind w:left="720" w:hanging="720"/>
        <w:jc w:val="both"/>
        <w:rPr>
          <w:rFonts w:ascii="Arial" w:hAnsi="Arial" w:cs="Arial"/>
        </w:rPr>
      </w:pPr>
      <w:r>
        <w:rPr>
          <w:highlight w:val="yellow"/>
        </w:rPr>
        <w:t xml:space="preserve">Trevisan, M., Baldoni, G., Menta, C., &amp; Remelli, S. (2026). Positive effects of market garden microfarms on soil-dwelling arthropod diversity: Pilot results from northern Italy. </w:t>
      </w:r>
      <w:r>
        <w:rPr>
          <w:i/>
          <w:highlight w:val="yellow"/>
        </w:rPr>
        <w:t>Applied Soil Ecology, 223</w:t>
      </w:r>
      <w:r>
        <w:rPr>
          <w:highlight w:val="yellow"/>
        </w:rPr>
        <w:t>, 107029. https://doi.org/10.1016/j.apsoil.2026.107029</w:t>
      </w:r>
    </w:p>
    <w:p w14:paraId="5A4586E4" w14:textId="77777777" w:rsidR="00B937F5" w:rsidRPr="00B528F0" w:rsidRDefault="00B937F5" w:rsidP="00B528F0">
      <w:pPr>
        <w:pStyle w:val="Bibliography"/>
        <w:ind w:left="720" w:hanging="720"/>
        <w:jc w:val="both"/>
        <w:rPr>
          <w:rFonts w:ascii="Arial" w:hAnsi="Arial" w:cs="Arial"/>
        </w:rPr>
      </w:pPr>
      <w:r>
        <w:rPr>
          <w:highlight w:val="yellow"/>
        </w:rPr>
        <w:t xml:space="preserve">Triplehorn, C. A., &amp; Johnson, N. F. (2005). </w:t>
      </w:r>
      <w:r>
        <w:rPr>
          <w:i/>
          <w:highlight w:val="yellow"/>
        </w:rPr>
        <w:t>Borror and DeLong’s introduction to the study of insects</w:t>
      </w:r>
      <w:r>
        <w:rPr>
          <w:highlight w:val="yellow"/>
        </w:rPr>
        <w:t xml:space="preserve"> (7th ed.). Thomson Brooks/Cole.</w:t>
      </w:r>
    </w:p>
    <w:p w14:paraId="3854B8F6" w14:textId="77777777" w:rsidR="00B937F5" w:rsidRPr="00B528F0" w:rsidRDefault="00B937F5" w:rsidP="00B528F0">
      <w:pPr>
        <w:pStyle w:val="Bibliography"/>
        <w:ind w:left="720" w:hanging="720"/>
        <w:jc w:val="both"/>
        <w:rPr>
          <w:rFonts w:ascii="Arial" w:hAnsi="Arial" w:cs="Arial"/>
        </w:rPr>
      </w:pPr>
      <w:r>
        <w:rPr>
          <w:highlight w:val="yellow"/>
        </w:rPr>
        <w:t xml:space="preserve">van Emden, H. F., &amp; Williams, G. F. (1974). Insect stability and diversity in agro-ecosystems. </w:t>
      </w:r>
      <w:r>
        <w:rPr>
          <w:i/>
          <w:highlight w:val="yellow"/>
        </w:rPr>
        <w:t>Annual Review of Entomology, 19</w:t>
      </w:r>
      <w:r>
        <w:rPr>
          <w:highlight w:val="yellow"/>
        </w:rPr>
        <w:t>, 455–475. https://doi.org/10.1146/annurev.en.19.010174.002323</w:t>
      </w:r>
    </w:p>
    <w:p w14:paraId="254890EE" w14:textId="77777777" w:rsidR="00ED454A" w:rsidRDefault="00000000">
      <w:pPr>
        <w:pStyle w:val="Bibliography"/>
        <w:ind w:left="720" w:hanging="720"/>
        <w:jc w:val="both"/>
        <w:rPr>
          <w:rFonts w:ascii="Arial" w:hAnsi="Arial" w:cs="Arial"/>
        </w:rPr>
      </w:pPr>
      <w:r>
        <w:rPr>
          <w:highlight w:val="yellow"/>
        </w:rPr>
        <w:t xml:space="preserve">Vialatte, A., Tibi, A., Alignier, A., Angeon, V., Bedoussac, L., Bohan, D., Bougherara, D., Cordeau, S., Courtois, P., Deguine, J.-P., Enjalbert, J., Fabre, F., Fréville, H., Grimonprez, B., Gross, N., Hannachi, M., Launay, M., Lemarié, S., Martel, G., … </w:t>
      </w:r>
      <w:r>
        <w:rPr>
          <w:highlight w:val="yellow"/>
        </w:rPr>
        <w:lastRenderedPageBreak/>
        <w:t xml:space="preserve">Martinet, V. (2025). Protecting crops with plant diversity: Agroecological promises, socioeconomic lock-in, and political levers. </w:t>
      </w:r>
      <w:r>
        <w:rPr>
          <w:i/>
          <w:highlight w:val="yellow"/>
        </w:rPr>
        <w:t>One Earth, 8</w:t>
      </w:r>
      <w:r>
        <w:rPr>
          <w:highlight w:val="yellow"/>
        </w:rPr>
        <w:t>(7), 101309. https://doi.org/10.1016/j.oneear.2025.101309</w:t>
      </w:r>
    </w:p>
    <w:p w14:paraId="6BECD2F3" w14:textId="77777777" w:rsidR="00ED454A" w:rsidRDefault="00000000">
      <w:pPr>
        <w:pStyle w:val="Bibliography"/>
        <w:ind w:left="720" w:hanging="720"/>
        <w:jc w:val="both"/>
        <w:rPr>
          <w:rFonts w:ascii="Arial" w:hAnsi="Arial" w:cs="Arial"/>
        </w:rPr>
      </w:pPr>
      <w:r>
        <w:rPr>
          <w:highlight w:val="yellow"/>
        </w:rPr>
        <w:t xml:space="preserve">Wang, J., Li, S., Yuan, W., Hatt, S., Fang, Y., Jin, Z., &amp; Wang, S. (2025). Ecological wisdom: Functional plant </w:t>
      </w:r>
      <w:r>
        <w:rPr>
          <w:i/>
          <w:highlight w:val="yellow"/>
        </w:rPr>
        <w:t>Cosmos bipinnata</w:t>
      </w:r>
      <w:r>
        <w:rPr>
          <w:highlight w:val="yellow"/>
        </w:rPr>
        <w:t xml:space="preserve"> enhances fitness traits of predator </w:t>
      </w:r>
      <w:r>
        <w:rPr>
          <w:i/>
          <w:highlight w:val="yellow"/>
        </w:rPr>
        <w:t>Harmonia axyridis</w:t>
      </w:r>
      <w:r>
        <w:rPr>
          <w:highlight w:val="yellow"/>
        </w:rPr>
        <w:t xml:space="preserve">, strengthening biological control in greenhouse production. </w:t>
      </w:r>
      <w:r>
        <w:rPr>
          <w:i/>
          <w:highlight w:val="yellow"/>
        </w:rPr>
        <w:t>Agriculture Communications, 3</w:t>
      </w:r>
      <w:r>
        <w:rPr>
          <w:highlight w:val="yellow"/>
        </w:rPr>
        <w:t>(3), 100097. https://doi.org/10.1016/j.agrcom.2025.100097</w:t>
      </w:r>
    </w:p>
    <w:p w14:paraId="7765A1F8" w14:textId="77777777" w:rsidR="00ED454A" w:rsidRDefault="00000000">
      <w:pPr>
        <w:pStyle w:val="Bibliography"/>
        <w:ind w:left="720" w:hanging="720"/>
        <w:jc w:val="both"/>
        <w:rPr>
          <w:rFonts w:ascii="Arial" w:hAnsi="Arial" w:cs="Arial"/>
        </w:rPr>
      </w:pPr>
      <w:r>
        <w:rPr>
          <w:highlight w:val="yellow"/>
        </w:rPr>
        <w:t xml:space="preserve">Zhou, W., Arcot, Y., Medina, R. F., Bernal, J., Cisneros-Zevallos, L., &amp; Akbulut, M. E. S. (2024). Integrated pest management: An update on the sustainability approach to crop protection. </w:t>
      </w:r>
      <w:r>
        <w:rPr>
          <w:i/>
          <w:highlight w:val="yellow"/>
        </w:rPr>
        <w:t>ACS Omega, 9</w:t>
      </w:r>
      <w:r>
        <w:rPr>
          <w:highlight w:val="yellow"/>
        </w:rPr>
        <w:t>(40), 41130–41147. https://doi.org/10.1021/acsomega.4c06628</w:t>
      </w:r>
    </w:p>
    <w:p w14:paraId="1103A44D" w14:textId="77777777" w:rsidR="00ED454A" w:rsidRDefault="00000000">
      <w:pPr>
        <w:pStyle w:val="Bibliography"/>
        <w:ind w:left="720" w:hanging="720"/>
        <w:jc w:val="both"/>
        <w:rPr>
          <w:rFonts w:ascii="Arial" w:hAnsi="Arial" w:cs="Arial"/>
        </w:rPr>
      </w:pPr>
      <w:r>
        <w:rPr>
          <w:highlight w:val="yellow"/>
        </w:rPr>
        <w:t xml:space="preserve">Zhu, P., Liang, R., Qin, Y., Xu, H., Zou, Y., Johnson, A. C., Liu, X., Shan, R., &amp; Gurr, G. M. (2023). Extrafloral and floral nectar promote biocontrol services provided by parasitoid wasps to rice crops. </w:t>
      </w:r>
      <w:r>
        <w:rPr>
          <w:i/>
          <w:highlight w:val="yellow"/>
        </w:rPr>
        <w:t>Entomologia Generalis, 43</w:t>
      </w:r>
      <w:r>
        <w:rPr>
          <w:highlight w:val="yellow"/>
        </w:rPr>
        <w:t>(5), 971–979. https://doi.org/10.1127/entomologia/2023/1925</w:t>
      </w:r>
    </w:p>
    <w:p w14:paraId="53C2E587" w14:textId="77777777" w:rsidR="00ED454A" w:rsidRDefault="00ED454A">
      <w:pPr>
        <w:pStyle w:val="Bibliography"/>
        <w:spacing w:after="60"/>
        <w:jc w:val="both"/>
        <w:rPr>
          <w:rFonts w:ascii="Arial" w:hAnsi="Arial" w:cs="Arial"/>
        </w:rPr>
      </w:pPr>
    </w:p>
    <w:p w14:paraId="76EC57C9" w14:textId="77777777" w:rsidR="008B459E" w:rsidRPr="00B528F0" w:rsidRDefault="008B459E" w:rsidP="00B528F0">
      <w:pPr>
        <w:pStyle w:val="Body"/>
        <w:spacing w:after="60"/>
        <w:rPr>
          <w:rFonts w:ascii="Arial" w:hAnsi="Arial" w:cs="Arial"/>
        </w:rPr>
      </w:pPr>
    </w:p>
    <w:sectPr w:rsidR="008B459E" w:rsidRPr="00B528F0" w:rsidSect="003F5D42">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EB857" w14:textId="77777777" w:rsidR="005F1747" w:rsidRDefault="005F1747" w:rsidP="00C37E61">
      <w:r>
        <w:separator/>
      </w:r>
    </w:p>
  </w:endnote>
  <w:endnote w:type="continuationSeparator" w:id="0">
    <w:p w14:paraId="5495D836" w14:textId="77777777" w:rsidR="005F1747" w:rsidRDefault="005F174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5CD1" w14:textId="77777777" w:rsidR="003F5D42" w:rsidRDefault="003F5D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CB7F5" w14:textId="77777777" w:rsidR="003F5D42" w:rsidRDefault="003F5D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798B" w14:textId="77777777" w:rsidR="00754C9A" w:rsidRPr="003F5D42" w:rsidRDefault="00754C9A" w:rsidP="003F5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9CE5C" w14:textId="77777777" w:rsidR="005F1747" w:rsidRDefault="005F1747" w:rsidP="00C37E61">
      <w:r>
        <w:separator/>
      </w:r>
    </w:p>
  </w:footnote>
  <w:footnote w:type="continuationSeparator" w:id="0">
    <w:p w14:paraId="7E218B85" w14:textId="77777777" w:rsidR="005F1747" w:rsidRDefault="005F174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AC914" w14:textId="77777777" w:rsidR="003F5D42" w:rsidRDefault="00000000">
    <w:pPr>
      <w:pStyle w:val="Header"/>
    </w:pPr>
    <w:r>
      <w:rPr>
        <w:noProof/>
      </w:rPr>
      <w:pict w14:anchorId="01A8E0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857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34A0" w14:textId="77777777" w:rsidR="003F5D42" w:rsidRDefault="00000000">
    <w:pPr>
      <w:pStyle w:val="Header"/>
    </w:pPr>
    <w:r>
      <w:rPr>
        <w:noProof/>
      </w:rPr>
      <w:pict w14:anchorId="4DFFFA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858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491A7" w14:textId="77777777" w:rsidR="00296529" w:rsidRPr="00296529" w:rsidRDefault="00000000" w:rsidP="00296529">
    <w:pPr>
      <w:ind w:left="2160"/>
      <w:jc w:val="center"/>
      <w:rPr>
        <w:rFonts w:ascii="Times New Roman" w:eastAsia="Calibri" w:hAnsi="Times New Roman"/>
        <w:i/>
        <w:sz w:val="18"/>
        <w:szCs w:val="22"/>
      </w:rPr>
    </w:pPr>
    <w:r>
      <w:rPr>
        <w:noProof/>
      </w:rPr>
      <w:pict w14:anchorId="2C60A3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857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D94A08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49DFA50D"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3CBB22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87F22A4"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060D38F"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DA0D098"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2E1F35"/>
    <w:multiLevelType w:val="hybridMultilevel"/>
    <w:tmpl w:val="D78A53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3D928C1"/>
    <w:multiLevelType w:val="hybridMultilevel"/>
    <w:tmpl w:val="94E6E5FE"/>
    <w:lvl w:ilvl="0" w:tplc="B52A8B6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F4702B9"/>
    <w:multiLevelType w:val="multilevel"/>
    <w:tmpl w:val="3802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51196CF7"/>
    <w:multiLevelType w:val="hybridMultilevel"/>
    <w:tmpl w:val="84D0BE06"/>
    <w:lvl w:ilvl="0" w:tplc="AC3AD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8D5139"/>
    <w:multiLevelType w:val="multilevel"/>
    <w:tmpl w:val="676C3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634766BB"/>
    <w:multiLevelType w:val="hybridMultilevel"/>
    <w:tmpl w:val="D33AF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A6773C"/>
    <w:multiLevelType w:val="hybridMultilevel"/>
    <w:tmpl w:val="15CEFE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7"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9"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1"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3"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5096662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56016710">
    <w:abstractNumId w:val="18"/>
  </w:num>
  <w:num w:numId="3" w16cid:durableId="1802992648">
    <w:abstractNumId w:val="30"/>
  </w:num>
  <w:num w:numId="4" w16cid:durableId="66336187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795291322">
    <w:abstractNumId w:val="9"/>
  </w:num>
  <w:num w:numId="6" w16cid:durableId="1516337451">
    <w:abstractNumId w:val="7"/>
  </w:num>
  <w:num w:numId="7" w16cid:durableId="298847308">
    <w:abstractNumId w:val="1"/>
  </w:num>
  <w:num w:numId="8" w16cid:durableId="753279222">
    <w:abstractNumId w:val="14"/>
  </w:num>
  <w:num w:numId="9" w16cid:durableId="697663336">
    <w:abstractNumId w:val="32"/>
  </w:num>
  <w:num w:numId="10" w16cid:durableId="1631395259">
    <w:abstractNumId w:val="2"/>
  </w:num>
  <w:num w:numId="11" w16cid:durableId="286744462">
    <w:abstractNumId w:val="25"/>
  </w:num>
  <w:num w:numId="12" w16cid:durableId="578947887">
    <w:abstractNumId w:val="4"/>
  </w:num>
  <w:num w:numId="13" w16cid:durableId="110713893">
    <w:abstractNumId w:val="22"/>
  </w:num>
  <w:num w:numId="14" w16cid:durableId="26027903">
    <w:abstractNumId w:val="10"/>
  </w:num>
  <w:num w:numId="15" w16cid:durableId="1127285564">
    <w:abstractNumId w:val="28"/>
  </w:num>
  <w:num w:numId="16" w16cid:durableId="1295142428">
    <w:abstractNumId w:val="6"/>
  </w:num>
  <w:num w:numId="17" w16cid:durableId="1478837311">
    <w:abstractNumId w:val="29"/>
  </w:num>
  <w:num w:numId="18" w16cid:durableId="940531600">
    <w:abstractNumId w:val="17"/>
  </w:num>
  <w:num w:numId="19" w16cid:durableId="2041470051">
    <w:abstractNumId w:val="35"/>
  </w:num>
  <w:num w:numId="20" w16cid:durableId="1395160329">
    <w:abstractNumId w:val="13"/>
  </w:num>
  <w:num w:numId="21" w16cid:durableId="788278263">
    <w:abstractNumId w:val="11"/>
  </w:num>
  <w:num w:numId="22" w16cid:durableId="534195077">
    <w:abstractNumId w:val="15"/>
  </w:num>
  <w:num w:numId="23" w16cid:durableId="944925554">
    <w:abstractNumId w:val="26"/>
  </w:num>
  <w:num w:numId="24" w16cid:durableId="2026323046">
    <w:abstractNumId w:val="33"/>
  </w:num>
  <w:num w:numId="25" w16cid:durableId="282885644">
    <w:abstractNumId w:val="5"/>
  </w:num>
  <w:num w:numId="26" w16cid:durableId="498348355">
    <w:abstractNumId w:val="20"/>
  </w:num>
  <w:num w:numId="27" w16cid:durableId="466358630">
    <w:abstractNumId w:val="27"/>
  </w:num>
  <w:num w:numId="28" w16cid:durableId="1412580203">
    <w:abstractNumId w:val="34"/>
  </w:num>
  <w:num w:numId="29" w16cid:durableId="368838572">
    <w:abstractNumId w:val="31"/>
  </w:num>
  <w:num w:numId="30" w16cid:durableId="333148267">
    <w:abstractNumId w:val="12"/>
  </w:num>
  <w:num w:numId="31" w16cid:durableId="1097482943">
    <w:abstractNumId w:val="23"/>
  </w:num>
  <w:num w:numId="32" w16cid:durableId="217546672">
    <w:abstractNumId w:val="21"/>
  </w:num>
  <w:num w:numId="33" w16cid:durableId="929509257">
    <w:abstractNumId w:val="16"/>
  </w:num>
  <w:num w:numId="34" w16cid:durableId="867373483">
    <w:abstractNumId w:val="3"/>
  </w:num>
  <w:num w:numId="35" w16cid:durableId="2015037465">
    <w:abstractNumId w:val="8"/>
  </w:num>
  <w:num w:numId="36" w16cid:durableId="108471036">
    <w:abstractNumId w:val="24"/>
  </w:num>
  <w:num w:numId="37" w16cid:durableId="3361504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3MjIwt7Q0NrUwMjBU0lEKTi0uzszPAykwrAUAgSnQGSwAAAA="/>
  </w:docVars>
  <w:rsids>
    <w:rsidRoot w:val="00AA6219"/>
    <w:rsid w:val="00000F8F"/>
    <w:rsid w:val="00030174"/>
    <w:rsid w:val="00032D45"/>
    <w:rsid w:val="000356C8"/>
    <w:rsid w:val="0004579C"/>
    <w:rsid w:val="00074739"/>
    <w:rsid w:val="000A47FA"/>
    <w:rsid w:val="000A65D3"/>
    <w:rsid w:val="000A68AA"/>
    <w:rsid w:val="000B1E33"/>
    <w:rsid w:val="000C1F1C"/>
    <w:rsid w:val="000D689F"/>
    <w:rsid w:val="000E7B7B"/>
    <w:rsid w:val="000E7D62"/>
    <w:rsid w:val="00103357"/>
    <w:rsid w:val="00123C9F"/>
    <w:rsid w:val="00126190"/>
    <w:rsid w:val="00130F17"/>
    <w:rsid w:val="001320BF"/>
    <w:rsid w:val="0016019F"/>
    <w:rsid w:val="00161891"/>
    <w:rsid w:val="00163BC4"/>
    <w:rsid w:val="00183613"/>
    <w:rsid w:val="00185525"/>
    <w:rsid w:val="00191062"/>
    <w:rsid w:val="00192B72"/>
    <w:rsid w:val="00194E98"/>
    <w:rsid w:val="00195D5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65203"/>
    <w:rsid w:val="00283105"/>
    <w:rsid w:val="00284C4C"/>
    <w:rsid w:val="00287E68"/>
    <w:rsid w:val="00292783"/>
    <w:rsid w:val="00296529"/>
    <w:rsid w:val="002B27FB"/>
    <w:rsid w:val="002B685A"/>
    <w:rsid w:val="002C34CC"/>
    <w:rsid w:val="002C57D2"/>
    <w:rsid w:val="002E0D56"/>
    <w:rsid w:val="002F7240"/>
    <w:rsid w:val="00306EBE"/>
    <w:rsid w:val="00315186"/>
    <w:rsid w:val="003307C7"/>
    <w:rsid w:val="0033343E"/>
    <w:rsid w:val="00350A91"/>
    <w:rsid w:val="003512C2"/>
    <w:rsid w:val="00366F55"/>
    <w:rsid w:val="00370094"/>
    <w:rsid w:val="00371FB6"/>
    <w:rsid w:val="003763C1"/>
    <w:rsid w:val="00376BBE"/>
    <w:rsid w:val="00386252"/>
    <w:rsid w:val="0039224F"/>
    <w:rsid w:val="00394E9D"/>
    <w:rsid w:val="003A43A4"/>
    <w:rsid w:val="003A7E18"/>
    <w:rsid w:val="003C085E"/>
    <w:rsid w:val="003C4C86"/>
    <w:rsid w:val="003C6258"/>
    <w:rsid w:val="003D3DDD"/>
    <w:rsid w:val="003E028B"/>
    <w:rsid w:val="003E2904"/>
    <w:rsid w:val="003F5D42"/>
    <w:rsid w:val="00401927"/>
    <w:rsid w:val="0041027F"/>
    <w:rsid w:val="00412475"/>
    <w:rsid w:val="00423789"/>
    <w:rsid w:val="00423C82"/>
    <w:rsid w:val="00440F43"/>
    <w:rsid w:val="00441B6F"/>
    <w:rsid w:val="00446221"/>
    <w:rsid w:val="00450E62"/>
    <w:rsid w:val="004539DB"/>
    <w:rsid w:val="0046065E"/>
    <w:rsid w:val="00461265"/>
    <w:rsid w:val="00471A80"/>
    <w:rsid w:val="00485CEF"/>
    <w:rsid w:val="004D305E"/>
    <w:rsid w:val="004D4277"/>
    <w:rsid w:val="004F6328"/>
    <w:rsid w:val="00502516"/>
    <w:rsid w:val="00505F06"/>
    <w:rsid w:val="00506828"/>
    <w:rsid w:val="0053056E"/>
    <w:rsid w:val="0053291D"/>
    <w:rsid w:val="00554FDA"/>
    <w:rsid w:val="005568FA"/>
    <w:rsid w:val="0057454C"/>
    <w:rsid w:val="005B773B"/>
    <w:rsid w:val="005C784C"/>
    <w:rsid w:val="005D17F6"/>
    <w:rsid w:val="005D199A"/>
    <w:rsid w:val="005E0EA4"/>
    <w:rsid w:val="005E5539"/>
    <w:rsid w:val="005F1747"/>
    <w:rsid w:val="00602BF5"/>
    <w:rsid w:val="0061052C"/>
    <w:rsid w:val="00617FDD"/>
    <w:rsid w:val="00631F4C"/>
    <w:rsid w:val="00633614"/>
    <w:rsid w:val="00633F68"/>
    <w:rsid w:val="006343A3"/>
    <w:rsid w:val="00636EB2"/>
    <w:rsid w:val="006375B8"/>
    <w:rsid w:val="0066510A"/>
    <w:rsid w:val="00666147"/>
    <w:rsid w:val="00673F9F"/>
    <w:rsid w:val="00686953"/>
    <w:rsid w:val="00687DEA"/>
    <w:rsid w:val="00687E67"/>
    <w:rsid w:val="006943CC"/>
    <w:rsid w:val="006967F7"/>
    <w:rsid w:val="006A250C"/>
    <w:rsid w:val="006A4841"/>
    <w:rsid w:val="006B21D3"/>
    <w:rsid w:val="006B57D0"/>
    <w:rsid w:val="006C4410"/>
    <w:rsid w:val="006D30FF"/>
    <w:rsid w:val="006D6940"/>
    <w:rsid w:val="006F0497"/>
    <w:rsid w:val="006F11EC"/>
    <w:rsid w:val="0070082C"/>
    <w:rsid w:val="00724E36"/>
    <w:rsid w:val="007369E6"/>
    <w:rsid w:val="00746E59"/>
    <w:rsid w:val="00754C9A"/>
    <w:rsid w:val="0075599A"/>
    <w:rsid w:val="00761D52"/>
    <w:rsid w:val="0076494F"/>
    <w:rsid w:val="00766FA0"/>
    <w:rsid w:val="00776AE0"/>
    <w:rsid w:val="0077749E"/>
    <w:rsid w:val="00790ADA"/>
    <w:rsid w:val="007C5AE3"/>
    <w:rsid w:val="007D2288"/>
    <w:rsid w:val="007E088F"/>
    <w:rsid w:val="007F7B32"/>
    <w:rsid w:val="00804BC2"/>
    <w:rsid w:val="0081431A"/>
    <w:rsid w:val="0083216F"/>
    <w:rsid w:val="00836600"/>
    <w:rsid w:val="00836EC2"/>
    <w:rsid w:val="00851A78"/>
    <w:rsid w:val="00860000"/>
    <w:rsid w:val="00863BD3"/>
    <w:rsid w:val="008641ED"/>
    <w:rsid w:val="00866D66"/>
    <w:rsid w:val="008671C6"/>
    <w:rsid w:val="00875803"/>
    <w:rsid w:val="008B459E"/>
    <w:rsid w:val="008E13AE"/>
    <w:rsid w:val="008E1506"/>
    <w:rsid w:val="008E1FF1"/>
    <w:rsid w:val="008E710C"/>
    <w:rsid w:val="008F69D6"/>
    <w:rsid w:val="00902823"/>
    <w:rsid w:val="00915CA6"/>
    <w:rsid w:val="00916BEE"/>
    <w:rsid w:val="009233B2"/>
    <w:rsid w:val="00927834"/>
    <w:rsid w:val="009455A2"/>
    <w:rsid w:val="009500A6"/>
    <w:rsid w:val="00954B50"/>
    <w:rsid w:val="00957C18"/>
    <w:rsid w:val="00961483"/>
    <w:rsid w:val="009659BA"/>
    <w:rsid w:val="00983040"/>
    <w:rsid w:val="00984CD3"/>
    <w:rsid w:val="009A627C"/>
    <w:rsid w:val="009B3FB9"/>
    <w:rsid w:val="009C2465"/>
    <w:rsid w:val="009D35A0"/>
    <w:rsid w:val="009D77ED"/>
    <w:rsid w:val="009D7EB7"/>
    <w:rsid w:val="009E048A"/>
    <w:rsid w:val="009E08E9"/>
    <w:rsid w:val="009E3DB9"/>
    <w:rsid w:val="009E6E35"/>
    <w:rsid w:val="009F0EDA"/>
    <w:rsid w:val="00A03B96"/>
    <w:rsid w:val="00A05B19"/>
    <w:rsid w:val="00A1134E"/>
    <w:rsid w:val="00A1511B"/>
    <w:rsid w:val="00A24E7E"/>
    <w:rsid w:val="00A258C3"/>
    <w:rsid w:val="00A3222E"/>
    <w:rsid w:val="00A347C0"/>
    <w:rsid w:val="00A51431"/>
    <w:rsid w:val="00A539AD"/>
    <w:rsid w:val="00A94063"/>
    <w:rsid w:val="00AA6219"/>
    <w:rsid w:val="00AA74E0"/>
    <w:rsid w:val="00AB703F"/>
    <w:rsid w:val="00AC27D1"/>
    <w:rsid w:val="00AC6BB8"/>
    <w:rsid w:val="00AC7B14"/>
    <w:rsid w:val="00AD5B19"/>
    <w:rsid w:val="00AE008F"/>
    <w:rsid w:val="00AF0BAD"/>
    <w:rsid w:val="00B01FCD"/>
    <w:rsid w:val="00B1776C"/>
    <w:rsid w:val="00B27D63"/>
    <w:rsid w:val="00B52583"/>
    <w:rsid w:val="00B52896"/>
    <w:rsid w:val="00B528F0"/>
    <w:rsid w:val="00B75353"/>
    <w:rsid w:val="00B937F5"/>
    <w:rsid w:val="00B95236"/>
    <w:rsid w:val="00B96BD9"/>
    <w:rsid w:val="00BA1B01"/>
    <w:rsid w:val="00BA2641"/>
    <w:rsid w:val="00BA67CB"/>
    <w:rsid w:val="00BB37AA"/>
    <w:rsid w:val="00BC53A0"/>
    <w:rsid w:val="00BE62AD"/>
    <w:rsid w:val="00BF121F"/>
    <w:rsid w:val="00BF1F80"/>
    <w:rsid w:val="00BF5B18"/>
    <w:rsid w:val="00BF5DAA"/>
    <w:rsid w:val="00BF6DD4"/>
    <w:rsid w:val="00C166EF"/>
    <w:rsid w:val="00C17EB0"/>
    <w:rsid w:val="00C27F5F"/>
    <w:rsid w:val="00C30A0F"/>
    <w:rsid w:val="00C37E61"/>
    <w:rsid w:val="00C50F02"/>
    <w:rsid w:val="00C64D9E"/>
    <w:rsid w:val="00C70F1B"/>
    <w:rsid w:val="00C71A47"/>
    <w:rsid w:val="00C7464C"/>
    <w:rsid w:val="00C85391"/>
    <w:rsid w:val="00C85588"/>
    <w:rsid w:val="00C94702"/>
    <w:rsid w:val="00CD0EFB"/>
    <w:rsid w:val="00CD5A52"/>
    <w:rsid w:val="00CD6755"/>
    <w:rsid w:val="00CD6856"/>
    <w:rsid w:val="00CE0089"/>
    <w:rsid w:val="00CE793C"/>
    <w:rsid w:val="00CF193C"/>
    <w:rsid w:val="00D173F1"/>
    <w:rsid w:val="00D27BD2"/>
    <w:rsid w:val="00D42A0D"/>
    <w:rsid w:val="00D51877"/>
    <w:rsid w:val="00D67044"/>
    <w:rsid w:val="00D74BD7"/>
    <w:rsid w:val="00D74CB0"/>
    <w:rsid w:val="00D8295D"/>
    <w:rsid w:val="00DA5B64"/>
    <w:rsid w:val="00DC2A65"/>
    <w:rsid w:val="00DD1B1F"/>
    <w:rsid w:val="00DD23B8"/>
    <w:rsid w:val="00DD3DB3"/>
    <w:rsid w:val="00DD76CD"/>
    <w:rsid w:val="00DE15F0"/>
    <w:rsid w:val="00DE5663"/>
    <w:rsid w:val="00DE78AA"/>
    <w:rsid w:val="00E053D0"/>
    <w:rsid w:val="00E15994"/>
    <w:rsid w:val="00E3114E"/>
    <w:rsid w:val="00E31A70"/>
    <w:rsid w:val="00E35B02"/>
    <w:rsid w:val="00E37B04"/>
    <w:rsid w:val="00E548B4"/>
    <w:rsid w:val="00E57996"/>
    <w:rsid w:val="00E66496"/>
    <w:rsid w:val="00E66B35"/>
    <w:rsid w:val="00E66E10"/>
    <w:rsid w:val="00E769F6"/>
    <w:rsid w:val="00E8407C"/>
    <w:rsid w:val="00E84F3C"/>
    <w:rsid w:val="00E9332A"/>
    <w:rsid w:val="00E93CC4"/>
    <w:rsid w:val="00EA012C"/>
    <w:rsid w:val="00EB783C"/>
    <w:rsid w:val="00EC6A55"/>
    <w:rsid w:val="00ED0288"/>
    <w:rsid w:val="00ED454A"/>
    <w:rsid w:val="00EE52CB"/>
    <w:rsid w:val="00EF581D"/>
    <w:rsid w:val="00EF7FD8"/>
    <w:rsid w:val="00F06F59"/>
    <w:rsid w:val="00F133DE"/>
    <w:rsid w:val="00F17988"/>
    <w:rsid w:val="00F469F0"/>
    <w:rsid w:val="00F53273"/>
    <w:rsid w:val="00F755E4"/>
    <w:rsid w:val="00F77D02"/>
    <w:rsid w:val="00F96056"/>
    <w:rsid w:val="00FA03A0"/>
    <w:rsid w:val="00FB0D3D"/>
    <w:rsid w:val="00FB3A86"/>
    <w:rsid w:val="00FC2C1A"/>
    <w:rsid w:val="00FC691F"/>
    <w:rsid w:val="00FD36C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E0AD5"/>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AuthorAffiliation">
    <w:name w:val="Author Affiliation"/>
    <w:basedOn w:val="Normal"/>
    <w:rsid w:val="00485CEF"/>
    <w:pPr>
      <w:jc w:val="center"/>
    </w:pPr>
    <w:rPr>
      <w:rFonts w:ascii="Times New Roman" w:hAnsi="Times New Roman"/>
      <w:i/>
    </w:rPr>
  </w:style>
  <w:style w:type="character" w:customStyle="1" w:styleId="jlqj4b">
    <w:name w:val="jlqj4b"/>
    <w:basedOn w:val="DefaultParagraphFont"/>
    <w:rsid w:val="00485CEF"/>
  </w:style>
  <w:style w:type="paragraph" w:styleId="ListParagraph">
    <w:name w:val="List Paragraph"/>
    <w:basedOn w:val="Normal"/>
    <w:uiPriority w:val="34"/>
    <w:qFormat/>
    <w:rsid w:val="00FB0D3D"/>
    <w:pPr>
      <w:ind w:left="720"/>
      <w:contextualSpacing/>
    </w:pPr>
  </w:style>
  <w:style w:type="paragraph" w:styleId="Bibliography">
    <w:name w:val="Bibliography"/>
    <w:basedOn w:val="Normal"/>
    <w:next w:val="Normal"/>
    <w:uiPriority w:val="37"/>
    <w:unhideWhenUsed/>
    <w:rsid w:val="00AC27D1"/>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19</TotalTime>
  <Pages>12</Pages>
  <Words>5555</Words>
  <Characters>31665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37146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PC New 16</cp:lastModifiedBy>
  <cp:revision>7</cp:revision>
  <cp:lastPrinted>2026-08-25T03:21:00Z</cp:lastPrinted>
  <dcterms:created xsi:type="dcterms:W3CDTF">2026-08-25T03:22:00Z</dcterms:created>
  <dcterms:modified xsi:type="dcterms:W3CDTF">2026-09-01T07:42:00Z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id="Pue6Zife"/&gt;&lt;style id="http://www.zotero.org/styles/vancouver-brackets" locale="en-US" hasBibliography="1" bibliographyStyleHasBeenSet="1"/&gt;&lt;prefs&gt;&lt;pref name="fieldType" value="Field"/&gt;&lt;/prefs&gt;&lt;/da</vt:lpwstr>
  </property>
  <property fmtid="{D5CDD505-2E9C-101B-9397-08002B2CF9AE}" pid="3" name="ZOTERO_PREF_2">
    <vt:lpwstr>ta&gt;</vt:lpwstr>
  </property>
</Properties>
</file>