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4C261" w14:textId="77777777" w:rsidR="00875168" w:rsidRDefault="00875168" w:rsidP="00902A6C">
      <w:pPr>
        <w:spacing w:before="100" w:beforeAutospacing="1" w:after="100" w:afterAutospacing="1" w:line="360" w:lineRule="auto"/>
        <w:jc w:val="both"/>
        <w:outlineLvl w:val="1"/>
        <w:rPr>
          <w:rFonts w:ascii="Times New Roman" w:hAnsi="Times New Roman" w:cs="Times New Roman"/>
          <w:b/>
          <w:sz w:val="24"/>
        </w:rPr>
      </w:pPr>
      <w:bookmarkStart w:id="0" w:name="_GoBack"/>
      <w:bookmarkEnd w:id="0"/>
      <w:r w:rsidRPr="00875168">
        <w:rPr>
          <w:rFonts w:ascii="Times New Roman" w:hAnsi="Times New Roman" w:cs="Times New Roman"/>
          <w:b/>
          <w:sz w:val="24"/>
        </w:rPr>
        <w:t>Trait associations and Path analysis for green fruit yield in elite selections from multi-parent d</w:t>
      </w:r>
      <w:r>
        <w:rPr>
          <w:rFonts w:ascii="Times New Roman" w:hAnsi="Times New Roman" w:cs="Times New Roman"/>
          <w:b/>
          <w:sz w:val="24"/>
        </w:rPr>
        <w:t>erived p</w:t>
      </w:r>
      <w:r w:rsidRPr="00875168">
        <w:rPr>
          <w:rFonts w:ascii="Times New Roman" w:hAnsi="Times New Roman" w:cs="Times New Roman"/>
          <w:b/>
          <w:sz w:val="24"/>
        </w:rPr>
        <w:t>opulations of Chilli (</w:t>
      </w:r>
      <w:r w:rsidRPr="00875168">
        <w:rPr>
          <w:rStyle w:val="Emphasis"/>
          <w:rFonts w:ascii="Times New Roman" w:hAnsi="Times New Roman" w:cs="Times New Roman"/>
          <w:b/>
          <w:sz w:val="24"/>
        </w:rPr>
        <w:t>Capsicum annuum</w:t>
      </w:r>
      <w:r w:rsidRPr="00875168">
        <w:rPr>
          <w:rFonts w:ascii="Times New Roman" w:hAnsi="Times New Roman" w:cs="Times New Roman"/>
          <w:b/>
          <w:sz w:val="24"/>
        </w:rPr>
        <w:t xml:space="preserve"> L.)</w:t>
      </w:r>
    </w:p>
    <w:p w14:paraId="1A675574" w14:textId="77777777" w:rsidR="00CD526D" w:rsidRDefault="00CD526D"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72804177" w14:textId="4CBD6F65"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Abstract</w:t>
      </w:r>
    </w:p>
    <w:p w14:paraId="3D5C76A1"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Green fruit yield is a complex quantitative trait influenced by several yield-related components, and understanding the relative contribution of these traits is essential for effective selection in </w:t>
      </w:r>
      <w:proofErr w:type="spellStart"/>
      <w:r w:rsidRPr="00277C6B">
        <w:rPr>
          <w:rFonts w:ascii="Times New Roman" w:eastAsia="Times New Roman" w:hAnsi="Times New Roman" w:cs="Times New Roman"/>
          <w:sz w:val="24"/>
          <w:szCs w:val="24"/>
        </w:rPr>
        <w:t>chilli</w:t>
      </w:r>
      <w:proofErr w:type="spellEnd"/>
      <w:r w:rsidRPr="00277C6B">
        <w:rPr>
          <w:rFonts w:ascii="Times New Roman" w:eastAsia="Times New Roman" w:hAnsi="Times New Roman" w:cs="Times New Roman"/>
          <w:sz w:val="24"/>
          <w:szCs w:val="24"/>
        </w:rPr>
        <w:t xml:space="preserve"> breeding. The present study was undertaken to assess the association of green fruit yield with yield-related traits among elite selections derived from five superior eight-parent multi-pa</w:t>
      </w:r>
      <w:r w:rsidR="007B61CE" w:rsidRPr="00902A6C">
        <w:rPr>
          <w:rFonts w:ascii="Times New Roman" w:eastAsia="Times New Roman" w:hAnsi="Times New Roman" w:cs="Times New Roman"/>
          <w:sz w:val="24"/>
          <w:szCs w:val="24"/>
        </w:rPr>
        <w:t xml:space="preserve">rent (MP) populations of </w:t>
      </w:r>
      <w:proofErr w:type="spellStart"/>
      <w:r w:rsidR="007B61CE" w:rsidRPr="00902A6C">
        <w:rPr>
          <w:rFonts w:ascii="Times New Roman" w:eastAsia="Times New Roman" w:hAnsi="Times New Roman" w:cs="Times New Roman"/>
          <w:sz w:val="24"/>
          <w:szCs w:val="24"/>
        </w:rPr>
        <w:t>chilli</w:t>
      </w:r>
      <w:proofErr w:type="spellEnd"/>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selected MP-derived populations comprised D4 × D3, D4 × D2, D5 × D2, D6 × D2 and D7 × D2. Elite progenies derived from superior plants within these populations were evaluated during the 2020 rainy season at the experimental farm of the University of Agricultural Sciences, Bengaluru. Observations were recorded for average fruit weight,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average fruit length, average fruit width and green fruit yield per plant. Phenotypic correlation coefficients were estimated separately for each MP-derived population, while path coefficient analysis was performed using the pooled dataset to partition the correlations into direct and indirect effects.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exhibited a strong and positive association with green fruit yield across all five populations</w:t>
      </w:r>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Average fruit length showed significant positive associations with gree</w:t>
      </w:r>
      <w:r w:rsidR="007B61CE" w:rsidRPr="00902A6C">
        <w:rPr>
          <w:rFonts w:ascii="Times New Roman" w:eastAsia="Times New Roman" w:hAnsi="Times New Roman" w:cs="Times New Roman"/>
          <w:sz w:val="24"/>
          <w:szCs w:val="24"/>
        </w:rPr>
        <w:t>n fruit yield. P</w:t>
      </w:r>
      <w:r w:rsidRPr="00277C6B">
        <w:rPr>
          <w:rFonts w:ascii="Times New Roman" w:eastAsia="Times New Roman" w:hAnsi="Times New Roman" w:cs="Times New Roman"/>
          <w:sz w:val="24"/>
          <w:szCs w:val="24"/>
        </w:rPr>
        <w:t xml:space="preserve">ath analysis revealed the highest positive direct </w:t>
      </w:r>
      <w:r w:rsidR="007B61CE" w:rsidRPr="00902A6C">
        <w:rPr>
          <w:rFonts w:ascii="Times New Roman" w:eastAsia="Times New Roman" w:hAnsi="Times New Roman" w:cs="Times New Roman"/>
          <w:sz w:val="24"/>
          <w:szCs w:val="24"/>
        </w:rPr>
        <w:t xml:space="preserve">effect for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f</w:t>
      </w:r>
      <w:r w:rsidR="007B61CE" w:rsidRPr="00902A6C">
        <w:rPr>
          <w:rFonts w:ascii="Times New Roman" w:eastAsia="Times New Roman" w:hAnsi="Times New Roman" w:cs="Times New Roman"/>
          <w:sz w:val="24"/>
          <w:szCs w:val="24"/>
        </w:rPr>
        <w:t xml:space="preserve">ollowed by average fruit width </w:t>
      </w:r>
      <w:r w:rsidRPr="00277C6B">
        <w:rPr>
          <w:rFonts w:ascii="Times New Roman" w:eastAsia="Times New Roman" w:hAnsi="Times New Roman" w:cs="Times New Roman"/>
          <w:sz w:val="24"/>
          <w:szCs w:val="24"/>
        </w:rPr>
        <w:t>and average fruit weight</w:t>
      </w:r>
      <w:r w:rsidR="007B61CE" w:rsidRPr="00902A6C">
        <w:rPr>
          <w:rFonts w:ascii="Times New Roman" w:eastAsia="Times New Roman" w:hAnsi="Times New Roman" w:cs="Times New Roman"/>
          <w:sz w:val="24"/>
          <w:szCs w:val="24"/>
        </w:rPr>
        <w:t>.</w:t>
      </w:r>
      <w:r w:rsidRPr="00277C6B">
        <w:rPr>
          <w:rFonts w:ascii="Times New Roman" w:eastAsia="Times New Roman" w:hAnsi="Times New Roman" w:cs="Times New Roman"/>
          <w:sz w:val="24"/>
          <w:szCs w:val="24"/>
        </w:rPr>
        <w:t xml:space="preserve"> The findings suggest that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may serve as an important selection criterion for improving green fruit yield, with fruit length and fruit width serving as complementary traits depending on the genetic background of the population.</w:t>
      </w:r>
    </w:p>
    <w:p w14:paraId="1F3FD6D5"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Keywords:</w:t>
      </w:r>
      <w:r w:rsidRPr="00277C6B">
        <w:rPr>
          <w:rFonts w:ascii="Times New Roman" w:eastAsia="Times New Roman" w:hAnsi="Times New Roman" w:cs="Times New Roman"/>
          <w:sz w:val="24"/>
          <w:szCs w:val="24"/>
        </w:rPr>
        <w:t xml:space="preserve"> </w:t>
      </w:r>
      <w:r w:rsidR="007B61CE" w:rsidRPr="00902A6C">
        <w:rPr>
          <w:rFonts w:ascii="Times New Roman" w:eastAsia="Times New Roman" w:hAnsi="Times New Roman" w:cs="Times New Roman"/>
          <w:sz w:val="24"/>
          <w:szCs w:val="24"/>
        </w:rPr>
        <w:t xml:space="preserve">association, </w:t>
      </w:r>
      <w:proofErr w:type="spellStart"/>
      <w:r w:rsidRPr="00277C6B">
        <w:rPr>
          <w:rFonts w:ascii="Times New Roman" w:eastAsia="Times New Roman" w:hAnsi="Times New Roman" w:cs="Times New Roman"/>
          <w:sz w:val="24"/>
          <w:szCs w:val="24"/>
        </w:rPr>
        <w:t>chilli</w:t>
      </w:r>
      <w:proofErr w:type="spellEnd"/>
      <w:r w:rsidRPr="00277C6B">
        <w:rPr>
          <w:rFonts w:ascii="Times New Roman" w:eastAsia="Times New Roman" w:hAnsi="Times New Roman" w:cs="Times New Roman"/>
          <w:sz w:val="24"/>
          <w:szCs w:val="24"/>
        </w:rPr>
        <w:t xml:space="preserve">, </w:t>
      </w:r>
      <w:r w:rsidR="007B61CE" w:rsidRPr="00277C6B">
        <w:rPr>
          <w:rFonts w:ascii="Times New Roman" w:eastAsia="Times New Roman" w:hAnsi="Times New Roman" w:cs="Times New Roman"/>
          <w:sz w:val="24"/>
          <w:szCs w:val="24"/>
        </w:rPr>
        <w:t xml:space="preserve">correlation, </w:t>
      </w:r>
      <w:r w:rsidRPr="00277C6B">
        <w:rPr>
          <w:rFonts w:ascii="Times New Roman" w:eastAsia="Times New Roman" w:hAnsi="Times New Roman" w:cs="Times New Roman"/>
          <w:sz w:val="24"/>
          <w:szCs w:val="24"/>
        </w:rPr>
        <w:t>green fruit yield,</w:t>
      </w:r>
      <w:r w:rsidR="007B61CE" w:rsidRPr="00902A6C">
        <w:rPr>
          <w:rFonts w:ascii="Times New Roman" w:eastAsia="Times New Roman" w:hAnsi="Times New Roman" w:cs="Times New Roman"/>
          <w:sz w:val="24"/>
          <w:szCs w:val="24"/>
        </w:rPr>
        <w:t xml:space="preserve"> multi-parent population,</w:t>
      </w:r>
      <w:r w:rsidR="000B5852" w:rsidRPr="00902A6C">
        <w:rPr>
          <w:rFonts w:ascii="Times New Roman" w:eastAsia="Times New Roman" w:hAnsi="Times New Roman" w:cs="Times New Roman"/>
          <w:sz w:val="24"/>
          <w:szCs w:val="24"/>
        </w:rPr>
        <w:t xml:space="preserve"> </w:t>
      </w:r>
      <w:r w:rsidR="000B5852" w:rsidRPr="00277C6B">
        <w:rPr>
          <w:rFonts w:ascii="Times New Roman" w:eastAsia="Times New Roman" w:hAnsi="Times New Roman" w:cs="Times New Roman"/>
          <w:sz w:val="24"/>
          <w:szCs w:val="24"/>
        </w:rPr>
        <w:t>path coefficient analysis</w:t>
      </w:r>
      <w:r w:rsidR="000B5852" w:rsidRPr="00902A6C">
        <w:rPr>
          <w:rFonts w:ascii="Times New Roman" w:eastAsia="Times New Roman" w:hAnsi="Times New Roman" w:cs="Times New Roman"/>
          <w:sz w:val="24"/>
          <w:szCs w:val="24"/>
        </w:rPr>
        <w:t>,</w:t>
      </w:r>
      <w:r w:rsidR="007B61CE" w:rsidRPr="00902A6C">
        <w:rPr>
          <w:rFonts w:ascii="Times New Roman" w:eastAsia="Times New Roman" w:hAnsi="Times New Roman" w:cs="Times New Roman"/>
          <w:sz w:val="24"/>
          <w:szCs w:val="24"/>
        </w:rPr>
        <w:t xml:space="preserve"> </w:t>
      </w:r>
      <w:r w:rsidR="000B5852" w:rsidRPr="00902A6C">
        <w:rPr>
          <w:rFonts w:ascii="Times New Roman" w:eastAsia="Times New Roman" w:hAnsi="Times New Roman" w:cs="Times New Roman"/>
          <w:sz w:val="24"/>
          <w:szCs w:val="24"/>
        </w:rPr>
        <w:t>traits</w:t>
      </w:r>
      <w:r w:rsidRPr="00277C6B">
        <w:rPr>
          <w:rFonts w:ascii="Times New Roman" w:eastAsia="Times New Roman" w:hAnsi="Times New Roman" w:cs="Times New Roman"/>
          <w:sz w:val="24"/>
          <w:szCs w:val="24"/>
        </w:rPr>
        <w:t xml:space="preserve"> </w:t>
      </w:r>
    </w:p>
    <w:p w14:paraId="6F2162C5"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Introduction</w:t>
      </w:r>
    </w:p>
    <w:p w14:paraId="6ED72503"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Chilli (</w:t>
      </w:r>
      <w:r w:rsidRPr="00902A6C">
        <w:rPr>
          <w:rFonts w:ascii="Times New Roman" w:eastAsia="Times New Roman" w:hAnsi="Times New Roman" w:cs="Times New Roman"/>
          <w:i/>
          <w:iCs/>
          <w:sz w:val="24"/>
          <w:szCs w:val="24"/>
        </w:rPr>
        <w:t>Capsicum annuum</w:t>
      </w:r>
      <w:r w:rsidRPr="00277C6B">
        <w:rPr>
          <w:rFonts w:ascii="Times New Roman" w:eastAsia="Times New Roman" w:hAnsi="Times New Roman" w:cs="Times New Roman"/>
          <w:sz w:val="24"/>
          <w:szCs w:val="24"/>
        </w:rPr>
        <w:t xml:space="preserve"> L.) is an important vegetable and spice crop cultivated widely for its green and dry fruits</w:t>
      </w:r>
      <w:r w:rsidR="002D428D" w:rsidRPr="00902A6C">
        <w:rPr>
          <w:rFonts w:ascii="Times New Roman" w:eastAsia="Times New Roman" w:hAnsi="Times New Roman" w:cs="Times New Roman"/>
          <w:sz w:val="24"/>
          <w:szCs w:val="24"/>
        </w:rPr>
        <w:t xml:space="preserve"> (Komala et al., 2023</w:t>
      </w:r>
      <w:r w:rsidR="00875168">
        <w:rPr>
          <w:rFonts w:ascii="Times New Roman" w:eastAsia="Times New Roman" w:hAnsi="Times New Roman" w:cs="Times New Roman"/>
          <w:sz w:val="24"/>
          <w:szCs w:val="24"/>
        </w:rPr>
        <w:t xml:space="preserve">; </w:t>
      </w:r>
      <w:r w:rsidR="00052FBE" w:rsidRPr="00902A6C">
        <w:rPr>
          <w:rFonts w:ascii="Times New Roman" w:eastAsia="Times New Roman" w:hAnsi="Times New Roman" w:cs="Times New Roman"/>
          <w:sz w:val="24"/>
          <w:szCs w:val="24"/>
        </w:rPr>
        <w:t>Deepika et al., 2026</w:t>
      </w:r>
      <w:r w:rsidR="002D428D" w:rsidRPr="00902A6C">
        <w:rPr>
          <w:rFonts w:ascii="Times New Roman" w:eastAsia="Times New Roman" w:hAnsi="Times New Roman" w:cs="Times New Roman"/>
          <w:sz w:val="24"/>
          <w:szCs w:val="24"/>
        </w:rPr>
        <w:t>)</w:t>
      </w:r>
      <w:r w:rsidRPr="00277C6B">
        <w:rPr>
          <w:rFonts w:ascii="Times New Roman" w:eastAsia="Times New Roman" w:hAnsi="Times New Roman" w:cs="Times New Roman"/>
          <w:sz w:val="24"/>
          <w:szCs w:val="24"/>
        </w:rPr>
        <w:t xml:space="preserve">. </w:t>
      </w:r>
      <w:r w:rsidR="002D428D" w:rsidRPr="00902A6C">
        <w:rPr>
          <w:rFonts w:ascii="Times New Roman" w:hAnsi="Times New Roman" w:cs="Times New Roman"/>
          <w:color w:val="1F1F1F"/>
          <w:sz w:val="24"/>
          <w:szCs w:val="24"/>
        </w:rPr>
        <w:t xml:space="preserve">Chilli is rich in minerals, essential </w:t>
      </w:r>
      <w:r w:rsidR="002D428D" w:rsidRPr="00902A6C">
        <w:rPr>
          <w:rFonts w:ascii="Times New Roman" w:hAnsi="Times New Roman" w:cs="Times New Roman"/>
          <w:color w:val="1F1F1F"/>
          <w:sz w:val="24"/>
          <w:szCs w:val="24"/>
        </w:rPr>
        <w:lastRenderedPageBreak/>
        <w:t>vitamins, nutrients and </w:t>
      </w:r>
      <w:r w:rsidR="002D428D" w:rsidRPr="00902A6C">
        <w:rPr>
          <w:rFonts w:ascii="Times New Roman" w:hAnsi="Times New Roman" w:cs="Times New Roman"/>
          <w:sz w:val="24"/>
          <w:szCs w:val="24"/>
        </w:rPr>
        <w:t>phytochemicals</w:t>
      </w:r>
      <w:r w:rsidR="002D428D" w:rsidRPr="00902A6C">
        <w:rPr>
          <w:rFonts w:ascii="Times New Roman" w:hAnsi="Times New Roman" w:cs="Times New Roman"/>
          <w:color w:val="1F1F1F"/>
          <w:sz w:val="24"/>
          <w:szCs w:val="24"/>
        </w:rPr>
        <w:t> contents (</w:t>
      </w:r>
      <w:r w:rsidR="00052FBE" w:rsidRPr="00902A6C">
        <w:rPr>
          <w:rFonts w:ascii="Times New Roman" w:hAnsi="Times New Roman" w:cs="Times New Roman"/>
          <w:color w:val="1F1F1F"/>
          <w:sz w:val="24"/>
          <w:szCs w:val="24"/>
        </w:rPr>
        <w:t xml:space="preserve">Karim et al., 2021; </w:t>
      </w:r>
      <w:r w:rsidR="00052FBE" w:rsidRPr="00902A6C">
        <w:rPr>
          <w:rFonts w:ascii="Times New Roman" w:eastAsia="Times New Roman" w:hAnsi="Times New Roman" w:cs="Times New Roman"/>
          <w:sz w:val="24"/>
          <w:szCs w:val="24"/>
        </w:rPr>
        <w:t xml:space="preserve">Madhavi et al., 2024; </w:t>
      </w:r>
      <w:r w:rsidR="00A06D19" w:rsidRPr="00902A6C">
        <w:rPr>
          <w:rFonts w:ascii="Times New Roman" w:hAnsi="Times New Roman" w:cs="Times New Roman"/>
          <w:sz w:val="24"/>
          <w:szCs w:val="24"/>
        </w:rPr>
        <w:t xml:space="preserve">Ali </w:t>
      </w:r>
      <w:r w:rsidR="002D428D" w:rsidRPr="00902A6C">
        <w:rPr>
          <w:rFonts w:ascii="Times New Roman" w:hAnsi="Times New Roman" w:cs="Times New Roman"/>
          <w:sz w:val="24"/>
          <w:szCs w:val="24"/>
        </w:rPr>
        <w:t>et al., 2025)</w:t>
      </w:r>
      <w:r w:rsidR="002D428D" w:rsidRPr="00902A6C">
        <w:rPr>
          <w:rFonts w:ascii="Times New Roman" w:hAnsi="Times New Roman" w:cs="Times New Roman"/>
          <w:color w:val="1F1F1F"/>
          <w:sz w:val="24"/>
          <w:szCs w:val="24"/>
        </w:rPr>
        <w:t>. </w:t>
      </w:r>
      <w:r w:rsidRPr="00277C6B">
        <w:rPr>
          <w:rFonts w:ascii="Times New Roman" w:eastAsia="Times New Roman" w:hAnsi="Times New Roman" w:cs="Times New Roman"/>
          <w:sz w:val="24"/>
          <w:szCs w:val="24"/>
        </w:rPr>
        <w:t xml:space="preserve">Green fruit yield is one of the major economic traits determining the productivity and commercial value of </w:t>
      </w:r>
      <w:proofErr w:type="spellStart"/>
      <w:r w:rsidRPr="00277C6B">
        <w:rPr>
          <w:rFonts w:ascii="Times New Roman" w:eastAsia="Times New Roman" w:hAnsi="Times New Roman" w:cs="Times New Roman"/>
          <w:sz w:val="24"/>
          <w:szCs w:val="24"/>
        </w:rPr>
        <w:t>chilli</w:t>
      </w:r>
      <w:proofErr w:type="spellEnd"/>
      <w:r w:rsidRPr="00277C6B">
        <w:rPr>
          <w:rFonts w:ascii="Times New Roman" w:eastAsia="Times New Roman" w:hAnsi="Times New Roman" w:cs="Times New Roman"/>
          <w:sz w:val="24"/>
          <w:szCs w:val="24"/>
        </w:rPr>
        <w:t xml:space="preserve"> cultivars. However, yield is a complex quantitative trait governed by several component traits and influenced by environmental conditions</w:t>
      </w:r>
      <w:r w:rsidR="00052FBE" w:rsidRPr="00902A6C">
        <w:rPr>
          <w:rFonts w:ascii="Times New Roman" w:eastAsia="Times New Roman" w:hAnsi="Times New Roman" w:cs="Times New Roman"/>
          <w:sz w:val="24"/>
          <w:szCs w:val="24"/>
        </w:rPr>
        <w:t xml:space="preserve"> (</w:t>
      </w:r>
      <w:r w:rsidR="00052FBE" w:rsidRPr="00902A6C">
        <w:rPr>
          <w:rFonts w:ascii="Times New Roman" w:hAnsi="Times New Roman" w:cs="Times New Roman"/>
          <w:color w:val="333333"/>
          <w:sz w:val="24"/>
          <w:szCs w:val="24"/>
        </w:rPr>
        <w:t>Tilahun et al., 2022)</w:t>
      </w:r>
      <w:r w:rsidRPr="00277C6B">
        <w:rPr>
          <w:rFonts w:ascii="Times New Roman" w:eastAsia="Times New Roman" w:hAnsi="Times New Roman" w:cs="Times New Roman"/>
          <w:sz w:val="24"/>
          <w:szCs w:val="24"/>
        </w:rPr>
        <w:t>. Therefore, direct selection for yield alone may not always provide an efficient approach for improving yield potential</w:t>
      </w:r>
      <w:r w:rsidR="000601F3" w:rsidRPr="00902A6C">
        <w:rPr>
          <w:rFonts w:ascii="Times New Roman" w:eastAsia="Times New Roman" w:hAnsi="Times New Roman" w:cs="Times New Roman"/>
          <w:sz w:val="24"/>
          <w:szCs w:val="24"/>
        </w:rPr>
        <w:t xml:space="preserve"> (Balakrishnan et al., 2026)</w:t>
      </w:r>
      <w:r w:rsidRPr="00277C6B">
        <w:rPr>
          <w:rFonts w:ascii="Times New Roman" w:eastAsia="Times New Roman" w:hAnsi="Times New Roman" w:cs="Times New Roman"/>
          <w:sz w:val="24"/>
          <w:szCs w:val="24"/>
        </w:rPr>
        <w:t>.</w:t>
      </w:r>
      <w:r w:rsidR="0013352F"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Several morphological and yield-related traits contribute to green fruit yield, including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fruit size, fruit weight and fruit dimensions. The magnitude and direction of their association with yield may vary depending on the genetic background of the breeding material. Identification of traits that consistently contribute to yield is therefore important for developing effective selection strategies.</w:t>
      </w:r>
    </w:p>
    <w:p w14:paraId="4EB3D143" w14:textId="77777777" w:rsidR="00277C6B" w:rsidRPr="00277C6B" w:rsidRDefault="00277C6B" w:rsidP="00902A6C">
      <w:pPr>
        <w:spacing w:before="100" w:beforeAutospacing="1" w:after="100" w:afterAutospacing="1" w:line="360" w:lineRule="auto"/>
        <w:ind w:firstLine="720"/>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Correlation analysis provides an estimate of the degree and direction of association between yield and its component traits</w:t>
      </w:r>
      <w:r w:rsidR="00EC4E92" w:rsidRPr="00902A6C">
        <w:rPr>
          <w:rFonts w:ascii="Times New Roman" w:eastAsia="Times New Roman" w:hAnsi="Times New Roman" w:cs="Times New Roman"/>
          <w:sz w:val="24"/>
          <w:szCs w:val="24"/>
        </w:rPr>
        <w:t xml:space="preserve"> (</w:t>
      </w:r>
      <w:r w:rsidR="00A712AE" w:rsidRPr="00902A6C">
        <w:rPr>
          <w:rFonts w:ascii="Times New Roman" w:eastAsia="Times New Roman" w:hAnsi="Times New Roman" w:cs="Times New Roman"/>
          <w:sz w:val="24"/>
          <w:szCs w:val="24"/>
        </w:rPr>
        <w:t xml:space="preserve">Singh </w:t>
      </w:r>
      <w:r w:rsidR="00EC4E92" w:rsidRPr="00902A6C">
        <w:rPr>
          <w:rFonts w:ascii="Times New Roman" w:eastAsia="Times New Roman" w:hAnsi="Times New Roman" w:cs="Times New Roman"/>
          <w:sz w:val="24"/>
          <w:szCs w:val="24"/>
        </w:rPr>
        <w:t>et al., 2024)</w:t>
      </w:r>
      <w:r w:rsidRPr="00277C6B">
        <w:rPr>
          <w:rFonts w:ascii="Times New Roman" w:eastAsia="Times New Roman" w:hAnsi="Times New Roman" w:cs="Times New Roman"/>
          <w:sz w:val="24"/>
          <w:szCs w:val="24"/>
        </w:rPr>
        <w:t>. Positive correlation between a component trait and yield indicates that improvement of the trait may be accompanied by an increase in yield. However, correlation coefficients do not distinguish between direct effects and associations arising through other component traits. A trait may exhibit a strong correlation with yield because of its association with another trait that has a stronger direct influence on yield. Path coefficient analysis helps overcome this limitation by partitioning correlation coefficients into direct and indirect effects</w:t>
      </w:r>
      <w:r w:rsidR="00EC4E92" w:rsidRPr="00902A6C">
        <w:rPr>
          <w:rFonts w:ascii="Times New Roman" w:eastAsia="Times New Roman" w:hAnsi="Times New Roman" w:cs="Times New Roman"/>
          <w:sz w:val="24"/>
          <w:szCs w:val="24"/>
        </w:rPr>
        <w:t xml:space="preserve"> (Usman et al., 2017)</w:t>
      </w:r>
      <w:r w:rsidRPr="00277C6B">
        <w:rPr>
          <w:rFonts w:ascii="Times New Roman" w:eastAsia="Times New Roman" w:hAnsi="Times New Roman" w:cs="Times New Roman"/>
          <w:sz w:val="24"/>
          <w:szCs w:val="24"/>
        </w:rPr>
        <w:t>.</w:t>
      </w:r>
    </w:p>
    <w:p w14:paraId="636FC3D7" w14:textId="77777777" w:rsidR="00277C6B" w:rsidRPr="00277C6B" w:rsidRDefault="00277C6B" w:rsidP="00CC2C55">
      <w:pPr>
        <w:spacing w:before="100" w:beforeAutospacing="1" w:after="100" w:afterAutospacing="1" w:line="360" w:lineRule="auto"/>
        <w:ind w:firstLine="720"/>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Multi-parent populations provide an opportunity to combine genetic variation from several founder lines and generate diverse recombinants. Such populations can provide useful material for identifying superior selections and understanding relationships among complex quantitative traits. Five superior eight-parent MP-derived populations were previously identified based on their breeding potential from a larger s</w:t>
      </w:r>
      <w:r w:rsidR="0013352F" w:rsidRPr="00902A6C">
        <w:rPr>
          <w:rFonts w:ascii="Times New Roman" w:eastAsia="Times New Roman" w:hAnsi="Times New Roman" w:cs="Times New Roman"/>
          <w:sz w:val="24"/>
          <w:szCs w:val="24"/>
        </w:rPr>
        <w:t xml:space="preserve">et of MP-derived populations (Siddu et al., </w:t>
      </w:r>
      <w:r w:rsidR="00257D50" w:rsidRPr="00902A6C">
        <w:rPr>
          <w:rFonts w:ascii="Times New Roman" w:eastAsia="Times New Roman" w:hAnsi="Times New Roman" w:cs="Times New Roman"/>
          <w:sz w:val="24"/>
          <w:szCs w:val="24"/>
        </w:rPr>
        <w:t>2025</w:t>
      </w:r>
      <w:r w:rsidRPr="00277C6B">
        <w:rPr>
          <w:rFonts w:ascii="Times New Roman" w:eastAsia="Times New Roman" w:hAnsi="Times New Roman" w:cs="Times New Roman"/>
          <w:sz w:val="24"/>
          <w:szCs w:val="24"/>
        </w:rPr>
        <w:t>). The elite selections derived from these populations provide an opportunity to investigate the contribution of individual yield-related traits to green fruit yield across different population backgrounds.</w:t>
      </w:r>
    </w:p>
    <w:p w14:paraId="51B8FA6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Therefore, the present study was undertaken to </w:t>
      </w:r>
      <w:r w:rsidRPr="00902A6C">
        <w:rPr>
          <w:rFonts w:ascii="Times New Roman" w:eastAsia="Times New Roman" w:hAnsi="Times New Roman" w:cs="Times New Roman"/>
          <w:bCs/>
          <w:sz w:val="24"/>
          <w:szCs w:val="24"/>
        </w:rPr>
        <w:t>assess the association of green fruit yield with selected yield-related traits across five superior MP-derived populations and to partition these associations into direct and indirect effects through path coefficient analysis, with the objective of identifying yield components that consistently contribute to green fruit yield</w:t>
      </w:r>
      <w:r w:rsidRPr="00277C6B">
        <w:rPr>
          <w:rFonts w:ascii="Times New Roman" w:eastAsia="Times New Roman" w:hAnsi="Times New Roman" w:cs="Times New Roman"/>
          <w:sz w:val="24"/>
          <w:szCs w:val="24"/>
        </w:rPr>
        <w:t>.</w:t>
      </w:r>
    </w:p>
    <w:p w14:paraId="406B1F74"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Materials and Methods</w:t>
      </w:r>
    </w:p>
    <w:p w14:paraId="68A27D67"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Experimental material</w:t>
      </w:r>
    </w:p>
    <w:p w14:paraId="3CB1D792" w14:textId="77777777" w:rsidR="00277C6B" w:rsidRPr="00902A6C"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The experimental material comprised five superior eight-parent multi-parent (MP)-derived populations selected from an earlier study that evaluated the breeding potential of ten MP-derived populations (</w:t>
      </w:r>
      <w:r w:rsidR="000B5852" w:rsidRPr="00902A6C">
        <w:rPr>
          <w:rFonts w:ascii="Times New Roman" w:eastAsia="Times New Roman" w:hAnsi="Times New Roman" w:cs="Times New Roman"/>
          <w:sz w:val="24"/>
          <w:szCs w:val="24"/>
        </w:rPr>
        <w:t>Siddu et al</w:t>
      </w:r>
      <w:r w:rsidR="00257D50" w:rsidRPr="00902A6C">
        <w:rPr>
          <w:rFonts w:ascii="Times New Roman" w:eastAsia="Times New Roman" w:hAnsi="Times New Roman" w:cs="Times New Roman"/>
          <w:sz w:val="24"/>
          <w:szCs w:val="24"/>
        </w:rPr>
        <w:t>., 2025</w:t>
      </w:r>
      <w:r w:rsidRPr="00277C6B">
        <w:rPr>
          <w:rFonts w:ascii="Times New Roman" w:eastAsia="Times New Roman" w:hAnsi="Times New Roman" w:cs="Times New Roman"/>
          <w:sz w:val="24"/>
          <w:szCs w:val="24"/>
        </w:rPr>
        <w:t>). The selected populations were D4 × D3, D4 × D2, D5 × D2, D6 × D2 and D7 × D2. Seeds of the selected MP-derived populations were obtained from the Hot Pepper Improvement Unit, Department of Genetics and Plant Breeding, College of Agriculture, University of Agricultural Sciences, Bengaluru, India.</w:t>
      </w:r>
      <w:r w:rsidR="000B585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Within each of the five superior MP-derived populations, ten elite plants were identified based on their superior performance for yield and yield-related traits. Seeds harvested from these selected plants were advanced and evaluated during the present investigation.</w:t>
      </w:r>
    </w:p>
    <w:p w14:paraId="0DA7DF3F" w14:textId="77777777" w:rsidR="0014430E" w:rsidRPr="00277C6B" w:rsidRDefault="0014430E"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902A6C">
        <w:rPr>
          <w:rFonts w:ascii="Times New Roman" w:eastAsia="Times New Roman" w:hAnsi="Times New Roman" w:cs="Times New Roman"/>
          <w:b/>
          <w:bCs/>
          <w:kern w:val="36"/>
          <w:sz w:val="24"/>
          <w:szCs w:val="24"/>
        </w:rPr>
        <w:t>Table 1</w:t>
      </w:r>
      <w:r w:rsidRPr="00277C6B">
        <w:rPr>
          <w:rFonts w:ascii="Times New Roman" w:eastAsia="Times New Roman" w:hAnsi="Times New Roman" w:cs="Times New Roman"/>
          <w:b/>
          <w:bCs/>
          <w:kern w:val="36"/>
          <w:sz w:val="24"/>
          <w:szCs w:val="24"/>
        </w:rPr>
        <w:t>. Multi-parent derived populations selected based on breeding potential and their parentage</w:t>
      </w:r>
    </w:p>
    <w:tbl>
      <w:tblPr>
        <w:tblStyle w:val="TableGrid"/>
        <w:tblW w:w="0" w:type="auto"/>
        <w:tblLook w:val="04A0" w:firstRow="1" w:lastRow="0" w:firstColumn="1" w:lastColumn="0" w:noHBand="0" w:noVBand="1"/>
      </w:tblPr>
      <w:tblGrid>
        <w:gridCol w:w="1715"/>
        <w:gridCol w:w="7635"/>
      </w:tblGrid>
      <w:tr w:rsidR="0014430E" w:rsidRPr="00277C6B" w14:paraId="2A425A7E" w14:textId="77777777" w:rsidTr="00902A6C">
        <w:tc>
          <w:tcPr>
            <w:tcW w:w="1728" w:type="dxa"/>
            <w:hideMark/>
          </w:tcPr>
          <w:p w14:paraId="7C2C3A3E" w14:textId="77777777" w:rsidR="0014430E" w:rsidRPr="00277C6B" w:rsidRDefault="0014430E" w:rsidP="00902A6C">
            <w:pPr>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MP-derived population</w:t>
            </w:r>
          </w:p>
        </w:tc>
        <w:tc>
          <w:tcPr>
            <w:tcW w:w="7848" w:type="dxa"/>
            <w:hideMark/>
          </w:tcPr>
          <w:p w14:paraId="47C34BDE" w14:textId="77777777" w:rsidR="0014430E" w:rsidRPr="00277C6B" w:rsidRDefault="0014430E" w:rsidP="00902A6C">
            <w:pPr>
              <w:spacing w:line="360" w:lineRule="auto"/>
              <w:jc w:val="center"/>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Parentage</w:t>
            </w:r>
          </w:p>
        </w:tc>
      </w:tr>
      <w:tr w:rsidR="0014430E" w:rsidRPr="00277C6B" w14:paraId="689D2EEE" w14:textId="77777777" w:rsidTr="00902A6C">
        <w:tc>
          <w:tcPr>
            <w:tcW w:w="1728" w:type="dxa"/>
            <w:hideMark/>
          </w:tcPr>
          <w:p w14:paraId="4E965B41"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D4 × D3</w:t>
            </w:r>
          </w:p>
        </w:tc>
        <w:tc>
          <w:tcPr>
            <w:tcW w:w="7848" w:type="dxa"/>
            <w:hideMark/>
          </w:tcPr>
          <w:p w14:paraId="7937B163"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BD) × (Vang × CA14)] × [(UA × PJ) × (PS × CMS 6B)]</w:t>
            </w:r>
          </w:p>
        </w:tc>
      </w:tr>
      <w:tr w:rsidR="0014430E" w:rsidRPr="00277C6B" w14:paraId="2AF6B36D" w14:textId="77777777" w:rsidTr="00902A6C">
        <w:tc>
          <w:tcPr>
            <w:tcW w:w="1728" w:type="dxa"/>
            <w:hideMark/>
          </w:tcPr>
          <w:p w14:paraId="711E45FC"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D4 × D2</w:t>
            </w:r>
          </w:p>
        </w:tc>
        <w:tc>
          <w:tcPr>
            <w:tcW w:w="7848" w:type="dxa"/>
            <w:hideMark/>
          </w:tcPr>
          <w:p w14:paraId="316FD979"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BD) × (Vang × CA14)] × [(PC1 × CMS 10B) × (JL × CMS 8B)]</w:t>
            </w:r>
          </w:p>
        </w:tc>
      </w:tr>
      <w:tr w:rsidR="0014430E" w:rsidRPr="00277C6B" w14:paraId="1B67E01A" w14:textId="77777777" w:rsidTr="00902A6C">
        <w:tc>
          <w:tcPr>
            <w:tcW w:w="1728" w:type="dxa"/>
            <w:hideMark/>
          </w:tcPr>
          <w:p w14:paraId="554E267A"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D5 × D2</w:t>
            </w:r>
          </w:p>
        </w:tc>
        <w:tc>
          <w:tcPr>
            <w:tcW w:w="7848" w:type="dxa"/>
            <w:hideMark/>
          </w:tcPr>
          <w:p w14:paraId="3226F3E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BK) × (Vang × CA14)] × [(PC1 × CMS 10B) × (JL × CMS 8B)]</w:t>
            </w:r>
          </w:p>
        </w:tc>
      </w:tr>
      <w:tr w:rsidR="0014430E" w:rsidRPr="00277C6B" w14:paraId="79C8EFC4" w14:textId="77777777" w:rsidTr="00902A6C">
        <w:tc>
          <w:tcPr>
            <w:tcW w:w="1728" w:type="dxa"/>
            <w:hideMark/>
          </w:tcPr>
          <w:p w14:paraId="7B0D109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D6 × D2</w:t>
            </w:r>
          </w:p>
        </w:tc>
        <w:tc>
          <w:tcPr>
            <w:tcW w:w="7848" w:type="dxa"/>
            <w:hideMark/>
          </w:tcPr>
          <w:p w14:paraId="3F429E8A"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[(GB × BK) × (Vang × LG 181)] × [(PC1 × CMS 10B) × (JL × CMS 8B)]</w:t>
            </w:r>
          </w:p>
        </w:tc>
      </w:tr>
      <w:tr w:rsidR="0014430E" w:rsidRPr="00277C6B" w14:paraId="506CAE12" w14:textId="77777777" w:rsidTr="00902A6C">
        <w:tc>
          <w:tcPr>
            <w:tcW w:w="1728" w:type="dxa"/>
            <w:hideMark/>
          </w:tcPr>
          <w:p w14:paraId="2CA33807"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D7 × D2</w:t>
            </w:r>
          </w:p>
        </w:tc>
        <w:tc>
          <w:tcPr>
            <w:tcW w:w="7848" w:type="dxa"/>
            <w:hideMark/>
          </w:tcPr>
          <w:p w14:paraId="0CA927E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[(GB × CA14) × (Vang × LG 181)] × [(PC1 × CMS 10B) × (JL × CMS 8B)]</w:t>
            </w:r>
          </w:p>
        </w:tc>
      </w:tr>
    </w:tbl>
    <w:p w14:paraId="745ECA9E" w14:textId="77777777" w:rsidR="0014430E" w:rsidRPr="00277C6B" w:rsidRDefault="0014430E" w:rsidP="006A6580">
      <w:pPr>
        <w:spacing w:before="100" w:beforeAutospacing="1" w:after="100" w:afterAutospacing="1"/>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Abbreviations:</w:t>
      </w:r>
      <w:r w:rsidRPr="00277C6B">
        <w:rPr>
          <w:rFonts w:ascii="Times New Roman" w:eastAsia="Times New Roman" w:hAnsi="Times New Roman" w:cs="Times New Roman"/>
          <w:sz w:val="24"/>
          <w:szCs w:val="24"/>
        </w:rPr>
        <w:t xml:space="preserve"> BD – </w:t>
      </w:r>
      <w:proofErr w:type="spellStart"/>
      <w:r w:rsidRPr="00277C6B">
        <w:rPr>
          <w:rFonts w:ascii="Times New Roman" w:eastAsia="Times New Roman" w:hAnsi="Times New Roman" w:cs="Times New Roman"/>
          <w:sz w:val="24"/>
          <w:szCs w:val="24"/>
        </w:rPr>
        <w:t>Byadgi</w:t>
      </w:r>
      <w:proofErr w:type="spellEnd"/>
      <w:r w:rsidRPr="00277C6B">
        <w:rPr>
          <w:rFonts w:ascii="Times New Roman" w:eastAsia="Times New Roman" w:hAnsi="Times New Roman" w:cs="Times New Roman"/>
          <w:sz w:val="24"/>
          <w:szCs w:val="24"/>
        </w:rPr>
        <w:t xml:space="preserve"> </w:t>
      </w:r>
      <w:proofErr w:type="spellStart"/>
      <w:r w:rsidRPr="00277C6B">
        <w:rPr>
          <w:rFonts w:ascii="Times New Roman" w:eastAsia="Times New Roman" w:hAnsi="Times New Roman" w:cs="Times New Roman"/>
          <w:sz w:val="24"/>
          <w:szCs w:val="24"/>
        </w:rPr>
        <w:t>Dabbi</w:t>
      </w:r>
      <w:proofErr w:type="spellEnd"/>
      <w:r w:rsidRPr="00277C6B">
        <w:rPr>
          <w:rFonts w:ascii="Times New Roman" w:eastAsia="Times New Roman" w:hAnsi="Times New Roman" w:cs="Times New Roman"/>
          <w:sz w:val="24"/>
          <w:szCs w:val="24"/>
        </w:rPr>
        <w:t xml:space="preserve">; GB – </w:t>
      </w:r>
      <w:proofErr w:type="spellStart"/>
      <w:r w:rsidRPr="00277C6B">
        <w:rPr>
          <w:rFonts w:ascii="Times New Roman" w:eastAsia="Times New Roman" w:hAnsi="Times New Roman" w:cs="Times New Roman"/>
          <w:sz w:val="24"/>
          <w:szCs w:val="24"/>
        </w:rPr>
        <w:t>Gouribidanur</w:t>
      </w:r>
      <w:proofErr w:type="spellEnd"/>
      <w:r w:rsidRPr="00277C6B">
        <w:rPr>
          <w:rFonts w:ascii="Times New Roman" w:eastAsia="Times New Roman" w:hAnsi="Times New Roman" w:cs="Times New Roman"/>
          <w:sz w:val="24"/>
          <w:szCs w:val="24"/>
        </w:rPr>
        <w:t xml:space="preserve">; UA – </w:t>
      </w:r>
      <w:proofErr w:type="spellStart"/>
      <w:r w:rsidRPr="00277C6B">
        <w:rPr>
          <w:rFonts w:ascii="Times New Roman" w:eastAsia="Times New Roman" w:hAnsi="Times New Roman" w:cs="Times New Roman"/>
          <w:sz w:val="24"/>
          <w:szCs w:val="24"/>
        </w:rPr>
        <w:t>Utkal</w:t>
      </w:r>
      <w:proofErr w:type="spellEnd"/>
      <w:r w:rsidRPr="00277C6B">
        <w:rPr>
          <w:rFonts w:ascii="Times New Roman" w:eastAsia="Times New Roman" w:hAnsi="Times New Roman" w:cs="Times New Roman"/>
          <w:sz w:val="24"/>
          <w:szCs w:val="24"/>
        </w:rPr>
        <w:t xml:space="preserve"> Awa; BK – </w:t>
      </w:r>
      <w:proofErr w:type="spellStart"/>
      <w:r w:rsidRPr="00277C6B">
        <w:rPr>
          <w:rFonts w:ascii="Times New Roman" w:eastAsia="Times New Roman" w:hAnsi="Times New Roman" w:cs="Times New Roman"/>
          <w:sz w:val="24"/>
          <w:szCs w:val="24"/>
        </w:rPr>
        <w:t>Byadgi</w:t>
      </w:r>
      <w:proofErr w:type="spellEnd"/>
      <w:r w:rsidRPr="00277C6B">
        <w:rPr>
          <w:rFonts w:ascii="Times New Roman" w:eastAsia="Times New Roman" w:hAnsi="Times New Roman" w:cs="Times New Roman"/>
          <w:sz w:val="24"/>
          <w:szCs w:val="24"/>
        </w:rPr>
        <w:t xml:space="preserve"> </w:t>
      </w:r>
      <w:proofErr w:type="spellStart"/>
      <w:r w:rsidRPr="00277C6B">
        <w:rPr>
          <w:rFonts w:ascii="Times New Roman" w:eastAsia="Times New Roman" w:hAnsi="Times New Roman" w:cs="Times New Roman"/>
          <w:sz w:val="24"/>
          <w:szCs w:val="24"/>
        </w:rPr>
        <w:t>Kaddi</w:t>
      </w:r>
      <w:proofErr w:type="spellEnd"/>
      <w:r w:rsidRPr="00277C6B">
        <w:rPr>
          <w:rFonts w:ascii="Times New Roman" w:eastAsia="Times New Roman" w:hAnsi="Times New Roman" w:cs="Times New Roman"/>
          <w:sz w:val="24"/>
          <w:szCs w:val="24"/>
        </w:rPr>
        <w:t xml:space="preserve">; JL – </w:t>
      </w:r>
      <w:proofErr w:type="spellStart"/>
      <w:r w:rsidRPr="00277C6B">
        <w:rPr>
          <w:rFonts w:ascii="Times New Roman" w:eastAsia="Times New Roman" w:hAnsi="Times New Roman" w:cs="Times New Roman"/>
          <w:sz w:val="24"/>
          <w:szCs w:val="24"/>
        </w:rPr>
        <w:t>Japani</w:t>
      </w:r>
      <w:proofErr w:type="spellEnd"/>
      <w:r w:rsidRPr="00277C6B">
        <w:rPr>
          <w:rFonts w:ascii="Times New Roman" w:eastAsia="Times New Roman" w:hAnsi="Times New Roman" w:cs="Times New Roman"/>
          <w:sz w:val="24"/>
          <w:szCs w:val="24"/>
        </w:rPr>
        <w:t xml:space="preserve"> Long; PJ – Phule Jyothi; PS – Pusa </w:t>
      </w:r>
      <w:proofErr w:type="spellStart"/>
      <w:r w:rsidRPr="00277C6B">
        <w:rPr>
          <w:rFonts w:ascii="Times New Roman" w:eastAsia="Times New Roman" w:hAnsi="Times New Roman" w:cs="Times New Roman"/>
          <w:sz w:val="24"/>
          <w:szCs w:val="24"/>
        </w:rPr>
        <w:t>Sadabahar</w:t>
      </w:r>
      <w:proofErr w:type="spellEnd"/>
      <w:r w:rsidRPr="00277C6B">
        <w:rPr>
          <w:rFonts w:ascii="Times New Roman" w:eastAsia="Times New Roman" w:hAnsi="Times New Roman" w:cs="Times New Roman"/>
          <w:sz w:val="24"/>
          <w:szCs w:val="24"/>
        </w:rPr>
        <w:t xml:space="preserve">; </w:t>
      </w:r>
      <w:proofErr w:type="spellStart"/>
      <w:r w:rsidRPr="00277C6B">
        <w:rPr>
          <w:rFonts w:ascii="Times New Roman" w:eastAsia="Times New Roman" w:hAnsi="Times New Roman" w:cs="Times New Roman"/>
          <w:sz w:val="24"/>
          <w:szCs w:val="24"/>
        </w:rPr>
        <w:t>Vang</w:t>
      </w:r>
      <w:proofErr w:type="spellEnd"/>
      <w:r w:rsidRPr="00277C6B">
        <w:rPr>
          <w:rFonts w:ascii="Times New Roman" w:eastAsia="Times New Roman" w:hAnsi="Times New Roman" w:cs="Times New Roman"/>
          <w:sz w:val="24"/>
          <w:szCs w:val="24"/>
        </w:rPr>
        <w:t xml:space="preserve"> – </w:t>
      </w:r>
      <w:proofErr w:type="spellStart"/>
      <w:r w:rsidRPr="00277C6B">
        <w:rPr>
          <w:rFonts w:ascii="Times New Roman" w:eastAsia="Times New Roman" w:hAnsi="Times New Roman" w:cs="Times New Roman"/>
          <w:sz w:val="24"/>
          <w:szCs w:val="24"/>
        </w:rPr>
        <w:t>Vangara</w:t>
      </w:r>
      <w:proofErr w:type="spellEnd"/>
      <w:r w:rsidRPr="00277C6B">
        <w:rPr>
          <w:rFonts w:ascii="Times New Roman" w:eastAsia="Times New Roman" w:hAnsi="Times New Roman" w:cs="Times New Roman"/>
          <w:sz w:val="24"/>
          <w:szCs w:val="24"/>
        </w:rPr>
        <w:t>; 6B – CMS 6B; 8B – CMS 8B; 10B – CMS 10B; PC1 – Pant C1; CA14 – CA 14; LG174 – LG 174; LG181 – LG 181.</w:t>
      </w:r>
    </w:p>
    <w:p w14:paraId="5CDC1404" w14:textId="77777777" w:rsidR="00CD526D" w:rsidRDefault="00CD526D"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739006AE" w14:textId="0945FBDD"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Field evaluation</w:t>
      </w:r>
    </w:p>
    <w:p w14:paraId="775D4801"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Forty-day-old seedlings of each progeny line were transplanted separately in contiguous blocks during the 2020 rainy season at the experimental farm of the University of Agricultural Sciences, Bengaluru. The progeny rows were planted at a spacing of 75 cm between rows and 45 cm between plants. Recommended agronomic and plant protection practices were followed throughout the crop growth period to maintain a healthy crop stand.</w:t>
      </w:r>
      <w:r w:rsidR="000B5852" w:rsidRPr="00902A6C">
        <w:rPr>
          <w:rFonts w:ascii="Times New Roman" w:eastAsia="Times New Roman" w:hAnsi="Times New Roman" w:cs="Times New Roman"/>
          <w:sz w:val="24"/>
          <w:szCs w:val="24"/>
        </w:rPr>
        <w:t xml:space="preserve">  T</w:t>
      </w:r>
      <w:r w:rsidRPr="00277C6B">
        <w:rPr>
          <w:rFonts w:ascii="Times New Roman" w:eastAsia="Times New Roman" w:hAnsi="Times New Roman" w:cs="Times New Roman"/>
          <w:sz w:val="24"/>
          <w:szCs w:val="24"/>
        </w:rPr>
        <w:t>he blocks were arranged sequentially in the field to maintain the identity of the respective MP-derived populations during evaluation.</w:t>
      </w:r>
    </w:p>
    <w:p w14:paraId="50A045E0"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 recording</w:t>
      </w:r>
    </w:p>
    <w:p w14:paraId="2FA5716D"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bCs/>
          <w:sz w:val="24"/>
          <w:szCs w:val="24"/>
        </w:rPr>
      </w:pPr>
      <w:r w:rsidRPr="00277C6B">
        <w:rPr>
          <w:rFonts w:ascii="Times New Roman" w:eastAsia="Times New Roman" w:hAnsi="Times New Roman" w:cs="Times New Roman"/>
          <w:sz w:val="24"/>
          <w:szCs w:val="24"/>
        </w:rPr>
        <w:t>Observations were recorded on individual plants for five quantitative traits:</w:t>
      </w:r>
      <w:r w:rsidR="000B5852" w:rsidRPr="00902A6C">
        <w:rPr>
          <w:rFonts w:ascii="Times New Roman" w:eastAsia="Times New Roman" w:hAnsi="Times New Roman" w:cs="Times New Roman"/>
          <w:sz w:val="24"/>
          <w:szCs w:val="24"/>
        </w:rPr>
        <w:t xml:space="preserve"> </w:t>
      </w:r>
      <w:r w:rsidR="000B5852" w:rsidRPr="00902A6C">
        <w:rPr>
          <w:rFonts w:ascii="Times New Roman" w:eastAsia="Times New Roman" w:hAnsi="Times New Roman" w:cs="Times New Roman"/>
          <w:bCs/>
          <w:sz w:val="24"/>
          <w:szCs w:val="24"/>
        </w:rPr>
        <w:t>Average fruit weight a</w:t>
      </w:r>
      <w:r w:rsidRPr="00902A6C">
        <w:rPr>
          <w:rFonts w:ascii="Times New Roman" w:eastAsia="Times New Roman" w:hAnsi="Times New Roman" w:cs="Times New Roman"/>
          <w:bCs/>
          <w:sz w:val="24"/>
          <w:szCs w:val="24"/>
        </w:rPr>
        <w:t xml:space="preserve">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000B5852" w:rsidRPr="00902A6C">
        <w:rPr>
          <w:rFonts w:ascii="Times New Roman" w:eastAsia="Times New Roman" w:hAnsi="Times New Roman" w:cs="Times New Roman"/>
          <w:bCs/>
          <w:sz w:val="24"/>
          <w:szCs w:val="24"/>
        </w:rPr>
        <w:t>, average fruit length, a</w:t>
      </w:r>
      <w:r w:rsidRPr="00902A6C">
        <w:rPr>
          <w:rFonts w:ascii="Times New Roman" w:eastAsia="Times New Roman" w:hAnsi="Times New Roman" w:cs="Times New Roman"/>
          <w:bCs/>
          <w:sz w:val="24"/>
          <w:szCs w:val="24"/>
        </w:rPr>
        <w:t>verage fru</w:t>
      </w:r>
      <w:r w:rsidR="000B5852" w:rsidRPr="00902A6C">
        <w:rPr>
          <w:rFonts w:ascii="Times New Roman" w:eastAsia="Times New Roman" w:hAnsi="Times New Roman" w:cs="Times New Roman"/>
          <w:bCs/>
          <w:sz w:val="24"/>
          <w:szCs w:val="24"/>
        </w:rPr>
        <w:t>it width and green fruit yield per plant.</w:t>
      </w:r>
    </w:p>
    <w:p w14:paraId="78FD2E46"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Data were collected from all plants within the selected progeny lines representing the five MP-derived populations. The dataset comprised observations from D4 × D3, D4 × D2, D5 × D2, D6 × D2 and D7 × D2 populations.</w:t>
      </w:r>
    </w:p>
    <w:p w14:paraId="23E51ECE"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Statistical analysis</w:t>
      </w:r>
    </w:p>
    <w:p w14:paraId="27DB838D" w14:textId="77777777" w:rsidR="00B86B62" w:rsidRPr="00902A6C"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Phenotypic correlation coefficients were estimated </w:t>
      </w:r>
      <w:r w:rsidR="00B86B62" w:rsidRPr="00902A6C">
        <w:rPr>
          <w:rFonts w:ascii="Times New Roman" w:hAnsi="Times New Roman" w:cs="Times New Roman"/>
          <w:sz w:val="24"/>
          <w:szCs w:val="24"/>
        </w:rPr>
        <w:t>using the following formula (Al-</w:t>
      </w:r>
      <w:proofErr w:type="spellStart"/>
      <w:r w:rsidR="00B86B62" w:rsidRPr="00902A6C">
        <w:rPr>
          <w:rFonts w:ascii="Times New Roman" w:hAnsi="Times New Roman" w:cs="Times New Roman"/>
          <w:sz w:val="24"/>
          <w:szCs w:val="24"/>
        </w:rPr>
        <w:t>Jibouri</w:t>
      </w:r>
      <w:proofErr w:type="spellEnd"/>
      <w:r w:rsidR="00B86B62" w:rsidRPr="00902A6C">
        <w:rPr>
          <w:rFonts w:ascii="Times New Roman" w:hAnsi="Times New Roman" w:cs="Times New Roman"/>
          <w:sz w:val="24"/>
          <w:szCs w:val="24"/>
        </w:rPr>
        <w:t xml:space="preserve"> </w:t>
      </w:r>
      <w:r w:rsidR="00B86B62" w:rsidRPr="00902A6C">
        <w:rPr>
          <w:rFonts w:ascii="Times New Roman" w:hAnsi="Times New Roman" w:cs="Times New Roman"/>
          <w:i/>
          <w:sz w:val="24"/>
          <w:szCs w:val="24"/>
        </w:rPr>
        <w:t>et al</w:t>
      </w:r>
      <w:r w:rsidR="00B86B62" w:rsidRPr="00902A6C">
        <w:rPr>
          <w:rFonts w:ascii="Times New Roman" w:hAnsi="Times New Roman" w:cs="Times New Roman"/>
          <w:sz w:val="24"/>
          <w:szCs w:val="24"/>
        </w:rPr>
        <w:t xml:space="preserve">., 1958) </w:t>
      </w:r>
      <w:r w:rsidRPr="00277C6B">
        <w:rPr>
          <w:rFonts w:ascii="Times New Roman" w:eastAsia="Times New Roman" w:hAnsi="Times New Roman" w:cs="Times New Roman"/>
          <w:sz w:val="24"/>
          <w:szCs w:val="24"/>
        </w:rPr>
        <w:t>separately for each of the five MP-derived populations to determine the association of individual yield-related traits w</w:t>
      </w:r>
      <w:r w:rsidR="00B86B62" w:rsidRPr="00902A6C">
        <w:rPr>
          <w:rFonts w:ascii="Times New Roman" w:eastAsia="Times New Roman" w:hAnsi="Times New Roman" w:cs="Times New Roman"/>
          <w:sz w:val="24"/>
          <w:szCs w:val="24"/>
        </w:rPr>
        <w:t>ith green fruit yield per plant</w:t>
      </w:r>
      <w:r w:rsidR="00B86B62" w:rsidRPr="00902A6C">
        <w:rPr>
          <w:rFonts w:ascii="Times New Roman" w:hAnsi="Times New Roman" w:cs="Times New Roman"/>
          <w:sz w:val="24"/>
          <w:szCs w:val="24"/>
        </w:rPr>
        <w:t xml:space="preserve">.      </w:t>
      </w:r>
    </w:p>
    <w:p w14:paraId="2B529356" w14:textId="77777777" w:rsidR="00B86B62" w:rsidRPr="00902A6C" w:rsidRDefault="00B86B62" w:rsidP="00902A6C">
      <w:pPr>
        <w:spacing w:line="360" w:lineRule="auto"/>
        <w:jc w:val="both"/>
        <w:rPr>
          <w:rFonts w:ascii="Times New Roman" w:hAnsi="Times New Roman" w:cs="Times New Roman"/>
          <w:b/>
          <w:bCs/>
          <w:sz w:val="24"/>
          <w:szCs w:val="24"/>
        </w:rPr>
      </w:pPr>
      <w:proofErr w:type="spellStart"/>
      <w:r w:rsidRPr="00902A6C">
        <w:rPr>
          <w:rFonts w:ascii="Times New Roman" w:hAnsi="Times New Roman" w:cs="Times New Roman"/>
          <w:b/>
          <w:bCs/>
          <w:sz w:val="24"/>
          <w:szCs w:val="24"/>
        </w:rPr>
        <w:t>r</w:t>
      </w:r>
      <w:r w:rsidRPr="00902A6C">
        <w:rPr>
          <w:rFonts w:ascii="Times New Roman" w:hAnsi="Times New Roman" w:cs="Times New Roman"/>
          <w:b/>
          <w:bCs/>
          <w:sz w:val="24"/>
          <w:szCs w:val="24"/>
          <w:vertAlign w:val="subscript"/>
        </w:rPr>
        <w:t>xy</w:t>
      </w:r>
      <w:proofErr w:type="spellEnd"/>
      <w:r w:rsidRPr="00902A6C">
        <w:rPr>
          <w:rFonts w:ascii="Times New Roman" w:hAnsi="Times New Roman" w:cs="Times New Roman"/>
          <w:b/>
          <w:bCs/>
          <w:sz w:val="24"/>
          <w:szCs w:val="24"/>
        </w:rPr>
        <w:t xml:space="preserve">    = </w:t>
      </w:r>
      <w:proofErr w:type="spellStart"/>
      <w:r w:rsidRPr="00902A6C">
        <w:rPr>
          <w:rFonts w:ascii="Times New Roman" w:hAnsi="Times New Roman" w:cs="Times New Roman"/>
          <w:b/>
          <w:bCs/>
          <w:sz w:val="24"/>
          <w:szCs w:val="24"/>
        </w:rPr>
        <w:t>CoV</w:t>
      </w:r>
      <w:r w:rsidRPr="00902A6C">
        <w:rPr>
          <w:rFonts w:ascii="Times New Roman" w:hAnsi="Times New Roman" w:cs="Times New Roman"/>
          <w:b/>
          <w:bCs/>
          <w:sz w:val="24"/>
          <w:szCs w:val="24"/>
          <w:vertAlign w:val="subscript"/>
        </w:rPr>
        <w:t>xy</w:t>
      </w:r>
      <w:proofErr w:type="spellEnd"/>
      <w:r w:rsidRPr="00902A6C">
        <w:rPr>
          <w:rFonts w:ascii="Times New Roman" w:hAnsi="Times New Roman" w:cs="Times New Roman"/>
          <w:b/>
          <w:bCs/>
          <w:sz w:val="24"/>
          <w:szCs w:val="24"/>
        </w:rPr>
        <w:t xml:space="preserve"> </w:t>
      </w:r>
      <m:oMath>
        <m:r>
          <m:rPr>
            <m:sty m:val="b"/>
          </m:rPr>
          <w:rPr>
            <w:rFonts w:ascii="Cambria Math" w:hAnsi="Cambria Math" w:cs="Times New Roman"/>
            <w:sz w:val="24"/>
            <w:szCs w:val="24"/>
          </w:rPr>
          <m:t>/</m:t>
        </m:r>
        <m:r>
          <m:rPr>
            <m:sty m:val="bi"/>
          </m:rPr>
          <w:rPr>
            <w:rFonts w:ascii="Cambria Math" w:eastAsiaTheme="minorEastAsia" w:hAnsi="Cambria Math" w:cs="Times New Roman"/>
            <w:sz w:val="24"/>
            <w:szCs w:val="24"/>
          </w:rPr>
          <m:t>√</m:t>
        </m:r>
      </m:oMath>
      <w:r w:rsidRPr="00902A6C">
        <w:rPr>
          <w:rFonts w:ascii="Times New Roman" w:eastAsiaTheme="minorEastAsia" w:hAnsi="Times New Roman" w:cs="Times New Roman"/>
          <w:b/>
          <w:bCs/>
          <w:sz w:val="24"/>
          <w:szCs w:val="24"/>
        </w:rPr>
        <w:t>Var</w:t>
      </w:r>
      <w:r w:rsidRPr="00902A6C">
        <w:rPr>
          <w:rFonts w:ascii="Times New Roman" w:eastAsiaTheme="minorEastAsia" w:hAnsi="Times New Roman" w:cs="Times New Roman"/>
          <w:b/>
          <w:bCs/>
          <w:sz w:val="24"/>
          <w:szCs w:val="24"/>
          <w:vertAlign w:val="subscript"/>
        </w:rPr>
        <w:t>x</w:t>
      </w:r>
      <w:r w:rsidRPr="00902A6C">
        <w:rPr>
          <w:rFonts w:ascii="Times New Roman" w:eastAsiaTheme="minorEastAsia" w:hAnsi="Times New Roman" w:cs="Times New Roman"/>
          <w:b/>
          <w:bCs/>
          <w:sz w:val="24"/>
          <w:szCs w:val="24"/>
        </w:rPr>
        <w:t xml:space="preserve"> </w:t>
      </w:r>
      <m:oMath>
        <m:r>
          <m:rPr>
            <m:sty m:val="bi"/>
          </m:rPr>
          <w:rPr>
            <w:rFonts w:ascii="Cambria Math" w:eastAsiaTheme="minorEastAsia" w:hAnsi="Cambria Math" w:cs="Times New Roman"/>
            <w:sz w:val="24"/>
            <w:szCs w:val="24"/>
          </w:rPr>
          <m:t>×√</m:t>
        </m:r>
      </m:oMath>
      <w:r w:rsidRPr="00902A6C">
        <w:rPr>
          <w:rFonts w:ascii="Times New Roman" w:eastAsiaTheme="minorEastAsia" w:hAnsi="Times New Roman" w:cs="Times New Roman"/>
          <w:b/>
          <w:bCs/>
          <w:sz w:val="24"/>
          <w:szCs w:val="24"/>
        </w:rPr>
        <w:t>Var</w:t>
      </w:r>
      <w:r w:rsidRPr="00902A6C">
        <w:rPr>
          <w:rFonts w:ascii="Times New Roman" w:eastAsiaTheme="minorEastAsia" w:hAnsi="Times New Roman" w:cs="Times New Roman"/>
          <w:b/>
          <w:bCs/>
          <w:sz w:val="24"/>
          <w:szCs w:val="24"/>
          <w:vertAlign w:val="subscript"/>
        </w:rPr>
        <w:t>y</w:t>
      </w:r>
      <w:r w:rsidRPr="00902A6C">
        <w:rPr>
          <w:rFonts w:ascii="Times New Roman" w:hAnsi="Times New Roman" w:cs="Times New Roman"/>
          <w:b/>
          <w:bCs/>
          <w:sz w:val="24"/>
          <w:szCs w:val="24"/>
        </w:rPr>
        <w:t xml:space="preserve">                             </w:t>
      </w:r>
    </w:p>
    <w:p w14:paraId="19EB1F4A" w14:textId="77777777" w:rsidR="00B86B62" w:rsidRPr="00902A6C" w:rsidRDefault="00B86B62" w:rsidP="00902A6C">
      <w:pPr>
        <w:tabs>
          <w:tab w:val="left" w:pos="258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Where,   </w:t>
      </w:r>
    </w:p>
    <w:p w14:paraId="6C1C1393" w14:textId="77777777" w:rsidR="00B86B62" w:rsidRPr="00902A6C" w:rsidRDefault="00B86B62" w:rsidP="00902A6C">
      <w:pPr>
        <w:tabs>
          <w:tab w:val="left" w:pos="1170"/>
        </w:tabs>
        <w:spacing w:after="0" w:line="360" w:lineRule="auto"/>
        <w:ind w:left="1560" w:hanging="1560"/>
        <w:jc w:val="both"/>
        <w:rPr>
          <w:rFonts w:ascii="Times New Roman" w:hAnsi="Times New Roman" w:cs="Times New Roman"/>
          <w:sz w:val="24"/>
          <w:szCs w:val="24"/>
        </w:rPr>
      </w:pPr>
      <w:r w:rsidRPr="00902A6C">
        <w:rPr>
          <w:rFonts w:ascii="Times New Roman" w:hAnsi="Times New Roman" w:cs="Times New Roman"/>
          <w:sz w:val="24"/>
          <w:szCs w:val="24"/>
        </w:rPr>
        <w:t xml:space="preserve">       </w:t>
      </w:r>
      <w:proofErr w:type="spellStart"/>
      <w:r w:rsidRPr="00902A6C">
        <w:rPr>
          <w:rFonts w:ascii="Times New Roman" w:hAnsi="Times New Roman" w:cs="Times New Roman"/>
          <w:sz w:val="24"/>
          <w:szCs w:val="24"/>
        </w:rPr>
        <w:t>r</w:t>
      </w:r>
      <w:r w:rsidRPr="00902A6C">
        <w:rPr>
          <w:rFonts w:ascii="Times New Roman" w:hAnsi="Times New Roman" w:cs="Times New Roman"/>
          <w:sz w:val="24"/>
          <w:szCs w:val="24"/>
          <w:vertAlign w:val="subscript"/>
        </w:rPr>
        <w:t>xy</w:t>
      </w:r>
      <w:proofErr w:type="spellEnd"/>
      <w:r w:rsidRPr="00902A6C">
        <w:rPr>
          <w:rFonts w:ascii="Times New Roman" w:hAnsi="Times New Roman" w:cs="Times New Roman"/>
          <w:sz w:val="24"/>
          <w:szCs w:val="24"/>
        </w:rPr>
        <w:tab/>
        <w:t>=   Phenotypic correlation coefficient between the characters x and y</w:t>
      </w:r>
    </w:p>
    <w:p w14:paraId="0C27E95D" w14:textId="77777777" w:rsidR="00B86B62" w:rsidRPr="00902A6C" w:rsidRDefault="00B86B62" w:rsidP="00902A6C">
      <w:pPr>
        <w:tabs>
          <w:tab w:val="left" w:pos="117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w:t>
      </w:r>
      <w:proofErr w:type="spellStart"/>
      <w:r w:rsidRPr="00902A6C">
        <w:rPr>
          <w:rFonts w:ascii="Times New Roman" w:hAnsi="Times New Roman" w:cs="Times New Roman"/>
          <w:sz w:val="24"/>
          <w:szCs w:val="24"/>
        </w:rPr>
        <w:t>CoV</w:t>
      </w:r>
      <w:r w:rsidRPr="00902A6C">
        <w:rPr>
          <w:rFonts w:ascii="Times New Roman" w:hAnsi="Times New Roman" w:cs="Times New Roman"/>
          <w:sz w:val="24"/>
          <w:szCs w:val="24"/>
          <w:vertAlign w:val="subscript"/>
        </w:rPr>
        <w:t>xy</w:t>
      </w:r>
      <w:proofErr w:type="spellEnd"/>
      <w:r w:rsidRPr="00902A6C">
        <w:rPr>
          <w:rFonts w:ascii="Times New Roman" w:hAnsi="Times New Roman" w:cs="Times New Roman"/>
          <w:sz w:val="24"/>
          <w:szCs w:val="24"/>
          <w:vertAlign w:val="subscript"/>
        </w:rPr>
        <w:t xml:space="preserve"> </w:t>
      </w:r>
      <w:r w:rsidRPr="00902A6C">
        <w:rPr>
          <w:rFonts w:ascii="Times New Roman" w:hAnsi="Times New Roman" w:cs="Times New Roman"/>
          <w:sz w:val="24"/>
          <w:szCs w:val="24"/>
        </w:rPr>
        <w:t xml:space="preserve">  =    Phenotypic covariance between characters x and y</w:t>
      </w:r>
    </w:p>
    <w:p w14:paraId="72304B1B" w14:textId="77777777" w:rsidR="00B86B62" w:rsidRPr="00902A6C" w:rsidRDefault="00B86B62" w:rsidP="00902A6C">
      <w:pPr>
        <w:tabs>
          <w:tab w:val="left" w:pos="117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w:t>
      </w:r>
      <w:proofErr w:type="spellStart"/>
      <w:r w:rsidRPr="00902A6C">
        <w:rPr>
          <w:rFonts w:ascii="Times New Roman" w:hAnsi="Times New Roman" w:cs="Times New Roman"/>
          <w:sz w:val="24"/>
          <w:szCs w:val="24"/>
        </w:rPr>
        <w:t>Var</w:t>
      </w:r>
      <w:r w:rsidRPr="00902A6C">
        <w:rPr>
          <w:rFonts w:ascii="Times New Roman" w:hAnsi="Times New Roman" w:cs="Times New Roman"/>
          <w:sz w:val="24"/>
          <w:szCs w:val="24"/>
          <w:vertAlign w:val="subscript"/>
        </w:rPr>
        <w:t>x</w:t>
      </w:r>
      <w:proofErr w:type="spellEnd"/>
      <w:r w:rsidRPr="00902A6C">
        <w:rPr>
          <w:rFonts w:ascii="Times New Roman" w:hAnsi="Times New Roman" w:cs="Times New Roman"/>
          <w:sz w:val="24"/>
          <w:szCs w:val="24"/>
          <w:vertAlign w:val="subscript"/>
        </w:rPr>
        <w:t xml:space="preserve">       </w:t>
      </w:r>
      <w:r w:rsidRPr="00902A6C">
        <w:rPr>
          <w:rFonts w:ascii="Times New Roman" w:hAnsi="Times New Roman" w:cs="Times New Roman"/>
          <w:sz w:val="24"/>
          <w:szCs w:val="24"/>
        </w:rPr>
        <w:t>=    Phenotypic variance of the character x</w:t>
      </w:r>
    </w:p>
    <w:p w14:paraId="41BE3F19" w14:textId="77777777" w:rsidR="00B86B62" w:rsidRPr="00902A6C" w:rsidRDefault="00B86B62" w:rsidP="00902A6C">
      <w:pPr>
        <w:spacing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Var</w:t>
      </w:r>
      <w:r w:rsidRPr="00902A6C">
        <w:rPr>
          <w:rFonts w:ascii="Times New Roman" w:hAnsi="Times New Roman" w:cs="Times New Roman"/>
          <w:sz w:val="24"/>
          <w:szCs w:val="24"/>
          <w:vertAlign w:val="subscript"/>
        </w:rPr>
        <w:t xml:space="preserve">y    </w:t>
      </w:r>
      <w:r w:rsidRPr="00902A6C">
        <w:rPr>
          <w:rFonts w:ascii="Times New Roman" w:hAnsi="Times New Roman" w:cs="Times New Roman"/>
          <w:sz w:val="24"/>
          <w:szCs w:val="24"/>
        </w:rPr>
        <w:t xml:space="preserve">  =     Phenotypic variance of the character y</w:t>
      </w:r>
    </w:p>
    <w:p w14:paraId="3A877853"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 Path coefficient analysis was subsequently performed using the </w:t>
      </w:r>
      <w:r w:rsidRPr="00902A6C">
        <w:rPr>
          <w:rFonts w:ascii="Times New Roman" w:eastAsia="Times New Roman" w:hAnsi="Times New Roman" w:cs="Times New Roman"/>
          <w:bCs/>
          <w:sz w:val="24"/>
          <w:szCs w:val="24"/>
        </w:rPr>
        <w:t>pooled dataset</w:t>
      </w:r>
      <w:r w:rsidRPr="00277C6B">
        <w:rPr>
          <w:rFonts w:ascii="Times New Roman" w:eastAsia="Times New Roman" w:hAnsi="Times New Roman" w:cs="Times New Roman"/>
          <w:sz w:val="24"/>
          <w:szCs w:val="24"/>
        </w:rPr>
        <w:t xml:space="preserve"> to partition the association of the component traits with green fruit yield into dire</w:t>
      </w:r>
      <w:r w:rsidR="00B86B62" w:rsidRPr="00902A6C">
        <w:rPr>
          <w:rFonts w:ascii="Times New Roman" w:eastAsia="Times New Roman" w:hAnsi="Times New Roman" w:cs="Times New Roman"/>
          <w:sz w:val="24"/>
          <w:szCs w:val="24"/>
        </w:rPr>
        <w:t xml:space="preserve">ct and indirect effects, </w:t>
      </w:r>
      <w:r w:rsidR="00B86B62" w:rsidRPr="00902A6C">
        <w:rPr>
          <w:rFonts w:ascii="Times New Roman" w:hAnsi="Times New Roman" w:cs="Times New Roman"/>
          <w:sz w:val="24"/>
          <w:szCs w:val="24"/>
        </w:rPr>
        <w:t xml:space="preserve">following the methodology proposed by Wright (1921) and subsequently illustrated by Dewey and Lu (1959). </w:t>
      </w:r>
      <w:r w:rsidRPr="00277C6B">
        <w:rPr>
          <w:rFonts w:ascii="Times New Roman" w:eastAsia="Times New Roman" w:hAnsi="Times New Roman" w:cs="Times New Roman"/>
          <w:sz w:val="24"/>
          <w:szCs w:val="24"/>
        </w:rPr>
        <w:t xml:space="preserve"> Green fruit yield per plant was considered the dependent variable, while average fruit weight,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average fruit length and average fruit width were considered component traits. The diagonal elements of the path coefficient matrix represented direct effects, while the off-diagonal elements represented indirect effects through the corresponding traits.</w:t>
      </w:r>
    </w:p>
    <w:p w14:paraId="7A1FE49C"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3. Results and Discussion</w:t>
      </w:r>
    </w:p>
    <w:p w14:paraId="34923A6B"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 xml:space="preserve"> Phenotypic association of yield-related traits with green fruit yield</w:t>
      </w:r>
    </w:p>
    <w:p w14:paraId="68D7FD8D"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Phenotypic correlation analysis was performed separately for each of the five superior MP-derived populations to determine the consistency of association between yield-related traits and green fruit yield. The results revealed predominantly positive associations, although the magnitude and significance of the relationships varied among traits and populations.</w:t>
      </w:r>
    </w:p>
    <w:p w14:paraId="4126EC87" w14:textId="77777777" w:rsidR="00277C6B" w:rsidRPr="00277C6B" w:rsidRDefault="0014430E"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Table 2</w:t>
      </w:r>
      <w:r w:rsidR="00277C6B" w:rsidRPr="00277C6B">
        <w:rPr>
          <w:rFonts w:ascii="Times New Roman" w:eastAsia="Times New Roman" w:hAnsi="Times New Roman" w:cs="Times New Roman"/>
          <w:b/>
          <w:bCs/>
          <w:sz w:val="24"/>
          <w:szCs w:val="24"/>
        </w:rPr>
        <w:t xml:space="preserve">. Phenotypic correlation coefficients of yield-related traits with green fruit yield per plant in five superior MP-derived populations of </w:t>
      </w:r>
      <w:proofErr w:type="spellStart"/>
      <w:r w:rsidR="00277C6B" w:rsidRPr="00277C6B">
        <w:rPr>
          <w:rFonts w:ascii="Times New Roman" w:eastAsia="Times New Roman" w:hAnsi="Times New Roman" w:cs="Times New Roman"/>
          <w:b/>
          <w:bCs/>
          <w:sz w:val="24"/>
          <w:szCs w:val="24"/>
        </w:rPr>
        <w:t>chilli</w:t>
      </w:r>
      <w:proofErr w:type="spellEnd"/>
    </w:p>
    <w:tbl>
      <w:tblPr>
        <w:tblStyle w:val="TableGrid"/>
        <w:tblW w:w="0" w:type="auto"/>
        <w:tblLook w:val="04A0" w:firstRow="1" w:lastRow="0" w:firstColumn="1" w:lastColumn="0" w:noHBand="0" w:noVBand="1"/>
      </w:tblPr>
      <w:tblGrid>
        <w:gridCol w:w="2969"/>
        <w:gridCol w:w="1060"/>
        <w:gridCol w:w="1060"/>
        <w:gridCol w:w="1060"/>
        <w:gridCol w:w="1060"/>
        <w:gridCol w:w="1060"/>
      </w:tblGrid>
      <w:tr w:rsidR="00277C6B" w:rsidRPr="00277C6B" w14:paraId="6C7006E6" w14:textId="77777777" w:rsidTr="00277C6B">
        <w:tc>
          <w:tcPr>
            <w:tcW w:w="0" w:type="auto"/>
            <w:hideMark/>
          </w:tcPr>
          <w:p w14:paraId="0D4CDCE0"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w:t>
            </w:r>
          </w:p>
        </w:tc>
        <w:tc>
          <w:tcPr>
            <w:tcW w:w="0" w:type="auto"/>
            <w:hideMark/>
          </w:tcPr>
          <w:p w14:paraId="58C22B1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D4 × D3</w:t>
            </w:r>
          </w:p>
        </w:tc>
        <w:tc>
          <w:tcPr>
            <w:tcW w:w="0" w:type="auto"/>
            <w:hideMark/>
          </w:tcPr>
          <w:p w14:paraId="2BFB96D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D4 × D2</w:t>
            </w:r>
          </w:p>
        </w:tc>
        <w:tc>
          <w:tcPr>
            <w:tcW w:w="0" w:type="auto"/>
            <w:hideMark/>
          </w:tcPr>
          <w:p w14:paraId="6DD6007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D5 × D2</w:t>
            </w:r>
          </w:p>
        </w:tc>
        <w:tc>
          <w:tcPr>
            <w:tcW w:w="0" w:type="auto"/>
            <w:hideMark/>
          </w:tcPr>
          <w:p w14:paraId="45DC603F"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D6 × D2</w:t>
            </w:r>
          </w:p>
        </w:tc>
        <w:tc>
          <w:tcPr>
            <w:tcW w:w="0" w:type="auto"/>
            <w:hideMark/>
          </w:tcPr>
          <w:p w14:paraId="32651F56"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D7 × D2</w:t>
            </w:r>
          </w:p>
        </w:tc>
      </w:tr>
      <w:tr w:rsidR="00277C6B" w:rsidRPr="00277C6B" w14:paraId="2D9F650A" w14:textId="77777777" w:rsidTr="00277C6B">
        <w:tc>
          <w:tcPr>
            <w:tcW w:w="0" w:type="auto"/>
            <w:hideMark/>
          </w:tcPr>
          <w:p w14:paraId="20C58B89"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weight </w:t>
            </w:r>
          </w:p>
        </w:tc>
        <w:tc>
          <w:tcPr>
            <w:tcW w:w="0" w:type="auto"/>
            <w:hideMark/>
          </w:tcPr>
          <w:p w14:paraId="5586C27D"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r w:rsidR="00277C6B" w:rsidRPr="00277C6B">
              <w:rPr>
                <w:rFonts w:ascii="Times New Roman" w:eastAsia="Times New Roman" w:hAnsi="Times New Roman" w:cs="Times New Roman"/>
                <w:sz w:val="24"/>
                <w:szCs w:val="24"/>
              </w:rPr>
              <w:t xml:space="preserve"> NS</w:t>
            </w:r>
          </w:p>
        </w:tc>
        <w:tc>
          <w:tcPr>
            <w:tcW w:w="0" w:type="auto"/>
            <w:hideMark/>
          </w:tcPr>
          <w:p w14:paraId="2DE00656"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0.08</w:t>
            </w:r>
            <w:r w:rsidR="00277C6B" w:rsidRPr="00277C6B">
              <w:rPr>
                <w:rFonts w:ascii="Times New Roman" w:eastAsia="Times New Roman" w:hAnsi="Times New Roman" w:cs="Times New Roman"/>
                <w:sz w:val="24"/>
                <w:szCs w:val="24"/>
              </w:rPr>
              <w:t xml:space="preserve"> NS</w:t>
            </w:r>
          </w:p>
        </w:tc>
        <w:tc>
          <w:tcPr>
            <w:tcW w:w="0" w:type="auto"/>
            <w:hideMark/>
          </w:tcPr>
          <w:p w14:paraId="065FCB51"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0.20</w:t>
            </w:r>
            <w:r w:rsidR="00277C6B" w:rsidRPr="00277C6B">
              <w:rPr>
                <w:rFonts w:ascii="Times New Roman" w:eastAsia="Times New Roman" w:hAnsi="Times New Roman" w:cs="Times New Roman"/>
                <w:sz w:val="24"/>
                <w:szCs w:val="24"/>
              </w:rPr>
              <w:t xml:space="preserve"> NS</w:t>
            </w:r>
          </w:p>
        </w:tc>
        <w:tc>
          <w:tcPr>
            <w:tcW w:w="0" w:type="auto"/>
            <w:hideMark/>
          </w:tcPr>
          <w:p w14:paraId="24078D2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0.04</w:t>
            </w:r>
            <w:r w:rsidR="00277C6B" w:rsidRPr="00277C6B">
              <w:rPr>
                <w:rFonts w:ascii="Times New Roman" w:eastAsia="Times New Roman" w:hAnsi="Times New Roman" w:cs="Times New Roman"/>
                <w:sz w:val="24"/>
                <w:szCs w:val="24"/>
              </w:rPr>
              <w:t xml:space="preserve"> NS</w:t>
            </w:r>
          </w:p>
        </w:tc>
        <w:tc>
          <w:tcPr>
            <w:tcW w:w="0" w:type="auto"/>
            <w:hideMark/>
          </w:tcPr>
          <w:p w14:paraId="50BE3FB8"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0.15</w:t>
            </w:r>
            <w:r w:rsidR="00277C6B" w:rsidRPr="00277C6B">
              <w:rPr>
                <w:rFonts w:ascii="Times New Roman" w:eastAsia="Times New Roman" w:hAnsi="Times New Roman" w:cs="Times New Roman"/>
                <w:sz w:val="24"/>
                <w:szCs w:val="24"/>
              </w:rPr>
              <w:t xml:space="preserve"> NS</w:t>
            </w:r>
          </w:p>
        </w:tc>
      </w:tr>
      <w:tr w:rsidR="00277C6B" w:rsidRPr="00277C6B" w14:paraId="308C3AD9" w14:textId="77777777" w:rsidTr="00277C6B">
        <w:tc>
          <w:tcPr>
            <w:tcW w:w="0" w:type="auto"/>
            <w:hideMark/>
          </w:tcPr>
          <w:p w14:paraId="56F3F963" w14:textId="77777777" w:rsidR="00277C6B" w:rsidRPr="00277C6B" w:rsidRDefault="000B585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w:t>
            </w:r>
          </w:p>
        </w:tc>
        <w:tc>
          <w:tcPr>
            <w:tcW w:w="0" w:type="auto"/>
            <w:hideMark/>
          </w:tcPr>
          <w:p w14:paraId="68B3331D"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0.</w:t>
            </w:r>
            <w:r w:rsidR="002A0B42" w:rsidRPr="00902A6C">
              <w:rPr>
                <w:rFonts w:ascii="Times New Roman" w:eastAsia="Times New Roman" w:hAnsi="Times New Roman" w:cs="Times New Roman"/>
                <w:sz w:val="24"/>
                <w:szCs w:val="24"/>
              </w:rPr>
              <w:t>80</w:t>
            </w:r>
            <w:r w:rsidRPr="00277C6B">
              <w:rPr>
                <w:rFonts w:ascii="Times New Roman" w:eastAsia="Times New Roman" w:hAnsi="Times New Roman" w:cs="Times New Roman"/>
                <w:sz w:val="24"/>
                <w:szCs w:val="24"/>
              </w:rPr>
              <w:t xml:space="preserve"> **</w:t>
            </w:r>
          </w:p>
        </w:tc>
        <w:tc>
          <w:tcPr>
            <w:tcW w:w="0" w:type="auto"/>
            <w:hideMark/>
          </w:tcPr>
          <w:p w14:paraId="3DBCCBC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0.90</w:t>
            </w:r>
            <w:r w:rsidR="00277C6B" w:rsidRPr="00277C6B">
              <w:rPr>
                <w:rFonts w:ascii="Times New Roman" w:eastAsia="Times New Roman" w:hAnsi="Times New Roman" w:cs="Times New Roman"/>
                <w:sz w:val="24"/>
                <w:szCs w:val="24"/>
              </w:rPr>
              <w:t xml:space="preserve"> **</w:t>
            </w:r>
          </w:p>
        </w:tc>
        <w:tc>
          <w:tcPr>
            <w:tcW w:w="0" w:type="auto"/>
            <w:hideMark/>
          </w:tcPr>
          <w:p w14:paraId="0EE389B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0.84</w:t>
            </w:r>
            <w:r w:rsidR="00277C6B" w:rsidRPr="00277C6B">
              <w:rPr>
                <w:rFonts w:ascii="Times New Roman" w:eastAsia="Times New Roman" w:hAnsi="Times New Roman" w:cs="Times New Roman"/>
                <w:sz w:val="24"/>
                <w:szCs w:val="24"/>
              </w:rPr>
              <w:t xml:space="preserve"> **</w:t>
            </w:r>
          </w:p>
        </w:tc>
        <w:tc>
          <w:tcPr>
            <w:tcW w:w="0" w:type="auto"/>
            <w:hideMark/>
          </w:tcPr>
          <w:p w14:paraId="4A27BA5A"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0.90</w:t>
            </w:r>
            <w:r w:rsidR="00277C6B" w:rsidRPr="00277C6B">
              <w:rPr>
                <w:rFonts w:ascii="Times New Roman" w:eastAsia="Times New Roman" w:hAnsi="Times New Roman" w:cs="Times New Roman"/>
                <w:sz w:val="24"/>
                <w:szCs w:val="24"/>
              </w:rPr>
              <w:t xml:space="preserve"> **</w:t>
            </w:r>
          </w:p>
        </w:tc>
        <w:tc>
          <w:tcPr>
            <w:tcW w:w="0" w:type="auto"/>
            <w:hideMark/>
          </w:tcPr>
          <w:p w14:paraId="7124EC5A"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0.71</w:t>
            </w:r>
            <w:r w:rsidR="00277C6B" w:rsidRPr="00277C6B">
              <w:rPr>
                <w:rFonts w:ascii="Times New Roman" w:eastAsia="Times New Roman" w:hAnsi="Times New Roman" w:cs="Times New Roman"/>
                <w:sz w:val="24"/>
                <w:szCs w:val="24"/>
              </w:rPr>
              <w:t xml:space="preserve"> **</w:t>
            </w:r>
          </w:p>
        </w:tc>
      </w:tr>
      <w:tr w:rsidR="00277C6B" w:rsidRPr="00277C6B" w14:paraId="7EAF024C" w14:textId="77777777" w:rsidTr="00277C6B">
        <w:tc>
          <w:tcPr>
            <w:tcW w:w="0" w:type="auto"/>
            <w:hideMark/>
          </w:tcPr>
          <w:p w14:paraId="0EBA5DF1" w14:textId="77777777" w:rsidR="00277C6B" w:rsidRPr="00277C6B" w:rsidRDefault="000B585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Average fruit length</w:t>
            </w:r>
          </w:p>
        </w:tc>
        <w:tc>
          <w:tcPr>
            <w:tcW w:w="0" w:type="auto"/>
            <w:hideMark/>
          </w:tcPr>
          <w:p w14:paraId="1EB2A87D"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0.32</w:t>
            </w:r>
            <w:r w:rsidR="00277C6B" w:rsidRPr="00277C6B">
              <w:rPr>
                <w:rFonts w:ascii="Times New Roman" w:eastAsia="Times New Roman" w:hAnsi="Times New Roman" w:cs="Times New Roman"/>
                <w:sz w:val="24"/>
                <w:szCs w:val="24"/>
              </w:rPr>
              <w:t xml:space="preserve"> **</w:t>
            </w:r>
          </w:p>
        </w:tc>
        <w:tc>
          <w:tcPr>
            <w:tcW w:w="0" w:type="auto"/>
            <w:hideMark/>
          </w:tcPr>
          <w:p w14:paraId="46F69741"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0.36</w:t>
            </w:r>
            <w:r w:rsidR="00277C6B" w:rsidRPr="00277C6B">
              <w:rPr>
                <w:rFonts w:ascii="Times New Roman" w:eastAsia="Times New Roman" w:hAnsi="Times New Roman" w:cs="Times New Roman"/>
                <w:sz w:val="24"/>
                <w:szCs w:val="24"/>
              </w:rPr>
              <w:t>**</w:t>
            </w:r>
          </w:p>
        </w:tc>
        <w:tc>
          <w:tcPr>
            <w:tcW w:w="0" w:type="auto"/>
            <w:hideMark/>
          </w:tcPr>
          <w:p w14:paraId="7D157C44"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0.40</w:t>
            </w:r>
            <w:r w:rsidR="00277C6B" w:rsidRPr="00277C6B">
              <w:rPr>
                <w:rFonts w:ascii="Times New Roman" w:eastAsia="Times New Roman" w:hAnsi="Times New Roman" w:cs="Times New Roman"/>
                <w:sz w:val="24"/>
                <w:szCs w:val="24"/>
              </w:rPr>
              <w:t xml:space="preserve"> **</w:t>
            </w:r>
          </w:p>
        </w:tc>
        <w:tc>
          <w:tcPr>
            <w:tcW w:w="0" w:type="auto"/>
            <w:hideMark/>
          </w:tcPr>
          <w:p w14:paraId="3C4D2CD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0.22</w:t>
            </w:r>
            <w:r w:rsidR="00277C6B" w:rsidRPr="00277C6B">
              <w:rPr>
                <w:rFonts w:ascii="Times New Roman" w:eastAsia="Times New Roman" w:hAnsi="Times New Roman" w:cs="Times New Roman"/>
                <w:sz w:val="24"/>
                <w:szCs w:val="24"/>
              </w:rPr>
              <w:t xml:space="preserve"> *</w:t>
            </w:r>
          </w:p>
        </w:tc>
        <w:tc>
          <w:tcPr>
            <w:tcW w:w="0" w:type="auto"/>
            <w:hideMark/>
          </w:tcPr>
          <w:p w14:paraId="77BF3DB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0.32</w:t>
            </w:r>
            <w:r w:rsidR="00277C6B" w:rsidRPr="00277C6B">
              <w:rPr>
                <w:rFonts w:ascii="Times New Roman" w:eastAsia="Times New Roman" w:hAnsi="Times New Roman" w:cs="Times New Roman"/>
                <w:sz w:val="24"/>
                <w:szCs w:val="24"/>
              </w:rPr>
              <w:t xml:space="preserve"> **</w:t>
            </w:r>
          </w:p>
        </w:tc>
      </w:tr>
      <w:tr w:rsidR="00277C6B" w:rsidRPr="00277C6B" w14:paraId="56FD0CFF" w14:textId="77777777" w:rsidTr="00277C6B">
        <w:tc>
          <w:tcPr>
            <w:tcW w:w="0" w:type="auto"/>
            <w:hideMark/>
          </w:tcPr>
          <w:p w14:paraId="1AF80AA2"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width </w:t>
            </w:r>
          </w:p>
        </w:tc>
        <w:tc>
          <w:tcPr>
            <w:tcW w:w="0" w:type="auto"/>
            <w:hideMark/>
          </w:tcPr>
          <w:p w14:paraId="38BCA76B"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0.07</w:t>
            </w:r>
            <w:r w:rsidR="00277C6B" w:rsidRPr="00277C6B">
              <w:rPr>
                <w:rFonts w:ascii="Times New Roman" w:eastAsia="Times New Roman" w:hAnsi="Times New Roman" w:cs="Times New Roman"/>
                <w:sz w:val="24"/>
                <w:szCs w:val="24"/>
              </w:rPr>
              <w:t xml:space="preserve"> NS</w:t>
            </w:r>
          </w:p>
        </w:tc>
        <w:tc>
          <w:tcPr>
            <w:tcW w:w="0" w:type="auto"/>
            <w:hideMark/>
          </w:tcPr>
          <w:p w14:paraId="386F810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0.25</w:t>
            </w:r>
            <w:r w:rsidR="00277C6B" w:rsidRPr="00277C6B">
              <w:rPr>
                <w:rFonts w:ascii="Times New Roman" w:eastAsia="Times New Roman" w:hAnsi="Times New Roman" w:cs="Times New Roman"/>
                <w:sz w:val="24"/>
                <w:szCs w:val="24"/>
              </w:rPr>
              <w:t>*</w:t>
            </w:r>
          </w:p>
        </w:tc>
        <w:tc>
          <w:tcPr>
            <w:tcW w:w="0" w:type="auto"/>
            <w:hideMark/>
          </w:tcPr>
          <w:p w14:paraId="28B686A6"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0.31</w:t>
            </w:r>
            <w:r w:rsidR="00277C6B" w:rsidRPr="00277C6B">
              <w:rPr>
                <w:rFonts w:ascii="Times New Roman" w:eastAsia="Times New Roman" w:hAnsi="Times New Roman" w:cs="Times New Roman"/>
                <w:sz w:val="24"/>
                <w:szCs w:val="24"/>
              </w:rPr>
              <w:t xml:space="preserve"> **</w:t>
            </w:r>
          </w:p>
        </w:tc>
        <w:tc>
          <w:tcPr>
            <w:tcW w:w="0" w:type="auto"/>
            <w:hideMark/>
          </w:tcPr>
          <w:p w14:paraId="7D58473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0.11</w:t>
            </w:r>
            <w:r w:rsidR="00277C6B" w:rsidRPr="00277C6B">
              <w:rPr>
                <w:rFonts w:ascii="Times New Roman" w:eastAsia="Times New Roman" w:hAnsi="Times New Roman" w:cs="Times New Roman"/>
                <w:sz w:val="24"/>
                <w:szCs w:val="24"/>
              </w:rPr>
              <w:t xml:space="preserve"> NS</w:t>
            </w:r>
          </w:p>
        </w:tc>
        <w:tc>
          <w:tcPr>
            <w:tcW w:w="0" w:type="auto"/>
            <w:hideMark/>
          </w:tcPr>
          <w:p w14:paraId="3EB23DE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0.45</w:t>
            </w:r>
            <w:r w:rsidR="00277C6B" w:rsidRPr="00277C6B">
              <w:rPr>
                <w:rFonts w:ascii="Times New Roman" w:eastAsia="Times New Roman" w:hAnsi="Times New Roman" w:cs="Times New Roman"/>
                <w:sz w:val="24"/>
                <w:szCs w:val="24"/>
              </w:rPr>
              <w:t xml:space="preserve"> **</w:t>
            </w:r>
          </w:p>
        </w:tc>
      </w:tr>
    </w:tbl>
    <w:p w14:paraId="44E8832E"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Note:</w:t>
      </w:r>
      <w:r w:rsidRPr="00277C6B">
        <w:rPr>
          <w:rFonts w:ascii="Times New Roman" w:eastAsia="Times New Roman" w:hAnsi="Times New Roman" w:cs="Times New Roman"/>
          <w:sz w:val="24"/>
          <w:szCs w:val="24"/>
        </w:rPr>
        <w:t xml:space="preserve"> NS = non-significant; * = significant at P ≤ 0.05; ** = significant at P ≤ 0.01.</w:t>
      </w:r>
    </w:p>
    <w:p w14:paraId="26FD4ECF"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 xml:space="preserve">Average </w:t>
      </w:r>
      <w:r w:rsidR="0014430E" w:rsidRPr="00902A6C">
        <w:rPr>
          <w:rFonts w:ascii="Times New Roman" w:eastAsia="Times New Roman" w:hAnsi="Times New Roman" w:cs="Times New Roman"/>
          <w:b/>
          <w:bCs/>
          <w:sz w:val="24"/>
          <w:szCs w:val="24"/>
        </w:rPr>
        <w:t>fruit number plant</w:t>
      </w:r>
      <w:r w:rsidR="0014430E" w:rsidRPr="00902A6C">
        <w:rPr>
          <w:rFonts w:ascii="Times New Roman" w:eastAsia="Times New Roman" w:hAnsi="Times New Roman" w:cs="Times New Roman"/>
          <w:b/>
          <w:bCs/>
          <w:sz w:val="24"/>
          <w:szCs w:val="24"/>
          <w:vertAlign w:val="superscript"/>
        </w:rPr>
        <w:t>-1</w:t>
      </w:r>
    </w:p>
    <w:p w14:paraId="5EC51F88" w14:textId="77777777" w:rsid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Among the traits evaluated, </w:t>
      </w: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exhibited the strongest and most consistent positive association with green fruit yield across all five MP-derived populations</w:t>
      </w:r>
      <w:r w:rsidRPr="00277C6B">
        <w:rPr>
          <w:rFonts w:ascii="Times New Roman" w:eastAsia="Times New Roman" w:hAnsi="Times New Roman" w:cs="Times New Roman"/>
          <w:sz w:val="24"/>
          <w:szCs w:val="24"/>
        </w:rPr>
        <w:t>. The correlation coefficient ranged from 0.7</w:t>
      </w:r>
      <w:r w:rsidR="002A0B42" w:rsidRPr="00902A6C">
        <w:rPr>
          <w:rFonts w:ascii="Times New Roman" w:eastAsia="Times New Roman" w:hAnsi="Times New Roman" w:cs="Times New Roman"/>
          <w:sz w:val="24"/>
          <w:szCs w:val="24"/>
        </w:rPr>
        <w:t>1</w:t>
      </w:r>
      <w:r w:rsidRPr="00277C6B">
        <w:rPr>
          <w:rFonts w:ascii="Times New Roman" w:eastAsia="Times New Roman" w:hAnsi="Times New Roman" w:cs="Times New Roman"/>
          <w:sz w:val="24"/>
          <w:szCs w:val="24"/>
        </w:rPr>
        <w:t xml:space="preserve"> in D7 × D2 to 0.90 in D4 × D2.</w:t>
      </w:r>
      <w:r w:rsidR="002A0B4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Thus, despite differences in population background,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consistently exhibited a strong positive association with green fruit yield.</w:t>
      </w:r>
      <w:r w:rsidR="002A0B4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consistency of this relationship across all five populations suggests that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is an important yield-associated trait in the elite selections evaluated. Since green fruit yield is determined by the cumulative production of fruits per plant, an increase in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can be expected to contribute substantially to total plant yield.</w:t>
      </w:r>
      <w:r w:rsidR="00750C93" w:rsidRPr="00902A6C">
        <w:rPr>
          <w:rFonts w:ascii="Times New Roman" w:eastAsia="Times New Roman" w:hAnsi="Times New Roman" w:cs="Times New Roman"/>
          <w:sz w:val="24"/>
          <w:szCs w:val="24"/>
        </w:rPr>
        <w:t xml:space="preserve"> These </w:t>
      </w:r>
      <w:r w:rsidR="005768EE">
        <w:rPr>
          <w:rFonts w:ascii="Times New Roman" w:eastAsia="Times New Roman" w:hAnsi="Times New Roman" w:cs="Times New Roman"/>
          <w:sz w:val="24"/>
          <w:szCs w:val="24"/>
        </w:rPr>
        <w:t>observatio</w:t>
      </w:r>
      <w:r w:rsidR="00750C93" w:rsidRPr="00902A6C">
        <w:rPr>
          <w:rFonts w:ascii="Times New Roman" w:eastAsia="Times New Roman" w:hAnsi="Times New Roman" w:cs="Times New Roman"/>
          <w:sz w:val="24"/>
          <w:szCs w:val="24"/>
        </w:rPr>
        <w:t xml:space="preserve">ns were in accordance with </w:t>
      </w:r>
      <w:proofErr w:type="spellStart"/>
      <w:r w:rsidR="006A6580" w:rsidRPr="00902A6C">
        <w:rPr>
          <w:rFonts w:ascii="Times New Roman" w:eastAsia="Times New Roman" w:hAnsi="Times New Roman" w:cs="Times New Roman"/>
          <w:sz w:val="24"/>
          <w:szCs w:val="24"/>
        </w:rPr>
        <w:t>Sreelathakumary</w:t>
      </w:r>
      <w:proofErr w:type="spellEnd"/>
      <w:r w:rsidR="006A6580" w:rsidRPr="00902A6C">
        <w:rPr>
          <w:rFonts w:ascii="Times New Roman" w:eastAsia="Times New Roman" w:hAnsi="Times New Roman" w:cs="Times New Roman"/>
          <w:sz w:val="24"/>
          <w:szCs w:val="24"/>
        </w:rPr>
        <w:t xml:space="preserve"> and </w:t>
      </w:r>
      <w:proofErr w:type="spellStart"/>
      <w:r w:rsidR="006A6580" w:rsidRPr="00902A6C">
        <w:rPr>
          <w:rFonts w:ascii="Times New Roman" w:eastAsia="Times New Roman" w:hAnsi="Times New Roman" w:cs="Times New Roman"/>
          <w:sz w:val="24"/>
          <w:szCs w:val="24"/>
        </w:rPr>
        <w:t>Rajamony</w:t>
      </w:r>
      <w:proofErr w:type="spellEnd"/>
      <w:r w:rsidR="006A6580" w:rsidRPr="00902A6C">
        <w:rPr>
          <w:rFonts w:ascii="Times New Roman" w:eastAsia="Times New Roman" w:hAnsi="Times New Roman" w:cs="Times New Roman"/>
          <w:sz w:val="24"/>
          <w:szCs w:val="24"/>
        </w:rPr>
        <w:t>, 2002</w:t>
      </w:r>
      <w:r w:rsid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Gupta et al., 2009;</w:t>
      </w:r>
      <w:r w:rsid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Sarkar et al., 2009; Singh et al., 2009</w:t>
      </w:r>
      <w:r w:rsidR="006A6580">
        <w:rPr>
          <w:rFonts w:ascii="Times New Roman" w:eastAsia="Times New Roman" w:hAnsi="Times New Roman" w:cs="Times New Roman"/>
          <w:sz w:val="24"/>
          <w:szCs w:val="24"/>
        </w:rPr>
        <w:t>;</w:t>
      </w:r>
      <w:r w:rsidR="006A6580" w:rsidRPr="00902A6C">
        <w:rPr>
          <w:rFonts w:ascii="Times New Roman" w:eastAsia="Times New Roman" w:hAnsi="Times New Roman" w:cs="Times New Roman"/>
          <w:sz w:val="24"/>
          <w:szCs w:val="24"/>
        </w:rPr>
        <w:t xml:space="preserve"> Datta and Jana, 2010; </w:t>
      </w:r>
      <w:proofErr w:type="spellStart"/>
      <w:r w:rsidR="006A6580" w:rsidRPr="00902A6C">
        <w:rPr>
          <w:rFonts w:ascii="Times New Roman" w:eastAsia="Times New Roman" w:hAnsi="Times New Roman" w:cs="Times New Roman"/>
          <w:sz w:val="24"/>
          <w:szCs w:val="24"/>
        </w:rPr>
        <w:t>Baseerath</w:t>
      </w:r>
      <w:proofErr w:type="spellEnd"/>
      <w:r w:rsidR="006A6580" w:rsidRPr="00902A6C">
        <w:rPr>
          <w:rFonts w:ascii="Times New Roman" w:eastAsia="Times New Roman" w:hAnsi="Times New Roman" w:cs="Times New Roman"/>
          <w:sz w:val="24"/>
          <w:szCs w:val="24"/>
        </w:rPr>
        <w:t xml:space="preserve"> et al., 2013; </w:t>
      </w:r>
      <w:proofErr w:type="spellStart"/>
      <w:r w:rsidR="006A6580" w:rsidRPr="00902A6C">
        <w:rPr>
          <w:rFonts w:ascii="Times New Roman" w:eastAsia="Times New Roman" w:hAnsi="Times New Roman" w:cs="Times New Roman"/>
          <w:sz w:val="24"/>
          <w:szCs w:val="24"/>
        </w:rPr>
        <w:t>Bijalwan</w:t>
      </w:r>
      <w:proofErr w:type="spellEnd"/>
      <w:r w:rsidR="006A6580" w:rsidRPr="00902A6C">
        <w:rPr>
          <w:rFonts w:ascii="Times New Roman" w:eastAsia="Times New Roman" w:hAnsi="Times New Roman" w:cs="Times New Roman"/>
          <w:sz w:val="24"/>
          <w:szCs w:val="24"/>
        </w:rPr>
        <w:t xml:space="preserve"> and Mishra, 2013; Pradeep et al., 2014;</w:t>
      </w:r>
      <w:r w:rsid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 xml:space="preserve">; Vijaya et al., 2014; ; </w:t>
      </w:r>
      <w:proofErr w:type="spellStart"/>
      <w:r w:rsidR="006A6580" w:rsidRPr="00902A6C">
        <w:rPr>
          <w:rFonts w:ascii="Times New Roman" w:eastAsia="Times New Roman" w:hAnsi="Times New Roman" w:cs="Times New Roman"/>
          <w:sz w:val="24"/>
          <w:szCs w:val="24"/>
        </w:rPr>
        <w:t>Dixitha</w:t>
      </w:r>
      <w:proofErr w:type="spellEnd"/>
      <w:r w:rsidR="006A6580" w:rsidRPr="00902A6C">
        <w:rPr>
          <w:rFonts w:ascii="Times New Roman" w:eastAsia="Times New Roman" w:hAnsi="Times New Roman" w:cs="Times New Roman"/>
          <w:sz w:val="24"/>
          <w:szCs w:val="24"/>
        </w:rPr>
        <w:t xml:space="preserve"> et al., 2015</w:t>
      </w:r>
      <w:r w:rsidR="006A6580">
        <w:rPr>
          <w:rFonts w:ascii="Times New Roman" w:eastAsia="Times New Roman" w:hAnsi="Times New Roman" w:cs="Times New Roman"/>
          <w:sz w:val="24"/>
          <w:szCs w:val="24"/>
        </w:rPr>
        <w:t xml:space="preserve">; </w:t>
      </w:r>
      <w:r w:rsidR="00750C93" w:rsidRPr="00902A6C">
        <w:rPr>
          <w:rFonts w:ascii="Times New Roman" w:eastAsia="Times New Roman" w:hAnsi="Times New Roman" w:cs="Times New Roman"/>
          <w:sz w:val="24"/>
          <w:szCs w:val="24"/>
        </w:rPr>
        <w:t>Bundela et al., 2018</w:t>
      </w:r>
      <w:r w:rsidR="006A6580" w:rsidRPr="006A6580">
        <w:rPr>
          <w:rFonts w:ascii="Times New Roman" w:eastAsia="Times New Roman" w:hAnsi="Times New Roman" w:cs="Times New Roman"/>
          <w:sz w:val="24"/>
          <w:szCs w:val="24"/>
        </w:rPr>
        <w:t xml:space="preserve"> </w:t>
      </w:r>
      <w:r w:rsidR="006A6580" w:rsidRPr="00902A6C">
        <w:rPr>
          <w:rFonts w:ascii="Times New Roman" w:eastAsia="Times New Roman" w:hAnsi="Times New Roman" w:cs="Times New Roman"/>
          <w:sz w:val="24"/>
          <w:szCs w:val="24"/>
        </w:rPr>
        <w:t>and</w:t>
      </w:r>
      <w:r w:rsidR="00750C93" w:rsidRPr="00902A6C">
        <w:rPr>
          <w:rFonts w:ascii="Times New Roman" w:eastAsia="Times New Roman" w:hAnsi="Times New Roman" w:cs="Times New Roman"/>
          <w:sz w:val="24"/>
          <w:szCs w:val="24"/>
        </w:rPr>
        <w:t xml:space="preserve"> Shwetha et al., 2018</w:t>
      </w:r>
      <w:r w:rsidR="00C6400A" w:rsidRPr="00902A6C">
        <w:rPr>
          <w:rFonts w:ascii="Times New Roman" w:eastAsia="Times New Roman" w:hAnsi="Times New Roman" w:cs="Times New Roman"/>
          <w:sz w:val="24"/>
          <w:szCs w:val="24"/>
        </w:rPr>
        <w:t>.</w:t>
      </w:r>
    </w:p>
    <w:p w14:paraId="4B57976C"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length</w:t>
      </w:r>
    </w:p>
    <w:p w14:paraId="7A58DD1A" w14:textId="77777777" w:rsidR="008C6B5E"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length showed a positive association with green fruit yield in all five populations. The correlati</w:t>
      </w:r>
      <w:r w:rsidR="00A75E3D" w:rsidRPr="00902A6C">
        <w:rPr>
          <w:rFonts w:ascii="Times New Roman" w:eastAsia="Times New Roman" w:hAnsi="Times New Roman" w:cs="Times New Roman"/>
          <w:sz w:val="24"/>
          <w:szCs w:val="24"/>
        </w:rPr>
        <w:t>on coefficients ranged from 0.22</w:t>
      </w:r>
      <w:r w:rsidRPr="00277C6B">
        <w:rPr>
          <w:rFonts w:ascii="Times New Roman" w:eastAsia="Times New Roman" w:hAnsi="Times New Roman" w:cs="Times New Roman"/>
          <w:sz w:val="24"/>
          <w:szCs w:val="24"/>
        </w:rPr>
        <w:t xml:space="preserve"> in D6 × D2 to 0.</w:t>
      </w:r>
      <w:r w:rsidR="00A75E3D" w:rsidRPr="00902A6C">
        <w:rPr>
          <w:rFonts w:ascii="Times New Roman" w:eastAsia="Times New Roman" w:hAnsi="Times New Roman" w:cs="Times New Roman"/>
          <w:sz w:val="24"/>
          <w:szCs w:val="24"/>
        </w:rPr>
        <w:t>40</w:t>
      </w:r>
      <w:r w:rsidRPr="00277C6B">
        <w:rPr>
          <w:rFonts w:ascii="Times New Roman" w:eastAsia="Times New Roman" w:hAnsi="Times New Roman" w:cs="Times New Roman"/>
          <w:sz w:val="24"/>
          <w:szCs w:val="24"/>
        </w:rPr>
        <w:t xml:space="preserve"> in D5 × D2.</w:t>
      </w:r>
      <w:r w:rsidR="00A75E3D"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positive relationship indicates that fruit length contributes to variation in green fruit yield; however, the magnitude of the correlation was consistently lower than </w:t>
      </w:r>
      <w:r w:rsidR="00A75E3D" w:rsidRPr="00902A6C">
        <w:rPr>
          <w:rFonts w:ascii="Times New Roman" w:eastAsia="Times New Roman" w:hAnsi="Times New Roman" w:cs="Times New Roman"/>
          <w:sz w:val="24"/>
          <w:szCs w:val="24"/>
        </w:rPr>
        <w:t xml:space="preserve">that observed for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00A75E3D" w:rsidRPr="00902A6C">
        <w:rPr>
          <w:rFonts w:ascii="Times New Roman" w:eastAsia="Times New Roman" w:hAnsi="Times New Roman" w:cs="Times New Roman"/>
          <w:sz w:val="24"/>
          <w:szCs w:val="24"/>
        </w:rPr>
        <w:t>.</w:t>
      </w:r>
      <w:r w:rsidR="00750C93" w:rsidRPr="00902A6C">
        <w:rPr>
          <w:rFonts w:ascii="Times New Roman" w:eastAsia="Times New Roman" w:hAnsi="Times New Roman" w:cs="Times New Roman"/>
          <w:sz w:val="24"/>
          <w:szCs w:val="24"/>
        </w:rPr>
        <w:t>These findings were similar to the findings of Amit et al., 2014; Shwetha et al., 2018; Vijaya et al.</w:t>
      </w:r>
      <w:r w:rsidR="008C6B5E">
        <w:rPr>
          <w:rFonts w:ascii="Times New Roman" w:eastAsia="Times New Roman" w:hAnsi="Times New Roman" w:cs="Times New Roman"/>
          <w:sz w:val="24"/>
          <w:szCs w:val="24"/>
        </w:rPr>
        <w:t xml:space="preserve">, 2014; </w:t>
      </w:r>
      <w:proofErr w:type="spellStart"/>
      <w:r w:rsidR="00750C93" w:rsidRPr="00902A6C">
        <w:rPr>
          <w:rFonts w:ascii="Times New Roman" w:eastAsia="Times New Roman" w:hAnsi="Times New Roman" w:cs="Times New Roman"/>
          <w:sz w:val="24"/>
          <w:szCs w:val="24"/>
        </w:rPr>
        <w:t>Baseerath</w:t>
      </w:r>
      <w:proofErr w:type="spellEnd"/>
      <w:r w:rsidR="00750C93" w:rsidRPr="00902A6C">
        <w:rPr>
          <w:rFonts w:ascii="Times New Roman" w:eastAsia="Times New Roman" w:hAnsi="Times New Roman" w:cs="Times New Roman"/>
          <w:sz w:val="24"/>
          <w:szCs w:val="24"/>
        </w:rPr>
        <w:t xml:space="preserve"> et al.,</w:t>
      </w:r>
      <w:r w:rsidR="008C6B5E">
        <w:rPr>
          <w:rFonts w:ascii="Times New Roman" w:eastAsia="Times New Roman" w:hAnsi="Times New Roman" w:cs="Times New Roman"/>
          <w:sz w:val="24"/>
          <w:szCs w:val="24"/>
        </w:rPr>
        <w:t xml:space="preserve"> </w:t>
      </w:r>
      <w:r w:rsidR="00750C93" w:rsidRPr="00902A6C">
        <w:rPr>
          <w:rFonts w:ascii="Times New Roman" w:eastAsia="Times New Roman" w:hAnsi="Times New Roman" w:cs="Times New Roman"/>
          <w:sz w:val="24"/>
          <w:szCs w:val="24"/>
        </w:rPr>
        <w:t xml:space="preserve">2013; </w:t>
      </w:r>
      <w:proofErr w:type="spellStart"/>
      <w:r w:rsidR="00750C93" w:rsidRPr="00902A6C">
        <w:rPr>
          <w:rFonts w:ascii="Times New Roman" w:eastAsia="Times New Roman" w:hAnsi="Times New Roman" w:cs="Times New Roman"/>
          <w:sz w:val="24"/>
          <w:szCs w:val="24"/>
        </w:rPr>
        <w:t>Bijalwan</w:t>
      </w:r>
      <w:proofErr w:type="spellEnd"/>
      <w:r w:rsidR="00750C93" w:rsidRPr="00902A6C">
        <w:rPr>
          <w:rFonts w:ascii="Times New Roman" w:eastAsia="Times New Roman" w:hAnsi="Times New Roman" w:cs="Times New Roman"/>
          <w:sz w:val="24"/>
          <w:szCs w:val="24"/>
        </w:rPr>
        <w:t xml:space="preserve"> and Mishra, 2013; Gupta et al., 2009 and </w:t>
      </w:r>
      <w:proofErr w:type="spellStart"/>
      <w:r w:rsidR="00750C93" w:rsidRPr="00902A6C">
        <w:rPr>
          <w:rFonts w:ascii="Times New Roman" w:eastAsia="Times New Roman" w:hAnsi="Times New Roman" w:cs="Times New Roman"/>
          <w:sz w:val="24"/>
          <w:szCs w:val="24"/>
        </w:rPr>
        <w:t>Sreelathakumary</w:t>
      </w:r>
      <w:proofErr w:type="spellEnd"/>
      <w:r w:rsidR="00750C93" w:rsidRPr="00902A6C">
        <w:rPr>
          <w:rFonts w:ascii="Times New Roman" w:eastAsia="Times New Roman" w:hAnsi="Times New Roman" w:cs="Times New Roman"/>
          <w:sz w:val="24"/>
          <w:szCs w:val="24"/>
        </w:rPr>
        <w:t xml:space="preserve"> and </w:t>
      </w:r>
      <w:proofErr w:type="spellStart"/>
      <w:r w:rsidR="00750C93" w:rsidRPr="00902A6C">
        <w:rPr>
          <w:rFonts w:ascii="Times New Roman" w:eastAsia="Times New Roman" w:hAnsi="Times New Roman" w:cs="Times New Roman"/>
          <w:sz w:val="24"/>
          <w:szCs w:val="24"/>
        </w:rPr>
        <w:t>Rajamony</w:t>
      </w:r>
      <w:proofErr w:type="spellEnd"/>
      <w:r w:rsidR="00750C93" w:rsidRPr="00902A6C">
        <w:rPr>
          <w:rFonts w:ascii="Times New Roman" w:eastAsia="Times New Roman" w:hAnsi="Times New Roman" w:cs="Times New Roman"/>
          <w:sz w:val="24"/>
          <w:szCs w:val="24"/>
        </w:rPr>
        <w:t>, 2002.</w:t>
      </w:r>
    </w:p>
    <w:p w14:paraId="3E272A9A"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width</w:t>
      </w:r>
    </w:p>
    <w:p w14:paraId="7F9A2F08"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The association of average fruit width with green fruit yield varied among the five populations. The strongest positive association was observed in D7 × D2 (r = 0.4</w:t>
      </w:r>
      <w:r w:rsidR="00A75E3D"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followed by D5 × D2 (r = 0.31) and D4 × D2 (r = 0.25). These associations were significant.</w:t>
      </w:r>
      <w:r w:rsidR="00A75E3D"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The population-specific nature of the association suggests that the contribution of fruit width to green fruit yield may depend on the genetic background of the population.</w:t>
      </w:r>
      <w:r w:rsidR="00A75E3D"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The relatively strong association observed in D7 × D2 indicates that fruit width may have greater importance as a complementary selection criterion in this particular population.</w:t>
      </w:r>
      <w:r w:rsidR="00A06D19" w:rsidRPr="00902A6C">
        <w:rPr>
          <w:rFonts w:ascii="Times New Roman" w:eastAsia="Times New Roman" w:hAnsi="Times New Roman" w:cs="Times New Roman"/>
          <w:sz w:val="24"/>
          <w:szCs w:val="24"/>
        </w:rPr>
        <w:t xml:space="preserve"> These observations were similar to the findings of </w:t>
      </w:r>
      <w:r w:rsidR="00A712AE" w:rsidRPr="00902A6C">
        <w:rPr>
          <w:rFonts w:ascii="Times New Roman" w:eastAsia="Times New Roman" w:hAnsi="Times New Roman" w:cs="Times New Roman"/>
          <w:sz w:val="24"/>
          <w:szCs w:val="24"/>
        </w:rPr>
        <w:t xml:space="preserve">Singh </w:t>
      </w:r>
      <w:r w:rsidR="00A06D19" w:rsidRPr="00902A6C">
        <w:rPr>
          <w:rFonts w:ascii="Times New Roman" w:eastAsia="Times New Roman" w:hAnsi="Times New Roman" w:cs="Times New Roman"/>
          <w:sz w:val="24"/>
          <w:szCs w:val="24"/>
        </w:rPr>
        <w:t>et al., 2024</w:t>
      </w:r>
      <w:r w:rsidR="00A06D19" w:rsidRPr="00277C6B">
        <w:rPr>
          <w:rFonts w:ascii="Times New Roman" w:eastAsia="Times New Roman" w:hAnsi="Times New Roman" w:cs="Times New Roman"/>
          <w:sz w:val="24"/>
          <w:szCs w:val="24"/>
        </w:rPr>
        <w:t>.</w:t>
      </w:r>
    </w:p>
    <w:p w14:paraId="590B44FC"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weight</w:t>
      </w:r>
    </w:p>
    <w:p w14:paraId="206253C9"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weight exhibited relatively weak associations with green fruit yield across all five populations. The correlation coefficients ranged from 0.01 in D4 × D3 to 0.20 in D5 × D2, and the associations were non-significant.</w:t>
      </w:r>
      <w:r w:rsidR="00B10A21"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 xml:space="preserve">The weak relationship suggests that variation in individual fruit weight alone did not account for a substantial proportion of the variation in green fruit yield among the elite selections. </w:t>
      </w:r>
      <w:r w:rsidR="00C6400A" w:rsidRPr="00902A6C">
        <w:rPr>
          <w:rFonts w:ascii="Times New Roman" w:hAnsi="Times New Roman" w:cs="Times New Roman"/>
          <w:sz w:val="24"/>
          <w:szCs w:val="24"/>
        </w:rPr>
        <w:t xml:space="preserve">This finding differs from some earlier reports in </w:t>
      </w:r>
      <w:proofErr w:type="spellStart"/>
      <w:r w:rsidR="00C6400A" w:rsidRPr="00902A6C">
        <w:rPr>
          <w:rFonts w:ascii="Times New Roman" w:hAnsi="Times New Roman" w:cs="Times New Roman"/>
          <w:sz w:val="24"/>
          <w:szCs w:val="24"/>
        </w:rPr>
        <w:t>chilli</w:t>
      </w:r>
      <w:proofErr w:type="spellEnd"/>
      <w:r w:rsidR="00C6400A" w:rsidRPr="00902A6C">
        <w:rPr>
          <w:rFonts w:ascii="Times New Roman" w:hAnsi="Times New Roman" w:cs="Times New Roman"/>
          <w:sz w:val="24"/>
          <w:szCs w:val="24"/>
        </w:rPr>
        <w:t xml:space="preserve">, where average fruit weight showed significant positive associations on fruit yield, indicating that the relative contribution of fruit size to yield may vary among genetic backgrounds and populations (Chakrabarty et al., 2017). </w:t>
      </w:r>
    </w:p>
    <w:p w14:paraId="7735107F"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Pooled path coefficient analysis</w:t>
      </w:r>
    </w:p>
    <w:p w14:paraId="49C6C71B" w14:textId="77777777" w:rsid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Population-wise correlation analysis identified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as the most consistently associated trait with green fruit yield. To further determine whether the observed associations resulted from direct contributions or relationships mediated through other traits, path coefficient analysis was conducted using the pooled dataset.</w:t>
      </w:r>
    </w:p>
    <w:p w14:paraId="69D13118" w14:textId="77777777" w:rsidR="00D145DA" w:rsidRPr="00277C6B" w:rsidRDefault="00D145DA"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The path analysis revealed considerable differences in the magnitude of direct effects among the component traits. </w:t>
      </w:r>
      <w:r w:rsidRPr="00902A6C">
        <w:rPr>
          <w:rFonts w:ascii="Times New Roman" w:eastAsia="Times New Roman" w:hAnsi="Times New Roman" w:cs="Times New Roman"/>
          <w:bCs/>
          <w:sz w:val="24"/>
          <w:szCs w:val="24"/>
        </w:rPr>
        <w:t>Average fruit number plant</w:t>
      </w:r>
      <w:r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recorded the highest positive direct effect (0.78)</w:t>
      </w:r>
      <w:r w:rsidRPr="00277C6B">
        <w:rPr>
          <w:rFonts w:ascii="Times New Roman" w:eastAsia="Times New Roman" w:hAnsi="Times New Roman" w:cs="Times New Roman"/>
          <w:sz w:val="24"/>
          <w:szCs w:val="24"/>
        </w:rPr>
        <w:t>, followed by average fruit width (0.2</w:t>
      </w:r>
      <w:r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and average fruit weight (0.1</w:t>
      </w:r>
      <w:r w:rsidRPr="00902A6C">
        <w:rPr>
          <w:rFonts w:ascii="Times New Roman" w:eastAsia="Times New Roman" w:hAnsi="Times New Roman" w:cs="Times New Roman"/>
          <w:sz w:val="24"/>
          <w:szCs w:val="24"/>
        </w:rPr>
        <w:t>2</w:t>
      </w:r>
      <w:r w:rsidRPr="00277C6B">
        <w:rPr>
          <w:rFonts w:ascii="Times New Roman" w:eastAsia="Times New Roman" w:hAnsi="Times New Roman" w:cs="Times New Roman"/>
          <w:sz w:val="24"/>
          <w:szCs w:val="24"/>
        </w:rPr>
        <w:t>). Average fruit length exhibited a comparatively small</w:t>
      </w:r>
      <w:r w:rsidRPr="00902A6C">
        <w:rPr>
          <w:rFonts w:ascii="Times New Roman" w:eastAsia="Times New Roman" w:hAnsi="Times New Roman" w:cs="Times New Roman"/>
          <w:sz w:val="24"/>
          <w:szCs w:val="24"/>
        </w:rPr>
        <w:t xml:space="preserve"> positive direct effect of 0.04</w:t>
      </w:r>
      <w:r w:rsidRPr="00277C6B">
        <w:rPr>
          <w:rFonts w:ascii="Times New Roman" w:eastAsia="Times New Roman" w:hAnsi="Times New Roman" w:cs="Times New Roman"/>
          <w:sz w:val="24"/>
          <w:szCs w:val="24"/>
        </w:rPr>
        <w:t>.</w:t>
      </w:r>
      <w:r w:rsidR="00CC2C55">
        <w:rPr>
          <w:rFonts w:ascii="Times New Roman" w:eastAsia="Times New Roman" w:hAnsi="Times New Roman" w:cs="Times New Roman"/>
          <w:sz w:val="24"/>
          <w:szCs w:val="24"/>
        </w:rPr>
        <w:t xml:space="preserve"> (Janaki et al., 2018; </w:t>
      </w:r>
      <w:r w:rsidRPr="00902A6C">
        <w:rPr>
          <w:rFonts w:ascii="Times New Roman" w:eastAsia="Times New Roman" w:hAnsi="Times New Roman" w:cs="Times New Roman"/>
          <w:sz w:val="24"/>
          <w:szCs w:val="24"/>
        </w:rPr>
        <w:t>Chetan</w:t>
      </w:r>
      <w:r>
        <w:rPr>
          <w:rFonts w:ascii="Times New Roman" w:eastAsia="Times New Roman" w:hAnsi="Times New Roman" w:cs="Times New Roman"/>
          <w:sz w:val="24"/>
          <w:szCs w:val="24"/>
        </w:rPr>
        <w:t xml:space="preserve"> </w:t>
      </w:r>
      <w:r w:rsidRPr="00902A6C">
        <w:rPr>
          <w:rFonts w:ascii="Times New Roman" w:eastAsia="Times New Roman" w:hAnsi="Times New Roman" w:cs="Times New Roman"/>
          <w:sz w:val="24"/>
          <w:szCs w:val="24"/>
        </w:rPr>
        <w:t>et al., 2019; Rana et al</w:t>
      </w:r>
      <w:r w:rsidR="00CC2C55">
        <w:rPr>
          <w:rFonts w:ascii="Times New Roman" w:eastAsia="Times New Roman" w:hAnsi="Times New Roman" w:cs="Times New Roman"/>
          <w:sz w:val="24"/>
          <w:szCs w:val="24"/>
        </w:rPr>
        <w:t>.</w:t>
      </w:r>
      <w:r w:rsidRPr="00902A6C">
        <w:rPr>
          <w:rFonts w:ascii="Times New Roman" w:eastAsia="Times New Roman" w:hAnsi="Times New Roman" w:cs="Times New Roman"/>
          <w:sz w:val="24"/>
          <w:szCs w:val="24"/>
        </w:rPr>
        <w:t>, 2015)</w:t>
      </w:r>
      <w:r>
        <w:rPr>
          <w:rFonts w:ascii="Times New Roman" w:eastAsia="Times New Roman" w:hAnsi="Times New Roman" w:cs="Times New Roman"/>
          <w:sz w:val="24"/>
          <w:szCs w:val="24"/>
        </w:rPr>
        <w:t>.</w:t>
      </w:r>
    </w:p>
    <w:p w14:paraId="19556134" w14:textId="77777777" w:rsidR="00277C6B" w:rsidRPr="00277C6B" w:rsidRDefault="0014430E"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Table 3</w:t>
      </w:r>
      <w:r w:rsidR="00277C6B" w:rsidRPr="00277C6B">
        <w:rPr>
          <w:rFonts w:ascii="Times New Roman" w:eastAsia="Times New Roman" w:hAnsi="Times New Roman" w:cs="Times New Roman"/>
          <w:b/>
          <w:bCs/>
          <w:sz w:val="24"/>
          <w:szCs w:val="24"/>
        </w:rPr>
        <w:t xml:space="preserve">. Phenotypic path coefficient analysis showing direct and indirect effects of yield-related traits on green fruit yield per plant in </w:t>
      </w:r>
      <w:proofErr w:type="spellStart"/>
      <w:r w:rsidR="00277C6B" w:rsidRPr="00277C6B">
        <w:rPr>
          <w:rFonts w:ascii="Times New Roman" w:eastAsia="Times New Roman" w:hAnsi="Times New Roman" w:cs="Times New Roman"/>
          <w:b/>
          <w:bCs/>
          <w:sz w:val="24"/>
          <w:szCs w:val="24"/>
        </w:rPr>
        <w:t>chilli</w:t>
      </w:r>
      <w:proofErr w:type="spellEnd"/>
    </w:p>
    <w:tbl>
      <w:tblPr>
        <w:tblStyle w:val="TableGrid"/>
        <w:tblW w:w="0" w:type="auto"/>
        <w:tblLook w:val="04A0" w:firstRow="1" w:lastRow="0" w:firstColumn="1" w:lastColumn="0" w:noHBand="0" w:noVBand="1"/>
      </w:tblPr>
      <w:tblGrid>
        <w:gridCol w:w="2448"/>
        <w:gridCol w:w="1057"/>
        <w:gridCol w:w="1957"/>
        <w:gridCol w:w="1279"/>
        <w:gridCol w:w="1220"/>
        <w:gridCol w:w="1615"/>
      </w:tblGrid>
      <w:tr w:rsidR="00B10A21" w:rsidRPr="00902A6C" w14:paraId="1ECB7E5A" w14:textId="77777777" w:rsidTr="00B10A21">
        <w:tc>
          <w:tcPr>
            <w:tcW w:w="2448" w:type="dxa"/>
            <w:hideMark/>
          </w:tcPr>
          <w:p w14:paraId="7B7EC88D"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w:t>
            </w:r>
          </w:p>
        </w:tc>
        <w:tc>
          <w:tcPr>
            <w:tcW w:w="1057" w:type="dxa"/>
            <w:hideMark/>
          </w:tcPr>
          <w:p w14:paraId="49E0C00F"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weight</w:t>
            </w:r>
          </w:p>
        </w:tc>
        <w:tc>
          <w:tcPr>
            <w:tcW w:w="0" w:type="auto"/>
            <w:hideMark/>
          </w:tcPr>
          <w:p w14:paraId="4E34DC96" w14:textId="77777777" w:rsidR="00277C6B" w:rsidRPr="00277C6B" w:rsidRDefault="0014430E"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Fruit number plant</w:t>
            </w:r>
            <w:r w:rsidRPr="00902A6C">
              <w:rPr>
                <w:rFonts w:ascii="Times New Roman" w:eastAsia="Times New Roman" w:hAnsi="Times New Roman" w:cs="Times New Roman"/>
                <w:b/>
                <w:bCs/>
                <w:sz w:val="24"/>
                <w:szCs w:val="24"/>
                <w:vertAlign w:val="superscript"/>
              </w:rPr>
              <w:t>-1</w:t>
            </w:r>
          </w:p>
        </w:tc>
        <w:tc>
          <w:tcPr>
            <w:tcW w:w="0" w:type="auto"/>
            <w:hideMark/>
          </w:tcPr>
          <w:p w14:paraId="5CFF37DD"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length</w:t>
            </w:r>
          </w:p>
        </w:tc>
        <w:tc>
          <w:tcPr>
            <w:tcW w:w="0" w:type="auto"/>
            <w:hideMark/>
          </w:tcPr>
          <w:p w14:paraId="460EFD2A"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width</w:t>
            </w:r>
          </w:p>
        </w:tc>
        <w:tc>
          <w:tcPr>
            <w:tcW w:w="0" w:type="auto"/>
            <w:hideMark/>
          </w:tcPr>
          <w:p w14:paraId="481312F8"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Green fruit yield</w:t>
            </w:r>
          </w:p>
        </w:tc>
      </w:tr>
      <w:tr w:rsidR="00B10A21" w:rsidRPr="00902A6C" w14:paraId="79D3EA5F" w14:textId="77777777" w:rsidTr="00B10A21">
        <w:tc>
          <w:tcPr>
            <w:tcW w:w="2448" w:type="dxa"/>
            <w:hideMark/>
          </w:tcPr>
          <w:p w14:paraId="7FBAF66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weight </w:t>
            </w:r>
          </w:p>
        </w:tc>
        <w:tc>
          <w:tcPr>
            <w:tcW w:w="1057" w:type="dxa"/>
            <w:hideMark/>
          </w:tcPr>
          <w:p w14:paraId="428B6745"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0.12</w:t>
            </w:r>
          </w:p>
        </w:tc>
        <w:tc>
          <w:tcPr>
            <w:tcW w:w="0" w:type="auto"/>
            <w:hideMark/>
          </w:tcPr>
          <w:p w14:paraId="79058F2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-0.003</w:t>
            </w:r>
          </w:p>
        </w:tc>
        <w:tc>
          <w:tcPr>
            <w:tcW w:w="0" w:type="auto"/>
            <w:hideMark/>
          </w:tcPr>
          <w:p w14:paraId="65523AF0"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-0.0002</w:t>
            </w:r>
          </w:p>
        </w:tc>
        <w:tc>
          <w:tcPr>
            <w:tcW w:w="0" w:type="auto"/>
            <w:hideMark/>
          </w:tcPr>
          <w:p w14:paraId="1EABEC9F"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0.11</w:t>
            </w:r>
          </w:p>
        </w:tc>
        <w:tc>
          <w:tcPr>
            <w:tcW w:w="0" w:type="auto"/>
            <w:hideMark/>
          </w:tcPr>
          <w:p w14:paraId="44A144A9"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0.23</w:t>
            </w:r>
          </w:p>
        </w:tc>
      </w:tr>
      <w:tr w:rsidR="00B10A21" w:rsidRPr="00902A6C" w14:paraId="3A4B93F2" w14:textId="77777777" w:rsidTr="00B10A21">
        <w:tc>
          <w:tcPr>
            <w:tcW w:w="2448" w:type="dxa"/>
            <w:hideMark/>
          </w:tcPr>
          <w:p w14:paraId="51D33CB1"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w:t>
            </w:r>
          </w:p>
        </w:tc>
        <w:tc>
          <w:tcPr>
            <w:tcW w:w="1057" w:type="dxa"/>
            <w:hideMark/>
          </w:tcPr>
          <w:p w14:paraId="2FCC27A5"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4619BA82"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0.78</w:t>
            </w:r>
          </w:p>
        </w:tc>
        <w:tc>
          <w:tcPr>
            <w:tcW w:w="0" w:type="auto"/>
            <w:hideMark/>
          </w:tcPr>
          <w:p w14:paraId="6414F7B3"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0.006</w:t>
            </w:r>
          </w:p>
        </w:tc>
        <w:tc>
          <w:tcPr>
            <w:tcW w:w="0" w:type="auto"/>
            <w:hideMark/>
          </w:tcPr>
          <w:p w14:paraId="136F6C2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p>
        </w:tc>
        <w:tc>
          <w:tcPr>
            <w:tcW w:w="0" w:type="auto"/>
            <w:hideMark/>
          </w:tcPr>
          <w:p w14:paraId="349459F3"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0.77</w:t>
            </w:r>
          </w:p>
        </w:tc>
      </w:tr>
      <w:tr w:rsidR="00B10A21" w:rsidRPr="00902A6C" w14:paraId="0CADB661" w14:textId="77777777" w:rsidTr="00B10A21">
        <w:tc>
          <w:tcPr>
            <w:tcW w:w="2448" w:type="dxa"/>
            <w:hideMark/>
          </w:tcPr>
          <w:p w14:paraId="00778E7F"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Average fruit length</w:t>
            </w:r>
          </w:p>
        </w:tc>
        <w:tc>
          <w:tcPr>
            <w:tcW w:w="1057" w:type="dxa"/>
            <w:hideMark/>
          </w:tcPr>
          <w:p w14:paraId="05A260F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416F0B32"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0.13</w:t>
            </w:r>
          </w:p>
        </w:tc>
        <w:tc>
          <w:tcPr>
            <w:tcW w:w="0" w:type="auto"/>
            <w:hideMark/>
          </w:tcPr>
          <w:p w14:paraId="5C0D613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0.04</w:t>
            </w:r>
          </w:p>
        </w:tc>
        <w:tc>
          <w:tcPr>
            <w:tcW w:w="0" w:type="auto"/>
            <w:hideMark/>
          </w:tcPr>
          <w:p w14:paraId="0857C36B"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p>
        </w:tc>
        <w:tc>
          <w:tcPr>
            <w:tcW w:w="0" w:type="auto"/>
            <w:hideMark/>
          </w:tcPr>
          <w:p w14:paraId="29F08F1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0.16</w:t>
            </w:r>
          </w:p>
        </w:tc>
      </w:tr>
      <w:tr w:rsidR="00B10A21" w:rsidRPr="00902A6C" w14:paraId="68DF443B" w14:textId="77777777" w:rsidTr="00B10A21">
        <w:tc>
          <w:tcPr>
            <w:tcW w:w="2448" w:type="dxa"/>
            <w:hideMark/>
          </w:tcPr>
          <w:p w14:paraId="7F3A5EFB"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width </w:t>
            </w:r>
          </w:p>
        </w:tc>
        <w:tc>
          <w:tcPr>
            <w:tcW w:w="1057" w:type="dxa"/>
            <w:hideMark/>
          </w:tcPr>
          <w:p w14:paraId="7D5AC8C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0.05</w:t>
            </w:r>
          </w:p>
        </w:tc>
        <w:tc>
          <w:tcPr>
            <w:tcW w:w="0" w:type="auto"/>
            <w:hideMark/>
          </w:tcPr>
          <w:p w14:paraId="1ED5756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-0.04</w:t>
            </w:r>
          </w:p>
        </w:tc>
        <w:tc>
          <w:tcPr>
            <w:tcW w:w="0" w:type="auto"/>
            <w:hideMark/>
          </w:tcPr>
          <w:p w14:paraId="7E05B4AD"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3BF13CE5"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0.25</w:t>
            </w:r>
          </w:p>
        </w:tc>
        <w:tc>
          <w:tcPr>
            <w:tcW w:w="0" w:type="auto"/>
            <w:hideMark/>
          </w:tcPr>
          <w:p w14:paraId="30B9F456"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0.26</w:t>
            </w:r>
          </w:p>
        </w:tc>
      </w:tr>
    </w:tbl>
    <w:p w14:paraId="5849861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The high direct effect of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was accompanied by a strong positive correlation with green fruit yield (r = 0.77). This indicates that the strong association between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and green fruit yield was predominantly attributable to its direct contribution rather than being mediated through other component traits. The indirect effects of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through fruit weight, fruit length and fruit width were relatively small, further supporting its importance as a direct yield component.</w:t>
      </w:r>
    </w:p>
    <w:p w14:paraId="17AA0776"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width showed a positive direct effect of 0.2</w:t>
      </w:r>
      <w:r w:rsidR="005E571B"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xml:space="preserve"> and a positive correlation with green fruit yield (r = 0.2</w:t>
      </w:r>
      <w:r w:rsidR="005E571B" w:rsidRPr="00902A6C">
        <w:rPr>
          <w:rFonts w:ascii="Times New Roman" w:eastAsia="Times New Roman" w:hAnsi="Times New Roman" w:cs="Times New Roman"/>
          <w:sz w:val="24"/>
          <w:szCs w:val="24"/>
        </w:rPr>
        <w:t>6</w:t>
      </w:r>
      <w:r w:rsidRPr="00277C6B">
        <w:rPr>
          <w:rFonts w:ascii="Times New Roman" w:eastAsia="Times New Roman" w:hAnsi="Times New Roman" w:cs="Times New Roman"/>
          <w:sz w:val="24"/>
          <w:szCs w:val="24"/>
        </w:rPr>
        <w:t xml:space="preserve">). Its indirect effect through fruit weight was positive (0.05), whereas its indirect effects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(-0.04) and fruit length (-0.001) were relatively small and negative. Thus, the overall positive association of fruit width with yield was primarily supported by its direct effect.</w:t>
      </w:r>
    </w:p>
    <w:p w14:paraId="70ECEAF1"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weight recorded a positive direct effect of 0.1</w:t>
      </w:r>
      <w:r w:rsidR="005E571B" w:rsidRPr="00902A6C">
        <w:rPr>
          <w:rFonts w:ascii="Times New Roman" w:eastAsia="Times New Roman" w:hAnsi="Times New Roman" w:cs="Times New Roman"/>
          <w:sz w:val="24"/>
          <w:szCs w:val="24"/>
        </w:rPr>
        <w:t>2</w:t>
      </w:r>
      <w:r w:rsidRPr="00277C6B">
        <w:rPr>
          <w:rFonts w:ascii="Times New Roman" w:eastAsia="Times New Roman" w:hAnsi="Times New Roman" w:cs="Times New Roman"/>
          <w:sz w:val="24"/>
          <w:szCs w:val="24"/>
        </w:rPr>
        <w:t xml:space="preserve">. Its overall correlation with green fruit yield was 0.23, which was partly supported by a positive indirect effect through fruit width (0.11). The indirect effects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and fruit length were negligible and negative.</w:t>
      </w:r>
    </w:p>
    <w:p w14:paraId="4BFE1EC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length recorded the lowest direct effect (0.0</w:t>
      </w:r>
      <w:r w:rsidR="005E571B" w:rsidRPr="00902A6C">
        <w:rPr>
          <w:rFonts w:ascii="Times New Roman" w:eastAsia="Times New Roman" w:hAnsi="Times New Roman" w:cs="Times New Roman"/>
          <w:sz w:val="24"/>
          <w:szCs w:val="24"/>
        </w:rPr>
        <w:t>4</w:t>
      </w:r>
      <w:r w:rsidRPr="00277C6B">
        <w:rPr>
          <w:rFonts w:ascii="Times New Roman" w:eastAsia="Times New Roman" w:hAnsi="Times New Roman" w:cs="Times New Roman"/>
          <w:sz w:val="24"/>
          <w:szCs w:val="24"/>
        </w:rPr>
        <w:t xml:space="preserve">), despite showing a positive correlation with green fruit yield (r = 0.16). Its positive indirect effect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(0.13) was considerably greater than its direct effect. This indicates that the association of fruit length with green fruit yield was largely mediated through its relationship with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w:t>
      </w:r>
    </w:p>
    <w:p w14:paraId="6EEFA29D" w14:textId="77777777" w:rsidR="00277C6B" w:rsidRPr="00902A6C"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Conclusion</w:t>
      </w:r>
    </w:p>
    <w:p w14:paraId="7A3E5792" w14:textId="77777777" w:rsidR="0014430E" w:rsidRDefault="0014430E" w:rsidP="00902A6C">
      <w:pPr>
        <w:spacing w:before="100" w:beforeAutospacing="1" w:after="100" w:afterAutospacing="1" w:line="360" w:lineRule="auto"/>
        <w:jc w:val="both"/>
        <w:outlineLvl w:val="0"/>
        <w:rPr>
          <w:rFonts w:ascii="Times New Roman" w:hAnsi="Times New Roman" w:cs="Times New Roman"/>
          <w:sz w:val="24"/>
          <w:szCs w:val="24"/>
        </w:rPr>
      </w:pPr>
      <w:r w:rsidRPr="00277C6B">
        <w:rPr>
          <w:rFonts w:ascii="Times New Roman" w:eastAsia="Times New Roman" w:hAnsi="Times New Roman" w:cs="Times New Roman"/>
          <w:sz w:val="24"/>
          <w:szCs w:val="24"/>
        </w:rPr>
        <w:t xml:space="preserve">Population-wise correlation analysis revealed that </w:t>
      </w:r>
      <w:r w:rsidRPr="00902A6C">
        <w:rPr>
          <w:rFonts w:ascii="Times New Roman" w:eastAsia="Times New Roman" w:hAnsi="Times New Roman" w:cs="Times New Roman"/>
          <w:sz w:val="24"/>
          <w:szCs w:val="24"/>
        </w:rPr>
        <w:t xml:space="preserve">average </w:t>
      </w:r>
      <w:r w:rsidRPr="00902A6C">
        <w:rPr>
          <w:rFonts w:ascii="Times New Roman" w:hAnsi="Times New Roman" w:cs="Times New Roman"/>
          <w:sz w:val="24"/>
          <w:szCs w:val="24"/>
        </w:rPr>
        <w:t>fruit number plant</w:t>
      </w:r>
      <w:r w:rsidRPr="00902A6C">
        <w:rPr>
          <w:rFonts w:ascii="Times New Roman" w:hAnsi="Times New Roman" w:cs="Times New Roman"/>
          <w:sz w:val="24"/>
          <w:szCs w:val="24"/>
          <w:vertAlign w:val="superscript"/>
        </w:rPr>
        <w:t>-1</w:t>
      </w:r>
      <w:r w:rsidRPr="00902A6C">
        <w:rPr>
          <w:rFonts w:ascii="Times New Roman" w:hAnsi="Times New Roman" w:cs="Times New Roman"/>
          <w:sz w:val="24"/>
          <w:szCs w:val="24"/>
        </w:rPr>
        <w:t xml:space="preserve"> exhibited a strong and consistent positive association with green fruit yield across all five superior MP-derived populations and recorded the highest direct effect in path analysis. Therefore, </w:t>
      </w:r>
      <w:r w:rsidRPr="00902A6C">
        <w:rPr>
          <w:rStyle w:val="Strong"/>
          <w:rFonts w:ascii="Times New Roman" w:hAnsi="Times New Roman" w:cs="Times New Roman"/>
          <w:b w:val="0"/>
          <w:sz w:val="24"/>
          <w:szCs w:val="24"/>
        </w:rPr>
        <w:t>fruit number plant</w:t>
      </w:r>
      <w:r w:rsidRPr="00902A6C">
        <w:rPr>
          <w:rStyle w:val="Strong"/>
          <w:rFonts w:ascii="Times New Roman" w:hAnsi="Times New Roman" w:cs="Times New Roman"/>
          <w:b w:val="0"/>
          <w:sz w:val="24"/>
          <w:szCs w:val="24"/>
          <w:vertAlign w:val="superscript"/>
        </w:rPr>
        <w:t>-1</w:t>
      </w:r>
      <w:r w:rsidRPr="00902A6C">
        <w:rPr>
          <w:rStyle w:val="Strong"/>
          <w:rFonts w:ascii="Times New Roman" w:hAnsi="Times New Roman" w:cs="Times New Roman"/>
          <w:b w:val="0"/>
          <w:sz w:val="24"/>
          <w:szCs w:val="24"/>
        </w:rPr>
        <w:t xml:space="preserve"> can be considered an important selection criterion for improving green fruit yield in </w:t>
      </w:r>
      <w:proofErr w:type="spellStart"/>
      <w:r w:rsidRPr="00902A6C">
        <w:rPr>
          <w:rStyle w:val="Strong"/>
          <w:rFonts w:ascii="Times New Roman" w:hAnsi="Times New Roman" w:cs="Times New Roman"/>
          <w:b w:val="0"/>
          <w:sz w:val="24"/>
          <w:szCs w:val="24"/>
        </w:rPr>
        <w:t>chilli</w:t>
      </w:r>
      <w:proofErr w:type="spellEnd"/>
      <w:r w:rsidRPr="00902A6C">
        <w:rPr>
          <w:rFonts w:ascii="Times New Roman" w:hAnsi="Times New Roman" w:cs="Times New Roman"/>
          <w:sz w:val="24"/>
          <w:szCs w:val="24"/>
        </w:rPr>
        <w:t>.</w:t>
      </w:r>
    </w:p>
    <w:p w14:paraId="404E6AE1" w14:textId="77777777" w:rsidR="00CD526D" w:rsidRDefault="00CD526D" w:rsidP="0011755E">
      <w:pPr>
        <w:spacing w:after="0" w:line="240" w:lineRule="auto"/>
        <w:rPr>
          <w:rFonts w:ascii="Times New Roman" w:hAnsi="Times New Roman" w:cs="Times New Roman"/>
          <w:b/>
        </w:rPr>
      </w:pPr>
    </w:p>
    <w:p w14:paraId="5D97AFBB" w14:textId="77777777" w:rsidR="00CD526D" w:rsidRDefault="00CD526D" w:rsidP="0011755E">
      <w:pPr>
        <w:spacing w:after="0" w:line="240" w:lineRule="auto"/>
        <w:rPr>
          <w:rFonts w:ascii="Times New Roman" w:hAnsi="Times New Roman" w:cs="Times New Roman"/>
          <w:b/>
        </w:rPr>
      </w:pPr>
    </w:p>
    <w:p w14:paraId="15826F6C" w14:textId="77777777" w:rsidR="00CD526D" w:rsidRDefault="00CD526D" w:rsidP="0011755E">
      <w:pPr>
        <w:spacing w:after="0" w:line="240" w:lineRule="auto"/>
        <w:rPr>
          <w:rFonts w:ascii="Times New Roman" w:hAnsi="Times New Roman" w:cs="Times New Roman"/>
          <w:b/>
        </w:rPr>
      </w:pPr>
    </w:p>
    <w:p w14:paraId="186AC58F" w14:textId="1F3D80C9" w:rsidR="0011755E" w:rsidRDefault="0011755E" w:rsidP="0011755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329B2B9" w14:textId="77777777" w:rsidR="0011755E" w:rsidRDefault="0011755E" w:rsidP="0011755E">
      <w:pPr>
        <w:spacing w:after="0" w:line="240" w:lineRule="auto"/>
        <w:rPr>
          <w:rFonts w:ascii="Times New Roman" w:hAnsi="Times New Roman" w:cs="Times New Roman"/>
          <w:b/>
        </w:rPr>
      </w:pPr>
    </w:p>
    <w:p w14:paraId="01BA50C2" w14:textId="77777777" w:rsidR="0011755E" w:rsidRDefault="0011755E" w:rsidP="0011755E">
      <w:pPr>
        <w:spacing w:after="0" w:line="240" w:lineRule="auto"/>
        <w:rPr>
          <w:rFonts w:ascii="Times New Roman" w:hAnsi="Times New Roman" w:cs="Times New Roman"/>
          <w:b/>
        </w:rPr>
      </w:pPr>
    </w:p>
    <w:p w14:paraId="63B8C504" w14:textId="77777777" w:rsidR="0011755E" w:rsidRDefault="0011755E" w:rsidP="0011755E">
      <w:pPr>
        <w:spacing w:after="0" w:line="240" w:lineRule="auto"/>
        <w:rPr>
          <w:rFonts w:ascii="Times New Roman" w:hAnsi="Times New Roman" w:cs="Times New Roman"/>
          <w:b/>
        </w:rPr>
      </w:pPr>
    </w:p>
    <w:p w14:paraId="426B208B" w14:textId="77777777" w:rsidR="0011755E" w:rsidRPr="002D08AC" w:rsidRDefault="0011755E" w:rsidP="0011755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28FF9B0" w14:textId="77777777" w:rsidR="0011755E" w:rsidRPr="00902A6C" w:rsidRDefault="0011755E" w:rsidP="00902A6C">
      <w:pPr>
        <w:spacing w:before="100" w:beforeAutospacing="1" w:after="100" w:afterAutospacing="1" w:line="360" w:lineRule="auto"/>
        <w:jc w:val="both"/>
        <w:outlineLvl w:val="0"/>
        <w:rPr>
          <w:rFonts w:ascii="Times New Roman" w:hAnsi="Times New Roman" w:cs="Times New Roman"/>
          <w:sz w:val="24"/>
          <w:szCs w:val="24"/>
        </w:rPr>
      </w:pPr>
    </w:p>
    <w:p w14:paraId="44B263AA" w14:textId="77777777" w:rsidR="002D428D" w:rsidRPr="00902A6C" w:rsidRDefault="002D428D" w:rsidP="00902A6C">
      <w:pPr>
        <w:spacing w:before="100" w:beforeAutospacing="1" w:after="100" w:afterAutospacing="1" w:line="360" w:lineRule="auto"/>
        <w:jc w:val="both"/>
        <w:outlineLvl w:val="0"/>
        <w:rPr>
          <w:rFonts w:ascii="Times New Roman" w:hAnsi="Times New Roman" w:cs="Times New Roman"/>
          <w:b/>
          <w:sz w:val="24"/>
          <w:szCs w:val="24"/>
        </w:rPr>
      </w:pPr>
      <w:r w:rsidRPr="00902A6C">
        <w:rPr>
          <w:rFonts w:ascii="Times New Roman" w:hAnsi="Times New Roman" w:cs="Times New Roman"/>
          <w:b/>
          <w:sz w:val="24"/>
          <w:szCs w:val="24"/>
        </w:rPr>
        <w:t>References</w:t>
      </w:r>
    </w:p>
    <w:p w14:paraId="0AA652B1" w14:textId="77777777" w:rsidR="0048624F" w:rsidRDefault="0048624F" w:rsidP="0048624F">
      <w:pPr>
        <w:pStyle w:val="NormalWeb"/>
        <w:numPr>
          <w:ilvl w:val="0"/>
          <w:numId w:val="9"/>
        </w:numPr>
        <w:spacing w:line="360" w:lineRule="auto"/>
        <w:jc w:val="both"/>
      </w:pPr>
      <w:r>
        <w:t xml:space="preserve">Ali, M. M., Khalid, N. I., Wondi, M. H., Haris, N. I. N., &amp; Azman, P. N. M. A. (2025). Exploring the nutritional values, volatile compounds, health benefits, and potential food products of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A comprehensive review. </w:t>
      </w:r>
      <w:r>
        <w:rPr>
          <w:rStyle w:val="Emphasis"/>
        </w:rPr>
        <w:t>Food Chemistry</w:t>
      </w:r>
      <w:r>
        <w:t xml:space="preserve">, 490, 145091. </w:t>
      </w:r>
      <w:hyperlink r:id="rId7" w:history="1">
        <w:r>
          <w:rPr>
            <w:rStyle w:val="Hyperlink"/>
          </w:rPr>
          <w:t>https://doi.org/10.1016/j.foodchem.2025.145091</w:t>
        </w:r>
      </w:hyperlink>
    </w:p>
    <w:p w14:paraId="29BF134A" w14:textId="77777777" w:rsidR="0048624F" w:rsidRDefault="0048624F" w:rsidP="0048624F">
      <w:pPr>
        <w:pStyle w:val="NormalWeb"/>
        <w:numPr>
          <w:ilvl w:val="0"/>
          <w:numId w:val="9"/>
        </w:numPr>
        <w:spacing w:line="360" w:lineRule="auto"/>
        <w:jc w:val="both"/>
      </w:pPr>
      <w:r>
        <w:t>Al-</w:t>
      </w:r>
      <w:proofErr w:type="spellStart"/>
      <w:r>
        <w:t>Jibouri</w:t>
      </w:r>
      <w:proofErr w:type="spellEnd"/>
      <w:r>
        <w:t xml:space="preserve">, H. A., Miller, P. A., &amp; Robinson, H. F. (1958). Genotypic and environmental variances and covariances in an upland cotton cross of interspecific origin. </w:t>
      </w:r>
      <w:r>
        <w:rPr>
          <w:rStyle w:val="Emphasis"/>
        </w:rPr>
        <w:t>Agronomy Journal</w:t>
      </w:r>
      <w:r>
        <w:t>, 50(10), 633–636.</w:t>
      </w:r>
    </w:p>
    <w:p w14:paraId="2253C032" w14:textId="77777777" w:rsidR="0048624F" w:rsidRDefault="0048624F" w:rsidP="0048624F">
      <w:pPr>
        <w:pStyle w:val="NormalWeb"/>
        <w:numPr>
          <w:ilvl w:val="0"/>
          <w:numId w:val="9"/>
        </w:numPr>
        <w:spacing w:line="360" w:lineRule="auto"/>
        <w:jc w:val="both"/>
      </w:pPr>
      <w:r>
        <w:t xml:space="preserve">Amit, V., Warshamana, I. K., &amp; Meenu, G. (2014). Genetic correlation and path coefficient studies on yield and biochemical traits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w:t>
      </w:r>
      <w:r>
        <w:rPr>
          <w:rStyle w:val="Emphasis"/>
        </w:rPr>
        <w:t>International Journal of Farm Sciences</w:t>
      </w:r>
      <w:r>
        <w:t>, 4(2), 70–75.</w:t>
      </w:r>
    </w:p>
    <w:p w14:paraId="02010E7E" w14:textId="77777777" w:rsidR="0048624F" w:rsidRDefault="0048624F" w:rsidP="0048624F">
      <w:pPr>
        <w:pStyle w:val="NormalWeb"/>
        <w:numPr>
          <w:ilvl w:val="0"/>
          <w:numId w:val="9"/>
        </w:numPr>
        <w:spacing w:line="360" w:lineRule="auto"/>
        <w:jc w:val="both"/>
      </w:pPr>
      <w:r>
        <w:t xml:space="preserve">Balakrishnan, S., Harinarayanan, U. N. D., &amp; Arjunan, S. (2026). Morpho-molecular diversity analysis of </w:t>
      </w:r>
      <w:proofErr w:type="spellStart"/>
      <w:r>
        <w:t>chilli</w:t>
      </w:r>
      <w:proofErr w:type="spellEnd"/>
      <w:r>
        <w:t xml:space="preserve"> (</w:t>
      </w:r>
      <w:r>
        <w:rPr>
          <w:rStyle w:val="Emphasis"/>
        </w:rPr>
        <w:t>Capsicum</w:t>
      </w:r>
      <w:r>
        <w:t xml:space="preserve"> sp.) genotypes using quantitative traits and SSR markers. </w:t>
      </w:r>
      <w:r>
        <w:rPr>
          <w:rStyle w:val="Emphasis"/>
        </w:rPr>
        <w:t>Discover Plants</w:t>
      </w:r>
      <w:r>
        <w:t xml:space="preserve">, 3, 115. </w:t>
      </w:r>
      <w:hyperlink r:id="rId8" w:history="1">
        <w:r>
          <w:rPr>
            <w:rStyle w:val="Hyperlink"/>
          </w:rPr>
          <w:t>https://doi.org/10.1007/s44372-026-00546-8</w:t>
        </w:r>
      </w:hyperlink>
    </w:p>
    <w:p w14:paraId="7D95A075" w14:textId="77777777" w:rsidR="0048624F" w:rsidRDefault="0048624F" w:rsidP="0048624F">
      <w:pPr>
        <w:pStyle w:val="NormalWeb"/>
        <w:numPr>
          <w:ilvl w:val="0"/>
          <w:numId w:val="9"/>
        </w:numPr>
        <w:spacing w:line="360" w:lineRule="auto"/>
        <w:jc w:val="both"/>
      </w:pPr>
      <w:proofErr w:type="spellStart"/>
      <w:r>
        <w:t>Baseerat</w:t>
      </w:r>
      <w:proofErr w:type="spellEnd"/>
      <w:r>
        <w:t>, A., Khan, S. H., Mushtaq, F., Hussain, K., &amp; Nabi, A. (2013). Variability and correlation studies in sweet pepper (</w:t>
      </w:r>
      <w:r>
        <w:rPr>
          <w:rStyle w:val="Emphasis"/>
        </w:rPr>
        <w:t>Capsicum annuum</w:t>
      </w:r>
      <w:r>
        <w:t xml:space="preserve"> L.). </w:t>
      </w:r>
      <w:r>
        <w:rPr>
          <w:rStyle w:val="Emphasis"/>
        </w:rPr>
        <w:t>Progressive Horticulture</w:t>
      </w:r>
      <w:r>
        <w:t>, 45(1), 209–213.</w:t>
      </w:r>
    </w:p>
    <w:p w14:paraId="70399A8B" w14:textId="77777777" w:rsidR="0048624F" w:rsidRDefault="0048624F" w:rsidP="0048624F">
      <w:pPr>
        <w:pStyle w:val="NormalWeb"/>
        <w:numPr>
          <w:ilvl w:val="0"/>
          <w:numId w:val="9"/>
        </w:numPr>
        <w:spacing w:line="360" w:lineRule="auto"/>
        <w:jc w:val="both"/>
      </w:pPr>
      <w:proofErr w:type="spellStart"/>
      <w:r>
        <w:t>Bijalwan</w:t>
      </w:r>
      <w:proofErr w:type="spellEnd"/>
      <w:r>
        <w:t xml:space="preserve">, P., &amp; Mishra, A. C. (2013). Correlation and path coefficient analysis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for yield and yield attributing traits. </w:t>
      </w:r>
      <w:r>
        <w:rPr>
          <w:rStyle w:val="Emphasis"/>
        </w:rPr>
        <w:t>International Journal of Scientific Research</w:t>
      </w:r>
      <w:r>
        <w:t>, 5(3), 1589–1592.</w:t>
      </w:r>
    </w:p>
    <w:p w14:paraId="6CEAC8F2" w14:textId="77777777" w:rsidR="0048624F" w:rsidRDefault="0048624F" w:rsidP="0048624F">
      <w:pPr>
        <w:pStyle w:val="NormalWeb"/>
        <w:numPr>
          <w:ilvl w:val="0"/>
          <w:numId w:val="9"/>
        </w:numPr>
        <w:spacing w:line="360" w:lineRule="auto"/>
        <w:jc w:val="both"/>
      </w:pPr>
      <w:r>
        <w:t xml:space="preserve">Bundela, M., Pant, S. C., Huri, M., &amp; Singh, K. (2018). Correlation and path coefficient analysis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for yield and yield attributing traits. </w:t>
      </w:r>
      <w:r>
        <w:rPr>
          <w:rStyle w:val="Emphasis"/>
        </w:rPr>
        <w:t>International Journal of Current Microbiology and Applied Sciences</w:t>
      </w:r>
      <w:r>
        <w:t xml:space="preserve">, 7, 77–82. </w:t>
      </w:r>
      <w:hyperlink r:id="rId9" w:history="1">
        <w:r>
          <w:rPr>
            <w:rStyle w:val="Hyperlink"/>
          </w:rPr>
          <w:t>https://doi.org/10.20546/ijcmas.2018.711.011</w:t>
        </w:r>
      </w:hyperlink>
    </w:p>
    <w:p w14:paraId="062BCEE6" w14:textId="77777777" w:rsidR="0048624F" w:rsidRDefault="0048624F" w:rsidP="0048624F">
      <w:pPr>
        <w:pStyle w:val="NormalWeb"/>
        <w:numPr>
          <w:ilvl w:val="0"/>
          <w:numId w:val="9"/>
        </w:numPr>
        <w:spacing w:line="360" w:lineRule="auto"/>
        <w:jc w:val="both"/>
      </w:pPr>
      <w:r>
        <w:t>Chakrabarty, S., et al. (2017). Selection criteria for improving yield in chili (</w:t>
      </w:r>
      <w:r>
        <w:rPr>
          <w:rStyle w:val="Emphasis"/>
        </w:rPr>
        <w:t>Capsicum annuum</w:t>
      </w:r>
      <w:r>
        <w:t xml:space="preserve">). </w:t>
      </w:r>
      <w:r>
        <w:rPr>
          <w:rStyle w:val="Emphasis"/>
        </w:rPr>
        <w:t>Advances in Agriculture</w:t>
      </w:r>
      <w:r>
        <w:t>, 2017, 5437870.</w:t>
      </w:r>
    </w:p>
    <w:p w14:paraId="59ACFF15" w14:textId="77777777" w:rsidR="0048624F" w:rsidRDefault="0048624F" w:rsidP="0048624F">
      <w:pPr>
        <w:pStyle w:val="NormalWeb"/>
        <w:numPr>
          <w:ilvl w:val="0"/>
          <w:numId w:val="9"/>
        </w:numPr>
        <w:spacing w:line="360" w:lineRule="auto"/>
        <w:jc w:val="both"/>
      </w:pPr>
      <w:r>
        <w:t xml:space="preserve">Chethan Kumar, S., Sahu, G. S., &amp; Kamble, C. (2019). Character association and path co-efficient analysis studies on yield and yield attributing characters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germplasm. </w:t>
      </w:r>
      <w:r>
        <w:rPr>
          <w:rStyle w:val="Emphasis"/>
        </w:rPr>
        <w:t>International Journal of Current Microbiology and Applied Sciences</w:t>
      </w:r>
      <w:r>
        <w:t>, 8(4), 1051–1058.</w:t>
      </w:r>
    </w:p>
    <w:p w14:paraId="5CC2A4F0" w14:textId="77777777" w:rsidR="0048624F" w:rsidRDefault="0048624F" w:rsidP="0048624F">
      <w:pPr>
        <w:pStyle w:val="NormalWeb"/>
        <w:numPr>
          <w:ilvl w:val="0"/>
          <w:numId w:val="9"/>
        </w:numPr>
        <w:spacing w:line="360" w:lineRule="auto"/>
        <w:jc w:val="both"/>
      </w:pPr>
      <w:r>
        <w:t xml:space="preserve">Datta, S., &amp; Jana, J. C. (2010). Genetic variability, heritability and correlation in </w:t>
      </w:r>
      <w:proofErr w:type="spellStart"/>
      <w:r>
        <w:t>chilli</w:t>
      </w:r>
      <w:proofErr w:type="spellEnd"/>
      <w:r>
        <w:t xml:space="preserve"> genotypes under </w:t>
      </w:r>
      <w:proofErr w:type="spellStart"/>
      <w:r>
        <w:t>Terai</w:t>
      </w:r>
      <w:proofErr w:type="spellEnd"/>
      <w:r>
        <w:t xml:space="preserve"> zone of West Bengal. </w:t>
      </w:r>
      <w:r>
        <w:rPr>
          <w:rStyle w:val="Emphasis"/>
        </w:rPr>
        <w:t>SAARC Journal of Agriculture</w:t>
      </w:r>
      <w:r>
        <w:t>, 8(1), 33–45.</w:t>
      </w:r>
    </w:p>
    <w:p w14:paraId="323E8300" w14:textId="77777777" w:rsidR="0048624F" w:rsidRDefault="0048624F" w:rsidP="0048624F">
      <w:pPr>
        <w:pStyle w:val="NormalWeb"/>
        <w:numPr>
          <w:ilvl w:val="0"/>
          <w:numId w:val="9"/>
        </w:numPr>
        <w:spacing w:line="360" w:lineRule="auto"/>
        <w:jc w:val="both"/>
      </w:pPr>
      <w:r>
        <w:t xml:space="preserve">Deepika, D. D., Sharma, V. P., Mehta, G., Mehta, H., Pandey, C. D., Gaikwad, A. B., Mangal, M., Srivastava, A., Singh, A. K., Bharti, H., Abhishek, G. J., </w:t>
      </w:r>
      <w:proofErr w:type="spellStart"/>
      <w:r>
        <w:t>Madival</w:t>
      </w:r>
      <w:proofErr w:type="spellEnd"/>
      <w:r>
        <w:t xml:space="preserve">, S. D., </w:t>
      </w:r>
      <w:proofErr w:type="spellStart"/>
      <w:r>
        <w:t>Danakumar</w:t>
      </w:r>
      <w:proofErr w:type="spellEnd"/>
      <w:r>
        <w:t xml:space="preserve">, T., Gautam, R. K., Rana, J. C., Singh, G. P., &amp; Sharma, V. K. (2026). Dissecting the genetic diversity of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A germplasm-wide analysis of agro-morphological traits. </w:t>
      </w:r>
      <w:r>
        <w:rPr>
          <w:rStyle w:val="Emphasis"/>
        </w:rPr>
        <w:t>Crop Breeding, Genetics and Genomics</w:t>
      </w:r>
      <w:r>
        <w:t>, 8(1), e260003.</w:t>
      </w:r>
    </w:p>
    <w:p w14:paraId="23345B7D" w14:textId="77777777" w:rsidR="0048624F" w:rsidRDefault="0048624F" w:rsidP="0048624F">
      <w:pPr>
        <w:pStyle w:val="NormalWeb"/>
        <w:numPr>
          <w:ilvl w:val="0"/>
          <w:numId w:val="9"/>
        </w:numPr>
        <w:spacing w:line="360" w:lineRule="auto"/>
        <w:jc w:val="both"/>
      </w:pPr>
      <w:r>
        <w:t xml:space="preserve">Dewey, D. R., &amp; Lu, K. H. (1959). A correlation and path-coefficient analysis of components of crested wheatgrass seed production. </w:t>
      </w:r>
      <w:r>
        <w:rPr>
          <w:rStyle w:val="Emphasis"/>
        </w:rPr>
        <w:t>Agronomy Journal</w:t>
      </w:r>
      <w:r>
        <w:t>, 51(9), 515–518.</w:t>
      </w:r>
    </w:p>
    <w:p w14:paraId="2AA67EA3" w14:textId="77777777" w:rsidR="0048624F" w:rsidRDefault="0048624F" w:rsidP="0048624F">
      <w:pPr>
        <w:pStyle w:val="NormalWeb"/>
        <w:numPr>
          <w:ilvl w:val="0"/>
          <w:numId w:val="9"/>
        </w:numPr>
        <w:spacing w:line="360" w:lineRule="auto"/>
        <w:jc w:val="both"/>
      </w:pPr>
      <w:r>
        <w:t xml:space="preserve">Dixita, P., Patel, B. R., Patel, J. R., &amp; </w:t>
      </w:r>
      <w:proofErr w:type="spellStart"/>
      <w:r>
        <w:t>Kuchhadiya</w:t>
      </w:r>
      <w:proofErr w:type="spellEnd"/>
      <w:r>
        <w:t xml:space="preserve">, G. V. (2015). Genetic variability and character association studies for green fruit yield and quality component traits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var. </w:t>
      </w:r>
      <w:r>
        <w:rPr>
          <w:rStyle w:val="Emphasis"/>
        </w:rPr>
        <w:t>longum</w:t>
      </w:r>
      <w:r>
        <w:t xml:space="preserve">). </w:t>
      </w:r>
      <w:r>
        <w:rPr>
          <w:rStyle w:val="Emphasis"/>
        </w:rPr>
        <w:t>Electronic Journal of Plant Breeding</w:t>
      </w:r>
      <w:r>
        <w:t>, 6(2), 472–478.</w:t>
      </w:r>
    </w:p>
    <w:p w14:paraId="5054FDD8" w14:textId="77777777" w:rsidR="0048624F" w:rsidRDefault="0048624F" w:rsidP="0048624F">
      <w:pPr>
        <w:pStyle w:val="NormalWeb"/>
        <w:numPr>
          <w:ilvl w:val="0"/>
          <w:numId w:val="9"/>
        </w:numPr>
        <w:spacing w:line="360" w:lineRule="auto"/>
        <w:jc w:val="both"/>
      </w:pPr>
      <w:r>
        <w:t xml:space="preserve">Gupta, A. M., Singh, D., &amp; Kumar, A. (2009). Genetic variability, genetic advance and correlation in </w:t>
      </w:r>
      <w:proofErr w:type="spellStart"/>
      <w:r>
        <w:t>chilli</w:t>
      </w:r>
      <w:proofErr w:type="spellEnd"/>
      <w:r>
        <w:t xml:space="preserve">. </w:t>
      </w:r>
      <w:r>
        <w:rPr>
          <w:rStyle w:val="Emphasis"/>
        </w:rPr>
        <w:t>Indian Journal of Agricultural Sciences</w:t>
      </w:r>
      <w:r>
        <w:t>, 79, 221–223.</w:t>
      </w:r>
    </w:p>
    <w:p w14:paraId="679B1E02" w14:textId="77777777" w:rsidR="0048624F" w:rsidRDefault="0048624F" w:rsidP="0048624F">
      <w:pPr>
        <w:pStyle w:val="NormalWeb"/>
        <w:numPr>
          <w:ilvl w:val="0"/>
          <w:numId w:val="9"/>
        </w:numPr>
        <w:spacing w:line="360" w:lineRule="auto"/>
        <w:jc w:val="both"/>
      </w:pPr>
      <w:r>
        <w:t xml:space="preserve">Janaki, M., Venkata Ramana, C., Naram Naidu, L., Dilip Babu, J., </w:t>
      </w:r>
      <w:proofErr w:type="spellStart"/>
      <w:r>
        <w:t>Koteswara</w:t>
      </w:r>
      <w:proofErr w:type="spellEnd"/>
      <w:r>
        <w:t xml:space="preserve"> Rao, K., &amp; Uma Krishna, K. (2018). Character association and path co-efficient analysis studies on yield and yield attributing characters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w:t>
      </w:r>
      <w:r>
        <w:rPr>
          <w:rStyle w:val="Emphasis"/>
        </w:rPr>
        <w:t>Electronic Journal of Plant Breeding</w:t>
      </w:r>
      <w:r>
        <w:t>, 9(2), 558–563.</w:t>
      </w:r>
    </w:p>
    <w:p w14:paraId="44DB2B10" w14:textId="77777777" w:rsidR="0048624F" w:rsidRDefault="0048624F" w:rsidP="0048624F">
      <w:pPr>
        <w:pStyle w:val="NormalWeb"/>
        <w:numPr>
          <w:ilvl w:val="0"/>
          <w:numId w:val="9"/>
        </w:numPr>
        <w:spacing w:line="360" w:lineRule="auto"/>
        <w:jc w:val="both"/>
      </w:pPr>
      <w:r>
        <w:t xml:space="preserve">Karim, K. M. R., Rafii, M. Y., Misran, A. B., Ismail, M. F. B., Harun, A. R., Khan, M. M. H., &amp; Chowdhury, M. F. N. (2021). Current and prospective strategies in the varietal improvement of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specially heterosis breeding. </w:t>
      </w:r>
      <w:r>
        <w:rPr>
          <w:rStyle w:val="Emphasis"/>
        </w:rPr>
        <w:t>Agronomy</w:t>
      </w:r>
      <w:r>
        <w:t xml:space="preserve">, 11(11), 2217. </w:t>
      </w:r>
      <w:hyperlink r:id="rId10" w:history="1">
        <w:r>
          <w:rPr>
            <w:rStyle w:val="Hyperlink"/>
          </w:rPr>
          <w:t>https://doi.org/10.3390/agronomy11112217</w:t>
        </w:r>
      </w:hyperlink>
    </w:p>
    <w:p w14:paraId="270FD3B7" w14:textId="77777777" w:rsidR="0048624F" w:rsidRDefault="0048624F" w:rsidP="0048624F">
      <w:pPr>
        <w:pStyle w:val="NormalWeb"/>
        <w:numPr>
          <w:ilvl w:val="0"/>
          <w:numId w:val="9"/>
        </w:numPr>
        <w:spacing w:line="360" w:lineRule="auto"/>
        <w:jc w:val="both"/>
      </w:pPr>
      <w:r>
        <w:t xml:space="preserve">Komala, M., Lakshmi, K. S., &amp; Madhavi, N. (2023). Recent advances in crop improvement of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for high fruit yield and quality. </w:t>
      </w:r>
      <w:r>
        <w:rPr>
          <w:rStyle w:val="Emphasis"/>
        </w:rPr>
        <w:t>Journal of Experimental Agriculture International</w:t>
      </w:r>
      <w:r>
        <w:t>, 45(8), 21–29.</w:t>
      </w:r>
    </w:p>
    <w:p w14:paraId="2539D139" w14:textId="77777777" w:rsidR="0048624F" w:rsidRDefault="0048624F" w:rsidP="0048624F">
      <w:pPr>
        <w:pStyle w:val="NormalWeb"/>
        <w:numPr>
          <w:ilvl w:val="0"/>
          <w:numId w:val="9"/>
        </w:numPr>
        <w:spacing w:line="360" w:lineRule="auto"/>
        <w:jc w:val="both"/>
      </w:pPr>
      <w:r>
        <w:t xml:space="preserve">Madhavi Reddy, K., et al. (2024). </w:t>
      </w:r>
      <w:proofErr w:type="spellStart"/>
      <w:r>
        <w:t>Chillies</w:t>
      </w:r>
      <w:proofErr w:type="spellEnd"/>
      <w:r>
        <w:t xml:space="preserve"> and capsicums in India. In P. N. Ravindran, K. Sivaraman, S. </w:t>
      </w:r>
      <w:proofErr w:type="spellStart"/>
      <w:r>
        <w:t>Devasahayam</w:t>
      </w:r>
      <w:proofErr w:type="spellEnd"/>
      <w:r>
        <w:t xml:space="preserve">, &amp; K. N. Babu (Eds.), </w:t>
      </w:r>
      <w:r>
        <w:rPr>
          <w:rStyle w:val="Emphasis"/>
        </w:rPr>
        <w:t>Handbook of spices in India: 75 years of research and development</w:t>
      </w:r>
      <w:r>
        <w:t xml:space="preserve">. Springer. </w:t>
      </w:r>
      <w:hyperlink r:id="rId11" w:history="1">
        <w:r>
          <w:rPr>
            <w:rStyle w:val="Hyperlink"/>
          </w:rPr>
          <w:t>https://doi.org/10.1007/978-981-19-3728-6_28</w:t>
        </w:r>
      </w:hyperlink>
    </w:p>
    <w:p w14:paraId="361C44F6" w14:textId="77777777" w:rsidR="0048624F" w:rsidRDefault="0048624F" w:rsidP="0048624F">
      <w:pPr>
        <w:pStyle w:val="NormalWeb"/>
        <w:numPr>
          <w:ilvl w:val="0"/>
          <w:numId w:val="9"/>
        </w:numPr>
        <w:spacing w:line="360" w:lineRule="auto"/>
        <w:jc w:val="both"/>
      </w:pPr>
      <w:r>
        <w:t xml:space="preserve">Pradeep, K., Amit, K., &amp; Ishtiyaq, A. (2014). Correlation and path coefficient analysis in yield contributing characters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w:t>
      </w:r>
      <w:r>
        <w:rPr>
          <w:rStyle w:val="Emphasis"/>
        </w:rPr>
        <w:t>International Journal of Farm Sciences</w:t>
      </w:r>
      <w:r>
        <w:t>, 4(4), 104–111.</w:t>
      </w:r>
    </w:p>
    <w:p w14:paraId="758E4F41" w14:textId="77777777" w:rsidR="0048624F" w:rsidRDefault="0048624F" w:rsidP="0048624F">
      <w:pPr>
        <w:pStyle w:val="NormalWeb"/>
        <w:numPr>
          <w:ilvl w:val="0"/>
          <w:numId w:val="9"/>
        </w:numPr>
        <w:spacing w:line="360" w:lineRule="auto"/>
        <w:jc w:val="both"/>
      </w:pPr>
      <w:r>
        <w:t xml:space="preserve">Rana, M., Sharma, R., Sharma, P., Kumar, S., Kumar, D., &amp; Dogra, R. K. (2015). Correlation and path-coefficient analysis for yield and its contributing traits in capsicum, </w:t>
      </w:r>
      <w:r>
        <w:rPr>
          <w:rStyle w:val="Emphasis"/>
        </w:rPr>
        <w:t>Capsicum annuum</w:t>
      </w:r>
      <w:r>
        <w:t xml:space="preserve"> L. </w:t>
      </w:r>
      <w:r>
        <w:rPr>
          <w:rStyle w:val="Emphasis"/>
        </w:rPr>
        <w:t>International Journal of Farm Sciences</w:t>
      </w:r>
      <w:r>
        <w:t>, 5(2), 66–73.</w:t>
      </w:r>
    </w:p>
    <w:p w14:paraId="6F837229" w14:textId="77777777" w:rsidR="0048624F" w:rsidRDefault="0048624F" w:rsidP="0048624F">
      <w:pPr>
        <w:pStyle w:val="NormalWeb"/>
        <w:numPr>
          <w:ilvl w:val="0"/>
          <w:numId w:val="9"/>
        </w:numPr>
        <w:spacing w:line="360" w:lineRule="auto"/>
        <w:jc w:val="both"/>
      </w:pPr>
      <w:r>
        <w:t xml:space="preserve">Sarkar, S., Murmu, D., Chattopadhyay, A., &amp; Hazra, P. (2009). Genetic variability, correlation and path analysis of some morphological characters in </w:t>
      </w:r>
      <w:proofErr w:type="spellStart"/>
      <w:r>
        <w:t>chilli</w:t>
      </w:r>
      <w:proofErr w:type="spellEnd"/>
      <w:r>
        <w:t xml:space="preserve">. </w:t>
      </w:r>
      <w:r>
        <w:rPr>
          <w:rStyle w:val="Emphasis"/>
        </w:rPr>
        <w:t>Journal of Crop and Weed</w:t>
      </w:r>
      <w:r>
        <w:t>, 5(1), 157–161.</w:t>
      </w:r>
    </w:p>
    <w:p w14:paraId="20BF9159" w14:textId="77777777" w:rsidR="0048624F" w:rsidRDefault="0048624F" w:rsidP="0048624F">
      <w:pPr>
        <w:pStyle w:val="NormalWeb"/>
        <w:numPr>
          <w:ilvl w:val="0"/>
          <w:numId w:val="9"/>
        </w:numPr>
        <w:spacing w:line="360" w:lineRule="auto"/>
        <w:jc w:val="both"/>
      </w:pPr>
      <w:r>
        <w:t xml:space="preserve">Shweta, </w:t>
      </w:r>
      <w:proofErr w:type="spellStart"/>
      <w:r>
        <w:t>Basavarajappa</w:t>
      </w:r>
      <w:proofErr w:type="spellEnd"/>
      <w:r>
        <w:t xml:space="preserve">, H. R., Satish, D., </w:t>
      </w:r>
      <w:proofErr w:type="spellStart"/>
      <w:r>
        <w:t>Jagadeesha</w:t>
      </w:r>
      <w:proofErr w:type="spellEnd"/>
      <w:r>
        <w:t xml:space="preserve">, R. C., </w:t>
      </w:r>
      <w:proofErr w:type="spellStart"/>
      <w:r>
        <w:t>Hanachinmani</w:t>
      </w:r>
      <w:proofErr w:type="spellEnd"/>
      <w:r>
        <w:t xml:space="preserve">, C. N., &amp; </w:t>
      </w:r>
      <w:proofErr w:type="spellStart"/>
      <w:r>
        <w:t>Dileepkumar</w:t>
      </w:r>
      <w:proofErr w:type="spellEnd"/>
      <w:r>
        <w:t xml:space="preserve">, A. M. (2018). Genetic correlation and path coefficient analysis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genotypes for growth and yield contributing traits. </w:t>
      </w:r>
      <w:r>
        <w:rPr>
          <w:rStyle w:val="Emphasis"/>
        </w:rPr>
        <w:t>Journal of Pharmacognosy and Phytochemistry</w:t>
      </w:r>
      <w:r>
        <w:t>, 7(2), 1312–1315.</w:t>
      </w:r>
    </w:p>
    <w:p w14:paraId="7037BFF2" w14:textId="77777777" w:rsidR="0048624F" w:rsidRDefault="0048624F" w:rsidP="0048624F">
      <w:pPr>
        <w:pStyle w:val="NormalWeb"/>
        <w:numPr>
          <w:ilvl w:val="0"/>
          <w:numId w:val="9"/>
        </w:numPr>
        <w:spacing w:line="360" w:lineRule="auto"/>
        <w:jc w:val="both"/>
      </w:pPr>
      <w:r>
        <w:t xml:space="preserve">Siddu, C. B., </w:t>
      </w:r>
      <w:proofErr w:type="spellStart"/>
      <w:r>
        <w:t>Channabasava</w:t>
      </w:r>
      <w:proofErr w:type="spellEnd"/>
      <w:r>
        <w:t xml:space="preserve">, Ganesh, P., Susmitha, B., Kalpana, M. P., Rao, A. M., et al. (2025). Breeding potential of multi-parent derived populations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w:t>
      </w:r>
      <w:r>
        <w:rPr>
          <w:rStyle w:val="Emphasis"/>
        </w:rPr>
        <w:t>Journal of Horticultural Sciences</w:t>
      </w:r>
      <w:r>
        <w:t xml:space="preserve">, 20(2). </w:t>
      </w:r>
      <w:hyperlink r:id="rId12" w:history="1">
        <w:r>
          <w:rPr>
            <w:rStyle w:val="Hyperlink"/>
          </w:rPr>
          <w:t>https://doi.org/10.24154/jhs.v20i2.3365</w:t>
        </w:r>
      </w:hyperlink>
    </w:p>
    <w:p w14:paraId="25CBA518" w14:textId="77777777" w:rsidR="0048624F" w:rsidRDefault="0048624F" w:rsidP="0048624F">
      <w:pPr>
        <w:pStyle w:val="NormalWeb"/>
        <w:numPr>
          <w:ilvl w:val="0"/>
          <w:numId w:val="9"/>
        </w:numPr>
        <w:spacing w:line="360" w:lineRule="auto"/>
        <w:jc w:val="both"/>
      </w:pPr>
      <w:r>
        <w:t xml:space="preserve">Singh, Y., Sharma, M., &amp; Sharma, A. (2009). Genetic variation, association of characters, and their direct and indirect contributions for improvement in </w:t>
      </w:r>
      <w:proofErr w:type="spellStart"/>
      <w:r>
        <w:t>chilli</w:t>
      </w:r>
      <w:proofErr w:type="spellEnd"/>
      <w:r>
        <w:t xml:space="preserve"> peppers. </w:t>
      </w:r>
      <w:r>
        <w:rPr>
          <w:rStyle w:val="Emphasis"/>
        </w:rPr>
        <w:t>International Journal of Vegetable Science</w:t>
      </w:r>
      <w:r>
        <w:t>, 15, 340–368.</w:t>
      </w:r>
    </w:p>
    <w:p w14:paraId="10895F11" w14:textId="77777777" w:rsidR="0048624F" w:rsidRDefault="0048624F" w:rsidP="0048624F">
      <w:pPr>
        <w:pStyle w:val="NormalWeb"/>
        <w:numPr>
          <w:ilvl w:val="0"/>
          <w:numId w:val="9"/>
        </w:numPr>
        <w:spacing w:line="360" w:lineRule="auto"/>
        <w:jc w:val="both"/>
      </w:pPr>
      <w:r>
        <w:t xml:space="preserve">Singh, R., Jindal, S. K., &amp; Patel, S. A. H. (2024). Exploring pickled </w:t>
      </w:r>
      <w:proofErr w:type="spellStart"/>
      <w:r>
        <w:t>chilli</w:t>
      </w:r>
      <w:proofErr w:type="spellEnd"/>
      <w:r>
        <w:t xml:space="preserve"> genotypes through evaluation of variability parameters, character association studies and genetic divergence. </w:t>
      </w:r>
      <w:proofErr w:type="spellStart"/>
      <w:r>
        <w:rPr>
          <w:rStyle w:val="Emphasis"/>
        </w:rPr>
        <w:t>Scientia</w:t>
      </w:r>
      <w:proofErr w:type="spellEnd"/>
      <w:r>
        <w:rPr>
          <w:rStyle w:val="Emphasis"/>
        </w:rPr>
        <w:t xml:space="preserve"> </w:t>
      </w:r>
      <w:proofErr w:type="spellStart"/>
      <w:r>
        <w:rPr>
          <w:rStyle w:val="Emphasis"/>
        </w:rPr>
        <w:t>Horticulturae</w:t>
      </w:r>
      <w:proofErr w:type="spellEnd"/>
      <w:r>
        <w:t xml:space="preserve">, 329, 113018. </w:t>
      </w:r>
      <w:hyperlink r:id="rId13" w:history="1">
        <w:r>
          <w:rPr>
            <w:rStyle w:val="Hyperlink"/>
          </w:rPr>
          <w:t>https://doi.org/10.1016/j.scienta.2024.113018</w:t>
        </w:r>
      </w:hyperlink>
    </w:p>
    <w:p w14:paraId="0110BE63" w14:textId="77777777" w:rsidR="0048624F" w:rsidRDefault="0048624F" w:rsidP="0048624F">
      <w:pPr>
        <w:pStyle w:val="NormalWeb"/>
        <w:numPr>
          <w:ilvl w:val="0"/>
          <w:numId w:val="9"/>
        </w:numPr>
        <w:spacing w:line="360" w:lineRule="auto"/>
        <w:jc w:val="both"/>
      </w:pPr>
      <w:proofErr w:type="spellStart"/>
      <w:r>
        <w:t>Sreelathakumary</w:t>
      </w:r>
      <w:proofErr w:type="spellEnd"/>
      <w:r>
        <w:t xml:space="preserve">, I., &amp; </w:t>
      </w:r>
      <w:proofErr w:type="spellStart"/>
      <w:r>
        <w:t>Rajamony</w:t>
      </w:r>
      <w:proofErr w:type="spellEnd"/>
      <w:r>
        <w:t xml:space="preserve">, L. (2002). Variability, heritability and correlation studies in </w:t>
      </w:r>
      <w:proofErr w:type="spellStart"/>
      <w:r>
        <w:t>chilli</w:t>
      </w:r>
      <w:proofErr w:type="spellEnd"/>
      <w:r>
        <w:t xml:space="preserve"> (</w:t>
      </w:r>
      <w:r>
        <w:rPr>
          <w:rStyle w:val="Emphasis"/>
        </w:rPr>
        <w:t>Capsicum</w:t>
      </w:r>
      <w:r>
        <w:t xml:space="preserve"> spp.) under shade. </w:t>
      </w:r>
      <w:r>
        <w:rPr>
          <w:rStyle w:val="Emphasis"/>
        </w:rPr>
        <w:t>Indian Journal of Horticulture</w:t>
      </w:r>
      <w:r>
        <w:t>, 59(1), 77–83.</w:t>
      </w:r>
    </w:p>
    <w:p w14:paraId="7A6479B5" w14:textId="77777777" w:rsidR="0048624F" w:rsidRDefault="0048624F" w:rsidP="0048624F">
      <w:pPr>
        <w:pStyle w:val="NormalWeb"/>
        <w:numPr>
          <w:ilvl w:val="0"/>
          <w:numId w:val="9"/>
        </w:numPr>
        <w:spacing w:line="360" w:lineRule="auto"/>
        <w:jc w:val="both"/>
      </w:pPr>
      <w:r>
        <w:t xml:space="preserve">Tilahun, T., </w:t>
      </w:r>
      <w:proofErr w:type="spellStart"/>
      <w:r>
        <w:t>Bezie</w:t>
      </w:r>
      <w:proofErr w:type="spellEnd"/>
      <w:r>
        <w:t xml:space="preserve">, Y., Petros, Y., </w:t>
      </w:r>
      <w:proofErr w:type="spellStart"/>
      <w:r>
        <w:t>Dessalegn</w:t>
      </w:r>
      <w:proofErr w:type="spellEnd"/>
      <w:r>
        <w:t>, Y., &amp; Taye, M. (2022). Correlation and path coefficient analysis of green pod yield and yield attributing traits of chili (</w:t>
      </w:r>
      <w:r>
        <w:rPr>
          <w:rStyle w:val="Emphasis"/>
        </w:rPr>
        <w:t>Capsicum annuum</w:t>
      </w:r>
      <w:r>
        <w:t xml:space="preserve"> L.) genotypes in Ethiopia. </w:t>
      </w:r>
      <w:r>
        <w:rPr>
          <w:rStyle w:val="Emphasis"/>
        </w:rPr>
        <w:t>All Life</w:t>
      </w:r>
      <w:r>
        <w:t xml:space="preserve">, 15(1), 203–210. </w:t>
      </w:r>
      <w:hyperlink r:id="rId14" w:history="1">
        <w:r>
          <w:rPr>
            <w:rStyle w:val="Hyperlink"/>
          </w:rPr>
          <w:t>https://doi.org/10.1080/26895293.2022.2037472</w:t>
        </w:r>
      </w:hyperlink>
    </w:p>
    <w:p w14:paraId="7B9E193A" w14:textId="77777777" w:rsidR="0048624F" w:rsidRDefault="0048624F" w:rsidP="0048624F">
      <w:pPr>
        <w:pStyle w:val="NormalWeb"/>
        <w:numPr>
          <w:ilvl w:val="0"/>
          <w:numId w:val="9"/>
        </w:numPr>
        <w:spacing w:line="360" w:lineRule="auto"/>
        <w:jc w:val="both"/>
      </w:pPr>
      <w:r>
        <w:t xml:space="preserve">Usman, M. G., Rafii, M. Y., Martini, M. Y., Oladosu, Y., &amp; </w:t>
      </w:r>
      <w:proofErr w:type="spellStart"/>
      <w:r>
        <w:t>Kashiani</w:t>
      </w:r>
      <w:proofErr w:type="spellEnd"/>
      <w:r>
        <w:t xml:space="preserve">, P. (2017). Genotypic character relationship and phenotypic path coefficient analysis in chili pepper genotypes grown under tropical condition. </w:t>
      </w:r>
      <w:r>
        <w:rPr>
          <w:rStyle w:val="Emphasis"/>
        </w:rPr>
        <w:t>Journal of the Science of Food and Agriculture</w:t>
      </w:r>
      <w:r>
        <w:t xml:space="preserve">, 97(4), 1164–1171. </w:t>
      </w:r>
      <w:hyperlink r:id="rId15" w:history="1">
        <w:r>
          <w:rPr>
            <w:rStyle w:val="Hyperlink"/>
          </w:rPr>
          <w:t>https://doi.org/10.1002/jsfa.7843</w:t>
        </w:r>
      </w:hyperlink>
    </w:p>
    <w:p w14:paraId="7B3AB0D7" w14:textId="77777777" w:rsidR="0048624F" w:rsidRDefault="0048624F" w:rsidP="0048624F">
      <w:pPr>
        <w:pStyle w:val="NormalWeb"/>
        <w:numPr>
          <w:ilvl w:val="0"/>
          <w:numId w:val="9"/>
        </w:numPr>
        <w:spacing w:line="360" w:lineRule="auto"/>
        <w:jc w:val="both"/>
      </w:pPr>
      <w:r>
        <w:t xml:space="preserve">Vijaya, H. M., Gowda, A. P. M., &amp; Nehru, S. D. (2014). Genetic variability, correlation coefficient and path analysis in </w:t>
      </w:r>
      <w:proofErr w:type="spellStart"/>
      <w:r>
        <w:t>chilli</w:t>
      </w:r>
      <w:proofErr w:type="spellEnd"/>
      <w:r>
        <w:t xml:space="preserve"> (</w:t>
      </w:r>
      <w:r>
        <w:rPr>
          <w:rStyle w:val="Emphasis"/>
        </w:rPr>
        <w:t xml:space="preserve">Capsicum </w:t>
      </w:r>
      <w:proofErr w:type="spellStart"/>
      <w:r>
        <w:rPr>
          <w:rStyle w:val="Emphasis"/>
        </w:rPr>
        <w:t>annuum</w:t>
      </w:r>
      <w:proofErr w:type="spellEnd"/>
      <w:r>
        <w:t xml:space="preserve"> L.) genotypes. </w:t>
      </w:r>
      <w:r>
        <w:rPr>
          <w:rStyle w:val="Emphasis"/>
        </w:rPr>
        <w:t>Research on Crops</w:t>
      </w:r>
      <w:r>
        <w:t>, 15(3), 175–178.</w:t>
      </w:r>
    </w:p>
    <w:p w14:paraId="159F222B" w14:textId="77777777" w:rsidR="0048624F" w:rsidRDefault="0048624F" w:rsidP="0048624F">
      <w:pPr>
        <w:pStyle w:val="NormalWeb"/>
        <w:numPr>
          <w:ilvl w:val="0"/>
          <w:numId w:val="9"/>
        </w:numPr>
        <w:spacing w:line="360" w:lineRule="auto"/>
        <w:jc w:val="both"/>
      </w:pPr>
      <w:r>
        <w:t xml:space="preserve">Wright, S. (1921). Correlation and causation. </w:t>
      </w:r>
      <w:r>
        <w:rPr>
          <w:rStyle w:val="Emphasis"/>
        </w:rPr>
        <w:t>Journal of Agricultural Research</w:t>
      </w:r>
      <w:r>
        <w:t>, 20, 557–585.</w:t>
      </w:r>
    </w:p>
    <w:p w14:paraId="14EE7B0E" w14:textId="77777777" w:rsidR="008C6B5E" w:rsidRPr="00902A6C" w:rsidRDefault="008C6B5E" w:rsidP="008C6B5E">
      <w:pPr>
        <w:pStyle w:val="NormalWeb"/>
        <w:spacing w:line="360" w:lineRule="auto"/>
        <w:ind w:left="720"/>
        <w:jc w:val="both"/>
      </w:pPr>
    </w:p>
    <w:p w14:paraId="1BF37ABD" w14:textId="77777777" w:rsidR="00B86B62" w:rsidRPr="00902A6C" w:rsidRDefault="00B86B62" w:rsidP="00902A6C">
      <w:pPr>
        <w:spacing w:line="360" w:lineRule="auto"/>
        <w:jc w:val="both"/>
        <w:rPr>
          <w:rFonts w:ascii="Times New Roman" w:hAnsi="Times New Roman" w:cs="Times New Roman"/>
          <w:sz w:val="24"/>
          <w:szCs w:val="24"/>
        </w:rPr>
      </w:pPr>
    </w:p>
    <w:sectPr w:rsidR="00B86B62" w:rsidRPr="00902A6C">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BFB46" w14:textId="77777777" w:rsidR="00925212" w:rsidRDefault="00925212" w:rsidP="00CD526D">
      <w:pPr>
        <w:spacing w:after="0" w:line="240" w:lineRule="auto"/>
      </w:pPr>
      <w:r>
        <w:separator/>
      </w:r>
    </w:p>
  </w:endnote>
  <w:endnote w:type="continuationSeparator" w:id="0">
    <w:p w14:paraId="16E43B53" w14:textId="77777777" w:rsidR="00925212" w:rsidRDefault="00925212" w:rsidP="00CD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D4D68" w14:textId="77777777" w:rsidR="00CD526D" w:rsidRDefault="00CD5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44709" w14:textId="77777777" w:rsidR="00CD526D" w:rsidRDefault="00CD5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53E9F" w14:textId="77777777" w:rsidR="00CD526D" w:rsidRDefault="00CD5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5FB0C" w14:textId="77777777" w:rsidR="00925212" w:rsidRDefault="00925212" w:rsidP="00CD526D">
      <w:pPr>
        <w:spacing w:after="0" w:line="240" w:lineRule="auto"/>
      </w:pPr>
      <w:r>
        <w:separator/>
      </w:r>
    </w:p>
  </w:footnote>
  <w:footnote w:type="continuationSeparator" w:id="0">
    <w:p w14:paraId="6CCF8451" w14:textId="77777777" w:rsidR="00925212" w:rsidRDefault="00925212" w:rsidP="00CD5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7EE6D" w14:textId="4601D48D" w:rsidR="00CD526D" w:rsidRDefault="00925212">
    <w:pPr>
      <w:pStyle w:val="Header"/>
    </w:pPr>
    <w:r>
      <w:rPr>
        <w:noProof/>
      </w:rPr>
      <w:pict w14:anchorId="7918C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60"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0FF5" w14:textId="7DE367A3" w:rsidR="00CD526D" w:rsidRDefault="00925212">
    <w:pPr>
      <w:pStyle w:val="Header"/>
    </w:pPr>
    <w:r>
      <w:rPr>
        <w:noProof/>
      </w:rPr>
      <w:pict w14:anchorId="19481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61"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D76A3" w14:textId="1BDAE87B" w:rsidR="00CD526D" w:rsidRDefault="00925212">
    <w:pPr>
      <w:pStyle w:val="Header"/>
    </w:pPr>
    <w:r>
      <w:rPr>
        <w:noProof/>
      </w:rPr>
      <w:pict w14:anchorId="1E757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59"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B7B3D"/>
    <w:multiLevelType w:val="hybridMultilevel"/>
    <w:tmpl w:val="62AE0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549E6"/>
    <w:multiLevelType w:val="multilevel"/>
    <w:tmpl w:val="9256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9B63A6"/>
    <w:multiLevelType w:val="multilevel"/>
    <w:tmpl w:val="490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3A2704"/>
    <w:multiLevelType w:val="multilevel"/>
    <w:tmpl w:val="07EA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37978"/>
    <w:multiLevelType w:val="multilevel"/>
    <w:tmpl w:val="490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052702"/>
    <w:multiLevelType w:val="multilevel"/>
    <w:tmpl w:val="4E9E8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CC6510"/>
    <w:multiLevelType w:val="multilevel"/>
    <w:tmpl w:val="DE0E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66291"/>
    <w:multiLevelType w:val="multilevel"/>
    <w:tmpl w:val="38F6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A5D33"/>
    <w:multiLevelType w:val="hybridMultilevel"/>
    <w:tmpl w:val="1D7CA140"/>
    <w:lvl w:ilvl="0" w:tplc="C340E15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7"/>
  </w:num>
  <w:num w:numId="5">
    <w:abstractNumId w:val="2"/>
  </w:num>
  <w:num w:numId="6">
    <w:abstractNumId w:val="8"/>
  </w:num>
  <w:num w:numId="7">
    <w:abstractNumId w:val="0"/>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56D"/>
    <w:rsid w:val="00011176"/>
    <w:rsid w:val="0004571D"/>
    <w:rsid w:val="00052FBE"/>
    <w:rsid w:val="000601F3"/>
    <w:rsid w:val="000B5852"/>
    <w:rsid w:val="0011755E"/>
    <w:rsid w:val="0013352F"/>
    <w:rsid w:val="0014430E"/>
    <w:rsid w:val="00232114"/>
    <w:rsid w:val="00257D50"/>
    <w:rsid w:val="00277C6B"/>
    <w:rsid w:val="002A0B42"/>
    <w:rsid w:val="002D428D"/>
    <w:rsid w:val="00405056"/>
    <w:rsid w:val="0048624F"/>
    <w:rsid w:val="005768EE"/>
    <w:rsid w:val="005E571B"/>
    <w:rsid w:val="00660D40"/>
    <w:rsid w:val="00661684"/>
    <w:rsid w:val="006A6580"/>
    <w:rsid w:val="0074756D"/>
    <w:rsid w:val="00750C93"/>
    <w:rsid w:val="007B61CE"/>
    <w:rsid w:val="0085310C"/>
    <w:rsid w:val="00875168"/>
    <w:rsid w:val="008C6B5E"/>
    <w:rsid w:val="00902A6C"/>
    <w:rsid w:val="00925212"/>
    <w:rsid w:val="00A06D19"/>
    <w:rsid w:val="00A712AE"/>
    <w:rsid w:val="00A75E3D"/>
    <w:rsid w:val="00B10A21"/>
    <w:rsid w:val="00B86B62"/>
    <w:rsid w:val="00BF6DD4"/>
    <w:rsid w:val="00C26F21"/>
    <w:rsid w:val="00C6400A"/>
    <w:rsid w:val="00C93ACA"/>
    <w:rsid w:val="00CC2C55"/>
    <w:rsid w:val="00CD526D"/>
    <w:rsid w:val="00D145DA"/>
    <w:rsid w:val="00E03FD4"/>
    <w:rsid w:val="00EC4E92"/>
    <w:rsid w:val="00F364F9"/>
    <w:rsid w:val="00FC56F9"/>
    <w:rsid w:val="00FD0C04"/>
    <w:rsid w:val="00FF708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2EAD79B"/>
  <w15:docId w15:val="{6026F127-736D-436F-9939-4E46F347C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7C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7C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77C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756D"/>
    <w:rPr>
      <w:b/>
      <w:bCs/>
    </w:rPr>
  </w:style>
  <w:style w:type="paragraph" w:customStyle="1" w:styleId="isselectedend">
    <w:name w:val="isselectedend"/>
    <w:basedOn w:val="Normal"/>
    <w:rsid w:val="0074756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47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7C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7C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77C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77C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7C6B"/>
    <w:rPr>
      <w:i/>
      <w:iCs/>
    </w:rPr>
  </w:style>
  <w:style w:type="character" w:styleId="Hyperlink">
    <w:name w:val="Hyperlink"/>
    <w:basedOn w:val="DefaultParagraphFont"/>
    <w:uiPriority w:val="99"/>
    <w:unhideWhenUsed/>
    <w:rsid w:val="002D428D"/>
    <w:rPr>
      <w:color w:val="0000FF"/>
      <w:u w:val="single"/>
    </w:rPr>
  </w:style>
  <w:style w:type="paragraph" w:styleId="BalloonText">
    <w:name w:val="Balloon Text"/>
    <w:basedOn w:val="Normal"/>
    <w:link w:val="BalloonTextChar"/>
    <w:uiPriority w:val="99"/>
    <w:semiHidden/>
    <w:unhideWhenUsed/>
    <w:rsid w:val="00B86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B62"/>
    <w:rPr>
      <w:rFonts w:ascii="Tahoma" w:hAnsi="Tahoma" w:cs="Tahoma"/>
      <w:sz w:val="16"/>
      <w:szCs w:val="16"/>
    </w:rPr>
  </w:style>
  <w:style w:type="paragraph" w:customStyle="1" w:styleId="pdq2pgselectionanchorcontainer">
    <w:name w:val="pdq2pg_selectionanchorcontainer"/>
    <w:basedOn w:val="Normal"/>
    <w:rsid w:val="00A712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405056"/>
    <w:rPr>
      <w:color w:val="605E5C"/>
      <w:shd w:val="clear" w:color="auto" w:fill="E1DFDD"/>
    </w:rPr>
  </w:style>
  <w:style w:type="paragraph" w:styleId="Header">
    <w:name w:val="header"/>
    <w:basedOn w:val="Normal"/>
    <w:link w:val="HeaderChar"/>
    <w:uiPriority w:val="99"/>
    <w:unhideWhenUsed/>
    <w:rsid w:val="00CD5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26D"/>
  </w:style>
  <w:style w:type="paragraph" w:styleId="Footer">
    <w:name w:val="footer"/>
    <w:basedOn w:val="Normal"/>
    <w:link w:val="FooterChar"/>
    <w:uiPriority w:val="99"/>
    <w:unhideWhenUsed/>
    <w:rsid w:val="00CD52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239439">
      <w:bodyDiv w:val="1"/>
      <w:marLeft w:val="0"/>
      <w:marRight w:val="0"/>
      <w:marTop w:val="0"/>
      <w:marBottom w:val="0"/>
      <w:divBdr>
        <w:top w:val="none" w:sz="0" w:space="0" w:color="auto"/>
        <w:left w:val="none" w:sz="0" w:space="0" w:color="auto"/>
        <w:bottom w:val="none" w:sz="0" w:space="0" w:color="auto"/>
        <w:right w:val="none" w:sz="0" w:space="0" w:color="auto"/>
      </w:divBdr>
      <w:divsChild>
        <w:div w:id="782191465">
          <w:marLeft w:val="0"/>
          <w:marRight w:val="0"/>
          <w:marTop w:val="150"/>
          <w:marBottom w:val="300"/>
          <w:divBdr>
            <w:top w:val="none" w:sz="0" w:space="0" w:color="auto"/>
            <w:left w:val="none" w:sz="0" w:space="0" w:color="auto"/>
            <w:bottom w:val="none" w:sz="0" w:space="0" w:color="auto"/>
            <w:right w:val="none" w:sz="0" w:space="0" w:color="auto"/>
          </w:divBdr>
        </w:div>
        <w:div w:id="694356082">
          <w:marLeft w:val="0"/>
          <w:marRight w:val="0"/>
          <w:marTop w:val="0"/>
          <w:marBottom w:val="0"/>
          <w:divBdr>
            <w:top w:val="none" w:sz="0" w:space="0" w:color="auto"/>
            <w:left w:val="none" w:sz="0" w:space="0" w:color="auto"/>
            <w:bottom w:val="none" w:sz="0" w:space="0" w:color="auto"/>
            <w:right w:val="none" w:sz="0" w:space="0" w:color="auto"/>
          </w:divBdr>
        </w:div>
      </w:divsChild>
    </w:div>
    <w:div w:id="704528225">
      <w:bodyDiv w:val="1"/>
      <w:marLeft w:val="0"/>
      <w:marRight w:val="0"/>
      <w:marTop w:val="0"/>
      <w:marBottom w:val="0"/>
      <w:divBdr>
        <w:top w:val="none" w:sz="0" w:space="0" w:color="auto"/>
        <w:left w:val="none" w:sz="0" w:space="0" w:color="auto"/>
        <w:bottom w:val="none" w:sz="0" w:space="0" w:color="auto"/>
        <w:right w:val="none" w:sz="0" w:space="0" w:color="auto"/>
      </w:divBdr>
    </w:div>
    <w:div w:id="879514316">
      <w:bodyDiv w:val="1"/>
      <w:marLeft w:val="0"/>
      <w:marRight w:val="0"/>
      <w:marTop w:val="0"/>
      <w:marBottom w:val="0"/>
      <w:divBdr>
        <w:top w:val="none" w:sz="0" w:space="0" w:color="auto"/>
        <w:left w:val="none" w:sz="0" w:space="0" w:color="auto"/>
        <w:bottom w:val="none" w:sz="0" w:space="0" w:color="auto"/>
        <w:right w:val="none" w:sz="0" w:space="0" w:color="auto"/>
      </w:divBdr>
    </w:div>
    <w:div w:id="1481385177">
      <w:bodyDiv w:val="1"/>
      <w:marLeft w:val="0"/>
      <w:marRight w:val="0"/>
      <w:marTop w:val="0"/>
      <w:marBottom w:val="0"/>
      <w:divBdr>
        <w:top w:val="none" w:sz="0" w:space="0" w:color="auto"/>
        <w:left w:val="none" w:sz="0" w:space="0" w:color="auto"/>
        <w:bottom w:val="none" w:sz="0" w:space="0" w:color="auto"/>
        <w:right w:val="none" w:sz="0" w:space="0" w:color="auto"/>
      </w:divBdr>
      <w:divsChild>
        <w:div w:id="594094363">
          <w:marLeft w:val="0"/>
          <w:marRight w:val="0"/>
          <w:marTop w:val="0"/>
          <w:marBottom w:val="75"/>
          <w:divBdr>
            <w:top w:val="none" w:sz="0" w:space="0" w:color="auto"/>
            <w:left w:val="none" w:sz="0" w:space="0" w:color="auto"/>
            <w:bottom w:val="none" w:sz="0" w:space="0" w:color="auto"/>
            <w:right w:val="none" w:sz="0" w:space="0" w:color="auto"/>
          </w:divBdr>
        </w:div>
        <w:div w:id="367144573">
          <w:marLeft w:val="0"/>
          <w:marRight w:val="0"/>
          <w:marTop w:val="0"/>
          <w:marBottom w:val="75"/>
          <w:divBdr>
            <w:top w:val="none" w:sz="0" w:space="0" w:color="auto"/>
            <w:left w:val="none" w:sz="0" w:space="0" w:color="auto"/>
            <w:bottom w:val="none" w:sz="0" w:space="0" w:color="auto"/>
            <w:right w:val="none" w:sz="0" w:space="0" w:color="auto"/>
          </w:divBdr>
        </w:div>
        <w:div w:id="317803959">
          <w:marLeft w:val="0"/>
          <w:marRight w:val="0"/>
          <w:marTop w:val="150"/>
          <w:marBottom w:val="150"/>
          <w:divBdr>
            <w:top w:val="none" w:sz="0" w:space="0" w:color="auto"/>
            <w:left w:val="none" w:sz="0" w:space="0" w:color="auto"/>
            <w:bottom w:val="none" w:sz="0" w:space="0" w:color="auto"/>
            <w:right w:val="none" w:sz="0" w:space="0" w:color="auto"/>
          </w:divBdr>
        </w:div>
        <w:div w:id="260652956">
          <w:marLeft w:val="-300"/>
          <w:marRight w:val="0"/>
          <w:marTop w:val="0"/>
          <w:marBottom w:val="150"/>
          <w:divBdr>
            <w:top w:val="none" w:sz="0" w:space="0" w:color="auto"/>
            <w:left w:val="none" w:sz="0" w:space="0" w:color="auto"/>
            <w:bottom w:val="none" w:sz="0" w:space="0" w:color="auto"/>
            <w:right w:val="none" w:sz="0" w:space="0" w:color="auto"/>
          </w:divBdr>
          <w:divsChild>
            <w:div w:id="99032419">
              <w:marLeft w:val="0"/>
              <w:marRight w:val="0"/>
              <w:marTop w:val="0"/>
              <w:marBottom w:val="0"/>
              <w:divBdr>
                <w:top w:val="none" w:sz="0" w:space="0" w:color="auto"/>
                <w:left w:val="none" w:sz="0" w:space="0" w:color="auto"/>
                <w:bottom w:val="none" w:sz="0" w:space="0" w:color="auto"/>
                <w:right w:val="none" w:sz="0" w:space="0" w:color="auto"/>
              </w:divBdr>
              <w:divsChild>
                <w:div w:id="59835312">
                  <w:marLeft w:val="0"/>
                  <w:marRight w:val="0"/>
                  <w:marTop w:val="0"/>
                  <w:marBottom w:val="0"/>
                  <w:divBdr>
                    <w:top w:val="none" w:sz="0" w:space="0" w:color="auto"/>
                    <w:left w:val="none" w:sz="0" w:space="0" w:color="auto"/>
                    <w:bottom w:val="none" w:sz="0" w:space="0" w:color="auto"/>
                    <w:right w:val="none" w:sz="0" w:space="0" w:color="auto"/>
                  </w:divBdr>
                  <w:divsChild>
                    <w:div w:id="816608484">
                      <w:marLeft w:val="0"/>
                      <w:marRight w:val="0"/>
                      <w:marTop w:val="0"/>
                      <w:marBottom w:val="0"/>
                      <w:divBdr>
                        <w:top w:val="none" w:sz="0" w:space="0" w:color="auto"/>
                        <w:left w:val="none" w:sz="0" w:space="0" w:color="auto"/>
                        <w:bottom w:val="none" w:sz="0" w:space="0" w:color="auto"/>
                        <w:right w:val="none" w:sz="0" w:space="0" w:color="auto"/>
                      </w:divBdr>
                      <w:divsChild>
                        <w:div w:id="742987899">
                          <w:marLeft w:val="-150"/>
                          <w:marRight w:val="0"/>
                          <w:marTop w:val="0"/>
                          <w:marBottom w:val="0"/>
                          <w:divBdr>
                            <w:top w:val="none" w:sz="0" w:space="0" w:color="auto"/>
                            <w:left w:val="none" w:sz="0" w:space="0" w:color="auto"/>
                            <w:bottom w:val="none" w:sz="0" w:space="0" w:color="auto"/>
                            <w:right w:val="none" w:sz="0" w:space="0" w:color="auto"/>
                          </w:divBdr>
                          <w:divsChild>
                            <w:div w:id="923538174">
                              <w:marLeft w:val="0"/>
                              <w:marRight w:val="0"/>
                              <w:marTop w:val="0"/>
                              <w:marBottom w:val="0"/>
                              <w:divBdr>
                                <w:top w:val="none" w:sz="0" w:space="0" w:color="auto"/>
                                <w:left w:val="none" w:sz="0" w:space="0" w:color="auto"/>
                                <w:bottom w:val="none" w:sz="0" w:space="0" w:color="auto"/>
                                <w:right w:val="none" w:sz="0" w:space="0" w:color="auto"/>
                              </w:divBdr>
                              <w:divsChild>
                                <w:div w:id="1847791348">
                                  <w:marLeft w:val="0"/>
                                  <w:marRight w:val="0"/>
                                  <w:marTop w:val="0"/>
                                  <w:marBottom w:val="0"/>
                                  <w:divBdr>
                                    <w:top w:val="none" w:sz="0" w:space="0" w:color="auto"/>
                                    <w:left w:val="none" w:sz="0" w:space="0" w:color="auto"/>
                                    <w:bottom w:val="none" w:sz="0" w:space="0" w:color="auto"/>
                                    <w:right w:val="none" w:sz="0" w:space="0" w:color="auto"/>
                                  </w:divBdr>
                                  <w:divsChild>
                                    <w:div w:id="654651602">
                                      <w:marLeft w:val="0"/>
                                      <w:marRight w:val="0"/>
                                      <w:marTop w:val="0"/>
                                      <w:marBottom w:val="0"/>
                                      <w:divBdr>
                                        <w:top w:val="none" w:sz="0" w:space="0" w:color="auto"/>
                                        <w:left w:val="none" w:sz="0" w:space="0" w:color="auto"/>
                                        <w:bottom w:val="none" w:sz="0" w:space="0" w:color="auto"/>
                                        <w:right w:val="none" w:sz="0" w:space="0" w:color="auto"/>
                                      </w:divBdr>
                                      <w:divsChild>
                                        <w:div w:id="435640147">
                                          <w:marLeft w:val="0"/>
                                          <w:marRight w:val="0"/>
                                          <w:marTop w:val="0"/>
                                          <w:marBottom w:val="0"/>
                                          <w:divBdr>
                                            <w:top w:val="none" w:sz="0" w:space="0" w:color="auto"/>
                                            <w:left w:val="none" w:sz="0" w:space="0" w:color="auto"/>
                                            <w:bottom w:val="none" w:sz="0" w:space="0" w:color="auto"/>
                                            <w:right w:val="none" w:sz="0" w:space="0" w:color="auto"/>
                                          </w:divBdr>
                                          <w:divsChild>
                                            <w:div w:id="1712605036">
                                              <w:marLeft w:val="0"/>
                                              <w:marRight w:val="0"/>
                                              <w:marTop w:val="0"/>
                                              <w:marBottom w:val="0"/>
                                              <w:divBdr>
                                                <w:top w:val="none" w:sz="0" w:space="0" w:color="auto"/>
                                                <w:left w:val="none" w:sz="0" w:space="0" w:color="auto"/>
                                                <w:bottom w:val="none" w:sz="0" w:space="0" w:color="auto"/>
                                                <w:right w:val="none" w:sz="0" w:space="0" w:color="auto"/>
                                              </w:divBdr>
                                              <w:divsChild>
                                                <w:div w:id="203511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795375">
              <w:marLeft w:val="0"/>
              <w:marRight w:val="0"/>
              <w:marTop w:val="0"/>
              <w:marBottom w:val="0"/>
              <w:divBdr>
                <w:top w:val="none" w:sz="0" w:space="0" w:color="auto"/>
                <w:left w:val="none" w:sz="0" w:space="0" w:color="auto"/>
                <w:bottom w:val="none" w:sz="0" w:space="0" w:color="auto"/>
                <w:right w:val="none" w:sz="0" w:space="0" w:color="auto"/>
              </w:divBdr>
              <w:divsChild>
                <w:div w:id="185215614">
                  <w:marLeft w:val="0"/>
                  <w:marRight w:val="0"/>
                  <w:marTop w:val="0"/>
                  <w:marBottom w:val="0"/>
                  <w:divBdr>
                    <w:top w:val="none" w:sz="0" w:space="0" w:color="auto"/>
                    <w:left w:val="none" w:sz="0" w:space="0" w:color="auto"/>
                    <w:bottom w:val="none" w:sz="0" w:space="0" w:color="auto"/>
                    <w:right w:val="none" w:sz="0" w:space="0" w:color="auto"/>
                  </w:divBdr>
                  <w:divsChild>
                    <w:div w:id="657998689">
                      <w:marLeft w:val="0"/>
                      <w:marRight w:val="0"/>
                      <w:marTop w:val="0"/>
                      <w:marBottom w:val="0"/>
                      <w:divBdr>
                        <w:top w:val="none" w:sz="0" w:space="0" w:color="auto"/>
                        <w:left w:val="none" w:sz="0" w:space="0" w:color="auto"/>
                        <w:bottom w:val="none" w:sz="0" w:space="0" w:color="auto"/>
                        <w:right w:val="none" w:sz="0" w:space="0" w:color="auto"/>
                      </w:divBdr>
                      <w:divsChild>
                        <w:div w:id="618754681">
                          <w:marLeft w:val="0"/>
                          <w:marRight w:val="0"/>
                          <w:marTop w:val="0"/>
                          <w:marBottom w:val="0"/>
                          <w:divBdr>
                            <w:top w:val="none" w:sz="0" w:space="0" w:color="auto"/>
                            <w:left w:val="none" w:sz="0" w:space="0" w:color="auto"/>
                            <w:bottom w:val="none" w:sz="0" w:space="0" w:color="auto"/>
                            <w:right w:val="none" w:sz="0" w:space="0" w:color="auto"/>
                          </w:divBdr>
                          <w:divsChild>
                            <w:div w:id="1595165509">
                              <w:marLeft w:val="-150"/>
                              <w:marRight w:val="0"/>
                              <w:marTop w:val="0"/>
                              <w:marBottom w:val="0"/>
                              <w:divBdr>
                                <w:top w:val="none" w:sz="0" w:space="0" w:color="auto"/>
                                <w:left w:val="none" w:sz="0" w:space="0" w:color="auto"/>
                                <w:bottom w:val="none" w:sz="0" w:space="0" w:color="auto"/>
                                <w:right w:val="none" w:sz="0" w:space="0" w:color="auto"/>
                              </w:divBdr>
                              <w:divsChild>
                                <w:div w:id="361518288">
                                  <w:marLeft w:val="0"/>
                                  <w:marRight w:val="0"/>
                                  <w:marTop w:val="0"/>
                                  <w:marBottom w:val="0"/>
                                  <w:divBdr>
                                    <w:top w:val="none" w:sz="0" w:space="0" w:color="auto"/>
                                    <w:left w:val="none" w:sz="0" w:space="0" w:color="auto"/>
                                    <w:bottom w:val="none" w:sz="0" w:space="0" w:color="auto"/>
                                    <w:right w:val="none" w:sz="0" w:space="0" w:color="auto"/>
                                  </w:divBdr>
                                  <w:divsChild>
                                    <w:div w:id="1112935922">
                                      <w:marLeft w:val="0"/>
                                      <w:marRight w:val="0"/>
                                      <w:marTop w:val="0"/>
                                      <w:marBottom w:val="0"/>
                                      <w:divBdr>
                                        <w:top w:val="none" w:sz="0" w:space="0" w:color="auto"/>
                                        <w:left w:val="none" w:sz="0" w:space="0" w:color="auto"/>
                                        <w:bottom w:val="none" w:sz="0" w:space="0" w:color="auto"/>
                                        <w:right w:val="none" w:sz="0" w:space="0" w:color="auto"/>
                                      </w:divBdr>
                                      <w:divsChild>
                                        <w:div w:id="1496846399">
                                          <w:marLeft w:val="0"/>
                                          <w:marRight w:val="0"/>
                                          <w:marTop w:val="0"/>
                                          <w:marBottom w:val="0"/>
                                          <w:divBdr>
                                            <w:top w:val="none" w:sz="0" w:space="0" w:color="auto"/>
                                            <w:left w:val="none" w:sz="0" w:space="0" w:color="auto"/>
                                            <w:bottom w:val="none" w:sz="0" w:space="0" w:color="auto"/>
                                            <w:right w:val="none" w:sz="0" w:space="0" w:color="auto"/>
                                          </w:divBdr>
                                          <w:divsChild>
                                            <w:div w:id="1623341232">
                                              <w:marLeft w:val="0"/>
                                              <w:marRight w:val="0"/>
                                              <w:marTop w:val="0"/>
                                              <w:marBottom w:val="0"/>
                                              <w:divBdr>
                                                <w:top w:val="none" w:sz="0" w:space="0" w:color="auto"/>
                                                <w:left w:val="none" w:sz="0" w:space="0" w:color="auto"/>
                                                <w:bottom w:val="none" w:sz="0" w:space="0" w:color="auto"/>
                                                <w:right w:val="none" w:sz="0" w:space="0" w:color="auto"/>
                                              </w:divBdr>
                                              <w:divsChild>
                                                <w:div w:id="809057857">
                                                  <w:marLeft w:val="0"/>
                                                  <w:marRight w:val="0"/>
                                                  <w:marTop w:val="0"/>
                                                  <w:marBottom w:val="0"/>
                                                  <w:divBdr>
                                                    <w:top w:val="none" w:sz="0" w:space="0" w:color="auto"/>
                                                    <w:left w:val="none" w:sz="0" w:space="0" w:color="auto"/>
                                                    <w:bottom w:val="none" w:sz="0" w:space="0" w:color="auto"/>
                                                    <w:right w:val="none" w:sz="0" w:space="0" w:color="auto"/>
                                                  </w:divBdr>
                                                  <w:divsChild>
                                                    <w:div w:id="16247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559893">
              <w:marLeft w:val="0"/>
              <w:marRight w:val="0"/>
              <w:marTop w:val="0"/>
              <w:marBottom w:val="0"/>
              <w:divBdr>
                <w:top w:val="none" w:sz="0" w:space="0" w:color="auto"/>
                <w:left w:val="none" w:sz="0" w:space="0" w:color="auto"/>
                <w:bottom w:val="none" w:sz="0" w:space="0" w:color="auto"/>
                <w:right w:val="none" w:sz="0" w:space="0" w:color="auto"/>
              </w:divBdr>
              <w:divsChild>
                <w:div w:id="1008488661">
                  <w:marLeft w:val="0"/>
                  <w:marRight w:val="0"/>
                  <w:marTop w:val="0"/>
                  <w:marBottom w:val="0"/>
                  <w:divBdr>
                    <w:top w:val="none" w:sz="0" w:space="0" w:color="auto"/>
                    <w:left w:val="none" w:sz="0" w:space="0" w:color="auto"/>
                    <w:bottom w:val="none" w:sz="0" w:space="0" w:color="auto"/>
                    <w:right w:val="none" w:sz="0" w:space="0" w:color="auto"/>
                  </w:divBdr>
                  <w:divsChild>
                    <w:div w:id="294068508">
                      <w:marLeft w:val="0"/>
                      <w:marRight w:val="0"/>
                      <w:marTop w:val="0"/>
                      <w:marBottom w:val="0"/>
                      <w:divBdr>
                        <w:top w:val="none" w:sz="0" w:space="0" w:color="auto"/>
                        <w:left w:val="none" w:sz="0" w:space="0" w:color="auto"/>
                        <w:bottom w:val="none" w:sz="0" w:space="0" w:color="auto"/>
                        <w:right w:val="none" w:sz="0" w:space="0" w:color="auto"/>
                      </w:divBdr>
                      <w:divsChild>
                        <w:div w:id="747927361">
                          <w:marLeft w:val="0"/>
                          <w:marRight w:val="0"/>
                          <w:marTop w:val="0"/>
                          <w:marBottom w:val="0"/>
                          <w:divBdr>
                            <w:top w:val="none" w:sz="0" w:space="0" w:color="auto"/>
                            <w:left w:val="none" w:sz="0" w:space="0" w:color="auto"/>
                            <w:bottom w:val="none" w:sz="0" w:space="0" w:color="auto"/>
                            <w:right w:val="none" w:sz="0" w:space="0" w:color="auto"/>
                          </w:divBdr>
                          <w:divsChild>
                            <w:div w:id="699552855">
                              <w:marLeft w:val="-150"/>
                              <w:marRight w:val="0"/>
                              <w:marTop w:val="0"/>
                              <w:marBottom w:val="0"/>
                              <w:divBdr>
                                <w:top w:val="none" w:sz="0" w:space="0" w:color="auto"/>
                                <w:left w:val="none" w:sz="0" w:space="0" w:color="auto"/>
                                <w:bottom w:val="none" w:sz="0" w:space="0" w:color="auto"/>
                                <w:right w:val="none" w:sz="0" w:space="0" w:color="auto"/>
                              </w:divBdr>
                              <w:divsChild>
                                <w:div w:id="808983812">
                                  <w:marLeft w:val="0"/>
                                  <w:marRight w:val="0"/>
                                  <w:marTop w:val="0"/>
                                  <w:marBottom w:val="0"/>
                                  <w:divBdr>
                                    <w:top w:val="none" w:sz="0" w:space="0" w:color="auto"/>
                                    <w:left w:val="none" w:sz="0" w:space="0" w:color="auto"/>
                                    <w:bottom w:val="none" w:sz="0" w:space="0" w:color="auto"/>
                                    <w:right w:val="none" w:sz="0" w:space="0" w:color="auto"/>
                                  </w:divBdr>
                                  <w:divsChild>
                                    <w:div w:id="993460238">
                                      <w:marLeft w:val="0"/>
                                      <w:marRight w:val="0"/>
                                      <w:marTop w:val="0"/>
                                      <w:marBottom w:val="0"/>
                                      <w:divBdr>
                                        <w:top w:val="none" w:sz="0" w:space="0" w:color="auto"/>
                                        <w:left w:val="none" w:sz="0" w:space="0" w:color="auto"/>
                                        <w:bottom w:val="none" w:sz="0" w:space="0" w:color="auto"/>
                                        <w:right w:val="none" w:sz="0" w:space="0" w:color="auto"/>
                                      </w:divBdr>
                                      <w:divsChild>
                                        <w:div w:id="1809126049">
                                          <w:marLeft w:val="0"/>
                                          <w:marRight w:val="0"/>
                                          <w:marTop w:val="0"/>
                                          <w:marBottom w:val="0"/>
                                          <w:divBdr>
                                            <w:top w:val="none" w:sz="0" w:space="0" w:color="auto"/>
                                            <w:left w:val="none" w:sz="0" w:space="0" w:color="auto"/>
                                            <w:bottom w:val="none" w:sz="0" w:space="0" w:color="auto"/>
                                            <w:right w:val="none" w:sz="0" w:space="0" w:color="auto"/>
                                          </w:divBdr>
                                          <w:divsChild>
                                            <w:div w:id="134758314">
                                              <w:marLeft w:val="0"/>
                                              <w:marRight w:val="0"/>
                                              <w:marTop w:val="0"/>
                                              <w:marBottom w:val="0"/>
                                              <w:divBdr>
                                                <w:top w:val="none" w:sz="0" w:space="0" w:color="auto"/>
                                                <w:left w:val="none" w:sz="0" w:space="0" w:color="auto"/>
                                                <w:bottom w:val="none" w:sz="0" w:space="0" w:color="auto"/>
                                                <w:right w:val="none" w:sz="0" w:space="0" w:color="auto"/>
                                              </w:divBdr>
                                              <w:divsChild>
                                                <w:div w:id="797380616">
                                                  <w:marLeft w:val="0"/>
                                                  <w:marRight w:val="0"/>
                                                  <w:marTop w:val="0"/>
                                                  <w:marBottom w:val="0"/>
                                                  <w:divBdr>
                                                    <w:top w:val="none" w:sz="0" w:space="0" w:color="auto"/>
                                                    <w:left w:val="none" w:sz="0" w:space="0" w:color="auto"/>
                                                    <w:bottom w:val="none" w:sz="0" w:space="0" w:color="auto"/>
                                                    <w:right w:val="none" w:sz="0" w:space="0" w:color="auto"/>
                                                  </w:divBdr>
                                                  <w:divsChild>
                                                    <w:div w:id="20616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348711">
      <w:bodyDiv w:val="1"/>
      <w:marLeft w:val="0"/>
      <w:marRight w:val="0"/>
      <w:marTop w:val="0"/>
      <w:marBottom w:val="0"/>
      <w:divBdr>
        <w:top w:val="none" w:sz="0" w:space="0" w:color="auto"/>
        <w:left w:val="none" w:sz="0" w:space="0" w:color="auto"/>
        <w:bottom w:val="none" w:sz="0" w:space="0" w:color="auto"/>
        <w:right w:val="none" w:sz="0" w:space="0" w:color="auto"/>
      </w:divBdr>
    </w:div>
    <w:div w:id="1791389615">
      <w:bodyDiv w:val="1"/>
      <w:marLeft w:val="0"/>
      <w:marRight w:val="0"/>
      <w:marTop w:val="0"/>
      <w:marBottom w:val="0"/>
      <w:divBdr>
        <w:top w:val="none" w:sz="0" w:space="0" w:color="auto"/>
        <w:left w:val="none" w:sz="0" w:space="0" w:color="auto"/>
        <w:bottom w:val="none" w:sz="0" w:space="0" w:color="auto"/>
        <w:right w:val="none" w:sz="0" w:space="0" w:color="auto"/>
      </w:divBdr>
    </w:div>
    <w:div w:id="17926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4372-026-00546-8" TargetMode="External"/><Relationship Id="rId13" Type="http://schemas.openxmlformats.org/officeDocument/2006/relationships/hyperlink" Target="https://doi.org/10.1016/j.scienta.2024.113018"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doi.org/10.1016/j.foodchem.2025.145091" TargetMode="External"/><Relationship Id="rId12" Type="http://schemas.openxmlformats.org/officeDocument/2006/relationships/hyperlink" Target="https://doi.org/10.24154/jhs.v20i2.336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978-981-19-3728-6_28" TargetMode="External"/><Relationship Id="rId5" Type="http://schemas.openxmlformats.org/officeDocument/2006/relationships/footnotes" Target="footnotes.xml"/><Relationship Id="rId15" Type="http://schemas.openxmlformats.org/officeDocument/2006/relationships/hyperlink" Target="https://doi.org/10.1002/jsfa.7843" TargetMode="External"/><Relationship Id="rId23" Type="http://schemas.openxmlformats.org/officeDocument/2006/relationships/theme" Target="theme/theme1.xml"/><Relationship Id="rId10" Type="http://schemas.openxmlformats.org/officeDocument/2006/relationships/hyperlink" Target="https://doi.org/10.3390/agronomy11112217"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20546/ijcmas.2018.711.011" TargetMode="External"/><Relationship Id="rId14" Type="http://schemas.openxmlformats.org/officeDocument/2006/relationships/hyperlink" Target="https://doi.org/10.1080/26895293.2022.203747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3650</Words>
  <Characters>20809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Bhargavi</dc:creator>
  <cp:lastModifiedBy>User</cp:lastModifiedBy>
  <cp:revision>2</cp:revision>
  <dcterms:created xsi:type="dcterms:W3CDTF">2026-08-29T17:36:00Z</dcterms:created>
  <dcterms:modified xsi:type="dcterms:W3CDTF">2026-08-29T17:36:00Z</dcterms:modified>
</cp:coreProperties>
</file>