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9E3" w:rsidRDefault="00011FBD">
      <w:pPr>
        <w:pStyle w:val="normal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Extent of Adoption of ANGRAU Technologies among Paddy Farmers in Anakapalli District of Andhra Pradesh</w:t>
      </w:r>
    </w:p>
    <w:p w:rsidR="001E69E3" w:rsidRDefault="001E69E3">
      <w:pPr>
        <w:pStyle w:val="normal0"/>
        <w:rPr>
          <w:rFonts w:ascii="Times New Roman" w:eastAsia="Times New Roman" w:hAnsi="Times New Roman" w:cs="Times New Roman"/>
          <w:b/>
          <w:bCs/>
          <w:color w:val="000000"/>
          <w:sz w:val="24"/>
          <w:szCs w:val="24"/>
        </w:rPr>
      </w:pPr>
    </w:p>
    <w:p w:rsidR="001E69E3" w:rsidRDefault="00011FBD">
      <w:pPr>
        <w:pStyle w:val="normal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Abstract</w:t>
      </w:r>
    </w:p>
    <w:p w:rsidR="001E69E3" w:rsidRDefault="00011FBD">
      <w:pPr>
        <w:pStyle w:val="normal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present study was conducted to assess the awareness and adoption of ANGRAU-recommended paddy production technologies among paddy farmers in Anakapalli district of Andhra Pradesh. A total </w:t>
      </w:r>
      <w:commentRangeStart w:id="0"/>
      <w:r>
        <w:rPr>
          <w:rFonts w:ascii="Times New Roman" w:eastAsia="Times New Roman" w:hAnsi="Times New Roman" w:cs="Times New Roman"/>
          <w:sz w:val="24"/>
          <w:szCs w:val="24"/>
        </w:rPr>
        <w:t>of</w:t>
      </w:r>
      <w:commentRangeEnd w:id="0"/>
      <w:r w:rsidR="00F022F0">
        <w:rPr>
          <w:rStyle w:val="CommentReference"/>
        </w:rPr>
        <w:commentReference w:id="0"/>
      </w:r>
      <w:r>
        <w:rPr>
          <w:rFonts w:ascii="Times New Roman" w:eastAsia="Times New Roman" w:hAnsi="Times New Roman" w:cs="Times New Roman"/>
          <w:sz w:val="24"/>
          <w:szCs w:val="24"/>
        </w:rPr>
        <w:t xml:space="preserve"> 60 farmers were selected using a structured interview schedule to collect data on awareness and adoption of recommended crop production and protection practices. The findings revealed that the highest levels of awareness and adoption were observed for the recommended paddy varieties, namely RGL-2537 (Srikakulam Sannalu), BPT-5204 (Samba Mahsuri), and BPT-3291 (Sona Mahsuri). Awareness regarding the recommended seed rate was universal (100%), while 85.00 per cent of the respondents had adopted the practice. Awareness of weed management technologies was higher under transplanted rice (75.00%) than under direct-seeded rice (38.00%). Among plant protection technologies, awareness was highest for stem borer and thrips management (100%), followed by brown planthopper (BPH) management (86.00%) and leaf folder management (83.00%). Regarding rodent management, 53.00 per cent of the respondents were aware of the recommended practices from puddling to transplantation, with 56.00 per cent reporting adoption. Similarly, 47.00 per cent of the farmers were aware of the practice of identifying live burrows and applying freshly prepared bromadiolone bait, while 54.00 per cent had adopted the practice. The study highlights that although awareness and adoption of several recommended technologies were satisfactory, adoption of certain weed and rodent management practices remained comparatively low. Strengthening extension services through need-based training, demonstrations, and regular farmer advisory programmes can further enhance the adoption of ANGRAU-recommended technologies, thereby improving paddy productivity and farm income.</w:t>
      </w:r>
    </w:p>
    <w:p w:rsidR="001E69E3" w:rsidRDefault="00011FBD">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Keywords:</w:t>
      </w:r>
      <w:r>
        <w:rPr>
          <w:rFonts w:ascii="Times New Roman" w:eastAsia="Times New Roman" w:hAnsi="Times New Roman" w:cs="Times New Roman"/>
          <w:sz w:val="24"/>
          <w:szCs w:val="24"/>
        </w:rPr>
        <w:t xml:space="preserve"> ANGRAU technologies, awareness, adoption, paddy farmers, extension services</w:t>
      </w:r>
    </w:p>
    <w:p w:rsidR="001E69E3" w:rsidRDefault="00011FBD">
      <w:pPr>
        <w:pStyle w:val="normal0"/>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Introduction</w:t>
      </w:r>
    </w:p>
    <w:p w:rsidR="001E69E3" w:rsidRDefault="00011FBD">
      <w:pPr>
        <w:pStyle w:val="normal0"/>
        <w:spacing w:before="280" w:after="28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Rice (</w:t>
      </w:r>
      <w:r>
        <w:rPr>
          <w:rFonts w:ascii="Times New Roman" w:eastAsia="Times New Roman" w:hAnsi="Times New Roman" w:cs="Times New Roman"/>
          <w:i/>
          <w:iCs/>
          <w:sz w:val="24"/>
          <w:szCs w:val="24"/>
        </w:rPr>
        <w:t>Oryza sativa</w:t>
      </w:r>
      <w:r>
        <w:rPr>
          <w:rFonts w:ascii="Times New Roman" w:eastAsia="Times New Roman" w:hAnsi="Times New Roman" w:cs="Times New Roman"/>
          <w:sz w:val="24"/>
          <w:szCs w:val="24"/>
        </w:rPr>
        <w:t xml:space="preserve"> L.) is the principal staple food crop of India and contributes significantly to the country's food and nutritional security. It occupies a major share of the gross cropped area and provides livelihood to millions of farming households. India is one of the world's leading producers of rice, and Andhra Pradesh is among the major rice-producing states, contributing substantially to the national rice basket. In Andhra Pradesh, paddy is cultivated under diverse agro-climatic conditions, </w:t>
      </w:r>
      <w:commentRangeStart w:id="1"/>
      <w:r>
        <w:rPr>
          <w:rFonts w:ascii="Times New Roman" w:eastAsia="Times New Roman" w:hAnsi="Times New Roman" w:cs="Times New Roman"/>
          <w:sz w:val="24"/>
          <w:szCs w:val="24"/>
        </w:rPr>
        <w:t xml:space="preserve">and its productivity is influenced by the adoption of improved crop production and protection technologies. </w:t>
      </w:r>
      <w:commentRangeEnd w:id="1"/>
      <w:r w:rsidR="00F022F0">
        <w:rPr>
          <w:rStyle w:val="CommentReference"/>
        </w:rPr>
        <w:commentReference w:id="1"/>
      </w:r>
      <w:r>
        <w:rPr>
          <w:rFonts w:ascii="Times New Roman" w:eastAsia="Times New Roman" w:hAnsi="Times New Roman" w:cs="Times New Roman"/>
          <w:sz w:val="24"/>
          <w:szCs w:val="24"/>
        </w:rPr>
        <w:t>Acharya N.G. Ranga Agricultural University (ANGRAU) has been continuously developing and recommending location-specific technologies for paddy cultivation through its research stations and extension system. These technologies include improved high-yielding and stress-tolerant varieties, scientific seed and nursery management, optimum seed rate, integrated nutrient management, integrated weed management, integrated pest and disease management, and rodent management practices. Adoption of these recommended technologies can enhance crop productivity, improve input-use efficiency, reduce production costs, and increase farmers' income.</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lastRenderedPageBreak/>
        <w:t>Recent synthesis and empirical studies indicate that adoption of improved rice technologies is shaped by both farm and household conditions and technology-specific attributes, with access to information, seed, and learning opportunities influencing uptake (Checco et al., 2023; Athulya et al., 2026; Gars &amp; Ward, 2019).</w:t>
      </w:r>
    </w:p>
    <w:p w:rsidR="001E69E3" w:rsidRDefault="00011FBD">
      <w:pPr>
        <w:pStyle w:val="normal0"/>
        <w:spacing w:before="280" w:after="28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effectiveness of any agricultural technology depends not only on its technical superiority but also on the extent to which it is accepted and adopted by farmers. Although several improved technologies have been recommended by ANGRAU and disseminated through the Department of Agriculture, Krishi Vigyan Kendras (KVKs), and other extension agencies, their adoption varies across farming communities. Farmers' socio-economic characteristics, educational status, farming experience, landholding, access to extension services, and awareness of recommended practices play an important role in influencing technology adoption. In many cases, technologies fail to achieve the desired impact due to inadequate awareness, limited extension contact, financial constraints, labour scarcity, and farmers' perceptions regarding the relative advantage of the technology.</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Training and targeted information can increase knowledge and adoption of improved seed practices, while uneven extension access can leave persistent awareness gaps (Dar et al., 2020; Hossain et al., 2024; Athulya et al., 2026).</w:t>
      </w:r>
    </w:p>
    <w:p w:rsidR="001E69E3" w:rsidRDefault="00011FBD">
      <w:pPr>
        <w:pStyle w:val="normal0"/>
        <w:spacing w:before="280" w:after="28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Anakapalli district is one of the important paddy-growing districts of Andhra Pradesh, where rice cultivation is the primary occupation of a large number of farming households. Considerable efforts have been made by ANGRAU, Krishi Vigyan Kendra, and the Department of Agriculture to promote improved paddy production technologies in the district. However, information on the extent to which these technologies have been adopted by farmers is limited. Assessing the awareness and adoption of ANGRAU-recommended technologies is essential to identify technology gaps, understand the constraints in adoption, and provide feedback for strengthening research and extension programmes.Therefore, the present investigation entitled </w:t>
      </w:r>
      <w:r>
        <w:rPr>
          <w:rFonts w:ascii="Times New Roman" w:eastAsia="Times New Roman" w:hAnsi="Times New Roman" w:cs="Times New Roman"/>
          <w:b/>
          <w:bCs/>
          <w:sz w:val="24"/>
          <w:szCs w:val="24"/>
        </w:rPr>
        <w:t>"Extent of Adoption of ANGRAU Technologies among Paddy Farmers in Anakapalli District of Andhra Pradesh"</w:t>
      </w:r>
      <w:r>
        <w:rPr>
          <w:rFonts w:ascii="Times New Roman" w:eastAsia="Times New Roman" w:hAnsi="Times New Roman" w:cs="Times New Roman"/>
          <w:sz w:val="24"/>
          <w:szCs w:val="24"/>
        </w:rPr>
        <w:t xml:space="preserve"> was undertaken to assess the level of awareness and adoption of recommended paddy technologies and to identify the reasons for their non-adoption.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Evidence from ANGRAU-related studies in Andhra Pradesh indicates substantial practice- and crop-specific variation in adoption, emphasizing the value of local diagnostics of awareness and constraints (Manoj et al., 2026; Chowdary, Prasad, et al., 2021; Chowdary, Vemaraju, et al., 2021). Comparable ANGRAU work in Bengal gram also reported practice-specific adoption constraints, supporting context-sensitive extension responses (Devi et al., 2023; Manoj et al., 2026).</w:t>
      </w:r>
    </w:p>
    <w:p w:rsidR="001E69E3" w:rsidRDefault="00011FBD">
      <w:pPr>
        <w:pStyle w:val="Heading3"/>
        <w:rPr>
          <w:rFonts w:ascii="Times New Roman" w:eastAsia="Times New Roman" w:hAnsi="Times New Roman" w:cs="Times New Roman"/>
          <w:b w:val="0"/>
          <w:bCs w:val="0"/>
          <w:color w:val="000000"/>
          <w:sz w:val="24"/>
          <w:szCs w:val="24"/>
        </w:rPr>
      </w:pPr>
      <w:r>
        <w:rPr>
          <w:rFonts w:ascii="Times New Roman" w:eastAsia="Times New Roman" w:hAnsi="Times New Roman" w:cs="Times New Roman"/>
          <w:color w:val="000000"/>
          <w:sz w:val="24"/>
          <w:szCs w:val="24"/>
        </w:rPr>
        <w:t>Materials and Methods</w:t>
      </w:r>
    </w:p>
    <w:p w:rsidR="001E69E3" w:rsidRPr="00F022F0" w:rsidRDefault="00011FBD" w:rsidP="00F022F0">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present study was conducted in Anakapalli district of Andhra Pradesh to assess the extent of awareness and adoption of ANGRAU-recommended paddy production technologies among farmers. An ex-post facto research design was employed, as the recommended technologies had already been disseminated and adopted by the farmers before the commencement of the study. Anakapalli district was selected purposively due to its predominance in paddy cultivation and the active dissemination of ANGRAU technologies through the Department of Agriculture and Krishi Vigyan Kendra (KVK). A multistage sampling procedure was adopted for the selection of respondents. Two mandals with a larger area under paddy cultivation were selected purposively, followed by the selection of two villages from each mandal based on the extent of paddy cultivation. From each selected village, 15 paddy farmers were selected through simple random sampling, constituting a total sample of </w:t>
      </w:r>
      <w:commentRangeStart w:id="2"/>
      <w:r>
        <w:rPr>
          <w:rFonts w:ascii="Times New Roman" w:eastAsia="Times New Roman" w:hAnsi="Times New Roman" w:cs="Times New Roman"/>
          <w:color w:val="000000"/>
          <w:sz w:val="24"/>
          <w:szCs w:val="24"/>
        </w:rPr>
        <w:t>60</w:t>
      </w:r>
      <w:commentRangeEnd w:id="2"/>
      <w:r w:rsidR="00F022F0">
        <w:rPr>
          <w:rStyle w:val="CommentReference"/>
        </w:rPr>
        <w:commentReference w:id="2"/>
      </w:r>
      <w:r>
        <w:rPr>
          <w:rFonts w:ascii="Times New Roman" w:eastAsia="Times New Roman" w:hAnsi="Times New Roman" w:cs="Times New Roman"/>
          <w:color w:val="000000"/>
          <w:sz w:val="24"/>
          <w:szCs w:val="24"/>
        </w:rPr>
        <w:t xml:space="preserve"> respondents. Primary data were collected through personal interviews using a </w:t>
      </w:r>
      <w:r>
        <w:rPr>
          <w:rFonts w:ascii="Times New Roman" w:eastAsia="Times New Roman" w:hAnsi="Times New Roman" w:cs="Times New Roman"/>
          <w:color w:val="000000"/>
          <w:sz w:val="24"/>
          <w:szCs w:val="24"/>
        </w:rPr>
        <w:lastRenderedPageBreak/>
        <w:t>pre-tested and structured interview schedule developed based on the ANGRAU package of practices for paddy. The schedule included information on the socio-economic characteristics of the respondents, awareness and adoption of recommended paddy technologies, and reasons for non-adoption. The collected data were coded, tabulated, and analyzed using appropriate descriptive statistical tools such as frequency, percentage, mean, standard deviation, and ranking to interpret the findings in accordance with the objectives of the study.</w:t>
      </w:r>
    </w:p>
    <w:p w:rsidR="001E69E3" w:rsidRDefault="00011FBD">
      <w:pPr>
        <w:pStyle w:val="normal0"/>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Results and Discussion</w:t>
      </w:r>
    </w:p>
    <w:p w:rsidR="001E69E3" w:rsidRDefault="00011FBD">
      <w:pPr>
        <w:pStyle w:val="normal0"/>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Profile characters of the  respondents based on independent variables:</w:t>
      </w:r>
    </w:p>
    <w:p w:rsidR="001E69E3" w:rsidRDefault="001E69E3">
      <w:pPr>
        <w:pStyle w:val="normal0"/>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rPr>
      </w:pPr>
    </w:p>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Table: 1: Distribution of farmers according to their Age.  (</w:t>
      </w:r>
      <w:r>
        <w:rPr>
          <w:rFonts w:ascii="Times New Roman" w:eastAsia="Times New Roman" w:hAnsi="Times New Roman" w:cs="Times New Roman"/>
        </w:rPr>
        <w:t>n</w:t>
      </w:r>
      <w:r>
        <w:rPr>
          <w:rFonts w:ascii="Times New Roman" w:eastAsia="Times New Roman" w:hAnsi="Times New Roman" w:cs="Times New Roman"/>
          <w:b/>
          <w:bCs/>
        </w:rPr>
        <w:t xml:space="preserve"> = </w:t>
      </w:r>
      <w:r>
        <w:rPr>
          <w:rFonts w:ascii="Times New Roman" w:eastAsia="Times New Roman" w:hAnsi="Times New Roman" w:cs="Times New Roman"/>
        </w:rPr>
        <w:t>60)</w:t>
      </w:r>
    </w:p>
    <w:tbl>
      <w:tblPr>
        <w:tblStyle w:val="a"/>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12"/>
        <w:gridCol w:w="3156"/>
        <w:gridCol w:w="2701"/>
        <w:gridCol w:w="2473"/>
      </w:tblGrid>
      <w:tr w:rsidR="001E69E3">
        <w:trPr>
          <w:cantSplit/>
          <w:tblHeader/>
        </w:trPr>
        <w:tc>
          <w:tcPr>
            <w:tcW w:w="912" w:type="dxa"/>
            <w:vMerge w:val="restart"/>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S.No</w:t>
            </w:r>
          </w:p>
        </w:tc>
        <w:tc>
          <w:tcPr>
            <w:tcW w:w="3156" w:type="dxa"/>
            <w:vMerge w:val="restart"/>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Category of </w:t>
            </w:r>
            <w:commentRangeStart w:id="3"/>
            <w:r>
              <w:rPr>
                <w:rFonts w:ascii="Times New Roman" w:eastAsia="Times New Roman" w:hAnsi="Times New Roman" w:cs="Times New Roman"/>
                <w:b/>
                <w:bCs/>
                <w:sz w:val="24"/>
                <w:szCs w:val="24"/>
              </w:rPr>
              <w:t>farmers</w:t>
            </w:r>
            <w:commentRangeEnd w:id="3"/>
            <w:r w:rsidR="000C32FD">
              <w:rPr>
                <w:rStyle w:val="CommentReference"/>
              </w:rPr>
              <w:commentReference w:id="3"/>
            </w:r>
          </w:p>
        </w:tc>
        <w:tc>
          <w:tcPr>
            <w:tcW w:w="5174" w:type="dxa"/>
            <w:gridSpan w:val="2"/>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 of farmers</w:t>
            </w:r>
          </w:p>
        </w:tc>
      </w:tr>
      <w:tr w:rsidR="001E69E3">
        <w:trPr>
          <w:cantSplit/>
          <w:tblHeader/>
        </w:trPr>
        <w:tc>
          <w:tcPr>
            <w:tcW w:w="912"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3156"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2701" w:type="dxa"/>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Frequency</w:t>
            </w:r>
          </w:p>
        </w:tc>
        <w:tc>
          <w:tcPr>
            <w:tcW w:w="2473" w:type="dxa"/>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Percentage</w:t>
            </w:r>
          </w:p>
        </w:tc>
      </w:tr>
      <w:tr w:rsidR="001E69E3">
        <w:trPr>
          <w:cantSplit/>
          <w:tblHeader/>
        </w:trPr>
        <w:tc>
          <w:tcPr>
            <w:tcW w:w="912"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Young age (&lt;31 years)</w:t>
            </w:r>
          </w:p>
        </w:tc>
        <w:tc>
          <w:tcPr>
            <w:tcW w:w="2701" w:type="dxa"/>
          </w:tcPr>
          <w:p w:rsidR="001E69E3" w:rsidRDefault="001E69E3">
            <w:pPr>
              <w:pStyle w:val="normal0"/>
              <w:spacing w:after="0" w:line="240" w:lineRule="auto"/>
              <w:jc w:val="center"/>
              <w:rPr>
                <w:rFonts w:ascii="Times New Roman" w:eastAsia="Times New Roman" w:hAnsi="Times New Roman" w:cs="Times New Roman"/>
                <w:sz w:val="24"/>
                <w:szCs w:val="24"/>
              </w:rPr>
            </w:pPr>
          </w:p>
        </w:tc>
        <w:tc>
          <w:tcPr>
            <w:tcW w:w="2473" w:type="dxa"/>
          </w:tcPr>
          <w:p w:rsidR="001E69E3" w:rsidRDefault="001E69E3">
            <w:pPr>
              <w:pStyle w:val="normal0"/>
              <w:spacing w:after="0" w:line="240" w:lineRule="auto"/>
              <w:jc w:val="center"/>
              <w:rPr>
                <w:rFonts w:ascii="Times New Roman" w:eastAsia="Times New Roman" w:hAnsi="Times New Roman" w:cs="Times New Roman"/>
                <w:sz w:val="24"/>
                <w:szCs w:val="24"/>
              </w:rPr>
            </w:pPr>
          </w:p>
        </w:tc>
      </w:tr>
      <w:tr w:rsidR="001E69E3">
        <w:trPr>
          <w:cantSplit/>
          <w:tblHeader/>
        </w:trPr>
        <w:tc>
          <w:tcPr>
            <w:tcW w:w="912"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Middle age (31-50 years)</w:t>
            </w:r>
          </w:p>
        </w:tc>
        <w:tc>
          <w:tcPr>
            <w:tcW w:w="2701"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473"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66.67</w:t>
            </w:r>
          </w:p>
        </w:tc>
      </w:tr>
      <w:tr w:rsidR="001E69E3">
        <w:trPr>
          <w:cantSplit/>
          <w:tblHeader/>
        </w:trPr>
        <w:tc>
          <w:tcPr>
            <w:tcW w:w="912"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Old age (&gt; 50 years)</w:t>
            </w:r>
          </w:p>
        </w:tc>
        <w:tc>
          <w:tcPr>
            <w:tcW w:w="2701"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473"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33.33</w:t>
            </w:r>
          </w:p>
        </w:tc>
      </w:tr>
      <w:tr w:rsidR="001E69E3">
        <w:trPr>
          <w:cantSplit/>
          <w:tblHeader/>
        </w:trPr>
        <w:tc>
          <w:tcPr>
            <w:tcW w:w="912"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31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701"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2473"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bl>
    <w:p w:rsidR="001E69E3" w:rsidRDefault="001E69E3">
      <w:pPr>
        <w:pStyle w:val="normal0"/>
        <w:spacing w:after="0" w:line="240" w:lineRule="auto"/>
        <w:jc w:val="both"/>
        <w:rPr>
          <w:rFonts w:ascii="Times New Roman" w:eastAsia="Times New Roman" w:hAnsi="Times New Roman" w:cs="Times New Roman"/>
        </w:rPr>
      </w:pPr>
    </w:p>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findings of the study revealed that the majority of the respondents (66.67%) belonged to the middle-age group (31–50 years), while 33.33 per cent were above 50 years of age. None of the respondents belonged to the young age category (&lt;31 years).</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absence of young farmers and predominance of middle- and older-aged respondents should be interpreted as a sample characteristic rather than a direct cause of adoption. Rice-adoption research indicates that age effects are context dependent and interact with learning, resources, and technology-specific attributes (Gars &amp; Ward, 2019; Checco et al., 2023; Athulya et al., 2026).</w:t>
      </w:r>
    </w:p>
    <w:p w:rsidR="001E69E3" w:rsidRDefault="001E69E3">
      <w:pPr>
        <w:pStyle w:val="normal0"/>
        <w:spacing w:after="0"/>
        <w:rPr>
          <w:rFonts w:ascii="Times New Roman" w:eastAsia="Times New Roman" w:hAnsi="Times New Roman" w:cs="Times New Roman"/>
        </w:rPr>
      </w:pPr>
    </w:p>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Table –.2 : Distribution of respondents according to Education levels</w:t>
      </w:r>
      <w:r>
        <w:rPr>
          <w:rFonts w:ascii="Times New Roman" w:eastAsia="Times New Roman" w:hAnsi="Times New Roman" w:cs="Times New Roman"/>
        </w:rPr>
        <w:t>. (n</w:t>
      </w:r>
      <w:r>
        <w:rPr>
          <w:rFonts w:ascii="Times New Roman" w:eastAsia="Times New Roman" w:hAnsi="Times New Roman" w:cs="Times New Roman"/>
          <w:b/>
          <w:bCs/>
        </w:rPr>
        <w:t xml:space="preserve"> = </w:t>
      </w:r>
      <w:r>
        <w:rPr>
          <w:rFonts w:ascii="Times New Roman" w:eastAsia="Times New Roman" w:hAnsi="Times New Roman" w:cs="Times New Roman"/>
        </w:rPr>
        <w:t>60)</w:t>
      </w:r>
    </w:p>
    <w:tbl>
      <w:tblPr>
        <w:tblStyle w:val="a0"/>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44"/>
        <w:gridCol w:w="3124"/>
        <w:gridCol w:w="2248"/>
        <w:gridCol w:w="2926"/>
      </w:tblGrid>
      <w:tr w:rsidR="001E69E3">
        <w:trPr>
          <w:cantSplit/>
          <w:tblHeader/>
        </w:trPr>
        <w:tc>
          <w:tcPr>
            <w:tcW w:w="944"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S.No</w:t>
            </w:r>
          </w:p>
        </w:tc>
        <w:tc>
          <w:tcPr>
            <w:tcW w:w="3124"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Level of Education (score)</w:t>
            </w:r>
          </w:p>
        </w:tc>
        <w:tc>
          <w:tcPr>
            <w:tcW w:w="5174" w:type="dxa"/>
            <w:gridSpan w:val="2"/>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944"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3124"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248" w:type="dxa"/>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Frequency</w:t>
            </w:r>
          </w:p>
        </w:tc>
        <w:tc>
          <w:tcPr>
            <w:tcW w:w="2926" w:type="dxa"/>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94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124"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No schooling (1)</w:t>
            </w:r>
          </w:p>
        </w:tc>
        <w:tc>
          <w:tcPr>
            <w:tcW w:w="224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40</w:t>
            </w:r>
          </w:p>
        </w:tc>
        <w:tc>
          <w:tcPr>
            <w:tcW w:w="29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13.34</w:t>
            </w:r>
          </w:p>
        </w:tc>
      </w:tr>
      <w:tr w:rsidR="001E69E3">
        <w:trPr>
          <w:cantSplit/>
          <w:tblHeader/>
        </w:trPr>
        <w:tc>
          <w:tcPr>
            <w:tcW w:w="94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124"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Primary School (2)</w:t>
            </w:r>
          </w:p>
        </w:tc>
        <w:tc>
          <w:tcPr>
            <w:tcW w:w="224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9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66.67</w:t>
            </w:r>
          </w:p>
        </w:tc>
      </w:tr>
      <w:tr w:rsidR="001E69E3">
        <w:trPr>
          <w:cantSplit/>
          <w:tblHeader/>
        </w:trPr>
        <w:tc>
          <w:tcPr>
            <w:tcW w:w="94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3124"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Middle School (3)</w:t>
            </w:r>
          </w:p>
        </w:tc>
        <w:tc>
          <w:tcPr>
            <w:tcW w:w="224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9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1.67</w:t>
            </w:r>
          </w:p>
        </w:tc>
      </w:tr>
      <w:tr w:rsidR="001E69E3">
        <w:trPr>
          <w:cantSplit/>
          <w:trHeight w:val="273"/>
          <w:tblHeader/>
        </w:trPr>
        <w:tc>
          <w:tcPr>
            <w:tcW w:w="94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3124"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High School (4)</w:t>
            </w:r>
          </w:p>
        </w:tc>
        <w:tc>
          <w:tcPr>
            <w:tcW w:w="224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29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15.00</w:t>
            </w:r>
          </w:p>
        </w:tc>
      </w:tr>
      <w:tr w:rsidR="001E69E3">
        <w:trPr>
          <w:cantSplit/>
          <w:tblHeader/>
        </w:trPr>
        <w:tc>
          <w:tcPr>
            <w:tcW w:w="94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3124"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Degree and above (5)</w:t>
            </w:r>
          </w:p>
        </w:tc>
        <w:tc>
          <w:tcPr>
            <w:tcW w:w="224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9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3.34</w:t>
            </w:r>
          </w:p>
        </w:tc>
      </w:tr>
      <w:tr w:rsidR="001E69E3">
        <w:trPr>
          <w:cantSplit/>
          <w:tblHeader/>
        </w:trPr>
        <w:tc>
          <w:tcPr>
            <w:tcW w:w="944" w:type="dxa"/>
            <w:vAlign w:val="center"/>
          </w:tcPr>
          <w:p w:rsidR="001E69E3" w:rsidRDefault="001E69E3">
            <w:pPr>
              <w:pStyle w:val="normal0"/>
              <w:spacing w:after="0" w:line="240" w:lineRule="auto"/>
              <w:jc w:val="both"/>
              <w:rPr>
                <w:rFonts w:ascii="Times New Roman" w:eastAsia="Times New Roman" w:hAnsi="Times New Roman" w:cs="Times New Roman"/>
              </w:rPr>
            </w:pPr>
          </w:p>
        </w:tc>
        <w:tc>
          <w:tcPr>
            <w:tcW w:w="3124"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Total</w:t>
            </w:r>
          </w:p>
        </w:tc>
        <w:tc>
          <w:tcPr>
            <w:tcW w:w="224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29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bl>
    <w:p w:rsidR="001E69E3" w:rsidRDefault="00011FBD">
      <w:pPr>
        <w:pStyle w:val="normal0"/>
        <w:spacing w:line="360" w:lineRule="auto"/>
        <w:ind w:left="142" w:firstLine="578"/>
        <w:jc w:val="both"/>
        <w:rPr>
          <w:rFonts w:ascii="Times New Roman" w:eastAsia="Times New Roman" w:hAnsi="Times New Roman" w:cs="Times New Roman"/>
        </w:rPr>
      </w:pPr>
      <w:r>
        <w:rPr>
          <w:rFonts w:ascii="Times New Roman" w:eastAsia="Times New Roman" w:hAnsi="Times New Roman" w:cs="Times New Roman"/>
        </w:rPr>
        <w:t>The findings revealed that the majority of the respondents (66.67%) had primary school education, followed by high school education (15.00%), while only 3.34 per cent had attained a degree or higher education</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concentration at primary-school education may be relevant to how technical recommendations are accessed and interpreted; evidence from rice systems indicates that education can influence adoption, although its importance varies by technology and setting (Dar et al., 2020; Checco et al., 2023; Athulya et al., 2026).</w:t>
      </w:r>
    </w:p>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Table –3:</w:t>
      </w:r>
      <w:r>
        <w:rPr>
          <w:rFonts w:ascii="Times New Roman" w:eastAsia="Times New Roman" w:hAnsi="Times New Roman" w:cs="Times New Roman"/>
          <w:b/>
          <w:bCs/>
        </w:rPr>
        <w:tab/>
        <w:t>Distribution of respondents according to their Experience in Farming. (</w:t>
      </w:r>
      <w:r>
        <w:rPr>
          <w:rFonts w:ascii="Times New Roman" w:eastAsia="Times New Roman" w:hAnsi="Times New Roman" w:cs="Times New Roman"/>
        </w:rPr>
        <w:t>n</w:t>
      </w:r>
      <w:r>
        <w:rPr>
          <w:rFonts w:ascii="Times New Roman" w:eastAsia="Times New Roman" w:hAnsi="Times New Roman" w:cs="Times New Roman"/>
          <w:b/>
          <w:bCs/>
        </w:rPr>
        <w:t xml:space="preserve"> = </w:t>
      </w:r>
      <w:r>
        <w:rPr>
          <w:rFonts w:ascii="Times New Roman" w:eastAsia="Times New Roman" w:hAnsi="Times New Roman" w:cs="Times New Roman"/>
        </w:rPr>
        <w:t>60)</w:t>
      </w:r>
    </w:p>
    <w:tbl>
      <w:tblPr>
        <w:tblStyle w:val="a1"/>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9"/>
        <w:gridCol w:w="2664"/>
        <w:gridCol w:w="2268"/>
        <w:gridCol w:w="3481"/>
      </w:tblGrid>
      <w:tr w:rsidR="001E69E3">
        <w:trPr>
          <w:cantSplit/>
          <w:tblHeader/>
        </w:trPr>
        <w:tc>
          <w:tcPr>
            <w:tcW w:w="829"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S.No</w:t>
            </w:r>
          </w:p>
        </w:tc>
        <w:tc>
          <w:tcPr>
            <w:tcW w:w="2664"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Experience in Farming</w:t>
            </w:r>
          </w:p>
        </w:tc>
        <w:tc>
          <w:tcPr>
            <w:tcW w:w="5749" w:type="dxa"/>
            <w:gridSpan w:val="2"/>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829"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664"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268"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Frequency</w:t>
            </w:r>
          </w:p>
        </w:tc>
        <w:tc>
          <w:tcPr>
            <w:tcW w:w="3481"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82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2664"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Upto 20 yrs</w:t>
            </w:r>
          </w:p>
        </w:tc>
        <w:tc>
          <w:tcPr>
            <w:tcW w:w="2268"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348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32.00</w:t>
            </w:r>
          </w:p>
        </w:tc>
      </w:tr>
      <w:tr w:rsidR="001E69E3">
        <w:trPr>
          <w:cantSplit/>
          <w:tblHeader/>
        </w:trPr>
        <w:tc>
          <w:tcPr>
            <w:tcW w:w="82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2664"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21-30 yrs</w:t>
            </w:r>
          </w:p>
        </w:tc>
        <w:tc>
          <w:tcPr>
            <w:tcW w:w="2268"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348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38.00</w:t>
            </w:r>
          </w:p>
        </w:tc>
      </w:tr>
      <w:tr w:rsidR="001E69E3">
        <w:trPr>
          <w:cantSplit/>
          <w:tblHeader/>
        </w:trPr>
        <w:tc>
          <w:tcPr>
            <w:tcW w:w="82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3</w:t>
            </w:r>
          </w:p>
        </w:tc>
        <w:tc>
          <w:tcPr>
            <w:tcW w:w="2664"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Above 30 yrs</w:t>
            </w:r>
          </w:p>
        </w:tc>
        <w:tc>
          <w:tcPr>
            <w:tcW w:w="2268"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348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30.00</w:t>
            </w:r>
          </w:p>
        </w:tc>
      </w:tr>
      <w:tr w:rsidR="001E69E3">
        <w:trPr>
          <w:cantSplit/>
          <w:tblHeader/>
        </w:trPr>
        <w:tc>
          <w:tcPr>
            <w:tcW w:w="829" w:type="dxa"/>
          </w:tcPr>
          <w:p w:rsidR="001E69E3" w:rsidRDefault="001E69E3">
            <w:pPr>
              <w:pStyle w:val="normal0"/>
              <w:spacing w:after="0" w:line="240" w:lineRule="auto"/>
              <w:jc w:val="both"/>
              <w:rPr>
                <w:rFonts w:ascii="Times New Roman" w:eastAsia="Times New Roman" w:hAnsi="Times New Roman" w:cs="Times New Roman"/>
              </w:rPr>
            </w:pPr>
          </w:p>
        </w:tc>
        <w:tc>
          <w:tcPr>
            <w:tcW w:w="2664"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Total</w:t>
            </w:r>
          </w:p>
        </w:tc>
        <w:tc>
          <w:tcPr>
            <w:tcW w:w="2268"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348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bl>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findings revealed that the highest proportion of the respondents (38.00%) had 21–30 years of farming experience</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followed by 32.00 per cent with up to 20 years of experience and 30.00 per cent with more than 30 years of farming experience.</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Substantial farming experience may provide accumulated production knowledge, but experience does not necessarily translate into uptake of unfamiliar technologies because adoption also depends on information processing and perceived technology attributes (Gars &amp; Ward, 2019; Checco et al., 2023; Athulya et al., 2026).</w:t>
      </w:r>
    </w:p>
    <w:p w:rsidR="001E69E3" w:rsidRDefault="001E69E3">
      <w:pPr>
        <w:pStyle w:val="normal0"/>
        <w:spacing w:after="0" w:line="240" w:lineRule="auto"/>
        <w:jc w:val="both"/>
        <w:rPr>
          <w:rFonts w:ascii="Times New Roman" w:eastAsia="Times New Roman" w:hAnsi="Times New Roman" w:cs="Times New Roman"/>
          <w:b/>
          <w:bCs/>
        </w:rPr>
      </w:pPr>
    </w:p>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Table –4:</w:t>
      </w:r>
      <w:r>
        <w:rPr>
          <w:rFonts w:ascii="Times New Roman" w:eastAsia="Times New Roman" w:hAnsi="Times New Roman" w:cs="Times New Roman"/>
          <w:b/>
          <w:bCs/>
        </w:rPr>
        <w:tab/>
        <w:t xml:space="preserve">Distribution of respondents according to their Occupation. </w:t>
      </w:r>
      <w:r>
        <w:rPr>
          <w:rFonts w:ascii="Times New Roman" w:eastAsia="Times New Roman" w:hAnsi="Times New Roman" w:cs="Times New Roman"/>
        </w:rPr>
        <w:t>n</w:t>
      </w:r>
      <w:r>
        <w:rPr>
          <w:rFonts w:ascii="Times New Roman" w:eastAsia="Times New Roman" w:hAnsi="Times New Roman" w:cs="Times New Roman"/>
          <w:b/>
          <w:bCs/>
        </w:rPr>
        <w:t xml:space="preserve"> = </w:t>
      </w:r>
      <w:r>
        <w:rPr>
          <w:rFonts w:ascii="Times New Roman" w:eastAsia="Times New Roman" w:hAnsi="Times New Roman" w:cs="Times New Roman"/>
        </w:rPr>
        <w:t>60</w:t>
      </w:r>
    </w:p>
    <w:tbl>
      <w:tblPr>
        <w:tblStyle w:val="a2"/>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61"/>
        <w:gridCol w:w="2763"/>
        <w:gridCol w:w="2869"/>
        <w:gridCol w:w="2749"/>
      </w:tblGrid>
      <w:tr w:rsidR="001E69E3">
        <w:trPr>
          <w:cantSplit/>
          <w:tblHeader/>
        </w:trPr>
        <w:tc>
          <w:tcPr>
            <w:tcW w:w="861"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S.No</w:t>
            </w:r>
          </w:p>
        </w:tc>
        <w:tc>
          <w:tcPr>
            <w:tcW w:w="2763"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Category of Occupation</w:t>
            </w:r>
          </w:p>
        </w:tc>
        <w:tc>
          <w:tcPr>
            <w:tcW w:w="5618" w:type="dxa"/>
            <w:gridSpan w:val="2"/>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861"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763"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869"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Frequency</w:t>
            </w:r>
          </w:p>
        </w:tc>
        <w:tc>
          <w:tcPr>
            <w:tcW w:w="2749"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86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763"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Crop Husbandry</w:t>
            </w:r>
          </w:p>
        </w:tc>
        <w:tc>
          <w:tcPr>
            <w:tcW w:w="286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274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r w:rsidR="001E69E3">
        <w:trPr>
          <w:cantSplit/>
          <w:tblHeader/>
        </w:trPr>
        <w:tc>
          <w:tcPr>
            <w:tcW w:w="86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763"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Agricultural Labour(local</w:t>
            </w:r>
          </w:p>
        </w:tc>
        <w:tc>
          <w:tcPr>
            <w:tcW w:w="2869" w:type="dxa"/>
          </w:tcPr>
          <w:p w:rsidR="001E69E3" w:rsidRDefault="001E69E3">
            <w:pPr>
              <w:pStyle w:val="normal0"/>
              <w:spacing w:after="0" w:line="240" w:lineRule="auto"/>
              <w:jc w:val="center"/>
              <w:rPr>
                <w:rFonts w:ascii="Times New Roman" w:eastAsia="Times New Roman" w:hAnsi="Times New Roman" w:cs="Times New Roman"/>
              </w:rPr>
            </w:pPr>
          </w:p>
        </w:tc>
        <w:tc>
          <w:tcPr>
            <w:tcW w:w="2749" w:type="dxa"/>
          </w:tcPr>
          <w:p w:rsidR="001E69E3" w:rsidRDefault="001E69E3">
            <w:pPr>
              <w:pStyle w:val="normal0"/>
              <w:spacing w:after="0" w:line="240" w:lineRule="auto"/>
              <w:jc w:val="center"/>
              <w:rPr>
                <w:rFonts w:ascii="Times New Roman" w:eastAsia="Times New Roman" w:hAnsi="Times New Roman" w:cs="Times New Roman"/>
              </w:rPr>
            </w:pPr>
          </w:p>
        </w:tc>
      </w:tr>
      <w:tr w:rsidR="001E69E3">
        <w:trPr>
          <w:cantSplit/>
          <w:tblHeader/>
        </w:trPr>
        <w:tc>
          <w:tcPr>
            <w:tcW w:w="861" w:type="dxa"/>
          </w:tcPr>
          <w:p w:rsidR="001E69E3" w:rsidRDefault="001E69E3">
            <w:pPr>
              <w:pStyle w:val="normal0"/>
              <w:spacing w:after="0" w:line="240" w:lineRule="auto"/>
              <w:jc w:val="both"/>
              <w:rPr>
                <w:rFonts w:ascii="Times New Roman" w:eastAsia="Times New Roman" w:hAnsi="Times New Roman" w:cs="Times New Roman"/>
              </w:rPr>
            </w:pPr>
          </w:p>
        </w:tc>
        <w:tc>
          <w:tcPr>
            <w:tcW w:w="2763"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Total</w:t>
            </w:r>
          </w:p>
        </w:tc>
        <w:tc>
          <w:tcPr>
            <w:tcW w:w="286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274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bl>
    <w:p w:rsidR="001E69E3" w:rsidRDefault="00011FBD">
      <w:pPr>
        <w:pStyle w:val="norm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The outcome of the study implies that, cent percent of the farmers are having Agriculture as the occupation.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Because all respondents reported agriculture as their occupation, occupation cannot explain within-sample differences in adoption in the present data. More broadly, rice-technology adoption reflects interactions among farm dependence, resources, information, and technology characteristics rather than any single profile variable (Checco et al., 2023; Athulya et al., 2026).</w:t>
      </w:r>
    </w:p>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Table –5:</w:t>
      </w:r>
      <w:r>
        <w:rPr>
          <w:rFonts w:ascii="Times New Roman" w:eastAsia="Times New Roman" w:hAnsi="Times New Roman" w:cs="Times New Roman"/>
          <w:b/>
          <w:bCs/>
        </w:rPr>
        <w:tab/>
        <w:t xml:space="preserve">Distribution of respondents according to their Social </w:t>
      </w:r>
      <w:commentRangeStart w:id="4"/>
      <w:r>
        <w:rPr>
          <w:rFonts w:ascii="Times New Roman" w:eastAsia="Times New Roman" w:hAnsi="Times New Roman" w:cs="Times New Roman"/>
          <w:b/>
          <w:bCs/>
        </w:rPr>
        <w:t>status</w:t>
      </w:r>
      <w:commentRangeEnd w:id="4"/>
      <w:r w:rsidR="000C32FD">
        <w:rPr>
          <w:rStyle w:val="CommentReference"/>
        </w:rPr>
        <w:commentReference w:id="4"/>
      </w:r>
      <w:r>
        <w:rPr>
          <w:rFonts w:ascii="Times New Roman" w:eastAsia="Times New Roman" w:hAnsi="Times New Roman" w:cs="Times New Roman"/>
          <w:b/>
          <w:bCs/>
        </w:rPr>
        <w:t xml:space="preserve">. </w:t>
      </w:r>
      <w:r>
        <w:rPr>
          <w:rFonts w:ascii="Times New Roman" w:eastAsia="Times New Roman" w:hAnsi="Times New Roman" w:cs="Times New Roman"/>
        </w:rPr>
        <w:t>n</w:t>
      </w:r>
      <w:r>
        <w:rPr>
          <w:rFonts w:ascii="Times New Roman" w:eastAsia="Times New Roman" w:hAnsi="Times New Roman" w:cs="Times New Roman"/>
          <w:b/>
          <w:bCs/>
        </w:rPr>
        <w:t xml:space="preserve"> = </w:t>
      </w:r>
      <w:r>
        <w:rPr>
          <w:rFonts w:ascii="Times New Roman" w:eastAsia="Times New Roman" w:hAnsi="Times New Roman" w:cs="Times New Roman"/>
        </w:rPr>
        <w:t>60</w:t>
      </w:r>
    </w:p>
    <w:tbl>
      <w:tblPr>
        <w:tblStyle w:val="a3"/>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23"/>
        <w:gridCol w:w="2729"/>
        <w:gridCol w:w="2411"/>
        <w:gridCol w:w="3179"/>
      </w:tblGrid>
      <w:tr w:rsidR="001E69E3">
        <w:trPr>
          <w:cantSplit/>
          <w:tblHeader/>
        </w:trPr>
        <w:tc>
          <w:tcPr>
            <w:tcW w:w="923"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S.No</w:t>
            </w:r>
          </w:p>
        </w:tc>
        <w:tc>
          <w:tcPr>
            <w:tcW w:w="2729"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Category of farmers</w:t>
            </w:r>
          </w:p>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(Score)</w:t>
            </w:r>
          </w:p>
        </w:tc>
        <w:tc>
          <w:tcPr>
            <w:tcW w:w="5590" w:type="dxa"/>
            <w:gridSpan w:val="2"/>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923"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729"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411"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Frequency</w:t>
            </w:r>
          </w:p>
        </w:tc>
        <w:tc>
          <w:tcPr>
            <w:tcW w:w="3179"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923"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72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Schedule caste(1)</w:t>
            </w:r>
          </w:p>
        </w:tc>
        <w:tc>
          <w:tcPr>
            <w:tcW w:w="2411" w:type="dxa"/>
          </w:tcPr>
          <w:p w:rsidR="001E69E3" w:rsidRDefault="001E69E3">
            <w:pPr>
              <w:pStyle w:val="normal0"/>
              <w:spacing w:after="0" w:line="240" w:lineRule="auto"/>
              <w:jc w:val="center"/>
              <w:rPr>
                <w:rFonts w:ascii="Times New Roman" w:eastAsia="Times New Roman" w:hAnsi="Times New Roman" w:cs="Times New Roman"/>
              </w:rPr>
            </w:pPr>
          </w:p>
        </w:tc>
        <w:tc>
          <w:tcPr>
            <w:tcW w:w="3179" w:type="dxa"/>
          </w:tcPr>
          <w:p w:rsidR="001E69E3" w:rsidRDefault="001E69E3">
            <w:pPr>
              <w:pStyle w:val="normal0"/>
              <w:spacing w:after="0" w:line="240" w:lineRule="auto"/>
              <w:jc w:val="center"/>
              <w:rPr>
                <w:rFonts w:ascii="Times New Roman" w:eastAsia="Times New Roman" w:hAnsi="Times New Roman" w:cs="Times New Roman"/>
              </w:rPr>
            </w:pPr>
          </w:p>
        </w:tc>
      </w:tr>
      <w:tr w:rsidR="001E69E3">
        <w:trPr>
          <w:cantSplit/>
          <w:tblHeader/>
        </w:trPr>
        <w:tc>
          <w:tcPr>
            <w:tcW w:w="923"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72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Schedule Tribe(2)</w:t>
            </w:r>
          </w:p>
        </w:tc>
        <w:tc>
          <w:tcPr>
            <w:tcW w:w="2411" w:type="dxa"/>
          </w:tcPr>
          <w:p w:rsidR="001E69E3" w:rsidRDefault="001E69E3">
            <w:pPr>
              <w:pStyle w:val="normal0"/>
              <w:spacing w:after="0" w:line="240" w:lineRule="auto"/>
              <w:jc w:val="center"/>
              <w:rPr>
                <w:rFonts w:ascii="Times New Roman" w:eastAsia="Times New Roman" w:hAnsi="Times New Roman" w:cs="Times New Roman"/>
              </w:rPr>
            </w:pPr>
          </w:p>
        </w:tc>
        <w:tc>
          <w:tcPr>
            <w:tcW w:w="3179" w:type="dxa"/>
          </w:tcPr>
          <w:p w:rsidR="001E69E3" w:rsidRDefault="001E69E3">
            <w:pPr>
              <w:pStyle w:val="normal0"/>
              <w:spacing w:after="0" w:line="240" w:lineRule="auto"/>
              <w:jc w:val="center"/>
              <w:rPr>
                <w:rFonts w:ascii="Times New Roman" w:eastAsia="Times New Roman" w:hAnsi="Times New Roman" w:cs="Times New Roman"/>
              </w:rPr>
            </w:pPr>
          </w:p>
        </w:tc>
      </w:tr>
      <w:tr w:rsidR="001E69E3">
        <w:trPr>
          <w:cantSplit/>
          <w:tblHeader/>
        </w:trPr>
        <w:tc>
          <w:tcPr>
            <w:tcW w:w="923"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72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Backward caste(3)</w:t>
            </w:r>
          </w:p>
        </w:tc>
        <w:tc>
          <w:tcPr>
            <w:tcW w:w="241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317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r w:rsidR="001E69E3">
        <w:trPr>
          <w:cantSplit/>
          <w:tblHeader/>
        </w:trPr>
        <w:tc>
          <w:tcPr>
            <w:tcW w:w="923"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72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Others(4)</w:t>
            </w:r>
          </w:p>
        </w:tc>
        <w:tc>
          <w:tcPr>
            <w:tcW w:w="2411" w:type="dxa"/>
          </w:tcPr>
          <w:p w:rsidR="001E69E3" w:rsidRDefault="001E69E3">
            <w:pPr>
              <w:pStyle w:val="normal0"/>
              <w:spacing w:after="0" w:line="240" w:lineRule="auto"/>
              <w:jc w:val="center"/>
              <w:rPr>
                <w:rFonts w:ascii="Times New Roman" w:eastAsia="Times New Roman" w:hAnsi="Times New Roman" w:cs="Times New Roman"/>
              </w:rPr>
            </w:pPr>
          </w:p>
        </w:tc>
        <w:tc>
          <w:tcPr>
            <w:tcW w:w="3179" w:type="dxa"/>
          </w:tcPr>
          <w:p w:rsidR="001E69E3" w:rsidRDefault="001E69E3">
            <w:pPr>
              <w:pStyle w:val="normal0"/>
              <w:spacing w:after="0" w:line="240" w:lineRule="auto"/>
              <w:jc w:val="center"/>
              <w:rPr>
                <w:rFonts w:ascii="Times New Roman" w:eastAsia="Times New Roman" w:hAnsi="Times New Roman" w:cs="Times New Roman"/>
              </w:rPr>
            </w:pPr>
          </w:p>
        </w:tc>
      </w:tr>
      <w:tr w:rsidR="001E69E3">
        <w:trPr>
          <w:cantSplit/>
          <w:tblHeader/>
        </w:trPr>
        <w:tc>
          <w:tcPr>
            <w:tcW w:w="923" w:type="dxa"/>
          </w:tcPr>
          <w:p w:rsidR="001E69E3" w:rsidRDefault="001E69E3">
            <w:pPr>
              <w:pStyle w:val="normal0"/>
              <w:spacing w:after="0" w:line="240" w:lineRule="auto"/>
              <w:jc w:val="both"/>
              <w:rPr>
                <w:rFonts w:ascii="Times New Roman" w:eastAsia="Times New Roman" w:hAnsi="Times New Roman" w:cs="Times New Roman"/>
              </w:rPr>
            </w:pPr>
          </w:p>
        </w:tc>
        <w:tc>
          <w:tcPr>
            <w:tcW w:w="272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Total</w:t>
            </w:r>
          </w:p>
        </w:tc>
        <w:tc>
          <w:tcPr>
            <w:tcW w:w="241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317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bl>
    <w:p w:rsidR="001E69E3" w:rsidRDefault="001E69E3">
      <w:pPr>
        <w:pStyle w:val="normal0"/>
        <w:spacing w:after="0"/>
        <w:rPr>
          <w:rFonts w:ascii="Times New Roman" w:eastAsia="Times New Roman" w:hAnsi="Times New Roman" w:cs="Times New Roman"/>
        </w:rPr>
      </w:pPr>
    </w:p>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revealed that all the respondents (100.00%) belonged to the Backward Caste (BC) category</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while none of the respondents belonged to the Scheduled Caste (SC), Scheduled Tribe (ST), or Other categories</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homogeneous social-status composition likewise limits within-sample comparison across social categories. Studies of rice technology adoption suggest that social position can intersect with access to information and resources, but such relationships should not be inferred from a sample with no variation in this characteristic (Dar et al., 2020; Athulya et al., 2026).</w:t>
      </w:r>
    </w:p>
    <w:p w:rsidR="001E69E3" w:rsidRDefault="001E69E3">
      <w:pPr>
        <w:pStyle w:val="normal0"/>
        <w:spacing w:after="0" w:line="240" w:lineRule="auto"/>
        <w:jc w:val="both"/>
        <w:rPr>
          <w:rFonts w:ascii="Times New Roman" w:eastAsia="Times New Roman" w:hAnsi="Times New Roman" w:cs="Times New Roman"/>
          <w:sz w:val="24"/>
          <w:szCs w:val="24"/>
        </w:rPr>
      </w:pPr>
    </w:p>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Table –.6: Distribution of respondents according to their Land holding</w:t>
      </w:r>
      <w:r>
        <w:rPr>
          <w:rFonts w:ascii="Times New Roman" w:eastAsia="Times New Roman" w:hAnsi="Times New Roman" w:cs="Times New Roman"/>
        </w:rPr>
        <w:t xml:space="preserve"> n</w:t>
      </w:r>
      <w:r>
        <w:rPr>
          <w:rFonts w:ascii="Times New Roman" w:eastAsia="Times New Roman" w:hAnsi="Times New Roman" w:cs="Times New Roman"/>
          <w:b/>
          <w:bCs/>
        </w:rPr>
        <w:t xml:space="preserve"> = </w:t>
      </w:r>
      <w:r>
        <w:rPr>
          <w:rFonts w:ascii="Times New Roman" w:eastAsia="Times New Roman" w:hAnsi="Times New Roman" w:cs="Times New Roman"/>
        </w:rPr>
        <w:t>60</w:t>
      </w:r>
      <w:r>
        <w:rPr>
          <w:rFonts w:ascii="Times New Roman" w:eastAsia="Times New Roman" w:hAnsi="Times New Roman" w:cs="Times New Roman"/>
          <w:b/>
          <w:bCs/>
        </w:rPr>
        <w:tab/>
      </w:r>
    </w:p>
    <w:tbl>
      <w:tblPr>
        <w:tblStyle w:val="a4"/>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17"/>
        <w:gridCol w:w="3671"/>
        <w:gridCol w:w="2451"/>
        <w:gridCol w:w="2103"/>
      </w:tblGrid>
      <w:tr w:rsidR="001E69E3">
        <w:trPr>
          <w:cantSplit/>
          <w:trHeight w:val="90"/>
          <w:tblHeader/>
        </w:trPr>
        <w:tc>
          <w:tcPr>
            <w:tcW w:w="1017"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S.No</w:t>
            </w:r>
          </w:p>
        </w:tc>
        <w:tc>
          <w:tcPr>
            <w:tcW w:w="3671"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Land holding Category </w:t>
            </w:r>
          </w:p>
        </w:tc>
        <w:tc>
          <w:tcPr>
            <w:tcW w:w="4554" w:type="dxa"/>
            <w:gridSpan w:val="2"/>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1017"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3671"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451"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Frequency</w:t>
            </w:r>
          </w:p>
        </w:tc>
        <w:tc>
          <w:tcPr>
            <w:tcW w:w="2103"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rHeight w:val="177"/>
          <w:tblHeader/>
        </w:trPr>
        <w:tc>
          <w:tcPr>
            <w:tcW w:w="1017"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3671"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Marginal Farmers(&lt;2.5 Acres)</w:t>
            </w:r>
          </w:p>
        </w:tc>
        <w:tc>
          <w:tcPr>
            <w:tcW w:w="245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51</w:t>
            </w:r>
          </w:p>
        </w:tc>
        <w:tc>
          <w:tcPr>
            <w:tcW w:w="2103"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85.00</w:t>
            </w:r>
          </w:p>
        </w:tc>
      </w:tr>
      <w:tr w:rsidR="001E69E3">
        <w:trPr>
          <w:cantSplit/>
          <w:tblHeader/>
        </w:trPr>
        <w:tc>
          <w:tcPr>
            <w:tcW w:w="1017"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3671"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Small Farmers(2.5 to 5 Acres)</w:t>
            </w:r>
          </w:p>
        </w:tc>
        <w:tc>
          <w:tcPr>
            <w:tcW w:w="245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2103"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15.00</w:t>
            </w:r>
          </w:p>
        </w:tc>
      </w:tr>
      <w:tr w:rsidR="001E69E3">
        <w:trPr>
          <w:cantSplit/>
          <w:tblHeader/>
        </w:trPr>
        <w:tc>
          <w:tcPr>
            <w:tcW w:w="1017"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3</w:t>
            </w:r>
          </w:p>
        </w:tc>
        <w:tc>
          <w:tcPr>
            <w:tcW w:w="3671"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Big farmers(&gt;5 Acres)</w:t>
            </w:r>
          </w:p>
        </w:tc>
        <w:tc>
          <w:tcPr>
            <w:tcW w:w="2451" w:type="dxa"/>
          </w:tcPr>
          <w:p w:rsidR="001E69E3" w:rsidRDefault="001E69E3">
            <w:pPr>
              <w:pStyle w:val="normal0"/>
              <w:spacing w:after="0" w:line="240" w:lineRule="auto"/>
              <w:jc w:val="center"/>
              <w:rPr>
                <w:rFonts w:ascii="Times New Roman" w:eastAsia="Times New Roman" w:hAnsi="Times New Roman" w:cs="Times New Roman"/>
              </w:rPr>
            </w:pPr>
          </w:p>
        </w:tc>
        <w:tc>
          <w:tcPr>
            <w:tcW w:w="2103" w:type="dxa"/>
          </w:tcPr>
          <w:p w:rsidR="001E69E3" w:rsidRDefault="001E69E3">
            <w:pPr>
              <w:pStyle w:val="normal0"/>
              <w:spacing w:after="0" w:line="240" w:lineRule="auto"/>
              <w:jc w:val="center"/>
              <w:rPr>
                <w:rFonts w:ascii="Times New Roman" w:eastAsia="Times New Roman" w:hAnsi="Times New Roman" w:cs="Times New Roman"/>
              </w:rPr>
            </w:pPr>
          </w:p>
        </w:tc>
      </w:tr>
      <w:tr w:rsidR="001E69E3">
        <w:trPr>
          <w:cantSplit/>
          <w:trHeight w:val="259"/>
          <w:tblHeader/>
        </w:trPr>
        <w:tc>
          <w:tcPr>
            <w:tcW w:w="1017" w:type="dxa"/>
          </w:tcPr>
          <w:p w:rsidR="001E69E3" w:rsidRDefault="001E69E3">
            <w:pPr>
              <w:pStyle w:val="normal0"/>
              <w:spacing w:after="0" w:line="240" w:lineRule="auto"/>
              <w:jc w:val="both"/>
              <w:rPr>
                <w:rFonts w:ascii="Times New Roman" w:eastAsia="Times New Roman" w:hAnsi="Times New Roman" w:cs="Times New Roman"/>
              </w:rPr>
            </w:pPr>
          </w:p>
        </w:tc>
        <w:tc>
          <w:tcPr>
            <w:tcW w:w="3671"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Total</w:t>
            </w:r>
          </w:p>
        </w:tc>
        <w:tc>
          <w:tcPr>
            <w:tcW w:w="245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2103"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bl>
    <w:p w:rsidR="001E69E3" w:rsidRDefault="001E69E3">
      <w:pPr>
        <w:pStyle w:val="normal0"/>
        <w:spacing w:after="0"/>
        <w:jc w:val="both"/>
        <w:rPr>
          <w:rFonts w:ascii="Times New Roman" w:eastAsia="Times New Roman" w:hAnsi="Times New Roman" w:cs="Times New Roman"/>
        </w:rPr>
      </w:pPr>
    </w:p>
    <w:p w:rsidR="001E69E3" w:rsidRDefault="00011FBD">
      <w:pPr>
        <w:pStyle w:val="normal0"/>
        <w:spacing w:after="0"/>
        <w:ind w:firstLine="720"/>
        <w:jc w:val="both"/>
        <w:rPr>
          <w:rFonts w:ascii="Times New Roman" w:eastAsia="Times New Roman" w:hAnsi="Times New Roman" w:cs="Times New Roman"/>
        </w:rPr>
      </w:pPr>
      <w:r>
        <w:rPr>
          <w:rFonts w:ascii="Times New Roman" w:eastAsia="Times New Roman" w:hAnsi="Times New Roman" w:cs="Times New Roman"/>
        </w:rPr>
        <w:t xml:space="preserve">The outcome of the study infers that 85.00% of the farmers are having land holding less than 2.5acres and 15.00% of the farmers are having a land holding between 2.5 to 5.0 acres.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predominance of marginal holdings is relevant because land size can affect capacity to experiment with new varieties and practices; however, evidence shows that adoption drivers are technology- and context-specific and should not be reduced to farm size alone (Checco et al., 2023; Athulya et al., 2026).</w:t>
      </w:r>
    </w:p>
    <w:p w:rsidR="001E69E3" w:rsidRDefault="001E69E3">
      <w:pPr>
        <w:pStyle w:val="normal0"/>
        <w:spacing w:after="0" w:line="240" w:lineRule="auto"/>
        <w:jc w:val="both"/>
        <w:rPr>
          <w:rFonts w:ascii="Times New Roman" w:eastAsia="Times New Roman" w:hAnsi="Times New Roman" w:cs="Times New Roman"/>
          <w:b/>
          <w:bCs/>
        </w:rPr>
      </w:pPr>
    </w:p>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Table- 7   : Distribution of respondents according to their Family size </w:t>
      </w:r>
      <w:r>
        <w:rPr>
          <w:rFonts w:ascii="Times New Roman" w:eastAsia="Times New Roman" w:hAnsi="Times New Roman" w:cs="Times New Roman"/>
        </w:rPr>
        <w:t>n</w:t>
      </w:r>
      <w:r>
        <w:rPr>
          <w:rFonts w:ascii="Times New Roman" w:eastAsia="Times New Roman" w:hAnsi="Times New Roman" w:cs="Times New Roman"/>
          <w:b/>
          <w:bCs/>
        </w:rPr>
        <w:t xml:space="preserve"> = </w:t>
      </w:r>
      <w:r>
        <w:rPr>
          <w:rFonts w:ascii="Times New Roman" w:eastAsia="Times New Roman" w:hAnsi="Times New Roman" w:cs="Times New Roman"/>
        </w:rPr>
        <w:t>60</w:t>
      </w:r>
    </w:p>
    <w:tbl>
      <w:tblPr>
        <w:tblStyle w:val="a5"/>
        <w:tblW w:w="932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18"/>
        <w:gridCol w:w="4919"/>
        <w:gridCol w:w="2268"/>
        <w:gridCol w:w="1417"/>
      </w:tblGrid>
      <w:tr w:rsidR="001E69E3">
        <w:trPr>
          <w:cantSplit/>
          <w:tblHeader/>
        </w:trPr>
        <w:tc>
          <w:tcPr>
            <w:tcW w:w="718"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S.No</w:t>
            </w:r>
          </w:p>
        </w:tc>
        <w:tc>
          <w:tcPr>
            <w:tcW w:w="4919"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Family size</w:t>
            </w:r>
          </w:p>
        </w:tc>
        <w:tc>
          <w:tcPr>
            <w:tcW w:w="3685" w:type="dxa"/>
            <w:gridSpan w:val="2"/>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718"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4919"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268"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Frequency</w:t>
            </w:r>
          </w:p>
        </w:tc>
        <w:tc>
          <w:tcPr>
            <w:tcW w:w="1417"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718"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491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Small Family(up to 5 Members)</w:t>
            </w:r>
          </w:p>
        </w:tc>
        <w:tc>
          <w:tcPr>
            <w:tcW w:w="2268"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57</w:t>
            </w:r>
          </w:p>
        </w:tc>
        <w:tc>
          <w:tcPr>
            <w:tcW w:w="1417"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95.00</w:t>
            </w:r>
          </w:p>
        </w:tc>
      </w:tr>
      <w:tr w:rsidR="001E69E3">
        <w:trPr>
          <w:cantSplit/>
          <w:tblHeader/>
        </w:trPr>
        <w:tc>
          <w:tcPr>
            <w:tcW w:w="718"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4919" w:type="dxa"/>
          </w:tcPr>
          <w:p w:rsidR="001E69E3" w:rsidRDefault="00011FBD">
            <w:pPr>
              <w:pStyle w:val="normal0"/>
              <w:spacing w:after="0" w:line="240" w:lineRule="auto"/>
              <w:ind w:firstLine="2"/>
              <w:jc w:val="both"/>
              <w:rPr>
                <w:rFonts w:ascii="Times New Roman" w:eastAsia="Times New Roman" w:hAnsi="Times New Roman" w:cs="Times New Roman"/>
              </w:rPr>
            </w:pPr>
            <w:r>
              <w:rPr>
                <w:rFonts w:ascii="Times New Roman" w:eastAsia="Times New Roman" w:hAnsi="Times New Roman" w:cs="Times New Roman"/>
              </w:rPr>
              <w:t>Large Family(&gt; 5 Members)</w:t>
            </w:r>
          </w:p>
        </w:tc>
        <w:tc>
          <w:tcPr>
            <w:tcW w:w="2268"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417"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r>
      <w:tr w:rsidR="001E69E3">
        <w:trPr>
          <w:cantSplit/>
          <w:tblHeader/>
        </w:trPr>
        <w:tc>
          <w:tcPr>
            <w:tcW w:w="718" w:type="dxa"/>
          </w:tcPr>
          <w:p w:rsidR="001E69E3" w:rsidRDefault="001E69E3">
            <w:pPr>
              <w:pStyle w:val="normal0"/>
              <w:spacing w:after="0" w:line="240" w:lineRule="auto"/>
              <w:jc w:val="both"/>
              <w:rPr>
                <w:rFonts w:ascii="Times New Roman" w:eastAsia="Times New Roman" w:hAnsi="Times New Roman" w:cs="Times New Roman"/>
              </w:rPr>
            </w:pPr>
          </w:p>
        </w:tc>
        <w:tc>
          <w:tcPr>
            <w:tcW w:w="4919" w:type="dxa"/>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Total </w:t>
            </w:r>
          </w:p>
        </w:tc>
        <w:tc>
          <w:tcPr>
            <w:tcW w:w="2268"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1417"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bl>
    <w:p w:rsidR="001E69E3" w:rsidRDefault="001E69E3">
      <w:pPr>
        <w:pStyle w:val="normal0"/>
        <w:spacing w:after="0"/>
        <w:rPr>
          <w:rFonts w:ascii="Times New Roman" w:eastAsia="Times New Roman" w:hAnsi="Times New Roman" w:cs="Times New Roman"/>
        </w:rPr>
      </w:pPr>
    </w:p>
    <w:p w:rsidR="001E69E3" w:rsidRDefault="00011FBD">
      <w:pPr>
        <w:pStyle w:val="normal0"/>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outcome of the study implies that, the family size of the paddy respondents shows that 95.00% of the farmers belongs to small family category of upto 5 members in the family  and only 5.00% of the respondents belongs to large family category of above 5 members in their family.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Family size may influence household labour availability and resource allocation, but its relationship with adoption is not necessarily uniform across technologies. Consequently, the observed family-size distribution should be treated as contextual information rather than evidence of an adoption effect (Checco et al., 2023; Athulya et al., 2026).</w:t>
      </w:r>
    </w:p>
    <w:p w:rsidR="001E69E3" w:rsidRDefault="001E69E3">
      <w:pPr>
        <w:pStyle w:val="normal0"/>
        <w:spacing w:after="0"/>
        <w:rPr>
          <w:rFonts w:ascii="Times New Roman" w:eastAsia="Times New Roman" w:hAnsi="Times New Roman" w:cs="Times New Roman"/>
        </w:rPr>
      </w:pPr>
    </w:p>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Table –8:</w:t>
      </w:r>
      <w:r>
        <w:rPr>
          <w:rFonts w:ascii="Times New Roman" w:eastAsia="Times New Roman" w:hAnsi="Times New Roman" w:cs="Times New Roman"/>
          <w:b/>
          <w:bCs/>
        </w:rPr>
        <w:tab/>
        <w:t xml:space="preserve">Distribution of respondents according to their Family type. </w:t>
      </w:r>
      <w:r>
        <w:rPr>
          <w:rFonts w:ascii="Times New Roman" w:eastAsia="Times New Roman" w:hAnsi="Times New Roman" w:cs="Times New Roman"/>
        </w:rPr>
        <w:t>n</w:t>
      </w:r>
      <w:r>
        <w:rPr>
          <w:rFonts w:ascii="Times New Roman" w:eastAsia="Times New Roman" w:hAnsi="Times New Roman" w:cs="Times New Roman"/>
          <w:b/>
          <w:bCs/>
        </w:rPr>
        <w:t xml:space="preserve"> = </w:t>
      </w:r>
      <w:r>
        <w:rPr>
          <w:rFonts w:ascii="Times New Roman" w:eastAsia="Times New Roman" w:hAnsi="Times New Roman" w:cs="Times New Roman"/>
        </w:rPr>
        <w:t>60</w:t>
      </w:r>
    </w:p>
    <w:tbl>
      <w:tblPr>
        <w:tblStyle w:val="a6"/>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39"/>
        <w:gridCol w:w="2444"/>
        <w:gridCol w:w="2645"/>
        <w:gridCol w:w="3314"/>
      </w:tblGrid>
      <w:tr w:rsidR="001E69E3">
        <w:trPr>
          <w:cantSplit/>
          <w:tblHeader/>
        </w:trPr>
        <w:tc>
          <w:tcPr>
            <w:tcW w:w="839" w:type="dxa"/>
            <w:vMerge w:val="restart"/>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S.No</w:t>
            </w:r>
          </w:p>
        </w:tc>
        <w:tc>
          <w:tcPr>
            <w:tcW w:w="2444" w:type="dxa"/>
            <w:vMerge w:val="restart"/>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Family type</w:t>
            </w:r>
          </w:p>
        </w:tc>
        <w:tc>
          <w:tcPr>
            <w:tcW w:w="5959" w:type="dxa"/>
            <w:gridSpan w:val="2"/>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 of farmers</w:t>
            </w:r>
          </w:p>
        </w:tc>
      </w:tr>
      <w:tr w:rsidR="001E69E3">
        <w:trPr>
          <w:cantSplit/>
          <w:trHeight w:val="176"/>
          <w:tblHeader/>
        </w:trPr>
        <w:tc>
          <w:tcPr>
            <w:tcW w:w="839"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2444"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2645" w:type="dxa"/>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Frequency</w:t>
            </w:r>
          </w:p>
        </w:tc>
        <w:tc>
          <w:tcPr>
            <w:tcW w:w="3314" w:type="dxa"/>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Percentage</w:t>
            </w:r>
          </w:p>
        </w:tc>
      </w:tr>
      <w:tr w:rsidR="001E69E3">
        <w:trPr>
          <w:cantSplit/>
          <w:tblHeader/>
        </w:trPr>
        <w:tc>
          <w:tcPr>
            <w:tcW w:w="839"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44"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Joint Family</w:t>
            </w:r>
          </w:p>
        </w:tc>
        <w:tc>
          <w:tcPr>
            <w:tcW w:w="2645"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314"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13.33</w:t>
            </w:r>
          </w:p>
        </w:tc>
      </w:tr>
      <w:tr w:rsidR="001E69E3">
        <w:trPr>
          <w:cantSplit/>
          <w:tblHeader/>
        </w:trPr>
        <w:tc>
          <w:tcPr>
            <w:tcW w:w="839"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44" w:type="dxa"/>
          </w:tcPr>
          <w:p w:rsidR="001E69E3" w:rsidRDefault="00011FBD">
            <w:pPr>
              <w:pStyle w:val="normal0"/>
              <w:spacing w:after="0" w:line="240" w:lineRule="auto"/>
              <w:ind w:firstLine="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Nuclear Family</w:t>
            </w:r>
          </w:p>
        </w:tc>
        <w:tc>
          <w:tcPr>
            <w:tcW w:w="2645"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3314"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86.67</w:t>
            </w:r>
          </w:p>
        </w:tc>
      </w:tr>
      <w:tr w:rsidR="001E69E3">
        <w:trPr>
          <w:cantSplit/>
          <w:tblHeader/>
        </w:trPr>
        <w:tc>
          <w:tcPr>
            <w:tcW w:w="839"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2444"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645"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3314"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bl>
    <w:p w:rsidR="001E69E3" w:rsidRDefault="001E69E3">
      <w:pPr>
        <w:pStyle w:val="normal0"/>
        <w:spacing w:after="0" w:line="360" w:lineRule="auto"/>
        <w:jc w:val="both"/>
        <w:rPr>
          <w:rFonts w:ascii="Times New Roman" w:eastAsia="Times New Roman" w:hAnsi="Times New Roman" w:cs="Times New Roman"/>
        </w:rPr>
      </w:pPr>
    </w:p>
    <w:p w:rsidR="001E69E3" w:rsidRDefault="00011FBD">
      <w:pPr>
        <w:pStyle w:val="norm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compiled data of the study shows that, with regard to family type of the paddy growers shows that 86.67% of the farmers belong to nuclear family category and only 13.33% of the respondents belongs to joint family category.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Family structure may shape decision-making and labour organization, but the present descriptive distribution alone cannot establish whether nuclear or joint households differ in technology uptake. Adoption research emphasizes combined effects of household resources, information access, and technology-specific characteristics (Checco et al., 2023; Gars &amp; Ward, 2019).</w:t>
      </w:r>
    </w:p>
    <w:p w:rsidR="001E69E3" w:rsidRDefault="001E69E3">
      <w:pPr>
        <w:pStyle w:val="normal0"/>
        <w:spacing w:after="0" w:line="360" w:lineRule="auto"/>
        <w:jc w:val="both"/>
        <w:rPr>
          <w:rFonts w:ascii="Times New Roman" w:eastAsia="Times New Roman" w:hAnsi="Times New Roman" w:cs="Times New Roman"/>
        </w:rPr>
      </w:pPr>
    </w:p>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Table –9: Distribution of respondents according to their Annual family income. </w:t>
      </w:r>
      <w:r>
        <w:rPr>
          <w:rFonts w:ascii="Times New Roman" w:eastAsia="Times New Roman" w:hAnsi="Times New Roman" w:cs="Times New Roman"/>
        </w:rPr>
        <w:t>n</w:t>
      </w:r>
      <w:r>
        <w:rPr>
          <w:rFonts w:ascii="Times New Roman" w:eastAsia="Times New Roman" w:hAnsi="Times New Roman" w:cs="Times New Roman"/>
          <w:b/>
          <w:bCs/>
        </w:rPr>
        <w:t xml:space="preserve"> = </w:t>
      </w:r>
      <w:r>
        <w:rPr>
          <w:rFonts w:ascii="Times New Roman" w:eastAsia="Times New Roman" w:hAnsi="Times New Roman" w:cs="Times New Roman"/>
        </w:rPr>
        <w:t>60</w:t>
      </w:r>
    </w:p>
    <w:tbl>
      <w:tblPr>
        <w:tblStyle w:val="a7"/>
        <w:tblW w:w="91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3"/>
        <w:gridCol w:w="4672"/>
        <w:gridCol w:w="2126"/>
        <w:gridCol w:w="1559"/>
      </w:tblGrid>
      <w:tr w:rsidR="001E69E3">
        <w:trPr>
          <w:cantSplit/>
          <w:tblHeader/>
        </w:trPr>
        <w:tc>
          <w:tcPr>
            <w:tcW w:w="823"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4672"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Annual Family Income</w:t>
            </w:r>
          </w:p>
        </w:tc>
        <w:tc>
          <w:tcPr>
            <w:tcW w:w="3685" w:type="dxa"/>
            <w:gridSpan w:val="2"/>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823"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4672"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126"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Frequency</w:t>
            </w:r>
          </w:p>
        </w:tc>
        <w:tc>
          <w:tcPr>
            <w:tcW w:w="1559" w:type="dxa"/>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82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672" w:type="dxa"/>
            <w:vAlign w:val="center"/>
          </w:tcPr>
          <w:p w:rsidR="001E69E3" w:rsidRDefault="00011FBD">
            <w:pPr>
              <w:pStyle w:val="normal0"/>
              <w:spacing w:after="0" w:line="240" w:lineRule="auto"/>
              <w:jc w:val="both"/>
              <w:rPr>
                <w:rFonts w:ascii="Times New Roman" w:eastAsia="Times New Roman" w:hAnsi="Times New Roman" w:cs="Times New Roman"/>
              </w:rPr>
            </w:pPr>
            <w:commentRangeStart w:id="5"/>
            <w:r>
              <w:rPr>
                <w:rFonts w:ascii="Times New Roman" w:eastAsia="Times New Roman" w:hAnsi="Times New Roman" w:cs="Times New Roman"/>
              </w:rPr>
              <w:t>Low</w:t>
            </w:r>
            <w:commentRangeEnd w:id="5"/>
            <w:r w:rsidR="007862B4">
              <w:rPr>
                <w:rStyle w:val="CommentReference"/>
              </w:rPr>
              <w:commentReference w:id="5"/>
            </w:r>
            <w:r>
              <w:rPr>
                <w:rFonts w:ascii="Times New Roman" w:eastAsia="Times New Roman" w:hAnsi="Times New Roman" w:cs="Times New Roman"/>
              </w:rPr>
              <w:t>(upto1,00,000)</w:t>
            </w:r>
          </w:p>
        </w:tc>
        <w:tc>
          <w:tcPr>
            <w:tcW w:w="21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18.33</w:t>
            </w:r>
          </w:p>
        </w:tc>
      </w:tr>
      <w:tr w:rsidR="001E69E3">
        <w:trPr>
          <w:cantSplit/>
          <w:tblHeader/>
        </w:trPr>
        <w:tc>
          <w:tcPr>
            <w:tcW w:w="82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672"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Medium(1,00,000 to 2,00,000)</w:t>
            </w:r>
          </w:p>
        </w:tc>
        <w:tc>
          <w:tcPr>
            <w:tcW w:w="21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11.67</w:t>
            </w:r>
          </w:p>
        </w:tc>
      </w:tr>
      <w:tr w:rsidR="001E69E3">
        <w:trPr>
          <w:cantSplit/>
          <w:tblHeader/>
        </w:trPr>
        <w:tc>
          <w:tcPr>
            <w:tcW w:w="82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672"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High(above 2,00,000)</w:t>
            </w:r>
          </w:p>
        </w:tc>
        <w:tc>
          <w:tcPr>
            <w:tcW w:w="21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70.00</w:t>
            </w:r>
          </w:p>
        </w:tc>
      </w:tr>
      <w:tr w:rsidR="001E69E3">
        <w:trPr>
          <w:cantSplit/>
          <w:tblHeader/>
        </w:trPr>
        <w:tc>
          <w:tcPr>
            <w:tcW w:w="823" w:type="dxa"/>
            <w:vAlign w:val="center"/>
          </w:tcPr>
          <w:p w:rsidR="001E69E3" w:rsidRDefault="001E69E3">
            <w:pPr>
              <w:pStyle w:val="normal0"/>
              <w:spacing w:after="0" w:line="240" w:lineRule="auto"/>
              <w:jc w:val="both"/>
              <w:rPr>
                <w:rFonts w:ascii="Times New Roman" w:eastAsia="Times New Roman" w:hAnsi="Times New Roman" w:cs="Times New Roman"/>
              </w:rPr>
            </w:pPr>
          </w:p>
        </w:tc>
        <w:tc>
          <w:tcPr>
            <w:tcW w:w="4672"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Total</w:t>
            </w:r>
          </w:p>
        </w:tc>
        <w:tc>
          <w:tcPr>
            <w:tcW w:w="212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bl>
    <w:p w:rsidR="001E69E3" w:rsidRDefault="001E69E3">
      <w:pPr>
        <w:pStyle w:val="normal0"/>
        <w:spacing w:after="0" w:line="240" w:lineRule="auto"/>
        <w:ind w:left="3600"/>
        <w:jc w:val="both"/>
        <w:rPr>
          <w:rFonts w:ascii="Times New Roman" w:eastAsia="Times New Roman" w:hAnsi="Times New Roman" w:cs="Times New Roman"/>
        </w:rPr>
      </w:pPr>
    </w:p>
    <w:p w:rsidR="001E69E3" w:rsidRDefault="00011FBD">
      <w:pPr>
        <w:pStyle w:val="normal0"/>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The findings revealed that the majority of the respondents (70.00%) belonged to the high annual family income category (above Rs 2,00,000), followed by 18.33 per cent in the low-income category (up to Rs 1,00,000) and 11.67 per cent in the medium-income category (Rs 1,00,000–Rs 2,00,000).</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Higher household income may increase financial flexibility for trying new practices, yet adoption can also be constrained by perceived benefits, seed or input access, and risk. Recent rice evidence therefore supports interpreting income together with other socioeconomic and institutional factors (Checco et al., 2023; Athulya et al., 2026).</w:t>
      </w:r>
    </w:p>
    <w:p w:rsidR="001E69E3" w:rsidRDefault="001E69E3">
      <w:pPr>
        <w:pStyle w:val="normal0"/>
        <w:spacing w:after="0" w:line="240" w:lineRule="auto"/>
        <w:jc w:val="both"/>
        <w:rPr>
          <w:rFonts w:ascii="Times New Roman" w:eastAsia="Times New Roman" w:hAnsi="Times New Roman" w:cs="Times New Roman"/>
          <w:b/>
          <w:bCs/>
        </w:rPr>
      </w:pPr>
    </w:p>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Table –.10: Distribution of respondents according to Extension contact.</w:t>
      </w:r>
      <w:r>
        <w:rPr>
          <w:rFonts w:ascii="Times New Roman" w:eastAsia="Times New Roman" w:hAnsi="Times New Roman" w:cs="Times New Roman"/>
        </w:rPr>
        <w:t xml:space="preserve"> n</w:t>
      </w:r>
      <w:r>
        <w:rPr>
          <w:rFonts w:ascii="Times New Roman" w:eastAsia="Times New Roman" w:hAnsi="Times New Roman" w:cs="Times New Roman"/>
          <w:b/>
          <w:bCs/>
        </w:rPr>
        <w:t xml:space="preserve"> = </w:t>
      </w:r>
      <w:r>
        <w:rPr>
          <w:rFonts w:ascii="Times New Roman" w:eastAsia="Times New Roman" w:hAnsi="Times New Roman" w:cs="Times New Roman"/>
        </w:rPr>
        <w:t>60</w:t>
      </w:r>
    </w:p>
    <w:tbl>
      <w:tblPr>
        <w:tblStyle w:val="a8"/>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51"/>
        <w:gridCol w:w="2041"/>
        <w:gridCol w:w="3464"/>
        <w:gridCol w:w="2786"/>
      </w:tblGrid>
      <w:tr w:rsidR="001E69E3">
        <w:trPr>
          <w:cantSplit/>
          <w:tblHeader/>
        </w:trPr>
        <w:tc>
          <w:tcPr>
            <w:tcW w:w="951"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2041"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Levels of Extension  Contact</w:t>
            </w:r>
          </w:p>
        </w:tc>
        <w:tc>
          <w:tcPr>
            <w:tcW w:w="6250" w:type="dxa"/>
            <w:gridSpan w:val="2"/>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951"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041"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3464" w:type="dxa"/>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Frequency</w:t>
            </w:r>
          </w:p>
        </w:tc>
        <w:tc>
          <w:tcPr>
            <w:tcW w:w="2786" w:type="dxa"/>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951"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041"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Low(Mean-</w:t>
            </w:r>
            <w:commentRangeStart w:id="6"/>
            <w:r>
              <w:rPr>
                <w:rFonts w:ascii="Times New Roman" w:eastAsia="Times New Roman" w:hAnsi="Times New Roman" w:cs="Times New Roman"/>
              </w:rPr>
              <w:t>S</w:t>
            </w:r>
            <w:commentRangeEnd w:id="6"/>
            <w:r w:rsidR="00703047">
              <w:rPr>
                <w:rStyle w:val="CommentReference"/>
              </w:rPr>
              <w:commentReference w:id="6"/>
            </w:r>
            <w:r>
              <w:rPr>
                <w:rFonts w:ascii="Times New Roman" w:eastAsia="Times New Roman" w:hAnsi="Times New Roman" w:cs="Times New Roman"/>
              </w:rPr>
              <w:t>.D)</w:t>
            </w:r>
          </w:p>
        </w:tc>
        <w:tc>
          <w:tcPr>
            <w:tcW w:w="346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59</w:t>
            </w:r>
          </w:p>
        </w:tc>
        <w:tc>
          <w:tcPr>
            <w:tcW w:w="278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98.34</w:t>
            </w:r>
          </w:p>
        </w:tc>
      </w:tr>
      <w:tr w:rsidR="001E69E3">
        <w:trPr>
          <w:cantSplit/>
          <w:tblHeader/>
        </w:trPr>
        <w:tc>
          <w:tcPr>
            <w:tcW w:w="951"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w:t>
            </w:r>
          </w:p>
        </w:tc>
        <w:tc>
          <w:tcPr>
            <w:tcW w:w="2041"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Medium</w:t>
            </w:r>
          </w:p>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(Mean+/-S.D)</w:t>
            </w:r>
          </w:p>
        </w:tc>
        <w:tc>
          <w:tcPr>
            <w:tcW w:w="346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78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1.66</w:t>
            </w:r>
          </w:p>
        </w:tc>
      </w:tr>
      <w:tr w:rsidR="001E69E3">
        <w:trPr>
          <w:cantSplit/>
          <w:tblHeader/>
        </w:trPr>
        <w:tc>
          <w:tcPr>
            <w:tcW w:w="951"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041"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High(Mean+S.D)</w:t>
            </w:r>
          </w:p>
        </w:tc>
        <w:tc>
          <w:tcPr>
            <w:tcW w:w="3464" w:type="dxa"/>
            <w:vAlign w:val="center"/>
          </w:tcPr>
          <w:p w:rsidR="001E69E3" w:rsidRDefault="001E69E3">
            <w:pPr>
              <w:pStyle w:val="normal0"/>
              <w:spacing w:after="0" w:line="240" w:lineRule="auto"/>
              <w:jc w:val="center"/>
              <w:rPr>
                <w:rFonts w:ascii="Times New Roman" w:eastAsia="Times New Roman" w:hAnsi="Times New Roman" w:cs="Times New Roman"/>
              </w:rPr>
            </w:pPr>
          </w:p>
        </w:tc>
        <w:tc>
          <w:tcPr>
            <w:tcW w:w="2786" w:type="dxa"/>
            <w:vAlign w:val="center"/>
          </w:tcPr>
          <w:p w:rsidR="001E69E3" w:rsidRDefault="001E69E3">
            <w:pPr>
              <w:pStyle w:val="normal0"/>
              <w:spacing w:after="0" w:line="240" w:lineRule="auto"/>
              <w:jc w:val="center"/>
              <w:rPr>
                <w:rFonts w:ascii="Times New Roman" w:eastAsia="Times New Roman" w:hAnsi="Times New Roman" w:cs="Times New Roman"/>
              </w:rPr>
            </w:pPr>
          </w:p>
        </w:tc>
      </w:tr>
      <w:tr w:rsidR="001E69E3">
        <w:trPr>
          <w:cantSplit/>
          <w:tblHeader/>
        </w:trPr>
        <w:tc>
          <w:tcPr>
            <w:tcW w:w="951" w:type="dxa"/>
            <w:vAlign w:val="center"/>
          </w:tcPr>
          <w:p w:rsidR="001E69E3" w:rsidRDefault="001E69E3">
            <w:pPr>
              <w:pStyle w:val="normal0"/>
              <w:spacing w:after="0" w:line="240" w:lineRule="auto"/>
              <w:jc w:val="center"/>
              <w:rPr>
                <w:rFonts w:ascii="Times New Roman" w:eastAsia="Times New Roman" w:hAnsi="Times New Roman" w:cs="Times New Roman"/>
              </w:rPr>
            </w:pPr>
          </w:p>
        </w:tc>
        <w:tc>
          <w:tcPr>
            <w:tcW w:w="2041"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Total</w:t>
            </w:r>
          </w:p>
        </w:tc>
        <w:tc>
          <w:tcPr>
            <w:tcW w:w="346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278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bl>
    <w:p w:rsidR="001E69E3" w:rsidRDefault="001E69E3">
      <w:pPr>
        <w:pStyle w:val="normal0"/>
        <w:spacing w:after="0" w:line="240" w:lineRule="auto"/>
        <w:jc w:val="both"/>
        <w:rPr>
          <w:rFonts w:ascii="Times New Roman" w:eastAsia="Times New Roman" w:hAnsi="Times New Roman" w:cs="Times New Roman"/>
        </w:rPr>
      </w:pPr>
    </w:p>
    <w:p w:rsidR="001E69E3" w:rsidRDefault="00011FBD">
      <w:pPr>
        <w:pStyle w:val="normal0"/>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The findings revealed that an overwhelming majority of the respondents (98.34%) had a low level of extension contact, whereas only 1.66 per cent had a medium level of extension contact and none of the respondents had a high level of extension contact.</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very low extension contact observed is particularly relevant because training and information interventions have been shown to improve awareness and uptake of rice seed innovations. Strengthening repeated, credible extension engagement could therefore address information constraints, although its effect would need to be evaluated directly in this population (Dar et al., 2020; Hossain et al., 2024; Athulya et al., 2026).</w:t>
      </w:r>
    </w:p>
    <w:p w:rsidR="001E69E3" w:rsidRDefault="001E69E3">
      <w:pPr>
        <w:pStyle w:val="normal0"/>
        <w:spacing w:after="0" w:line="240" w:lineRule="auto"/>
        <w:ind w:firstLine="720"/>
        <w:jc w:val="both"/>
        <w:rPr>
          <w:rFonts w:ascii="Times New Roman" w:eastAsia="Times New Roman" w:hAnsi="Times New Roman" w:cs="Times New Roman"/>
          <w:b/>
          <w:bCs/>
        </w:rPr>
      </w:pPr>
    </w:p>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Table –.11: Distribution of respondents according to social participation.</w:t>
      </w:r>
      <w:r>
        <w:rPr>
          <w:rFonts w:ascii="Times New Roman" w:eastAsia="Times New Roman" w:hAnsi="Times New Roman" w:cs="Times New Roman"/>
        </w:rPr>
        <w:t xml:space="preserve"> n</w:t>
      </w:r>
      <w:r>
        <w:rPr>
          <w:rFonts w:ascii="Times New Roman" w:eastAsia="Times New Roman" w:hAnsi="Times New Roman" w:cs="Times New Roman"/>
          <w:b/>
          <w:bCs/>
        </w:rPr>
        <w:t xml:space="preserve"> = </w:t>
      </w:r>
      <w:r>
        <w:rPr>
          <w:rFonts w:ascii="Times New Roman" w:eastAsia="Times New Roman" w:hAnsi="Times New Roman" w:cs="Times New Roman"/>
        </w:rPr>
        <w:t>60</w:t>
      </w:r>
      <w:r>
        <w:rPr>
          <w:rFonts w:ascii="Times New Roman" w:eastAsia="Times New Roman" w:hAnsi="Times New Roman" w:cs="Times New Roman"/>
          <w:b/>
          <w:bCs/>
        </w:rPr>
        <w:tab/>
      </w:r>
    </w:p>
    <w:tbl>
      <w:tblPr>
        <w:tblStyle w:val="a9"/>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80"/>
        <w:gridCol w:w="1996"/>
        <w:gridCol w:w="3397"/>
        <w:gridCol w:w="2869"/>
      </w:tblGrid>
      <w:tr w:rsidR="001E69E3">
        <w:trPr>
          <w:cantSplit/>
          <w:tblHeader/>
        </w:trPr>
        <w:tc>
          <w:tcPr>
            <w:tcW w:w="980"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1996"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Social participation</w:t>
            </w:r>
          </w:p>
        </w:tc>
        <w:tc>
          <w:tcPr>
            <w:tcW w:w="6266" w:type="dxa"/>
            <w:gridSpan w:val="2"/>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980"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1996"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3397" w:type="dxa"/>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Frequency</w:t>
            </w:r>
          </w:p>
        </w:tc>
        <w:tc>
          <w:tcPr>
            <w:tcW w:w="2869" w:type="dxa"/>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98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199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No membership</w:t>
            </w:r>
          </w:p>
        </w:tc>
        <w:tc>
          <w:tcPr>
            <w:tcW w:w="339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59</w:t>
            </w:r>
          </w:p>
        </w:tc>
        <w:tc>
          <w:tcPr>
            <w:tcW w:w="286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98.34</w:t>
            </w:r>
          </w:p>
        </w:tc>
      </w:tr>
      <w:tr w:rsidR="001E69E3">
        <w:trPr>
          <w:cantSplit/>
          <w:tblHeader/>
        </w:trPr>
        <w:tc>
          <w:tcPr>
            <w:tcW w:w="98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199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Membership in one organization</w:t>
            </w:r>
          </w:p>
        </w:tc>
        <w:tc>
          <w:tcPr>
            <w:tcW w:w="339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86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1.66</w:t>
            </w:r>
          </w:p>
        </w:tc>
      </w:tr>
      <w:tr w:rsidR="001E69E3">
        <w:trPr>
          <w:cantSplit/>
          <w:tblHeader/>
        </w:trPr>
        <w:tc>
          <w:tcPr>
            <w:tcW w:w="980" w:type="dxa"/>
            <w:vAlign w:val="center"/>
          </w:tcPr>
          <w:p w:rsidR="001E69E3" w:rsidRDefault="001E69E3">
            <w:pPr>
              <w:pStyle w:val="normal0"/>
              <w:spacing w:after="0" w:line="240" w:lineRule="auto"/>
              <w:jc w:val="both"/>
              <w:rPr>
                <w:rFonts w:ascii="Times New Roman" w:eastAsia="Times New Roman" w:hAnsi="Times New Roman" w:cs="Times New Roman"/>
              </w:rPr>
            </w:pPr>
          </w:p>
        </w:tc>
        <w:tc>
          <w:tcPr>
            <w:tcW w:w="199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Total</w:t>
            </w:r>
          </w:p>
        </w:tc>
        <w:tc>
          <w:tcPr>
            <w:tcW w:w="339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286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100.00</w:t>
            </w:r>
          </w:p>
        </w:tc>
      </w:tr>
    </w:tbl>
    <w:p w:rsidR="001E69E3" w:rsidRDefault="001E69E3">
      <w:pPr>
        <w:pStyle w:val="normal0"/>
        <w:spacing w:after="0"/>
        <w:jc w:val="both"/>
        <w:rPr>
          <w:rFonts w:ascii="Times New Roman" w:eastAsia="Times New Roman" w:hAnsi="Times New Roman" w:cs="Times New Roman"/>
        </w:rPr>
      </w:pPr>
    </w:p>
    <w:p w:rsidR="001E69E3" w:rsidRDefault="00011FBD">
      <w:pPr>
        <w:pStyle w:val="normal0"/>
        <w:spacing w:after="0"/>
        <w:ind w:firstLine="720"/>
        <w:jc w:val="both"/>
        <w:rPr>
          <w:rFonts w:ascii="Times New Roman" w:eastAsia="Times New Roman" w:hAnsi="Times New Roman" w:cs="Times New Roman"/>
        </w:rPr>
      </w:pPr>
      <w:r>
        <w:rPr>
          <w:rFonts w:ascii="Times New Roman" w:eastAsia="Times New Roman" w:hAnsi="Times New Roman" w:cs="Times New Roman"/>
        </w:rPr>
        <w:t xml:space="preserve">The outcome of the study shows that 98.34% of the farmers are having no membership in any of the organizations functioning in their area and only 1.66% of the farmers are having membership in one organization.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Limited organizational participation may reduce opportunities for peer learning and collective access to seed or training. Evidence from group-based seed interventions and technology-learning studies suggests that organized learning environments can facilitate diffusion, while effects remain dependent on local context (Hossain et al., 2024; Gars &amp; Ward, 2019; Athulya et al., 2026).</w:t>
      </w:r>
    </w:p>
    <w:p w:rsidR="001E69E3" w:rsidRDefault="001E69E3">
      <w:pPr>
        <w:pStyle w:val="normal0"/>
        <w:spacing w:after="0" w:line="240" w:lineRule="auto"/>
        <w:rPr>
          <w:rFonts w:ascii="Times New Roman" w:eastAsia="Times New Roman" w:hAnsi="Times New Roman" w:cs="Times New Roman"/>
          <w:b/>
          <w:bCs/>
          <w:sz w:val="24"/>
          <w:szCs w:val="24"/>
        </w:rPr>
      </w:pPr>
    </w:p>
    <w:p w:rsidR="001E69E3" w:rsidRDefault="00011FBD">
      <w:pPr>
        <w:pStyle w:val="norm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Awareness and Adoption of ANGRAU technology among paddy farmers of Anakapalli district</w:t>
      </w:r>
    </w:p>
    <w:p w:rsidR="001E69E3" w:rsidRDefault="001E69E3">
      <w:pPr>
        <w:pStyle w:val="normal0"/>
        <w:spacing w:after="0" w:line="240" w:lineRule="auto"/>
        <w:rPr>
          <w:rFonts w:ascii="Times New Roman" w:eastAsia="Times New Roman" w:hAnsi="Times New Roman" w:cs="Times New Roman"/>
          <w:b/>
          <w:bCs/>
          <w:sz w:val="24"/>
          <w:szCs w:val="24"/>
        </w:rPr>
      </w:pPr>
    </w:p>
    <w:p w:rsidR="001E69E3" w:rsidRDefault="00011FBD">
      <w:pPr>
        <w:pStyle w:val="norm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rPr>
        <w:t>II. Management aspects:</w:t>
      </w:r>
    </w:p>
    <w:p w:rsidR="001E69E3" w:rsidRDefault="00011FBD">
      <w:pPr>
        <w:pStyle w:val="norm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rPr>
        <w:t>II.1. 1.Awareness level of paddy growers with regard to Paddy varieties:</w:t>
      </w:r>
    </w:p>
    <w:tbl>
      <w:tblPr>
        <w:tblStyle w:val="aa"/>
        <w:tblW w:w="932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6"/>
        <w:gridCol w:w="2603"/>
        <w:gridCol w:w="1558"/>
        <w:gridCol w:w="1559"/>
        <w:gridCol w:w="1558"/>
        <w:gridCol w:w="1558"/>
      </w:tblGrid>
      <w:tr w:rsidR="001E69E3">
        <w:trPr>
          <w:cantSplit/>
          <w:tblHeader/>
        </w:trPr>
        <w:tc>
          <w:tcPr>
            <w:tcW w:w="486"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2603"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technology</w:t>
            </w:r>
          </w:p>
        </w:tc>
        <w:tc>
          <w:tcPr>
            <w:tcW w:w="6233" w:type="dxa"/>
            <w:gridSpan w:val="4"/>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486"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603"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3117"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Aware</w:t>
            </w:r>
          </w:p>
        </w:tc>
        <w:tc>
          <w:tcPr>
            <w:tcW w:w="3116"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Not Aware</w:t>
            </w:r>
          </w:p>
        </w:tc>
      </w:tr>
      <w:tr w:rsidR="001E69E3">
        <w:trPr>
          <w:cantSplit/>
          <w:tblHeader/>
        </w:trPr>
        <w:tc>
          <w:tcPr>
            <w:tcW w:w="486"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603"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1558"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559"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1558"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558"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260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Varieties</w:t>
            </w:r>
          </w:p>
        </w:tc>
        <w:tc>
          <w:tcPr>
            <w:tcW w:w="1558" w:type="dxa"/>
            <w:vAlign w:val="center"/>
          </w:tcPr>
          <w:p w:rsidR="001E69E3" w:rsidRDefault="001E69E3">
            <w:pPr>
              <w:pStyle w:val="normal0"/>
              <w:spacing w:after="0" w:line="240" w:lineRule="auto"/>
              <w:rPr>
                <w:rFonts w:ascii="Times New Roman" w:eastAsia="Times New Roman" w:hAnsi="Times New Roman" w:cs="Times New Roman"/>
              </w:rPr>
            </w:pPr>
          </w:p>
        </w:tc>
        <w:tc>
          <w:tcPr>
            <w:tcW w:w="1559" w:type="dxa"/>
            <w:vAlign w:val="center"/>
          </w:tcPr>
          <w:p w:rsidR="001E69E3" w:rsidRDefault="001E69E3">
            <w:pPr>
              <w:pStyle w:val="normal0"/>
              <w:spacing w:after="0" w:line="240" w:lineRule="auto"/>
              <w:jc w:val="center"/>
              <w:rPr>
                <w:rFonts w:ascii="Times New Roman" w:eastAsia="Times New Roman" w:hAnsi="Times New Roman" w:cs="Times New Roman"/>
              </w:rPr>
            </w:pPr>
          </w:p>
        </w:tc>
        <w:tc>
          <w:tcPr>
            <w:tcW w:w="1558" w:type="dxa"/>
            <w:vAlign w:val="center"/>
          </w:tcPr>
          <w:p w:rsidR="001E69E3" w:rsidRDefault="001E69E3">
            <w:pPr>
              <w:pStyle w:val="normal0"/>
              <w:spacing w:after="0" w:line="240" w:lineRule="auto"/>
              <w:rPr>
                <w:rFonts w:ascii="Times New Roman" w:eastAsia="Times New Roman" w:hAnsi="Times New Roman" w:cs="Times New Roman"/>
              </w:rPr>
            </w:pPr>
          </w:p>
        </w:tc>
        <w:tc>
          <w:tcPr>
            <w:tcW w:w="1558" w:type="dxa"/>
            <w:vAlign w:val="center"/>
          </w:tcPr>
          <w:p w:rsidR="001E69E3" w:rsidRDefault="001E69E3">
            <w:pPr>
              <w:pStyle w:val="normal0"/>
              <w:spacing w:after="0" w:line="240" w:lineRule="auto"/>
              <w:jc w:val="center"/>
              <w:rPr>
                <w:rFonts w:ascii="Times New Roman" w:eastAsia="Times New Roman" w:hAnsi="Times New Roman" w:cs="Times New Roman"/>
              </w:rPr>
            </w:pP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w:t>
            </w:r>
          </w:p>
        </w:tc>
        <w:tc>
          <w:tcPr>
            <w:tcW w:w="260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RGL-2537</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57</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95.00</w:t>
            </w:r>
          </w:p>
        </w:tc>
        <w:tc>
          <w:tcPr>
            <w:tcW w:w="1558"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w:t>
            </w:r>
          </w:p>
        </w:tc>
        <w:tc>
          <w:tcPr>
            <w:tcW w:w="260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BPT-5204(Samba mashuiri)</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49</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81.66</w:t>
            </w:r>
          </w:p>
        </w:tc>
        <w:tc>
          <w:tcPr>
            <w:tcW w:w="1558"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11</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25.00</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c</w:t>
            </w:r>
          </w:p>
        </w:tc>
        <w:tc>
          <w:tcPr>
            <w:tcW w:w="260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BPT-3291(Sona Mashuri)</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70.00</w:t>
            </w:r>
          </w:p>
        </w:tc>
        <w:tc>
          <w:tcPr>
            <w:tcW w:w="1558"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18</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30.00</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w:t>
            </w:r>
          </w:p>
        </w:tc>
        <w:tc>
          <w:tcPr>
            <w:tcW w:w="260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MTU-7029(Swarna)</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40</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66.67</w:t>
            </w:r>
          </w:p>
        </w:tc>
        <w:tc>
          <w:tcPr>
            <w:tcW w:w="1558"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20</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33.33</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e</w:t>
            </w:r>
          </w:p>
        </w:tc>
        <w:tc>
          <w:tcPr>
            <w:tcW w:w="260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MTU-1064(Amara)</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38.33</w:t>
            </w:r>
          </w:p>
        </w:tc>
        <w:tc>
          <w:tcPr>
            <w:tcW w:w="1558"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37</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61.66</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f</w:t>
            </w:r>
          </w:p>
        </w:tc>
        <w:tc>
          <w:tcPr>
            <w:tcW w:w="260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MTU-1061(Indra)</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28.33</w:t>
            </w:r>
          </w:p>
        </w:tc>
        <w:tc>
          <w:tcPr>
            <w:tcW w:w="1558"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43</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71.66</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g</w:t>
            </w:r>
          </w:p>
        </w:tc>
        <w:tc>
          <w:tcPr>
            <w:tcW w:w="260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MTU-1075(Pushyami)</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18.33</w:t>
            </w:r>
          </w:p>
        </w:tc>
        <w:tc>
          <w:tcPr>
            <w:tcW w:w="1558"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49</w:t>
            </w:r>
          </w:p>
        </w:tc>
        <w:tc>
          <w:tcPr>
            <w:tcW w:w="155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81.66</w:t>
            </w:r>
          </w:p>
        </w:tc>
      </w:tr>
    </w:tbl>
    <w:p w:rsidR="001E69E3" w:rsidRDefault="001E69E3">
      <w:pPr>
        <w:pStyle w:val="normal0"/>
        <w:spacing w:after="0" w:line="240" w:lineRule="auto"/>
        <w:rPr>
          <w:rFonts w:ascii="Times New Roman" w:eastAsia="Times New Roman" w:hAnsi="Times New Roman" w:cs="Times New Roman"/>
        </w:rPr>
      </w:pPr>
    </w:p>
    <w:p w:rsidR="001E69E3" w:rsidRDefault="00011FBD">
      <w:pPr>
        <w:pStyle w:val="norm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revealed that RGL-2537 (Srikakulam Sannalu) was the most widely known paddy variety, with 95.00 per cent of the respondents being aware of it, followed by BPT-5204 (Samba Mahsuri) (81.66%), BPT-3291 (Sona Mahsuri)</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(70.00%), and MTU-7029 (Swarna) (66.67%). In contrast, awareness was comparatively lower for MTU-1064 (Amara) (38.33%), MTU-1061 (Indra) (28.33%), and MTU-1075 (Pushyami) (18.33%), indicating </w:t>
      </w:r>
      <w:r>
        <w:rPr>
          <w:rFonts w:ascii="Times New Roman" w:eastAsia="Times New Roman" w:hAnsi="Times New Roman" w:cs="Times New Roman"/>
          <w:sz w:val="24"/>
          <w:szCs w:val="24"/>
        </w:rPr>
        <w:lastRenderedPageBreak/>
        <w:t>that farmers were more familiar with the widely cultivated and popular varieties than with the recently introduced or less extensively cultivated varieties.</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gradient in varietal awareness is consistent with evidence that exposure through training, seed delivery channels, demonstrations, and peer learning can shape knowledge of improved rice varieties. Thus, lower awareness of less familiar varieties may reflect weaker information and seed-system exposure rather than poor agronomic suitability per se (Dar et al., 2020; Hossain et al., 2024; Checco et al., 2023).</w:t>
      </w:r>
    </w:p>
    <w:p w:rsidR="001E69E3" w:rsidRDefault="001E69E3">
      <w:pPr>
        <w:pStyle w:val="normal0"/>
        <w:spacing w:line="240" w:lineRule="auto"/>
        <w:ind w:firstLine="720"/>
        <w:jc w:val="both"/>
        <w:rPr>
          <w:rFonts w:ascii="Times New Roman" w:eastAsia="Times New Roman" w:hAnsi="Times New Roman" w:cs="Times New Roman"/>
          <w:sz w:val="24"/>
          <w:szCs w:val="24"/>
        </w:rPr>
      </w:pPr>
    </w:p>
    <w:p w:rsidR="001E69E3" w:rsidRDefault="00011FBD">
      <w:pPr>
        <w:pStyle w:val="norm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rPr>
        <w:t>II.1.2. Adoption level of paddy growers with regard to Paddy varieties</w:t>
      </w:r>
      <w:r>
        <w:rPr>
          <w:rFonts w:ascii="Times New Roman" w:eastAsia="Times New Roman" w:hAnsi="Times New Roman" w:cs="Times New Roman"/>
        </w:rPr>
        <w:t>:</w:t>
      </w:r>
    </w:p>
    <w:tbl>
      <w:tblPr>
        <w:tblStyle w:val="ab"/>
        <w:tblW w:w="964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5"/>
        <w:gridCol w:w="1963"/>
        <w:gridCol w:w="927"/>
        <w:gridCol w:w="1734"/>
        <w:gridCol w:w="1272"/>
        <w:gridCol w:w="1408"/>
        <w:gridCol w:w="1859"/>
      </w:tblGrid>
      <w:tr w:rsidR="001E69E3">
        <w:trPr>
          <w:cantSplit/>
          <w:tblHeader/>
        </w:trPr>
        <w:tc>
          <w:tcPr>
            <w:tcW w:w="485"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1963"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technology</w:t>
            </w:r>
          </w:p>
        </w:tc>
        <w:tc>
          <w:tcPr>
            <w:tcW w:w="5341" w:type="dxa"/>
            <w:gridSpan w:val="4"/>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c>
          <w:tcPr>
            <w:tcW w:w="1859" w:type="dxa"/>
            <w:vMerge w:val="restart"/>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Reasons for Non Adoption</w:t>
            </w:r>
          </w:p>
        </w:tc>
      </w:tr>
      <w:tr w:rsidR="001E69E3">
        <w:trPr>
          <w:cantSplit/>
          <w:tblHeader/>
        </w:trPr>
        <w:tc>
          <w:tcPr>
            <w:tcW w:w="485"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1963"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661"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Adopted</w:t>
            </w:r>
          </w:p>
        </w:tc>
        <w:tc>
          <w:tcPr>
            <w:tcW w:w="2680"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Not Adopted</w:t>
            </w:r>
          </w:p>
        </w:tc>
        <w:tc>
          <w:tcPr>
            <w:tcW w:w="1859"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r>
      <w:tr w:rsidR="001E69E3">
        <w:trPr>
          <w:cantSplit/>
          <w:tblHeader/>
        </w:trPr>
        <w:tc>
          <w:tcPr>
            <w:tcW w:w="485"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1963"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927"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734"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1272"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408"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1859"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196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Varieties</w:t>
            </w:r>
          </w:p>
        </w:tc>
        <w:tc>
          <w:tcPr>
            <w:tcW w:w="927" w:type="dxa"/>
            <w:vAlign w:val="center"/>
          </w:tcPr>
          <w:p w:rsidR="001E69E3" w:rsidRDefault="001E69E3">
            <w:pPr>
              <w:pStyle w:val="normal0"/>
              <w:spacing w:after="0" w:line="240" w:lineRule="auto"/>
              <w:jc w:val="center"/>
              <w:rPr>
                <w:rFonts w:ascii="Times New Roman" w:eastAsia="Times New Roman" w:hAnsi="Times New Roman" w:cs="Times New Roman"/>
              </w:rPr>
            </w:pPr>
          </w:p>
        </w:tc>
        <w:tc>
          <w:tcPr>
            <w:tcW w:w="1734" w:type="dxa"/>
            <w:vAlign w:val="center"/>
          </w:tcPr>
          <w:p w:rsidR="001E69E3" w:rsidRDefault="001E69E3">
            <w:pPr>
              <w:pStyle w:val="normal0"/>
              <w:spacing w:after="0" w:line="240" w:lineRule="auto"/>
              <w:jc w:val="center"/>
              <w:rPr>
                <w:rFonts w:ascii="Times New Roman" w:eastAsia="Times New Roman" w:hAnsi="Times New Roman" w:cs="Times New Roman"/>
              </w:rPr>
            </w:pPr>
          </w:p>
        </w:tc>
        <w:tc>
          <w:tcPr>
            <w:tcW w:w="1272" w:type="dxa"/>
            <w:vAlign w:val="center"/>
          </w:tcPr>
          <w:p w:rsidR="001E69E3" w:rsidRDefault="001E69E3">
            <w:pPr>
              <w:pStyle w:val="normal0"/>
              <w:spacing w:after="0" w:line="240" w:lineRule="auto"/>
              <w:rPr>
                <w:rFonts w:ascii="Times New Roman" w:eastAsia="Times New Roman" w:hAnsi="Times New Roman" w:cs="Times New Roman"/>
              </w:rPr>
            </w:pPr>
          </w:p>
        </w:tc>
        <w:tc>
          <w:tcPr>
            <w:tcW w:w="1408" w:type="dxa"/>
            <w:vAlign w:val="center"/>
          </w:tcPr>
          <w:p w:rsidR="001E69E3" w:rsidRDefault="001E69E3">
            <w:pPr>
              <w:pStyle w:val="normal0"/>
              <w:spacing w:after="0" w:line="240" w:lineRule="auto"/>
              <w:jc w:val="center"/>
              <w:rPr>
                <w:rFonts w:ascii="Times New Roman" w:eastAsia="Times New Roman" w:hAnsi="Times New Roman" w:cs="Times New Roman"/>
              </w:rPr>
            </w:pPr>
          </w:p>
        </w:tc>
        <w:tc>
          <w:tcPr>
            <w:tcW w:w="1859" w:type="dxa"/>
          </w:tcPr>
          <w:p w:rsidR="001E69E3" w:rsidRDefault="001E69E3">
            <w:pPr>
              <w:pStyle w:val="normal0"/>
              <w:spacing w:after="0" w:line="240" w:lineRule="auto"/>
              <w:jc w:val="center"/>
              <w:rPr>
                <w:rFonts w:ascii="Times New Roman" w:eastAsia="Times New Roman" w:hAnsi="Times New Roman" w:cs="Times New Roman"/>
              </w:rPr>
            </w:pP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w:t>
            </w:r>
          </w:p>
        </w:tc>
        <w:tc>
          <w:tcPr>
            <w:tcW w:w="196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RGL-2537</w:t>
            </w:r>
          </w:p>
        </w:tc>
        <w:tc>
          <w:tcPr>
            <w:tcW w:w="92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52</w:t>
            </w:r>
          </w:p>
        </w:tc>
        <w:tc>
          <w:tcPr>
            <w:tcW w:w="173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86.66</w:t>
            </w:r>
          </w:p>
        </w:tc>
        <w:tc>
          <w:tcPr>
            <w:tcW w:w="1272"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8</w:t>
            </w:r>
          </w:p>
        </w:tc>
        <w:tc>
          <w:tcPr>
            <w:tcW w:w="140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13.33</w:t>
            </w:r>
          </w:p>
        </w:tc>
        <w:tc>
          <w:tcPr>
            <w:tcW w:w="185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Not interested </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w:t>
            </w:r>
          </w:p>
        </w:tc>
        <w:tc>
          <w:tcPr>
            <w:tcW w:w="196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BPT-5204 </w:t>
            </w:r>
          </w:p>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(Samba mashuiri)</w:t>
            </w:r>
          </w:p>
        </w:tc>
        <w:tc>
          <w:tcPr>
            <w:tcW w:w="92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45</w:t>
            </w:r>
          </w:p>
        </w:tc>
        <w:tc>
          <w:tcPr>
            <w:tcW w:w="173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75.00</w:t>
            </w:r>
          </w:p>
        </w:tc>
        <w:tc>
          <w:tcPr>
            <w:tcW w:w="1272"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15</w:t>
            </w:r>
          </w:p>
        </w:tc>
        <w:tc>
          <w:tcPr>
            <w:tcW w:w="140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25.00</w:t>
            </w:r>
          </w:p>
        </w:tc>
        <w:tc>
          <w:tcPr>
            <w:tcW w:w="185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Not interested</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c</w:t>
            </w:r>
          </w:p>
        </w:tc>
        <w:tc>
          <w:tcPr>
            <w:tcW w:w="196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BPT-3291   </w:t>
            </w:r>
          </w:p>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(Sona Mashuri)</w:t>
            </w:r>
          </w:p>
        </w:tc>
        <w:tc>
          <w:tcPr>
            <w:tcW w:w="92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39</w:t>
            </w:r>
          </w:p>
        </w:tc>
        <w:tc>
          <w:tcPr>
            <w:tcW w:w="173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65.00</w:t>
            </w:r>
          </w:p>
        </w:tc>
        <w:tc>
          <w:tcPr>
            <w:tcW w:w="1272"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21</w:t>
            </w:r>
          </w:p>
        </w:tc>
        <w:tc>
          <w:tcPr>
            <w:tcW w:w="140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35.00</w:t>
            </w:r>
          </w:p>
        </w:tc>
        <w:tc>
          <w:tcPr>
            <w:tcW w:w="185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Not interested</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w:t>
            </w:r>
          </w:p>
        </w:tc>
        <w:tc>
          <w:tcPr>
            <w:tcW w:w="196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MTU-7029 (Swarna)</w:t>
            </w:r>
          </w:p>
        </w:tc>
        <w:tc>
          <w:tcPr>
            <w:tcW w:w="92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w:t>
            </w:r>
          </w:p>
        </w:tc>
        <w:tc>
          <w:tcPr>
            <w:tcW w:w="173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58.33</w:t>
            </w:r>
          </w:p>
        </w:tc>
        <w:tc>
          <w:tcPr>
            <w:tcW w:w="1272"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25</w:t>
            </w:r>
          </w:p>
        </w:tc>
        <w:tc>
          <w:tcPr>
            <w:tcW w:w="140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41.66</w:t>
            </w:r>
          </w:p>
        </w:tc>
        <w:tc>
          <w:tcPr>
            <w:tcW w:w="185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Not interested</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e</w:t>
            </w:r>
          </w:p>
        </w:tc>
        <w:tc>
          <w:tcPr>
            <w:tcW w:w="196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MTU 1064(Amara)</w:t>
            </w:r>
          </w:p>
        </w:tc>
        <w:tc>
          <w:tcPr>
            <w:tcW w:w="92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73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30.00</w:t>
            </w:r>
          </w:p>
        </w:tc>
        <w:tc>
          <w:tcPr>
            <w:tcW w:w="1272"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42</w:t>
            </w:r>
          </w:p>
        </w:tc>
        <w:tc>
          <w:tcPr>
            <w:tcW w:w="140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70.00</w:t>
            </w:r>
          </w:p>
        </w:tc>
        <w:tc>
          <w:tcPr>
            <w:tcW w:w="1859" w:type="dxa"/>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Lack of awareness</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f</w:t>
            </w:r>
          </w:p>
        </w:tc>
        <w:tc>
          <w:tcPr>
            <w:tcW w:w="196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MTU-1061(Indra)</w:t>
            </w:r>
          </w:p>
        </w:tc>
        <w:tc>
          <w:tcPr>
            <w:tcW w:w="92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173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21.66</w:t>
            </w:r>
          </w:p>
        </w:tc>
        <w:tc>
          <w:tcPr>
            <w:tcW w:w="1272"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47</w:t>
            </w:r>
          </w:p>
        </w:tc>
        <w:tc>
          <w:tcPr>
            <w:tcW w:w="140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78.33</w:t>
            </w:r>
          </w:p>
        </w:tc>
        <w:tc>
          <w:tcPr>
            <w:tcW w:w="1859" w:type="dxa"/>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Lack of awareness</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g</w:t>
            </w:r>
          </w:p>
        </w:tc>
        <w:tc>
          <w:tcPr>
            <w:tcW w:w="1963"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MTU 1075 (Pushyami)</w:t>
            </w:r>
          </w:p>
        </w:tc>
        <w:tc>
          <w:tcPr>
            <w:tcW w:w="92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1734"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15.00</w:t>
            </w:r>
          </w:p>
        </w:tc>
        <w:tc>
          <w:tcPr>
            <w:tcW w:w="1272" w:type="dxa"/>
            <w:vAlign w:val="center"/>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51</w:t>
            </w:r>
          </w:p>
        </w:tc>
        <w:tc>
          <w:tcPr>
            <w:tcW w:w="140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85.00</w:t>
            </w:r>
          </w:p>
        </w:tc>
        <w:tc>
          <w:tcPr>
            <w:tcW w:w="1859" w:type="dxa"/>
          </w:tcPr>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Lack of awareness</w:t>
            </w:r>
          </w:p>
        </w:tc>
      </w:tr>
    </w:tbl>
    <w:p w:rsidR="001E69E3" w:rsidRDefault="00011FBD">
      <w:pPr>
        <w:pStyle w:val="normal0"/>
        <w:spacing w:line="240" w:lineRule="auto"/>
        <w:ind w:right="-334"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revealed that the highest adoption was observed for RGL-2537 (Srikakulam Sannalu)</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with 86.66 per cent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of the respondents adopting the variety, followed by BPT-5204 (Samba Mahsuri) (75.00%), BPT-3291 (Sona Mahsuri) (65.00%), and MTU-7029 (Swarna) (58.33%). However, the adoption of MTU-1064 (Amara) (30.00%), MTU-1061 (Indra) (21.66%), and MTU-1075 (Pushyami) (15.00%) was comparatively low. The major reason for the non-adoption of RGL-2537, BPT-5204, BPT-3291, and MTU-7029 was lack of interest</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whereas lack of awareness was the primary reason for the non-adoption of MTU-1064, MTU-1061, and MTU-1075.</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close ordering of awareness and adoption across varieties suggests that familiarity may be one component of uptake, while published evidence also emphasizes seed access, learning, and farmers' perceptions of technology-specific attributes. The present descriptive results, however, do not establish which of these factors caused the observed varietal differences (Gars &amp; Ward, 2019; Hossain et al., 2024; Athulya et al., 2026).</w:t>
      </w:r>
    </w:p>
    <w:p w:rsidR="001E69E3" w:rsidRDefault="00011FBD">
      <w:pPr>
        <w:pStyle w:val="normal0"/>
        <w:spacing w:line="240" w:lineRule="auto"/>
        <w:rPr>
          <w:rFonts w:ascii="Times New Roman" w:eastAsia="Times New Roman" w:hAnsi="Times New Roman" w:cs="Times New Roman"/>
          <w:b/>
          <w:bCs/>
          <w:sz w:val="24"/>
          <w:szCs w:val="24"/>
        </w:rPr>
      </w:pPr>
      <w:r>
        <w:t xml:space="preserve"> </w:t>
      </w:r>
      <w:r>
        <w:rPr>
          <w:rFonts w:ascii="Times New Roman" w:eastAsia="Times New Roman" w:hAnsi="Times New Roman" w:cs="Times New Roman"/>
          <w:b/>
          <w:bCs/>
          <w:sz w:val="24"/>
          <w:szCs w:val="24"/>
        </w:rPr>
        <w:t>II.1. Seed rate &amp; Seed treatment n=60</w:t>
      </w:r>
    </w:p>
    <w:tbl>
      <w:tblPr>
        <w:tblStyle w:val="ac"/>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6"/>
        <w:gridCol w:w="891"/>
        <w:gridCol w:w="883"/>
        <w:gridCol w:w="907"/>
        <w:gridCol w:w="882"/>
        <w:gridCol w:w="906"/>
        <w:gridCol w:w="882"/>
        <w:gridCol w:w="906"/>
        <w:gridCol w:w="882"/>
        <w:gridCol w:w="906"/>
        <w:gridCol w:w="801"/>
      </w:tblGrid>
      <w:tr w:rsidR="001E69E3">
        <w:trPr>
          <w:cantSplit/>
          <w:tblHeader/>
        </w:trPr>
        <w:tc>
          <w:tcPr>
            <w:tcW w:w="396"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891"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technology</w:t>
            </w:r>
          </w:p>
        </w:tc>
        <w:tc>
          <w:tcPr>
            <w:tcW w:w="3578" w:type="dxa"/>
            <w:gridSpan w:val="4"/>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c>
          <w:tcPr>
            <w:tcW w:w="3576" w:type="dxa"/>
            <w:gridSpan w:val="4"/>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c>
          <w:tcPr>
            <w:tcW w:w="801" w:type="dxa"/>
            <w:vMerge w:val="restart"/>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Reasons for Non Adoption</w:t>
            </w:r>
          </w:p>
        </w:tc>
      </w:tr>
      <w:tr w:rsidR="001E69E3">
        <w:trPr>
          <w:cantSplit/>
          <w:tblHeader/>
        </w:trPr>
        <w:tc>
          <w:tcPr>
            <w:tcW w:w="396"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891"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1790"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Aware</w:t>
            </w:r>
          </w:p>
        </w:tc>
        <w:tc>
          <w:tcPr>
            <w:tcW w:w="1788"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Not Aware</w:t>
            </w:r>
          </w:p>
        </w:tc>
        <w:tc>
          <w:tcPr>
            <w:tcW w:w="1788"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Adopted</w:t>
            </w:r>
          </w:p>
        </w:tc>
        <w:tc>
          <w:tcPr>
            <w:tcW w:w="1788"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Not Adopted</w:t>
            </w:r>
          </w:p>
        </w:tc>
        <w:tc>
          <w:tcPr>
            <w:tcW w:w="801"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r>
      <w:tr w:rsidR="001E69E3">
        <w:trPr>
          <w:cantSplit/>
          <w:tblHeader/>
        </w:trPr>
        <w:tc>
          <w:tcPr>
            <w:tcW w:w="396"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891"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883"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907"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882"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906"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882"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906"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882"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906"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801"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r>
      <w:tr w:rsidR="001E69E3">
        <w:trPr>
          <w:cantSplit/>
          <w:tblHeader/>
        </w:trPr>
        <w:tc>
          <w:tcPr>
            <w:tcW w:w="39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891" w:type="dxa"/>
            <w:vAlign w:val="center"/>
          </w:tcPr>
          <w:p w:rsidR="001E69E3" w:rsidRDefault="00011FBD">
            <w:pPr>
              <w:pStyle w:val="normal0"/>
              <w:spacing w:after="0" w:line="240" w:lineRule="auto"/>
              <w:jc w:val="both"/>
              <w:rPr>
                <w:rFonts w:ascii="Times New Roman" w:eastAsia="Times New Roman" w:hAnsi="Times New Roman" w:cs="Times New Roman"/>
              </w:rPr>
            </w:pPr>
            <w:commentRangeStart w:id="7"/>
            <w:r>
              <w:rPr>
                <w:rFonts w:ascii="Times New Roman" w:eastAsia="Times New Roman" w:hAnsi="Times New Roman" w:cs="Times New Roman"/>
              </w:rPr>
              <w:t>Seed</w:t>
            </w:r>
            <w:commentRangeEnd w:id="7"/>
            <w:r w:rsidR="009A401B">
              <w:rPr>
                <w:rStyle w:val="CommentReference"/>
              </w:rPr>
              <w:commentReference w:id="7"/>
            </w:r>
            <w:r>
              <w:rPr>
                <w:rFonts w:ascii="Times New Roman" w:eastAsia="Times New Roman" w:hAnsi="Times New Roman" w:cs="Times New Roman"/>
              </w:rPr>
              <w:t xml:space="preserve"> rate</w:t>
            </w:r>
          </w:p>
        </w:tc>
        <w:tc>
          <w:tcPr>
            <w:tcW w:w="88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90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w:t>
            </w:r>
          </w:p>
        </w:tc>
        <w:tc>
          <w:tcPr>
            <w:tcW w:w="882"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_</w:t>
            </w:r>
          </w:p>
        </w:tc>
        <w:tc>
          <w:tcPr>
            <w:tcW w:w="906" w:type="dxa"/>
            <w:vAlign w:val="center"/>
          </w:tcPr>
          <w:p w:rsidR="001E69E3" w:rsidRDefault="001E69E3">
            <w:pPr>
              <w:pStyle w:val="normal0"/>
              <w:spacing w:after="0" w:line="240" w:lineRule="auto"/>
              <w:jc w:val="center"/>
              <w:rPr>
                <w:rFonts w:ascii="Times New Roman" w:eastAsia="Times New Roman" w:hAnsi="Times New Roman" w:cs="Times New Roman"/>
              </w:rPr>
            </w:pPr>
          </w:p>
        </w:tc>
        <w:tc>
          <w:tcPr>
            <w:tcW w:w="882"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90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w:t>
            </w:r>
          </w:p>
        </w:tc>
        <w:tc>
          <w:tcPr>
            <w:tcW w:w="882"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_</w:t>
            </w:r>
          </w:p>
        </w:tc>
        <w:tc>
          <w:tcPr>
            <w:tcW w:w="906" w:type="dxa"/>
            <w:vAlign w:val="center"/>
          </w:tcPr>
          <w:p w:rsidR="001E69E3" w:rsidRDefault="001E69E3">
            <w:pPr>
              <w:pStyle w:val="normal0"/>
              <w:spacing w:after="0" w:line="240" w:lineRule="auto"/>
              <w:jc w:val="center"/>
              <w:rPr>
                <w:rFonts w:ascii="Times New Roman" w:eastAsia="Times New Roman" w:hAnsi="Times New Roman" w:cs="Times New Roman"/>
              </w:rPr>
            </w:pPr>
          </w:p>
        </w:tc>
        <w:tc>
          <w:tcPr>
            <w:tcW w:w="801" w:type="dxa"/>
          </w:tcPr>
          <w:p w:rsidR="001E69E3" w:rsidRDefault="001E69E3">
            <w:pPr>
              <w:pStyle w:val="normal0"/>
              <w:spacing w:after="0" w:line="240" w:lineRule="auto"/>
              <w:jc w:val="center"/>
              <w:rPr>
                <w:rFonts w:ascii="Times New Roman" w:eastAsia="Times New Roman" w:hAnsi="Times New Roman" w:cs="Times New Roman"/>
              </w:rPr>
            </w:pPr>
          </w:p>
        </w:tc>
      </w:tr>
      <w:tr w:rsidR="001E69E3">
        <w:trPr>
          <w:cantSplit/>
          <w:tblHeader/>
        </w:trPr>
        <w:tc>
          <w:tcPr>
            <w:tcW w:w="39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2</w:t>
            </w:r>
          </w:p>
        </w:tc>
        <w:tc>
          <w:tcPr>
            <w:tcW w:w="891"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Seed </w:t>
            </w:r>
            <w:commentRangeStart w:id="8"/>
            <w:r>
              <w:rPr>
                <w:rFonts w:ascii="Times New Roman" w:eastAsia="Times New Roman" w:hAnsi="Times New Roman" w:cs="Times New Roman"/>
              </w:rPr>
              <w:t>treatment</w:t>
            </w:r>
            <w:commentRangeEnd w:id="8"/>
            <w:r w:rsidR="009A401B">
              <w:rPr>
                <w:rStyle w:val="CommentReference"/>
              </w:rPr>
              <w:commentReference w:id="8"/>
            </w:r>
          </w:p>
        </w:tc>
        <w:tc>
          <w:tcPr>
            <w:tcW w:w="88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46</w:t>
            </w:r>
          </w:p>
        </w:tc>
        <w:tc>
          <w:tcPr>
            <w:tcW w:w="907"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76.66</w:t>
            </w:r>
          </w:p>
        </w:tc>
        <w:tc>
          <w:tcPr>
            <w:tcW w:w="882"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90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23.34</w:t>
            </w:r>
          </w:p>
        </w:tc>
        <w:tc>
          <w:tcPr>
            <w:tcW w:w="882"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37</w:t>
            </w:r>
          </w:p>
        </w:tc>
        <w:tc>
          <w:tcPr>
            <w:tcW w:w="90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80.43</w:t>
            </w:r>
          </w:p>
        </w:tc>
        <w:tc>
          <w:tcPr>
            <w:tcW w:w="882"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906" w:type="dxa"/>
            <w:vAlign w:val="center"/>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19.56</w:t>
            </w:r>
          </w:p>
          <w:p w:rsidR="001E69E3" w:rsidRDefault="001E69E3">
            <w:pPr>
              <w:pStyle w:val="normal0"/>
              <w:spacing w:after="0" w:line="240" w:lineRule="auto"/>
              <w:jc w:val="center"/>
              <w:rPr>
                <w:rFonts w:ascii="Times New Roman" w:eastAsia="Times New Roman" w:hAnsi="Times New Roman" w:cs="Times New Roman"/>
              </w:rPr>
            </w:pPr>
          </w:p>
          <w:p w:rsidR="001E69E3" w:rsidRDefault="001E69E3">
            <w:pPr>
              <w:pStyle w:val="normal0"/>
              <w:spacing w:after="0" w:line="240" w:lineRule="auto"/>
              <w:jc w:val="center"/>
              <w:rPr>
                <w:rFonts w:ascii="Times New Roman" w:eastAsia="Times New Roman" w:hAnsi="Times New Roman" w:cs="Times New Roman"/>
              </w:rPr>
            </w:pPr>
          </w:p>
          <w:p w:rsidR="001E69E3" w:rsidRDefault="001E69E3">
            <w:pPr>
              <w:pStyle w:val="normal0"/>
              <w:spacing w:after="0" w:line="240" w:lineRule="auto"/>
              <w:jc w:val="center"/>
              <w:rPr>
                <w:rFonts w:ascii="Times New Roman" w:eastAsia="Times New Roman" w:hAnsi="Times New Roman" w:cs="Times New Roman"/>
              </w:rPr>
            </w:pPr>
          </w:p>
        </w:tc>
        <w:tc>
          <w:tcPr>
            <w:tcW w:w="801"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Not aware&amp;</w:t>
            </w: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Not interested</w:t>
            </w:r>
          </w:p>
        </w:tc>
      </w:tr>
    </w:tbl>
    <w:p w:rsidR="001E69E3" w:rsidRDefault="00011FBD">
      <w:pPr>
        <w:pStyle w:val="norm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study interprets that, the awareness and adoption levels of paddy growers with regard to seed rate is 100% and with regard to seed treatment, the level of awareness is 77% and the adoption level is around 80%.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Universal adoption of the recommended seed rate contrasts with the lower awareness of seed treatment, indicating a practice-specific information gap. Seed-focused training has increased adoption of quality-seed practices in Indian rice systems, and agronomic research shows that appropriate seed priming and fungicide treatment can improve crop establishment and suppress disease under direct-seeded conditions (Dar et al., 2020; Hossain et al., 2024; Dhillon et al., 2025).</w:t>
      </w:r>
    </w:p>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Table:12 : Awareness on Paddy weed management technologies : n=60</w:t>
      </w:r>
    </w:p>
    <w:tbl>
      <w:tblPr>
        <w:tblStyle w:val="ad"/>
        <w:tblW w:w="91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5"/>
        <w:gridCol w:w="3172"/>
        <w:gridCol w:w="1418"/>
        <w:gridCol w:w="1559"/>
        <w:gridCol w:w="1219"/>
        <w:gridCol w:w="1255"/>
      </w:tblGrid>
      <w:tr w:rsidR="001E69E3">
        <w:trPr>
          <w:cantSplit/>
          <w:tblHeader/>
        </w:trPr>
        <w:tc>
          <w:tcPr>
            <w:tcW w:w="485"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3172"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technology</w:t>
            </w:r>
          </w:p>
        </w:tc>
        <w:tc>
          <w:tcPr>
            <w:tcW w:w="5451" w:type="dxa"/>
            <w:gridSpan w:val="4"/>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r>
      <w:tr w:rsidR="001E69E3">
        <w:trPr>
          <w:cantSplit/>
          <w:tblHeader/>
        </w:trPr>
        <w:tc>
          <w:tcPr>
            <w:tcW w:w="485"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3172"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977"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Aware</w:t>
            </w:r>
          </w:p>
        </w:tc>
        <w:tc>
          <w:tcPr>
            <w:tcW w:w="2474"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Not Aware</w:t>
            </w:r>
          </w:p>
        </w:tc>
      </w:tr>
      <w:tr w:rsidR="001E69E3">
        <w:trPr>
          <w:cantSplit/>
          <w:tblHeader/>
        </w:trPr>
        <w:tc>
          <w:tcPr>
            <w:tcW w:w="485"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3172"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1418"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559"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1219"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255"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3172"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Weed management in dry direct sown Paddy</w:t>
            </w:r>
          </w:p>
        </w:tc>
        <w:tc>
          <w:tcPr>
            <w:tcW w:w="141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155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40</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36</w:t>
            </w:r>
          </w:p>
        </w:tc>
        <w:tc>
          <w:tcPr>
            <w:tcW w:w="1255"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3172"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Weed management in transplanted  Paddy.</w:t>
            </w:r>
          </w:p>
        </w:tc>
        <w:tc>
          <w:tcPr>
            <w:tcW w:w="1418"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44</w:t>
            </w:r>
          </w:p>
        </w:tc>
        <w:tc>
          <w:tcPr>
            <w:tcW w:w="1559"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73.33</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1255"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26.67</w:t>
            </w:r>
          </w:p>
        </w:tc>
      </w:tr>
    </w:tbl>
    <w:p w:rsidR="001E69E3" w:rsidRDefault="001E69E3">
      <w:pPr>
        <w:pStyle w:val="normal0"/>
        <w:spacing w:after="0" w:line="240" w:lineRule="auto"/>
        <w:rPr>
          <w:rFonts w:ascii="Times New Roman" w:eastAsia="Times New Roman" w:hAnsi="Times New Roman" w:cs="Times New Roman"/>
        </w:rPr>
      </w:pPr>
    </w:p>
    <w:p w:rsidR="001E69E3" w:rsidRDefault="001E69E3">
      <w:pPr>
        <w:pStyle w:val="normal0"/>
        <w:spacing w:after="0" w:line="240" w:lineRule="auto"/>
        <w:rPr>
          <w:rFonts w:ascii="Times New Roman" w:eastAsia="Times New Roman" w:hAnsi="Times New Roman" w:cs="Times New Roman"/>
        </w:rPr>
      </w:pPr>
    </w:p>
    <w:p w:rsidR="001E69E3" w:rsidRDefault="00011FBD">
      <w:pPr>
        <w:pStyle w:val="normal0"/>
        <w:spacing w:after="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The outcome of the study reflects that, the awareness level of paddy growers with regard to weed management in dry direct sown rice is only 24.00% when compared to awareness on weed management of paddy growers on transplanted rice is 44.00%, this shows that more no. of farmers aware of weed management practices in transplanted rice compared to dry direct sown rice,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lower awareness reported for dry direct-seeded rice is important because weed pressure is a recognized management constraint in direct-seeded rice, where effective control often requires integrated or sequential approaches adapted to local conditions (Banik et al., 2020; Verma et al., 2023; Kamboj et al., 2022).</w:t>
      </w:r>
    </w:p>
    <w:p w:rsidR="001E69E3" w:rsidRDefault="001E69E3">
      <w:pPr>
        <w:pStyle w:val="normal0"/>
        <w:spacing w:after="0" w:line="240" w:lineRule="auto"/>
        <w:rPr>
          <w:rFonts w:ascii="Times New Roman" w:eastAsia="Times New Roman" w:hAnsi="Times New Roman" w:cs="Times New Roman"/>
        </w:rPr>
      </w:pPr>
    </w:p>
    <w:p w:rsidR="001E69E3" w:rsidRDefault="00011FBD">
      <w:pPr>
        <w:pStyle w:val="normal0"/>
        <w:spacing w:after="0" w:line="240" w:lineRule="auto"/>
        <w:rPr>
          <w:rFonts w:ascii="Times New Roman" w:eastAsia="Times New Roman" w:hAnsi="Times New Roman" w:cs="Times New Roman"/>
        </w:rPr>
      </w:pPr>
      <w:r>
        <w:rPr>
          <w:rFonts w:ascii="Times New Roman" w:eastAsia="Times New Roman" w:hAnsi="Times New Roman" w:cs="Times New Roman"/>
        </w:rPr>
        <w:t>Table: 13. Adoption level of   Paddy weed management technologies: n=60</w:t>
      </w:r>
    </w:p>
    <w:tbl>
      <w:tblPr>
        <w:tblStyle w:val="ae"/>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0"/>
        <w:gridCol w:w="1961"/>
        <w:gridCol w:w="1310"/>
        <w:gridCol w:w="1349"/>
        <w:gridCol w:w="1310"/>
        <w:gridCol w:w="1349"/>
        <w:gridCol w:w="1453"/>
      </w:tblGrid>
      <w:tr w:rsidR="001E69E3">
        <w:trPr>
          <w:cantSplit/>
          <w:tblHeader/>
        </w:trPr>
        <w:tc>
          <w:tcPr>
            <w:tcW w:w="510" w:type="dxa"/>
            <w:vMerge w:val="restart"/>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 No</w:t>
            </w:r>
          </w:p>
        </w:tc>
        <w:tc>
          <w:tcPr>
            <w:tcW w:w="1961"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technology</w:t>
            </w:r>
          </w:p>
        </w:tc>
        <w:tc>
          <w:tcPr>
            <w:tcW w:w="5318" w:type="dxa"/>
            <w:gridSpan w:val="4"/>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 of farmers</w:t>
            </w:r>
          </w:p>
        </w:tc>
        <w:tc>
          <w:tcPr>
            <w:tcW w:w="1453" w:type="dxa"/>
            <w:vMerge w:val="restart"/>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Reasons for Non Adoption</w:t>
            </w:r>
          </w:p>
        </w:tc>
      </w:tr>
      <w:tr w:rsidR="001E69E3">
        <w:trPr>
          <w:cantSplit/>
          <w:tblHeader/>
        </w:trPr>
        <w:tc>
          <w:tcPr>
            <w:tcW w:w="510"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1961"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2659"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Adopted</w:t>
            </w:r>
          </w:p>
        </w:tc>
        <w:tc>
          <w:tcPr>
            <w:tcW w:w="2659"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Not Adopted</w:t>
            </w:r>
          </w:p>
        </w:tc>
        <w:tc>
          <w:tcPr>
            <w:tcW w:w="1453"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r>
      <w:tr w:rsidR="001E69E3">
        <w:trPr>
          <w:cantSplit/>
          <w:tblHeader/>
        </w:trPr>
        <w:tc>
          <w:tcPr>
            <w:tcW w:w="510"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1961"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1310" w:type="dxa"/>
            <w:vAlign w:val="center"/>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Frequency</w:t>
            </w:r>
          </w:p>
        </w:tc>
        <w:tc>
          <w:tcPr>
            <w:tcW w:w="1349" w:type="dxa"/>
            <w:vAlign w:val="center"/>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Percentage</w:t>
            </w:r>
          </w:p>
        </w:tc>
        <w:tc>
          <w:tcPr>
            <w:tcW w:w="1310" w:type="dxa"/>
            <w:vAlign w:val="center"/>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Frequency</w:t>
            </w:r>
          </w:p>
        </w:tc>
        <w:tc>
          <w:tcPr>
            <w:tcW w:w="1349" w:type="dxa"/>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Percentage</w:t>
            </w:r>
          </w:p>
        </w:tc>
        <w:tc>
          <w:tcPr>
            <w:tcW w:w="1453"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r>
      <w:tr w:rsidR="001E69E3">
        <w:trPr>
          <w:cantSplit/>
          <w:tblHeader/>
        </w:trPr>
        <w:tc>
          <w:tcPr>
            <w:tcW w:w="51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61"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Weed </w:t>
            </w:r>
            <w:r>
              <w:rPr>
                <w:rFonts w:ascii="Times New Roman" w:eastAsia="Times New Roman" w:hAnsi="Times New Roman" w:cs="Times New Roman"/>
              </w:rPr>
              <w:t>management</w:t>
            </w:r>
            <w:r>
              <w:rPr>
                <w:rFonts w:ascii="Times New Roman" w:eastAsia="Times New Roman" w:hAnsi="Times New Roman" w:cs="Times New Roman"/>
                <w:sz w:val="24"/>
                <w:szCs w:val="24"/>
              </w:rPr>
              <w:t xml:space="preserve"> in dry direct sown Paddy</w:t>
            </w:r>
          </w:p>
        </w:tc>
        <w:tc>
          <w:tcPr>
            <w:tcW w:w="1310" w:type="dxa"/>
            <w:vAlign w:val="center"/>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349"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310" w:type="dxa"/>
            <w:vAlign w:val="center"/>
          </w:tcPr>
          <w:p w:rsidR="001E69E3" w:rsidRDefault="001E69E3">
            <w:pPr>
              <w:pStyle w:val="normal0"/>
              <w:spacing w:after="0" w:line="240" w:lineRule="auto"/>
              <w:jc w:val="center"/>
              <w:rPr>
                <w:rFonts w:ascii="Times New Roman" w:eastAsia="Times New Roman" w:hAnsi="Times New Roman" w:cs="Times New Roman"/>
                <w:sz w:val="24"/>
                <w:szCs w:val="24"/>
              </w:rPr>
            </w:pPr>
          </w:p>
        </w:tc>
        <w:tc>
          <w:tcPr>
            <w:tcW w:w="1349" w:type="dxa"/>
            <w:vAlign w:val="center"/>
          </w:tcPr>
          <w:p w:rsidR="001E69E3" w:rsidRDefault="001E69E3">
            <w:pPr>
              <w:pStyle w:val="normal0"/>
              <w:spacing w:after="0" w:line="240" w:lineRule="auto"/>
              <w:jc w:val="center"/>
              <w:rPr>
                <w:rFonts w:ascii="Times New Roman" w:eastAsia="Times New Roman" w:hAnsi="Times New Roman" w:cs="Times New Roman"/>
                <w:sz w:val="24"/>
                <w:szCs w:val="24"/>
              </w:rPr>
            </w:pPr>
          </w:p>
        </w:tc>
        <w:tc>
          <w:tcPr>
            <w:tcW w:w="1453"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aware&amp;</w:t>
            </w: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 interested</w:t>
            </w:r>
          </w:p>
        </w:tc>
      </w:tr>
      <w:tr w:rsidR="001E69E3">
        <w:trPr>
          <w:cantSplit/>
          <w:tblHeader/>
        </w:trPr>
        <w:tc>
          <w:tcPr>
            <w:tcW w:w="51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61"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Weed </w:t>
            </w:r>
            <w:r>
              <w:rPr>
                <w:rFonts w:ascii="Times New Roman" w:eastAsia="Times New Roman" w:hAnsi="Times New Roman" w:cs="Times New Roman"/>
              </w:rPr>
              <w:t>management</w:t>
            </w:r>
            <w:r>
              <w:rPr>
                <w:rFonts w:ascii="Times New Roman" w:eastAsia="Times New Roman" w:hAnsi="Times New Roman" w:cs="Times New Roman"/>
                <w:sz w:val="24"/>
                <w:szCs w:val="24"/>
              </w:rPr>
              <w:t xml:space="preserve"> in transplanted  Paddy.</w:t>
            </w:r>
          </w:p>
        </w:tc>
        <w:tc>
          <w:tcPr>
            <w:tcW w:w="1310" w:type="dxa"/>
            <w:vAlign w:val="center"/>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349" w:type="dxa"/>
            <w:vAlign w:val="center"/>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95.45</w:t>
            </w:r>
          </w:p>
        </w:tc>
        <w:tc>
          <w:tcPr>
            <w:tcW w:w="1310" w:type="dxa"/>
            <w:vAlign w:val="center"/>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49" w:type="dxa"/>
            <w:vAlign w:val="center"/>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04.55</w:t>
            </w:r>
          </w:p>
        </w:tc>
        <w:tc>
          <w:tcPr>
            <w:tcW w:w="1453"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aware&amp;</w:t>
            </w: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 interested</w:t>
            </w:r>
          </w:p>
        </w:tc>
      </w:tr>
    </w:tbl>
    <w:p w:rsidR="001E69E3" w:rsidRDefault="001E69E3">
      <w:pPr>
        <w:pStyle w:val="normal0"/>
        <w:spacing w:after="0" w:line="360" w:lineRule="auto"/>
        <w:jc w:val="both"/>
        <w:rPr>
          <w:rFonts w:ascii="Times New Roman" w:eastAsia="Times New Roman" w:hAnsi="Times New Roman" w:cs="Times New Roman"/>
        </w:rPr>
      </w:pPr>
    </w:p>
    <w:p w:rsidR="001E69E3" w:rsidRDefault="00011FBD">
      <w:pPr>
        <w:pStyle w:val="normal0"/>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rPr>
        <w:t xml:space="preserve">The </w:t>
      </w:r>
      <w:r>
        <w:rPr>
          <w:rFonts w:ascii="Times New Roman" w:eastAsia="Times New Roman" w:hAnsi="Times New Roman" w:cs="Times New Roman"/>
          <w:sz w:val="24"/>
          <w:szCs w:val="24"/>
        </w:rPr>
        <w:t xml:space="preserve">adoption level of paddy growers with regard to weed </w:t>
      </w:r>
      <w:r>
        <w:rPr>
          <w:rFonts w:ascii="Times New Roman" w:eastAsia="Times New Roman" w:hAnsi="Times New Roman" w:cs="Times New Roman"/>
        </w:rPr>
        <w:t>management</w:t>
      </w:r>
      <w:r>
        <w:rPr>
          <w:rFonts w:ascii="Times New Roman" w:eastAsia="Times New Roman" w:hAnsi="Times New Roman" w:cs="Times New Roman"/>
          <w:sz w:val="24"/>
          <w:szCs w:val="24"/>
        </w:rPr>
        <w:t>, in case of dry direct sown rice is only 24.00% when compared to adoption of weed</w:t>
      </w:r>
      <w:r>
        <w:rPr>
          <w:rFonts w:ascii="Times New Roman" w:eastAsia="Times New Roman" w:hAnsi="Times New Roman" w:cs="Times New Roman"/>
        </w:rPr>
        <w:t xml:space="preserve"> management</w:t>
      </w:r>
      <w:r>
        <w:rPr>
          <w:rFonts w:ascii="Times New Roman" w:eastAsia="Times New Roman" w:hAnsi="Times New Roman" w:cs="Times New Roman"/>
          <w:sz w:val="24"/>
          <w:szCs w:val="24"/>
        </w:rPr>
        <w:t xml:space="preserve"> practices in case of transplanted rice.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lastRenderedPageBreak/>
        <w:t>Low uptake of direct-seeded-rice weed-management recommendations is consistent with evidence that weed management remains a major barrier to wider direct-seeded-rice adoption. Farmer-oriented extension should therefore emphasize locally feasible integrated weed-management packages rather than isolated recommendations (Banik et al., 2020; Kamboj et al., 2022; Verma et al., 2023).</w:t>
      </w:r>
    </w:p>
    <w:p w:rsidR="001E69E3" w:rsidRDefault="00011FBD">
      <w:pPr>
        <w:pStyle w:val="normal0"/>
        <w:jc w:val="both"/>
        <w:rPr>
          <w:rFonts w:ascii="Times New Roman" w:eastAsia="Times New Roman" w:hAnsi="Times New Roman" w:cs="Times New Roman"/>
          <w:b/>
          <w:bCs/>
        </w:rPr>
      </w:pPr>
      <w:r>
        <w:rPr>
          <w:rFonts w:ascii="Times New Roman" w:eastAsia="Times New Roman" w:hAnsi="Times New Roman" w:cs="Times New Roman"/>
          <w:b/>
          <w:bCs/>
        </w:rPr>
        <w:t>List 1 :  .Awareness level of paddy growers with regard to Paddy Plant protection technologies’ n=60</w:t>
      </w:r>
    </w:p>
    <w:tbl>
      <w:tblPr>
        <w:tblStyle w:val="af"/>
        <w:tblW w:w="96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0"/>
        <w:gridCol w:w="2325"/>
        <w:gridCol w:w="1310"/>
        <w:gridCol w:w="1349"/>
        <w:gridCol w:w="1310"/>
        <w:gridCol w:w="1379"/>
        <w:gridCol w:w="1423"/>
      </w:tblGrid>
      <w:tr w:rsidR="001E69E3">
        <w:trPr>
          <w:cantSplit/>
          <w:tblHeader/>
        </w:trPr>
        <w:tc>
          <w:tcPr>
            <w:tcW w:w="510" w:type="dxa"/>
            <w:vMerge w:val="restart"/>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 No</w:t>
            </w:r>
          </w:p>
        </w:tc>
        <w:tc>
          <w:tcPr>
            <w:tcW w:w="2325" w:type="dxa"/>
            <w:vMerge w:val="restart"/>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technology</w:t>
            </w:r>
          </w:p>
        </w:tc>
        <w:tc>
          <w:tcPr>
            <w:tcW w:w="6771" w:type="dxa"/>
            <w:gridSpan w:val="5"/>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 of farmers</w:t>
            </w:r>
          </w:p>
        </w:tc>
      </w:tr>
      <w:tr w:rsidR="001E69E3">
        <w:trPr>
          <w:cantSplit/>
          <w:tblHeader/>
        </w:trPr>
        <w:tc>
          <w:tcPr>
            <w:tcW w:w="510"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2325"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2659"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Aware</w:t>
            </w:r>
          </w:p>
        </w:tc>
        <w:tc>
          <w:tcPr>
            <w:tcW w:w="2689"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Not Aware</w:t>
            </w:r>
          </w:p>
        </w:tc>
        <w:tc>
          <w:tcPr>
            <w:tcW w:w="1423" w:type="dxa"/>
            <w:vAlign w:val="center"/>
          </w:tcPr>
          <w:p w:rsidR="001E69E3" w:rsidRDefault="001E69E3">
            <w:pPr>
              <w:pStyle w:val="normal0"/>
              <w:spacing w:after="0" w:line="240" w:lineRule="auto"/>
              <w:jc w:val="center"/>
              <w:rPr>
                <w:rFonts w:ascii="Times New Roman" w:eastAsia="Times New Roman" w:hAnsi="Times New Roman" w:cs="Times New Roman"/>
                <w:b/>
                <w:bCs/>
                <w:sz w:val="24"/>
                <w:szCs w:val="24"/>
              </w:rPr>
            </w:pPr>
          </w:p>
        </w:tc>
      </w:tr>
      <w:tr w:rsidR="001E69E3">
        <w:trPr>
          <w:cantSplit/>
          <w:tblHeader/>
        </w:trPr>
        <w:tc>
          <w:tcPr>
            <w:tcW w:w="510"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2325"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Frequency</w:t>
            </w:r>
          </w:p>
        </w:tc>
        <w:tc>
          <w:tcPr>
            <w:tcW w:w="1349" w:type="dxa"/>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Percentage</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Frequency</w:t>
            </w:r>
          </w:p>
        </w:tc>
        <w:tc>
          <w:tcPr>
            <w:tcW w:w="1379" w:type="dxa"/>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Percentage</w:t>
            </w:r>
          </w:p>
        </w:tc>
        <w:tc>
          <w:tcPr>
            <w:tcW w:w="1423" w:type="dxa"/>
            <w:vAlign w:val="center"/>
          </w:tcPr>
          <w:p w:rsidR="001E69E3" w:rsidRDefault="00011FBD">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Rank</w:t>
            </w:r>
          </w:p>
        </w:tc>
      </w:tr>
      <w:tr w:rsidR="001E69E3">
        <w:trPr>
          <w:cantSplit/>
          <w:tblHeader/>
        </w:trPr>
        <w:tc>
          <w:tcPr>
            <w:tcW w:w="51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25"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Stem borer &amp; Thrips </w:t>
            </w:r>
            <w:commentRangeStart w:id="9"/>
            <w:r>
              <w:rPr>
                <w:rFonts w:ascii="Times New Roman" w:eastAsia="Times New Roman" w:hAnsi="Times New Roman" w:cs="Times New Roman"/>
              </w:rPr>
              <w:t>management</w:t>
            </w:r>
            <w:commentRangeEnd w:id="9"/>
            <w:r w:rsidR="00CA0D62">
              <w:rPr>
                <w:rStyle w:val="CommentReference"/>
              </w:rPr>
              <w:commentReference w:id="9"/>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34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310" w:type="dxa"/>
            <w:vAlign w:val="center"/>
          </w:tcPr>
          <w:p w:rsidR="001E69E3" w:rsidRDefault="001E69E3">
            <w:pPr>
              <w:pStyle w:val="normal0"/>
              <w:spacing w:after="0" w:line="240" w:lineRule="auto"/>
              <w:jc w:val="center"/>
              <w:rPr>
                <w:rFonts w:ascii="Times New Roman" w:eastAsia="Times New Roman" w:hAnsi="Times New Roman" w:cs="Times New Roman"/>
                <w:sz w:val="24"/>
                <w:szCs w:val="24"/>
              </w:rPr>
            </w:pPr>
          </w:p>
        </w:tc>
        <w:tc>
          <w:tcPr>
            <w:tcW w:w="1379" w:type="dxa"/>
          </w:tcPr>
          <w:p w:rsidR="001E69E3" w:rsidRDefault="001E69E3">
            <w:pPr>
              <w:pStyle w:val="normal0"/>
              <w:spacing w:after="0" w:line="240" w:lineRule="auto"/>
              <w:jc w:val="center"/>
              <w:rPr>
                <w:rFonts w:ascii="Times New Roman" w:eastAsia="Times New Roman" w:hAnsi="Times New Roman" w:cs="Times New Roman"/>
                <w:sz w:val="24"/>
                <w:szCs w:val="24"/>
              </w:rPr>
            </w:pPr>
          </w:p>
        </w:tc>
        <w:tc>
          <w:tcPr>
            <w:tcW w:w="1423"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r>
      <w:tr w:rsidR="001E69E3">
        <w:trPr>
          <w:cantSplit/>
          <w:tblHeader/>
        </w:trPr>
        <w:tc>
          <w:tcPr>
            <w:tcW w:w="51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25"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Leaf folder </w:t>
            </w:r>
            <w:r>
              <w:rPr>
                <w:rFonts w:ascii="Times New Roman" w:eastAsia="Times New Roman" w:hAnsi="Times New Roman" w:cs="Times New Roman"/>
              </w:rPr>
              <w:t>management</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34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83.33</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37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16.67</w:t>
            </w:r>
          </w:p>
        </w:tc>
        <w:tc>
          <w:tcPr>
            <w:tcW w:w="1423"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r>
      <w:tr w:rsidR="001E69E3">
        <w:trPr>
          <w:cantSplit/>
          <w:tblHeader/>
        </w:trPr>
        <w:tc>
          <w:tcPr>
            <w:tcW w:w="51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25"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Leaf mite </w:t>
            </w:r>
            <w:r>
              <w:rPr>
                <w:rFonts w:ascii="Times New Roman" w:eastAsia="Times New Roman" w:hAnsi="Times New Roman" w:cs="Times New Roman"/>
              </w:rPr>
              <w:t>management</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34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75.00</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37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423"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r>
      <w:tr w:rsidR="001E69E3">
        <w:trPr>
          <w:cantSplit/>
          <w:tblHeader/>
        </w:trPr>
        <w:tc>
          <w:tcPr>
            <w:tcW w:w="51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25"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BPH /WBPH </w:t>
            </w:r>
            <w:r>
              <w:rPr>
                <w:rFonts w:ascii="Times New Roman" w:eastAsia="Times New Roman" w:hAnsi="Times New Roman" w:cs="Times New Roman"/>
              </w:rPr>
              <w:t>management</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134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86.67</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37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13.33</w:t>
            </w:r>
          </w:p>
        </w:tc>
        <w:tc>
          <w:tcPr>
            <w:tcW w:w="1423"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r>
      <w:tr w:rsidR="001E69E3">
        <w:trPr>
          <w:cantSplit/>
          <w:tblHeader/>
        </w:trPr>
        <w:tc>
          <w:tcPr>
            <w:tcW w:w="51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25"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Blast </w:t>
            </w:r>
            <w:r>
              <w:rPr>
                <w:rFonts w:ascii="Times New Roman" w:eastAsia="Times New Roman" w:hAnsi="Times New Roman" w:cs="Times New Roman"/>
              </w:rPr>
              <w:t>management</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134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91.67</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37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8.33</w:t>
            </w:r>
          </w:p>
        </w:tc>
        <w:tc>
          <w:tcPr>
            <w:tcW w:w="1423"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r>
      <w:tr w:rsidR="001E69E3">
        <w:trPr>
          <w:cantSplit/>
          <w:tblHeader/>
        </w:trPr>
        <w:tc>
          <w:tcPr>
            <w:tcW w:w="51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325"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BLB </w:t>
            </w:r>
            <w:r>
              <w:rPr>
                <w:rFonts w:ascii="Times New Roman" w:eastAsia="Times New Roman" w:hAnsi="Times New Roman" w:cs="Times New Roman"/>
              </w:rPr>
              <w:t>management</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34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53.33</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37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46.67</w:t>
            </w:r>
          </w:p>
        </w:tc>
        <w:tc>
          <w:tcPr>
            <w:tcW w:w="1423"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p>
        </w:tc>
      </w:tr>
      <w:tr w:rsidR="001E69E3">
        <w:trPr>
          <w:cantSplit/>
          <w:tblHeader/>
        </w:trPr>
        <w:tc>
          <w:tcPr>
            <w:tcW w:w="51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325"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Sheath  blight </w:t>
            </w:r>
            <w:r>
              <w:rPr>
                <w:rFonts w:ascii="Times New Roman" w:eastAsia="Times New Roman" w:hAnsi="Times New Roman" w:cs="Times New Roman"/>
              </w:rPr>
              <w:t>management</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34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60.00</w:t>
            </w:r>
          </w:p>
        </w:tc>
        <w:tc>
          <w:tcPr>
            <w:tcW w:w="1310"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379"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40.00</w:t>
            </w:r>
          </w:p>
        </w:tc>
        <w:tc>
          <w:tcPr>
            <w:tcW w:w="1423" w:type="dxa"/>
            <w:vAlign w:val="center"/>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r>
    </w:tbl>
    <w:p w:rsidR="001E69E3" w:rsidRDefault="001E69E3">
      <w:pPr>
        <w:pStyle w:val="normal0"/>
        <w:spacing w:line="240" w:lineRule="auto"/>
        <w:rPr>
          <w:rFonts w:ascii="Times New Roman" w:eastAsia="Times New Roman" w:hAnsi="Times New Roman" w:cs="Times New Roman"/>
        </w:rPr>
      </w:pPr>
    </w:p>
    <w:p w:rsidR="001E69E3" w:rsidRDefault="00011FBD">
      <w:pPr>
        <w:pStyle w:val="normal0"/>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The results of the study on paddy plant protection technologies implies that, the awareness of the respondents on stem borer and thrips management is 100.00%, Blast management is 92.00%, awareness on BPH management is 87.00%,Leaf folder management is 83% ,Leaf mite is 75.00%, sheath blight management is 60.00% and BLB management is 53.00%.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high awareness of stem borer, thrips, blast, and planthopper management suggests greater familiarity with commonly addressed pest problems, whereas lower awareness for bacterial leaf blight and sheath blight identifies a potential diagnostic and advisory gap. Participatory rice IPM studies show that field demonstrations and skill-oriented training can strengthen farmer understanding of integrated pest-management options (Chakravorty et al., 2023; Kumar et al., 2025).</w:t>
      </w:r>
    </w:p>
    <w:p w:rsidR="001E69E3" w:rsidRDefault="001E69E3">
      <w:pPr>
        <w:pStyle w:val="normal0"/>
        <w:spacing w:after="0"/>
        <w:rPr>
          <w:rFonts w:ascii="Times New Roman" w:eastAsia="Times New Roman" w:hAnsi="Times New Roman" w:cs="Times New Roman"/>
          <w:b/>
          <w:bCs/>
        </w:rPr>
      </w:pPr>
    </w:p>
    <w:p w:rsidR="001E69E3" w:rsidRDefault="001E69E3">
      <w:pPr>
        <w:pStyle w:val="normal0"/>
        <w:spacing w:after="0"/>
        <w:rPr>
          <w:rFonts w:ascii="Times New Roman" w:eastAsia="Times New Roman" w:hAnsi="Times New Roman" w:cs="Times New Roman"/>
          <w:b/>
          <w:bCs/>
        </w:rPr>
      </w:pPr>
    </w:p>
    <w:p w:rsidR="001E69E3" w:rsidRDefault="001E69E3">
      <w:pPr>
        <w:pStyle w:val="normal0"/>
        <w:spacing w:after="0"/>
        <w:rPr>
          <w:rFonts w:ascii="Times New Roman" w:eastAsia="Times New Roman" w:hAnsi="Times New Roman" w:cs="Times New Roman"/>
          <w:b/>
          <w:bCs/>
        </w:rPr>
      </w:pPr>
    </w:p>
    <w:p w:rsidR="001E69E3" w:rsidRDefault="00011FBD">
      <w:pPr>
        <w:pStyle w:val="normal0"/>
        <w:spacing w:after="0"/>
        <w:rPr>
          <w:rFonts w:ascii="Times New Roman" w:eastAsia="Times New Roman" w:hAnsi="Times New Roman" w:cs="Times New Roman"/>
          <w:b/>
          <w:bCs/>
        </w:rPr>
      </w:pPr>
      <w:r>
        <w:rPr>
          <w:rFonts w:ascii="Times New Roman" w:eastAsia="Times New Roman" w:hAnsi="Times New Roman" w:cs="Times New Roman"/>
          <w:b/>
          <w:bCs/>
        </w:rPr>
        <w:t>List 2 : . Adoption level of paddy growers with regard to Paddy Plant protection technologies:</w:t>
      </w:r>
    </w:p>
    <w:p w:rsidR="001E69E3" w:rsidRDefault="00011FBD">
      <w:pPr>
        <w:pStyle w:val="normal0"/>
        <w:spacing w:after="0"/>
        <w:jc w:val="right"/>
        <w:rPr>
          <w:rFonts w:ascii="Times New Roman" w:eastAsia="Times New Roman" w:hAnsi="Times New Roman" w:cs="Times New Roman"/>
          <w:b/>
          <w:bCs/>
        </w:rPr>
      </w:pPr>
      <w:r>
        <w:rPr>
          <w:rFonts w:ascii="Times New Roman" w:eastAsia="Times New Roman" w:hAnsi="Times New Roman" w:cs="Times New Roman"/>
          <w:b/>
          <w:bCs/>
        </w:rPr>
        <w:t>n =60</w:t>
      </w:r>
    </w:p>
    <w:tbl>
      <w:tblPr>
        <w:tblStyle w:val="af0"/>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0"/>
        <w:gridCol w:w="2747"/>
        <w:gridCol w:w="850"/>
        <w:gridCol w:w="851"/>
        <w:gridCol w:w="850"/>
        <w:gridCol w:w="814"/>
        <w:gridCol w:w="1029"/>
        <w:gridCol w:w="2126"/>
      </w:tblGrid>
      <w:tr w:rsidR="001E69E3">
        <w:trPr>
          <w:cantSplit/>
          <w:tblHeader/>
        </w:trPr>
        <w:tc>
          <w:tcPr>
            <w:tcW w:w="480"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2747"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technology</w:t>
            </w:r>
          </w:p>
        </w:tc>
        <w:tc>
          <w:tcPr>
            <w:tcW w:w="4394" w:type="dxa"/>
            <w:gridSpan w:val="5"/>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c>
          <w:tcPr>
            <w:tcW w:w="2126"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Reasons for Non adoption</w:t>
            </w:r>
          </w:p>
        </w:tc>
      </w:tr>
      <w:tr w:rsidR="001E69E3">
        <w:trPr>
          <w:cantSplit/>
          <w:tblHeader/>
        </w:trPr>
        <w:tc>
          <w:tcPr>
            <w:tcW w:w="480"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747"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1701" w:type="dxa"/>
            <w:gridSpan w:val="2"/>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Adopted</w:t>
            </w:r>
          </w:p>
        </w:tc>
        <w:tc>
          <w:tcPr>
            <w:tcW w:w="1664"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Not Adopted</w:t>
            </w:r>
          </w:p>
        </w:tc>
        <w:tc>
          <w:tcPr>
            <w:tcW w:w="1029" w:type="dxa"/>
          </w:tcPr>
          <w:p w:rsidR="001E69E3" w:rsidRDefault="001E69E3">
            <w:pPr>
              <w:pStyle w:val="normal0"/>
              <w:spacing w:after="0" w:line="240" w:lineRule="auto"/>
              <w:jc w:val="both"/>
              <w:rPr>
                <w:rFonts w:ascii="Times New Roman" w:eastAsia="Times New Roman" w:hAnsi="Times New Roman" w:cs="Times New Roman"/>
                <w:b/>
                <w:bCs/>
              </w:rPr>
            </w:pPr>
          </w:p>
        </w:tc>
        <w:tc>
          <w:tcPr>
            <w:tcW w:w="2126"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r>
      <w:tr w:rsidR="001E69E3">
        <w:trPr>
          <w:cantSplit/>
          <w:tblHeader/>
        </w:trPr>
        <w:tc>
          <w:tcPr>
            <w:tcW w:w="480"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747"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850"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851"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850"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814"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1029"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Ranking</w:t>
            </w:r>
          </w:p>
        </w:tc>
        <w:tc>
          <w:tcPr>
            <w:tcW w:w="2126"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r>
      <w:tr w:rsidR="001E69E3">
        <w:trPr>
          <w:cantSplit/>
          <w:tblHeader/>
        </w:trPr>
        <w:tc>
          <w:tcPr>
            <w:tcW w:w="48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2747"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sz w:val="23"/>
                <w:szCs w:val="23"/>
              </w:rPr>
              <w:t xml:space="preserve">Stem borer &amp;Thrips </w:t>
            </w:r>
            <w:commentRangeStart w:id="10"/>
            <w:r>
              <w:rPr>
                <w:rFonts w:ascii="Times New Roman" w:eastAsia="Times New Roman" w:hAnsi="Times New Roman" w:cs="Times New Roman"/>
              </w:rPr>
              <w:t>management</w:t>
            </w:r>
            <w:commentRangeEnd w:id="10"/>
            <w:r w:rsidR="00903E11">
              <w:rPr>
                <w:rStyle w:val="CommentReference"/>
              </w:rPr>
              <w:commentReference w:id="10"/>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40</w:t>
            </w:r>
          </w:p>
        </w:tc>
        <w:tc>
          <w:tcPr>
            <w:tcW w:w="851"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66.67</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814"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33.33</w:t>
            </w:r>
          </w:p>
        </w:tc>
        <w:tc>
          <w:tcPr>
            <w:tcW w:w="102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III</w:t>
            </w:r>
          </w:p>
        </w:tc>
        <w:tc>
          <w:tcPr>
            <w:tcW w:w="212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Lack of interest</w:t>
            </w:r>
          </w:p>
        </w:tc>
      </w:tr>
      <w:tr w:rsidR="001E69E3">
        <w:trPr>
          <w:cantSplit/>
          <w:tblHeader/>
        </w:trPr>
        <w:tc>
          <w:tcPr>
            <w:tcW w:w="48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2747"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Leaf folder management</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851"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60.000</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814"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40.00</w:t>
            </w:r>
          </w:p>
        </w:tc>
        <w:tc>
          <w:tcPr>
            <w:tcW w:w="102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IV</w:t>
            </w:r>
          </w:p>
        </w:tc>
        <w:tc>
          <w:tcPr>
            <w:tcW w:w="212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Lack of interest</w:t>
            </w:r>
          </w:p>
        </w:tc>
      </w:tr>
      <w:tr w:rsidR="001E69E3">
        <w:trPr>
          <w:cantSplit/>
          <w:tblHeader/>
        </w:trPr>
        <w:tc>
          <w:tcPr>
            <w:tcW w:w="48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3</w:t>
            </w:r>
          </w:p>
        </w:tc>
        <w:tc>
          <w:tcPr>
            <w:tcW w:w="2747"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sz w:val="23"/>
                <w:szCs w:val="23"/>
              </w:rPr>
              <w:t>Leaf mite</w:t>
            </w:r>
            <w:r>
              <w:rPr>
                <w:rFonts w:ascii="Times New Roman" w:eastAsia="Times New Roman" w:hAnsi="Times New Roman" w:cs="Times New Roman"/>
              </w:rPr>
              <w:t xml:space="preserve"> management</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851"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48.88</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814"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51.12</w:t>
            </w:r>
          </w:p>
        </w:tc>
        <w:tc>
          <w:tcPr>
            <w:tcW w:w="102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V</w:t>
            </w:r>
          </w:p>
        </w:tc>
        <w:tc>
          <w:tcPr>
            <w:tcW w:w="212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Lack of interest</w:t>
            </w:r>
          </w:p>
        </w:tc>
      </w:tr>
      <w:tr w:rsidR="001E69E3">
        <w:trPr>
          <w:cantSplit/>
          <w:tblHeader/>
        </w:trPr>
        <w:tc>
          <w:tcPr>
            <w:tcW w:w="48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4</w:t>
            </w:r>
          </w:p>
        </w:tc>
        <w:tc>
          <w:tcPr>
            <w:tcW w:w="2747"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BPH /WBPH management</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37</w:t>
            </w:r>
          </w:p>
        </w:tc>
        <w:tc>
          <w:tcPr>
            <w:tcW w:w="851"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71.15</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814"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28.85</w:t>
            </w:r>
          </w:p>
        </w:tc>
        <w:tc>
          <w:tcPr>
            <w:tcW w:w="102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II</w:t>
            </w:r>
          </w:p>
        </w:tc>
        <w:tc>
          <w:tcPr>
            <w:tcW w:w="212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Lack of interest</w:t>
            </w:r>
          </w:p>
        </w:tc>
      </w:tr>
      <w:tr w:rsidR="001E69E3">
        <w:trPr>
          <w:cantSplit/>
          <w:tblHeader/>
        </w:trPr>
        <w:tc>
          <w:tcPr>
            <w:tcW w:w="48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5</w:t>
            </w:r>
          </w:p>
        </w:tc>
        <w:tc>
          <w:tcPr>
            <w:tcW w:w="2747"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Blast management</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851"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76.36</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814"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23.64</w:t>
            </w:r>
          </w:p>
        </w:tc>
        <w:tc>
          <w:tcPr>
            <w:tcW w:w="102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w:t>
            </w:r>
          </w:p>
        </w:tc>
        <w:tc>
          <w:tcPr>
            <w:tcW w:w="212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Lack of interest</w:t>
            </w:r>
          </w:p>
        </w:tc>
      </w:tr>
      <w:tr w:rsidR="001E69E3">
        <w:trPr>
          <w:cantSplit/>
          <w:tblHeader/>
        </w:trPr>
        <w:tc>
          <w:tcPr>
            <w:tcW w:w="48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6</w:t>
            </w:r>
          </w:p>
        </w:tc>
        <w:tc>
          <w:tcPr>
            <w:tcW w:w="2747"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BLB management</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851"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34.37</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814"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65.63</w:t>
            </w:r>
          </w:p>
        </w:tc>
        <w:tc>
          <w:tcPr>
            <w:tcW w:w="102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VII</w:t>
            </w:r>
          </w:p>
        </w:tc>
        <w:tc>
          <w:tcPr>
            <w:tcW w:w="212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Lack of interest</w:t>
            </w:r>
          </w:p>
        </w:tc>
      </w:tr>
      <w:tr w:rsidR="001E69E3">
        <w:trPr>
          <w:cantSplit/>
          <w:tblHeader/>
        </w:trPr>
        <w:tc>
          <w:tcPr>
            <w:tcW w:w="48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7</w:t>
            </w:r>
          </w:p>
        </w:tc>
        <w:tc>
          <w:tcPr>
            <w:tcW w:w="2747"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Sheath  blight management</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851"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47.22</w:t>
            </w:r>
          </w:p>
        </w:tc>
        <w:tc>
          <w:tcPr>
            <w:tcW w:w="850"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814" w:type="dxa"/>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52.78</w:t>
            </w:r>
          </w:p>
        </w:tc>
        <w:tc>
          <w:tcPr>
            <w:tcW w:w="1029"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VI</w:t>
            </w:r>
          </w:p>
        </w:tc>
        <w:tc>
          <w:tcPr>
            <w:tcW w:w="212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Lack of interest</w:t>
            </w:r>
          </w:p>
        </w:tc>
      </w:tr>
    </w:tbl>
    <w:p w:rsidR="001E69E3" w:rsidRDefault="001E69E3">
      <w:pPr>
        <w:pStyle w:val="normal0"/>
        <w:spacing w:after="0" w:line="240" w:lineRule="auto"/>
        <w:rPr>
          <w:rFonts w:ascii="Times New Roman" w:eastAsia="Times New Roman" w:hAnsi="Times New Roman" w:cs="Times New Roman"/>
        </w:rPr>
      </w:pPr>
    </w:p>
    <w:p w:rsidR="001E69E3" w:rsidRDefault="00011FBD">
      <w:pPr>
        <w:pStyle w:val="norm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outcome of the study with regard adoption level of paddy plant protection measures implies that, highest adoption level is observed with regard to blast </w:t>
      </w:r>
      <w:r>
        <w:rPr>
          <w:rFonts w:ascii="Times New Roman" w:eastAsia="Times New Roman" w:hAnsi="Times New Roman" w:cs="Times New Roman"/>
        </w:rPr>
        <w:t>management</w:t>
      </w:r>
      <w:r>
        <w:rPr>
          <w:rFonts w:ascii="Times New Roman" w:eastAsia="Times New Roman" w:hAnsi="Times New Roman" w:cs="Times New Roman"/>
          <w:sz w:val="24"/>
          <w:szCs w:val="24"/>
        </w:rPr>
        <w:t xml:space="preserve"> (76.00%) followed by BPH </w:t>
      </w:r>
      <w:r>
        <w:rPr>
          <w:rFonts w:ascii="Times New Roman" w:eastAsia="Times New Roman" w:hAnsi="Times New Roman" w:cs="Times New Roman"/>
        </w:rPr>
        <w:t>management</w:t>
      </w:r>
      <w:r>
        <w:rPr>
          <w:rFonts w:ascii="Times New Roman" w:eastAsia="Times New Roman" w:hAnsi="Times New Roman" w:cs="Times New Roman"/>
          <w:sz w:val="24"/>
          <w:szCs w:val="24"/>
        </w:rPr>
        <w:t xml:space="preserve"> 71.00%, stem borer &amp; thrips </w:t>
      </w:r>
      <w:r>
        <w:rPr>
          <w:rFonts w:ascii="Times New Roman" w:eastAsia="Times New Roman" w:hAnsi="Times New Roman" w:cs="Times New Roman"/>
        </w:rPr>
        <w:t>management</w:t>
      </w:r>
      <w:r>
        <w:rPr>
          <w:rFonts w:ascii="Times New Roman" w:eastAsia="Times New Roman" w:hAnsi="Times New Roman" w:cs="Times New Roman"/>
          <w:sz w:val="24"/>
          <w:szCs w:val="24"/>
        </w:rPr>
        <w:t xml:space="preserve"> 67.00%, Leaf folder </w:t>
      </w:r>
      <w:r>
        <w:rPr>
          <w:rFonts w:ascii="Times New Roman" w:eastAsia="Times New Roman" w:hAnsi="Times New Roman" w:cs="Times New Roman"/>
        </w:rPr>
        <w:t>management</w:t>
      </w:r>
      <w:r>
        <w:rPr>
          <w:rFonts w:ascii="Times New Roman" w:eastAsia="Times New Roman" w:hAnsi="Times New Roman" w:cs="Times New Roman"/>
          <w:sz w:val="24"/>
          <w:szCs w:val="24"/>
        </w:rPr>
        <w:t xml:space="preserve"> 60.00%, Leaf mite </w:t>
      </w:r>
      <w:r>
        <w:rPr>
          <w:rFonts w:ascii="Times New Roman" w:eastAsia="Times New Roman" w:hAnsi="Times New Roman" w:cs="Times New Roman"/>
        </w:rPr>
        <w:t>management</w:t>
      </w:r>
      <w:r>
        <w:rPr>
          <w:rFonts w:ascii="Times New Roman" w:eastAsia="Times New Roman" w:hAnsi="Times New Roman" w:cs="Times New Roman"/>
          <w:sz w:val="24"/>
          <w:szCs w:val="24"/>
        </w:rPr>
        <w:t xml:space="preserve"> is 49%, sheath blight </w:t>
      </w:r>
      <w:r>
        <w:rPr>
          <w:rFonts w:ascii="Times New Roman" w:eastAsia="Times New Roman" w:hAnsi="Times New Roman" w:cs="Times New Roman"/>
        </w:rPr>
        <w:t>management</w:t>
      </w:r>
      <w:r>
        <w:rPr>
          <w:rFonts w:ascii="Times New Roman" w:eastAsia="Times New Roman" w:hAnsi="Times New Roman" w:cs="Times New Roman"/>
          <w:sz w:val="24"/>
          <w:szCs w:val="24"/>
        </w:rPr>
        <w:t xml:space="preserve"> 47.00% and BLB</w:t>
      </w:r>
      <w:r>
        <w:rPr>
          <w:rFonts w:ascii="Times New Roman" w:eastAsia="Times New Roman" w:hAnsi="Times New Roman" w:cs="Times New Roman"/>
        </w:rPr>
        <w:t xml:space="preserve"> management</w:t>
      </w:r>
      <w:r>
        <w:rPr>
          <w:rFonts w:ascii="Times New Roman" w:eastAsia="Times New Roman" w:hAnsi="Times New Roman" w:cs="Times New Roman"/>
          <w:sz w:val="24"/>
          <w:szCs w:val="24"/>
        </w:rPr>
        <w:t xml:space="preserve"> 34.00%.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pattern of lower adoption for bacterial leaf blight and sheath blight management, despite substantial awareness of some other plant-protection measures, suggests that knowledge alone may not guarantee implementation. Evidence from participatory rice IPM indicates that adoption is more feasible when recommendations demonstrate pest suppression, reduced pesticide use, and economic advantage under farmer conditions (Chakravorty et al., 2023; Kumar et al., 2025; Mishra et al., 2024).</w:t>
      </w:r>
    </w:p>
    <w:p w:rsidR="001E69E3" w:rsidRDefault="00011FBD">
      <w:pPr>
        <w:pStyle w:val="normal0"/>
        <w:spacing w:after="0"/>
        <w:jc w:val="right"/>
        <w:rPr>
          <w:rFonts w:ascii="Times New Roman" w:eastAsia="Times New Roman" w:hAnsi="Times New Roman" w:cs="Times New Roman"/>
        </w:rPr>
      </w:pPr>
      <w:r>
        <w:rPr>
          <w:rFonts w:ascii="Times New Roman" w:eastAsia="Times New Roman" w:hAnsi="Times New Roman" w:cs="Times New Roman"/>
          <w:b/>
          <w:bCs/>
        </w:rPr>
        <w:t>List 3 : Awareness level of paddy growers with regard to Rodent management technologies:</w:t>
      </w:r>
      <w:r>
        <w:rPr>
          <w:rFonts w:ascii="Times New Roman" w:eastAsia="Times New Roman" w:hAnsi="Times New Roman" w:cs="Times New Roman"/>
        </w:rPr>
        <w:t xml:space="preserve">                                                                      n=60</w:t>
      </w:r>
    </w:p>
    <w:tbl>
      <w:tblPr>
        <w:tblStyle w:val="af1"/>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5"/>
        <w:gridCol w:w="3025"/>
        <w:gridCol w:w="1219"/>
        <w:gridCol w:w="1309"/>
        <w:gridCol w:w="1219"/>
        <w:gridCol w:w="1255"/>
        <w:gridCol w:w="730"/>
      </w:tblGrid>
      <w:tr w:rsidR="001E69E3">
        <w:trPr>
          <w:cantSplit/>
          <w:tblHeader/>
        </w:trPr>
        <w:tc>
          <w:tcPr>
            <w:tcW w:w="485"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3025"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technology</w:t>
            </w:r>
          </w:p>
        </w:tc>
        <w:tc>
          <w:tcPr>
            <w:tcW w:w="5002" w:type="dxa"/>
            <w:gridSpan w:val="4"/>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c>
          <w:tcPr>
            <w:tcW w:w="730" w:type="dxa"/>
          </w:tcPr>
          <w:p w:rsidR="001E69E3" w:rsidRDefault="001E69E3">
            <w:pPr>
              <w:pStyle w:val="normal0"/>
              <w:spacing w:after="0" w:line="240" w:lineRule="auto"/>
              <w:jc w:val="center"/>
              <w:rPr>
                <w:rFonts w:ascii="Times New Roman" w:eastAsia="Times New Roman" w:hAnsi="Times New Roman" w:cs="Times New Roman"/>
                <w:b/>
                <w:bCs/>
              </w:rPr>
            </w:pPr>
          </w:p>
        </w:tc>
      </w:tr>
      <w:tr w:rsidR="001E69E3">
        <w:trPr>
          <w:cantSplit/>
          <w:tblHeader/>
        </w:trPr>
        <w:tc>
          <w:tcPr>
            <w:tcW w:w="485"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3025"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528"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Aware</w:t>
            </w:r>
          </w:p>
        </w:tc>
        <w:tc>
          <w:tcPr>
            <w:tcW w:w="2474"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Not Aware</w:t>
            </w:r>
          </w:p>
        </w:tc>
        <w:tc>
          <w:tcPr>
            <w:tcW w:w="730" w:type="dxa"/>
          </w:tcPr>
          <w:p w:rsidR="001E69E3" w:rsidRDefault="001E69E3">
            <w:pPr>
              <w:pStyle w:val="normal0"/>
              <w:spacing w:after="0" w:line="240" w:lineRule="auto"/>
              <w:jc w:val="center"/>
              <w:rPr>
                <w:rFonts w:ascii="Times New Roman" w:eastAsia="Times New Roman" w:hAnsi="Times New Roman" w:cs="Times New Roman"/>
                <w:b/>
                <w:bCs/>
              </w:rPr>
            </w:pPr>
          </w:p>
        </w:tc>
      </w:tr>
      <w:tr w:rsidR="001E69E3">
        <w:trPr>
          <w:cantSplit/>
          <w:tblHeader/>
        </w:trPr>
        <w:tc>
          <w:tcPr>
            <w:tcW w:w="485"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3025"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1219"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309"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1219"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255"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730"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Rank</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3025" w:type="dxa"/>
            <w:vAlign w:val="center"/>
          </w:tcPr>
          <w:p w:rsidR="001E69E3" w:rsidRDefault="00011FBD">
            <w:pPr>
              <w:pStyle w:val="normal0"/>
              <w:spacing w:after="0" w:line="240" w:lineRule="auto"/>
              <w:jc w:val="both"/>
              <w:rPr>
                <w:rFonts w:ascii="Times New Roman" w:eastAsia="Times New Roman" w:hAnsi="Times New Roman" w:cs="Times New Roman"/>
              </w:rPr>
            </w:pPr>
            <w:commentRangeStart w:id="11"/>
            <w:r>
              <w:rPr>
                <w:rFonts w:ascii="Times New Roman" w:eastAsia="Times New Roman" w:hAnsi="Times New Roman" w:cs="Times New Roman"/>
                <w:sz w:val="23"/>
                <w:szCs w:val="23"/>
              </w:rPr>
              <w:t>From puddling to one month after planting</w:t>
            </w:r>
            <w:commentRangeEnd w:id="11"/>
            <w:r w:rsidR="00C67B74">
              <w:rPr>
                <w:rStyle w:val="CommentReference"/>
              </w:rPr>
              <w:commentReference w:id="11"/>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130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53.37</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1255"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46.66</w:t>
            </w:r>
          </w:p>
        </w:tc>
        <w:tc>
          <w:tcPr>
            <w:tcW w:w="730"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302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sz w:val="23"/>
                <w:szCs w:val="23"/>
              </w:rPr>
              <w:t>Installation of permanent bait stations from planting to flowering stage</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130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41.67</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w:t>
            </w:r>
          </w:p>
        </w:tc>
        <w:tc>
          <w:tcPr>
            <w:tcW w:w="1255"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58.33</w:t>
            </w:r>
          </w:p>
        </w:tc>
        <w:tc>
          <w:tcPr>
            <w:tcW w:w="730"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III</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3</w:t>
            </w:r>
          </w:p>
        </w:tc>
        <w:tc>
          <w:tcPr>
            <w:tcW w:w="3025" w:type="dxa"/>
            <w:vAlign w:val="center"/>
          </w:tcPr>
          <w:p w:rsidR="001E69E3" w:rsidRDefault="00011FBD">
            <w:pPr>
              <w:pStyle w:val="normal0"/>
              <w:spacing w:after="0" w:line="240" w:lineRule="auto"/>
              <w:jc w:val="both"/>
              <w:rPr>
                <w:rFonts w:ascii="Times New Roman" w:eastAsia="Times New Roman" w:hAnsi="Times New Roman" w:cs="Times New Roman"/>
                <w:sz w:val="23"/>
                <w:szCs w:val="23"/>
              </w:rPr>
            </w:pPr>
            <w:commentRangeStart w:id="12"/>
            <w:r>
              <w:rPr>
                <w:rFonts w:ascii="Times New Roman" w:eastAsia="Times New Roman" w:hAnsi="Times New Roman" w:cs="Times New Roman"/>
                <w:sz w:val="23"/>
                <w:szCs w:val="23"/>
              </w:rPr>
              <w:t>During</w:t>
            </w:r>
            <w:commentRangeEnd w:id="12"/>
            <w:r w:rsidR="00C67B74">
              <w:rPr>
                <w:rStyle w:val="CommentReference"/>
              </w:rPr>
              <w:commentReference w:id="12"/>
            </w:r>
            <w:r>
              <w:rPr>
                <w:rFonts w:ascii="Times New Roman" w:eastAsia="Times New Roman" w:hAnsi="Times New Roman" w:cs="Times New Roman"/>
                <w:sz w:val="23"/>
                <w:szCs w:val="23"/>
              </w:rPr>
              <w:t xml:space="preserve"> crop period,</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130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36.67</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w:t>
            </w:r>
          </w:p>
        </w:tc>
        <w:tc>
          <w:tcPr>
            <w:tcW w:w="1255"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63.33</w:t>
            </w:r>
          </w:p>
        </w:tc>
        <w:tc>
          <w:tcPr>
            <w:tcW w:w="730"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IV</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4</w:t>
            </w:r>
          </w:p>
        </w:tc>
        <w:tc>
          <w:tcPr>
            <w:tcW w:w="3025" w:type="dxa"/>
            <w:vAlign w:val="center"/>
          </w:tcPr>
          <w:p w:rsidR="001E69E3" w:rsidRDefault="00011FBD">
            <w:pPr>
              <w:pStyle w:val="normal0"/>
              <w:spacing w:after="0"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Identify live burrows and simultaneously place 15g freshly prepared bromadioline</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130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46.67</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1255"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53.33</w:t>
            </w:r>
          </w:p>
        </w:tc>
        <w:tc>
          <w:tcPr>
            <w:tcW w:w="730"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II</w:t>
            </w:r>
          </w:p>
        </w:tc>
      </w:tr>
      <w:tr w:rsidR="001E69E3">
        <w:trPr>
          <w:cantSplit/>
          <w:tblHeader/>
        </w:trPr>
        <w:tc>
          <w:tcPr>
            <w:tcW w:w="48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5.</w:t>
            </w:r>
          </w:p>
        </w:tc>
        <w:tc>
          <w:tcPr>
            <w:tcW w:w="3025"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sz w:val="23"/>
                <w:szCs w:val="23"/>
              </w:rPr>
              <w:t>Repeat bromadioline</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30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30.00</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1255"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70.00</w:t>
            </w:r>
          </w:p>
        </w:tc>
        <w:tc>
          <w:tcPr>
            <w:tcW w:w="730"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V</w:t>
            </w:r>
          </w:p>
        </w:tc>
      </w:tr>
    </w:tbl>
    <w:p w:rsidR="001E69E3" w:rsidRDefault="00011FBD">
      <w:pPr>
        <w:pStyle w:val="normal0"/>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The study on awareness of paddy growers with regard to rodent management is that, 53.00% of the respondents have knowledge on rodent management from puddling to one month after planting followed by 47.00% of the respondents have knowledge on rodent management regarding identification of live burrows and placement of freshly prepared bromodioline followed by 42.00% of respondents have knowledge on installation of permanent bait stations from planting to flowering stage. Least knowledge with regard to rodent management is during crop period (37.00%) and repeat bromodiolone (30.00%).</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 xml:space="preserve">Moderate-to-low awareness across rodent-management practices is noteworthy because effective rodent control in rice commonly depends on timely, coordinated, and integrated measures rather than a single intervention. Field studies have documented benefits from combining trapping, baiting, and burrow-focused control and from integrating rodent </w:t>
      </w:r>
      <w:r>
        <w:rPr>
          <w:rFonts w:ascii="Times New Roman" w:eastAsia="Times New Roman" w:hAnsi="Times New Roman" w:cs="Times New Roman"/>
          <w:sz w:val="24"/>
          <w:szCs w:val="24"/>
        </w:rPr>
        <w:lastRenderedPageBreak/>
        <w:t>management with broader crop management (Namala, 2021; Borah &amp; Mallick, 2016; Htwe et al., 2019).</w:t>
      </w:r>
    </w:p>
    <w:p w:rsidR="001E69E3" w:rsidRDefault="001E69E3">
      <w:pPr>
        <w:pStyle w:val="normal0"/>
        <w:spacing w:line="360" w:lineRule="auto"/>
        <w:jc w:val="both"/>
        <w:rPr>
          <w:rFonts w:ascii="Times New Roman" w:eastAsia="Times New Roman" w:hAnsi="Times New Roman" w:cs="Times New Roman"/>
        </w:rPr>
      </w:pPr>
    </w:p>
    <w:p w:rsidR="001E69E3" w:rsidRDefault="001E69E3">
      <w:pPr>
        <w:pStyle w:val="normal0"/>
        <w:spacing w:line="360" w:lineRule="auto"/>
        <w:jc w:val="both"/>
        <w:rPr>
          <w:rFonts w:ascii="Times New Roman" w:eastAsia="Times New Roman" w:hAnsi="Times New Roman" w:cs="Times New Roman"/>
        </w:rPr>
      </w:pPr>
    </w:p>
    <w:p w:rsidR="001E69E3" w:rsidRDefault="00011FBD">
      <w:pPr>
        <w:pStyle w:val="normal0"/>
        <w:rPr>
          <w:rFonts w:ascii="Times New Roman" w:eastAsia="Times New Roman" w:hAnsi="Times New Roman" w:cs="Times New Roman"/>
        </w:rPr>
      </w:pPr>
      <w:r>
        <w:rPr>
          <w:rFonts w:ascii="Times New Roman" w:eastAsia="Times New Roman" w:hAnsi="Times New Roman" w:cs="Times New Roman"/>
          <w:b/>
          <w:bCs/>
        </w:rPr>
        <w:t>List 4 : .  Adoption  level of paddy growers with regard to Rodent management technologies:</w:t>
      </w:r>
      <w:r>
        <w:rPr>
          <w:rFonts w:ascii="Times New Roman" w:eastAsia="Times New Roman" w:hAnsi="Times New Roman" w:cs="Times New Roman"/>
        </w:rPr>
        <w:t xml:space="preserve"> n=60</w:t>
      </w:r>
    </w:p>
    <w:tbl>
      <w:tblPr>
        <w:tblStyle w:val="af2"/>
        <w:tblW w:w="903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6"/>
        <w:gridCol w:w="2290"/>
        <w:gridCol w:w="1399"/>
        <w:gridCol w:w="1396"/>
        <w:gridCol w:w="1219"/>
        <w:gridCol w:w="1273"/>
        <w:gridCol w:w="976"/>
      </w:tblGrid>
      <w:tr w:rsidR="001E69E3">
        <w:trPr>
          <w:cantSplit/>
          <w:tblHeader/>
        </w:trPr>
        <w:tc>
          <w:tcPr>
            <w:tcW w:w="486" w:type="dxa"/>
            <w:vMerge w:val="restart"/>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 No</w:t>
            </w:r>
          </w:p>
        </w:tc>
        <w:tc>
          <w:tcPr>
            <w:tcW w:w="2290" w:type="dxa"/>
            <w:vMerge w:val="restart"/>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technology</w:t>
            </w:r>
          </w:p>
        </w:tc>
        <w:tc>
          <w:tcPr>
            <w:tcW w:w="5287" w:type="dxa"/>
            <w:gridSpan w:val="4"/>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farmers</w:t>
            </w:r>
          </w:p>
        </w:tc>
        <w:tc>
          <w:tcPr>
            <w:tcW w:w="976" w:type="dxa"/>
          </w:tcPr>
          <w:p w:rsidR="001E69E3" w:rsidRDefault="001E69E3">
            <w:pPr>
              <w:pStyle w:val="normal0"/>
              <w:spacing w:after="0" w:line="240" w:lineRule="auto"/>
              <w:jc w:val="center"/>
              <w:rPr>
                <w:rFonts w:ascii="Times New Roman" w:eastAsia="Times New Roman" w:hAnsi="Times New Roman" w:cs="Times New Roman"/>
                <w:b/>
                <w:bCs/>
              </w:rPr>
            </w:pPr>
          </w:p>
        </w:tc>
      </w:tr>
      <w:tr w:rsidR="001E69E3">
        <w:trPr>
          <w:cantSplit/>
          <w:tblHeader/>
        </w:trPr>
        <w:tc>
          <w:tcPr>
            <w:tcW w:w="486"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290"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795"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Adopted</w:t>
            </w:r>
          </w:p>
        </w:tc>
        <w:tc>
          <w:tcPr>
            <w:tcW w:w="2492" w:type="dxa"/>
            <w:gridSpan w:val="2"/>
            <w:vAlign w:val="center"/>
          </w:tcPr>
          <w:p w:rsidR="001E69E3" w:rsidRDefault="00011FBD">
            <w:pPr>
              <w:pStyle w:val="norm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Not Adopted</w:t>
            </w:r>
          </w:p>
        </w:tc>
        <w:tc>
          <w:tcPr>
            <w:tcW w:w="976" w:type="dxa"/>
          </w:tcPr>
          <w:p w:rsidR="001E69E3" w:rsidRDefault="001E69E3">
            <w:pPr>
              <w:pStyle w:val="normal0"/>
              <w:spacing w:after="0" w:line="240" w:lineRule="auto"/>
              <w:jc w:val="center"/>
              <w:rPr>
                <w:rFonts w:ascii="Times New Roman" w:eastAsia="Times New Roman" w:hAnsi="Times New Roman" w:cs="Times New Roman"/>
                <w:b/>
                <w:bCs/>
              </w:rPr>
            </w:pPr>
          </w:p>
        </w:tc>
      </w:tr>
      <w:tr w:rsidR="001E69E3">
        <w:trPr>
          <w:cantSplit/>
          <w:tblHeader/>
        </w:trPr>
        <w:tc>
          <w:tcPr>
            <w:tcW w:w="486" w:type="dxa"/>
            <w:vMerge/>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2290" w:type="dxa"/>
            <w:vMerge/>
            <w:vAlign w:val="center"/>
          </w:tcPr>
          <w:p w:rsidR="001E69E3" w:rsidRDefault="001E69E3">
            <w:pPr>
              <w:pStyle w:val="normal0"/>
              <w:widowControl w:val="0"/>
              <w:pBdr>
                <w:top w:val="nil"/>
                <w:left w:val="nil"/>
                <w:bottom w:val="nil"/>
                <w:right w:val="nil"/>
                <w:between w:val="nil"/>
              </w:pBdr>
              <w:spacing w:after="0"/>
              <w:rPr>
                <w:rFonts w:ascii="Times New Roman" w:eastAsia="Times New Roman" w:hAnsi="Times New Roman" w:cs="Times New Roman"/>
                <w:b/>
                <w:bCs/>
              </w:rPr>
            </w:pPr>
          </w:p>
        </w:tc>
        <w:tc>
          <w:tcPr>
            <w:tcW w:w="1399"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396"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1219" w:type="dxa"/>
            <w:vAlign w:val="center"/>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Frequency</w:t>
            </w:r>
          </w:p>
        </w:tc>
        <w:tc>
          <w:tcPr>
            <w:tcW w:w="1273"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Percentage</w:t>
            </w:r>
          </w:p>
        </w:tc>
        <w:tc>
          <w:tcPr>
            <w:tcW w:w="976" w:type="dxa"/>
          </w:tcPr>
          <w:p w:rsidR="001E69E3" w:rsidRDefault="00011FBD">
            <w:pPr>
              <w:pStyle w:val="norm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Rank</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2290" w:type="dxa"/>
            <w:vAlign w:val="center"/>
          </w:tcPr>
          <w:p w:rsidR="001E69E3" w:rsidRDefault="00011FBD">
            <w:pPr>
              <w:pStyle w:val="normal0"/>
              <w:spacing w:after="0" w:line="240" w:lineRule="auto"/>
              <w:jc w:val="both"/>
              <w:rPr>
                <w:rFonts w:ascii="Times New Roman" w:eastAsia="Times New Roman" w:hAnsi="Times New Roman" w:cs="Times New Roman"/>
              </w:rPr>
            </w:pPr>
            <w:commentRangeStart w:id="13"/>
            <w:r>
              <w:rPr>
                <w:rFonts w:ascii="Times New Roman" w:eastAsia="Times New Roman" w:hAnsi="Times New Roman" w:cs="Times New Roman"/>
                <w:sz w:val="23"/>
                <w:szCs w:val="23"/>
              </w:rPr>
              <w:t>From</w:t>
            </w:r>
            <w:commentRangeEnd w:id="13"/>
            <w:r w:rsidR="00C67B74">
              <w:rPr>
                <w:rStyle w:val="CommentReference"/>
              </w:rPr>
              <w:commentReference w:id="13"/>
            </w:r>
            <w:r>
              <w:rPr>
                <w:rFonts w:ascii="Times New Roman" w:eastAsia="Times New Roman" w:hAnsi="Times New Roman" w:cs="Times New Roman"/>
                <w:sz w:val="23"/>
                <w:szCs w:val="23"/>
              </w:rPr>
              <w:t xml:space="preserve"> puddling to one month after planting</w:t>
            </w:r>
          </w:p>
        </w:tc>
        <w:tc>
          <w:tcPr>
            <w:tcW w:w="139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139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50.00</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127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50.00</w:t>
            </w:r>
          </w:p>
        </w:tc>
        <w:tc>
          <w:tcPr>
            <w:tcW w:w="97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III</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229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sz w:val="23"/>
                <w:szCs w:val="23"/>
              </w:rPr>
              <w:t>Installation of permanent bait stations from planting to flowering stage</w:t>
            </w:r>
          </w:p>
        </w:tc>
        <w:tc>
          <w:tcPr>
            <w:tcW w:w="139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139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36.00</w:t>
            </w:r>
          </w:p>
        </w:tc>
        <w:tc>
          <w:tcPr>
            <w:tcW w:w="121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127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64.00</w:t>
            </w:r>
          </w:p>
        </w:tc>
        <w:tc>
          <w:tcPr>
            <w:tcW w:w="97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V</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3</w:t>
            </w:r>
          </w:p>
        </w:tc>
        <w:tc>
          <w:tcPr>
            <w:tcW w:w="2290" w:type="dxa"/>
            <w:vAlign w:val="center"/>
          </w:tcPr>
          <w:p w:rsidR="001E69E3" w:rsidRDefault="00011FBD">
            <w:pPr>
              <w:pStyle w:val="normal0"/>
              <w:spacing w:after="0"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During crop period,</w:t>
            </w:r>
          </w:p>
        </w:tc>
        <w:tc>
          <w:tcPr>
            <w:tcW w:w="139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39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54.54</w:t>
            </w:r>
          </w:p>
        </w:tc>
        <w:tc>
          <w:tcPr>
            <w:tcW w:w="1219" w:type="dxa"/>
            <w:vAlign w:val="center"/>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127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45.46</w:t>
            </w:r>
          </w:p>
        </w:tc>
        <w:tc>
          <w:tcPr>
            <w:tcW w:w="97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4</w:t>
            </w:r>
          </w:p>
        </w:tc>
        <w:tc>
          <w:tcPr>
            <w:tcW w:w="2290" w:type="dxa"/>
            <w:vAlign w:val="center"/>
          </w:tcPr>
          <w:p w:rsidR="001E69E3" w:rsidRDefault="00011FBD">
            <w:pPr>
              <w:pStyle w:val="normal0"/>
              <w:spacing w:after="0"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Identify live burrows and simultaneously place 15g freshly prepared bromadioline</w:t>
            </w:r>
          </w:p>
        </w:tc>
        <w:tc>
          <w:tcPr>
            <w:tcW w:w="139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139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53.57</w:t>
            </w:r>
          </w:p>
        </w:tc>
        <w:tc>
          <w:tcPr>
            <w:tcW w:w="1219" w:type="dxa"/>
            <w:vAlign w:val="center"/>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127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46.43</w:t>
            </w:r>
          </w:p>
        </w:tc>
        <w:tc>
          <w:tcPr>
            <w:tcW w:w="97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II</w:t>
            </w:r>
          </w:p>
        </w:tc>
      </w:tr>
      <w:tr w:rsidR="001E69E3">
        <w:trPr>
          <w:cantSplit/>
          <w:tblHeader/>
        </w:trPr>
        <w:tc>
          <w:tcPr>
            <w:tcW w:w="486"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5.</w:t>
            </w:r>
          </w:p>
        </w:tc>
        <w:tc>
          <w:tcPr>
            <w:tcW w:w="2290" w:type="dxa"/>
            <w:vAlign w:val="center"/>
          </w:tcPr>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sz w:val="23"/>
                <w:szCs w:val="23"/>
              </w:rPr>
              <w:t>Repeat bromadioline</w:t>
            </w:r>
          </w:p>
        </w:tc>
        <w:tc>
          <w:tcPr>
            <w:tcW w:w="1399"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396"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44.44</w:t>
            </w:r>
          </w:p>
        </w:tc>
        <w:tc>
          <w:tcPr>
            <w:tcW w:w="1219" w:type="dxa"/>
            <w:vAlign w:val="center"/>
          </w:tcPr>
          <w:p w:rsidR="001E69E3" w:rsidRDefault="001E69E3">
            <w:pPr>
              <w:pStyle w:val="normal0"/>
              <w:spacing w:after="0" w:line="240" w:lineRule="auto"/>
              <w:jc w:val="center"/>
              <w:rPr>
                <w:rFonts w:ascii="Times New Roman" w:eastAsia="Times New Roman" w:hAnsi="Times New Roman" w:cs="Times New Roman"/>
              </w:rPr>
            </w:pPr>
          </w:p>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1273" w:type="dxa"/>
            <w:vAlign w:val="center"/>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55.56</w:t>
            </w:r>
          </w:p>
        </w:tc>
        <w:tc>
          <w:tcPr>
            <w:tcW w:w="976" w:type="dxa"/>
          </w:tcPr>
          <w:p w:rsidR="001E69E3" w:rsidRDefault="00011FBD">
            <w:pPr>
              <w:pStyle w:val="norm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IV</w:t>
            </w:r>
          </w:p>
        </w:tc>
      </w:tr>
    </w:tbl>
    <w:p w:rsidR="001E69E3" w:rsidRDefault="001E69E3">
      <w:pPr>
        <w:pStyle w:val="normal0"/>
        <w:spacing w:after="0" w:line="240" w:lineRule="auto"/>
        <w:rPr>
          <w:rFonts w:ascii="Times New Roman" w:eastAsia="Times New Roman" w:hAnsi="Times New Roman" w:cs="Times New Roman"/>
        </w:rPr>
      </w:pPr>
    </w:p>
    <w:p w:rsidR="001E69E3" w:rsidRDefault="00011FBD">
      <w:pPr>
        <w:pStyle w:val="norm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on adoption level of paddy growers with regard to rodent </w:t>
      </w:r>
      <w:r>
        <w:rPr>
          <w:rFonts w:ascii="Times New Roman" w:eastAsia="Times New Roman" w:hAnsi="Times New Roman" w:cs="Times New Roman"/>
        </w:rPr>
        <w:t>management</w:t>
      </w:r>
      <w:r>
        <w:rPr>
          <w:rFonts w:ascii="Times New Roman" w:eastAsia="Times New Roman" w:hAnsi="Times New Roman" w:cs="Times New Roman"/>
          <w:sz w:val="24"/>
          <w:szCs w:val="24"/>
        </w:rPr>
        <w:t xml:space="preserve"> is that, 55.00% of the respondents have adopted rodent</w:t>
      </w:r>
      <w:r>
        <w:rPr>
          <w:rFonts w:ascii="Times New Roman" w:eastAsia="Times New Roman" w:hAnsi="Times New Roman" w:cs="Times New Roman"/>
        </w:rPr>
        <w:t xml:space="preserve"> management </w:t>
      </w:r>
      <w:r>
        <w:rPr>
          <w:rFonts w:ascii="Times New Roman" w:eastAsia="Times New Roman" w:hAnsi="Times New Roman" w:cs="Times New Roman"/>
          <w:sz w:val="24"/>
          <w:szCs w:val="24"/>
        </w:rPr>
        <w:t>during crop period followed by 54.00% of the respondents have adopted   rodent</w:t>
      </w:r>
      <w:r>
        <w:rPr>
          <w:rFonts w:ascii="Times New Roman" w:eastAsia="Times New Roman" w:hAnsi="Times New Roman" w:cs="Times New Roman"/>
        </w:rPr>
        <w:t xml:space="preserve"> management </w:t>
      </w:r>
      <w:r>
        <w:rPr>
          <w:rFonts w:ascii="Times New Roman" w:eastAsia="Times New Roman" w:hAnsi="Times New Roman" w:cs="Times New Roman"/>
          <w:sz w:val="24"/>
          <w:szCs w:val="24"/>
        </w:rPr>
        <w:t>during identification of live burrows and placement of freshly prepared bromodioline followed by 50.00% of respondents have adopted rodent</w:t>
      </w:r>
      <w:r>
        <w:rPr>
          <w:rFonts w:ascii="Times New Roman" w:eastAsia="Times New Roman" w:hAnsi="Times New Roman" w:cs="Times New Roman"/>
        </w:rPr>
        <w:t xml:space="preserve"> management </w:t>
      </w:r>
      <w:r>
        <w:rPr>
          <w:rFonts w:ascii="Times New Roman" w:eastAsia="Times New Roman" w:hAnsi="Times New Roman" w:cs="Times New Roman"/>
          <w:sz w:val="24"/>
          <w:szCs w:val="24"/>
        </w:rPr>
        <w:t xml:space="preserve">from puddling to one month after planting. Low adoption with regard to repeat bromodiolone application (44.00%) and on installation of permanent bait stations from planting to flowering stage (36.00%). </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relatively low adoption of permanent bait stations and repeat bromadiolone application may reflect the labour, knowledge, and coordination demands of sustained rodent control. Published rice studies support integrated and stage-specific rodent management, but local adoption depends on whether recommended operations are practical and affordable for farmers (Namala, 2021; Borah &amp; Mallick, 2016; Htwe et al., 2019).</w:t>
      </w:r>
    </w:p>
    <w:p w:rsidR="001E69E3" w:rsidRDefault="00011FBD">
      <w:pPr>
        <w:pStyle w:val="normal0"/>
        <w:spacing w:line="240" w:lineRule="auto"/>
        <w:rPr>
          <w:rFonts w:ascii="Times New Roman" w:eastAsia="Times New Roman" w:hAnsi="Times New Roman" w:cs="Times New Roman"/>
          <w:b/>
          <w:bCs/>
        </w:rPr>
      </w:pPr>
      <w:r>
        <w:rPr>
          <w:rFonts w:ascii="Times New Roman" w:eastAsia="Times New Roman" w:hAnsi="Times New Roman" w:cs="Times New Roman"/>
          <w:b/>
          <w:bCs/>
        </w:rPr>
        <w:t>List 5 : Reasons for non adoption of Paddy varieties and Technologies</w:t>
      </w:r>
    </w:p>
    <w:tbl>
      <w:tblPr>
        <w:tblStyle w:val="af3"/>
        <w:tblW w:w="964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71"/>
        <w:gridCol w:w="4054"/>
        <w:gridCol w:w="1056"/>
        <w:gridCol w:w="1527"/>
        <w:gridCol w:w="2340"/>
      </w:tblGrid>
      <w:tr w:rsidR="001E69E3">
        <w:trPr>
          <w:cantSplit/>
          <w:trHeight w:val="38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 no</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Paddy varieties &amp; technologies</w:t>
            </w:r>
          </w:p>
        </w:tc>
        <w:tc>
          <w:tcPr>
            <w:tcW w:w="10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of non adoption</w:t>
            </w:r>
          </w:p>
        </w:tc>
        <w:tc>
          <w:tcPr>
            <w:tcW w:w="1527"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Ranking</w:t>
            </w:r>
          </w:p>
        </w:tc>
        <w:tc>
          <w:tcPr>
            <w:tcW w:w="2340" w:type="dxa"/>
            <w:vAlign w:val="center"/>
          </w:tcPr>
          <w:p w:rsidR="001E69E3" w:rsidRDefault="00011FBD">
            <w:pPr>
              <w:pStyle w:val="norm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Reasons for   Non Adoption</w:t>
            </w: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Paddy Varieties</w:t>
            </w:r>
          </w:p>
        </w:tc>
        <w:tc>
          <w:tcPr>
            <w:tcW w:w="1056"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1527"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2340" w:type="dxa"/>
            <w:vAlign w:val="center"/>
          </w:tcPr>
          <w:p w:rsidR="001E69E3" w:rsidRDefault="001E69E3">
            <w:pPr>
              <w:pStyle w:val="normal0"/>
              <w:spacing w:after="0" w:line="240" w:lineRule="auto"/>
              <w:jc w:val="both"/>
              <w:rPr>
                <w:rFonts w:ascii="Times New Roman" w:eastAsia="Times New Roman" w:hAnsi="Times New Roman" w:cs="Times New Roman"/>
                <w:sz w:val="24"/>
                <w:szCs w:val="24"/>
              </w:rPr>
            </w:pP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RGL-2537</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p>
        </w:tc>
        <w:tc>
          <w:tcPr>
            <w:tcW w:w="2340"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interested </w:t>
            </w: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BPT-5204(Samba mashuiri)</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c>
          <w:tcPr>
            <w:tcW w:w="2340"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interested</w:t>
            </w: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BPT-3291(Sona Mashuri)</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c>
          <w:tcPr>
            <w:tcW w:w="2340"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interested</w:t>
            </w: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MTU-7029(Swarna)</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2340"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Not interested</w:t>
            </w: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MTU-1064(Amara)</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2340"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Lack of awareness</w:t>
            </w: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MTU-1061(Indra)</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2340"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Lack of awareness</w:t>
            </w: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MTU-1075(Pushyami)</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340"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Lack of awareness</w:t>
            </w: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Seed rate &amp; Seed Treatment.</w:t>
            </w:r>
          </w:p>
        </w:tc>
        <w:tc>
          <w:tcPr>
            <w:tcW w:w="1056"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1527"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2340" w:type="dxa"/>
            <w:vAlign w:val="center"/>
          </w:tcPr>
          <w:p w:rsidR="001E69E3" w:rsidRDefault="001E69E3">
            <w:pPr>
              <w:pStyle w:val="normal0"/>
              <w:spacing w:after="0" w:line="240" w:lineRule="auto"/>
              <w:jc w:val="both"/>
              <w:rPr>
                <w:rFonts w:ascii="Times New Roman" w:eastAsia="Times New Roman" w:hAnsi="Times New Roman" w:cs="Times New Roman"/>
                <w:sz w:val="24"/>
                <w:szCs w:val="24"/>
              </w:rPr>
            </w:pP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Seed treatment</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527" w:type="dxa"/>
          </w:tcPr>
          <w:p w:rsidR="001E69E3" w:rsidRDefault="001E69E3">
            <w:pPr>
              <w:pStyle w:val="normal0"/>
              <w:spacing w:after="0" w:line="240" w:lineRule="auto"/>
              <w:jc w:val="center"/>
              <w:rPr>
                <w:rFonts w:ascii="Times New Roman" w:eastAsia="Times New Roman" w:hAnsi="Times New Roman" w:cs="Times New Roman"/>
                <w:sz w:val="24"/>
                <w:szCs w:val="24"/>
              </w:rPr>
            </w:pP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of technology</w:t>
            </w: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Paddy Plant protection technologies</w:t>
            </w:r>
          </w:p>
        </w:tc>
        <w:tc>
          <w:tcPr>
            <w:tcW w:w="1056" w:type="dxa"/>
          </w:tcPr>
          <w:p w:rsidR="001E69E3" w:rsidRDefault="001E69E3">
            <w:pPr>
              <w:pStyle w:val="normal0"/>
              <w:spacing w:after="0" w:line="240" w:lineRule="auto"/>
              <w:jc w:val="center"/>
              <w:rPr>
                <w:rFonts w:ascii="Times New Roman" w:eastAsia="Times New Roman" w:hAnsi="Times New Roman" w:cs="Times New Roman"/>
                <w:sz w:val="24"/>
                <w:szCs w:val="24"/>
              </w:rPr>
            </w:pPr>
          </w:p>
        </w:tc>
        <w:tc>
          <w:tcPr>
            <w:tcW w:w="1527" w:type="dxa"/>
          </w:tcPr>
          <w:p w:rsidR="001E69E3" w:rsidRDefault="001E69E3">
            <w:pPr>
              <w:pStyle w:val="normal0"/>
              <w:spacing w:after="0" w:line="240" w:lineRule="auto"/>
              <w:jc w:val="center"/>
              <w:rPr>
                <w:rFonts w:ascii="Times New Roman" w:eastAsia="Times New Roman" w:hAnsi="Times New Roman" w:cs="Times New Roman"/>
                <w:sz w:val="24"/>
                <w:szCs w:val="24"/>
              </w:rPr>
            </w:pPr>
          </w:p>
        </w:tc>
        <w:tc>
          <w:tcPr>
            <w:tcW w:w="2340" w:type="dxa"/>
            <w:vAlign w:val="center"/>
          </w:tcPr>
          <w:p w:rsidR="001E69E3" w:rsidRDefault="001E69E3">
            <w:pPr>
              <w:pStyle w:val="normal0"/>
              <w:spacing w:after="0" w:line="240" w:lineRule="auto"/>
              <w:jc w:val="both"/>
              <w:rPr>
                <w:rFonts w:ascii="Times New Roman" w:eastAsia="Times New Roman" w:hAnsi="Times New Roman" w:cs="Times New Roman"/>
                <w:sz w:val="24"/>
                <w:szCs w:val="24"/>
              </w:rPr>
            </w:pPr>
          </w:p>
        </w:tc>
      </w:tr>
      <w:tr w:rsidR="001E69E3">
        <w:trPr>
          <w:cantSplit/>
          <w:trHeight w:val="26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Stem borer &amp; Thrips management</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33.33</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Lack of financial capacity</w:t>
            </w:r>
          </w:p>
        </w:tc>
      </w:tr>
      <w:tr w:rsidR="001E69E3">
        <w:trPr>
          <w:cantSplit/>
          <w:trHeight w:val="353"/>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Leaf folder management</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40.00</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of technology</w:t>
            </w:r>
          </w:p>
        </w:tc>
      </w:tr>
      <w:tr w:rsidR="001E69E3">
        <w:trPr>
          <w:cantSplit/>
          <w:trHeight w:val="302"/>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Leaf mite management</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51.12</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of technology</w:t>
            </w:r>
          </w:p>
        </w:tc>
      </w:tr>
      <w:tr w:rsidR="001E69E3">
        <w:trPr>
          <w:cantSplit/>
          <w:trHeight w:val="253"/>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BPH /WBPH management</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28.85</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Lack of financial capacity</w:t>
            </w:r>
          </w:p>
        </w:tc>
      </w:tr>
      <w:tr w:rsidR="001E69E3">
        <w:trPr>
          <w:cantSplit/>
          <w:trHeight w:val="189"/>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Blast management</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23.64</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Lack of financial capacity</w:t>
            </w:r>
          </w:p>
        </w:tc>
      </w:tr>
      <w:tr w:rsidR="001E69E3">
        <w:trPr>
          <w:cantSplit/>
          <w:trHeight w:val="189"/>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BLB management</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65.63</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of technology</w:t>
            </w:r>
          </w:p>
        </w:tc>
      </w:tr>
      <w:tr w:rsidR="001E69E3">
        <w:trPr>
          <w:cantSplit/>
          <w:trHeight w:val="189"/>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Sheath  blight management</w:t>
            </w:r>
          </w:p>
        </w:tc>
        <w:tc>
          <w:tcPr>
            <w:tcW w:w="1056"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52.78</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of technology</w:t>
            </w:r>
          </w:p>
        </w:tc>
      </w:tr>
      <w:tr w:rsidR="001E69E3">
        <w:trPr>
          <w:cantSplit/>
          <w:trHeight w:val="344"/>
          <w:tblHeader/>
        </w:trPr>
        <w:tc>
          <w:tcPr>
            <w:tcW w:w="671" w:type="dxa"/>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Weed management technologies</w:t>
            </w:r>
          </w:p>
        </w:tc>
        <w:tc>
          <w:tcPr>
            <w:tcW w:w="1056"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1527"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2340" w:type="dxa"/>
            <w:vAlign w:val="center"/>
          </w:tcPr>
          <w:p w:rsidR="001E69E3" w:rsidRDefault="001E69E3">
            <w:pPr>
              <w:pStyle w:val="normal0"/>
              <w:spacing w:after="0" w:line="240" w:lineRule="auto"/>
              <w:jc w:val="both"/>
              <w:rPr>
                <w:rFonts w:ascii="Times New Roman" w:eastAsia="Times New Roman" w:hAnsi="Times New Roman" w:cs="Times New Roman"/>
                <w:sz w:val="24"/>
                <w:szCs w:val="24"/>
              </w:rPr>
            </w:pPr>
          </w:p>
        </w:tc>
      </w:tr>
      <w:tr w:rsidR="001E69E3">
        <w:trPr>
          <w:cantSplit/>
          <w:trHeight w:val="451"/>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Weed management in dry direct sown Paddy</w:t>
            </w:r>
          </w:p>
        </w:tc>
        <w:tc>
          <w:tcPr>
            <w:tcW w:w="10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340"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&amp; Not interested</w:t>
            </w:r>
          </w:p>
        </w:tc>
      </w:tr>
      <w:tr w:rsidR="001E69E3">
        <w:trPr>
          <w:cantSplit/>
          <w:trHeight w:val="400"/>
          <w:tblHeader/>
        </w:trPr>
        <w:tc>
          <w:tcPr>
            <w:tcW w:w="671"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Weed management in transplanted Paddy.</w:t>
            </w:r>
          </w:p>
        </w:tc>
        <w:tc>
          <w:tcPr>
            <w:tcW w:w="10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2340" w:type="dxa"/>
          </w:tcPr>
          <w:p w:rsidR="001E69E3" w:rsidRDefault="001E69E3">
            <w:pPr>
              <w:pStyle w:val="normal0"/>
              <w:spacing w:after="0" w:line="240" w:lineRule="auto"/>
              <w:jc w:val="center"/>
              <w:rPr>
                <w:rFonts w:ascii="Times New Roman" w:eastAsia="Times New Roman" w:hAnsi="Times New Roman" w:cs="Times New Roman"/>
                <w:sz w:val="24"/>
                <w:szCs w:val="24"/>
              </w:rPr>
            </w:pPr>
          </w:p>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&amp; Not interested</w:t>
            </w:r>
          </w:p>
        </w:tc>
      </w:tr>
      <w:tr w:rsidR="001E69E3">
        <w:trPr>
          <w:cantSplit/>
          <w:trHeight w:val="364"/>
          <w:tblHeader/>
        </w:trPr>
        <w:tc>
          <w:tcPr>
            <w:tcW w:w="671" w:type="dxa"/>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Rodent management technologies:</w:t>
            </w:r>
          </w:p>
        </w:tc>
        <w:tc>
          <w:tcPr>
            <w:tcW w:w="1056"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1527" w:type="dxa"/>
          </w:tcPr>
          <w:p w:rsidR="001E69E3" w:rsidRDefault="001E69E3">
            <w:pPr>
              <w:pStyle w:val="normal0"/>
              <w:spacing w:after="0" w:line="240" w:lineRule="auto"/>
              <w:jc w:val="both"/>
              <w:rPr>
                <w:rFonts w:ascii="Times New Roman" w:eastAsia="Times New Roman" w:hAnsi="Times New Roman" w:cs="Times New Roman"/>
                <w:sz w:val="24"/>
                <w:szCs w:val="24"/>
              </w:rPr>
            </w:pPr>
          </w:p>
        </w:tc>
        <w:tc>
          <w:tcPr>
            <w:tcW w:w="2340" w:type="dxa"/>
            <w:vAlign w:val="center"/>
          </w:tcPr>
          <w:p w:rsidR="001E69E3" w:rsidRDefault="001E69E3">
            <w:pPr>
              <w:pStyle w:val="normal0"/>
              <w:spacing w:after="0" w:line="240" w:lineRule="auto"/>
              <w:jc w:val="both"/>
              <w:rPr>
                <w:rFonts w:ascii="Times New Roman" w:eastAsia="Times New Roman" w:hAnsi="Times New Roman" w:cs="Times New Roman"/>
                <w:sz w:val="24"/>
                <w:szCs w:val="24"/>
              </w:rPr>
            </w:pPr>
          </w:p>
        </w:tc>
      </w:tr>
      <w:tr w:rsidR="001E69E3">
        <w:trPr>
          <w:cantSplit/>
          <w:trHeight w:val="726"/>
          <w:tblHeader/>
        </w:trPr>
        <w:tc>
          <w:tcPr>
            <w:tcW w:w="671"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puddling to one month after planting</w:t>
            </w:r>
          </w:p>
        </w:tc>
        <w:tc>
          <w:tcPr>
            <w:tcW w:w="10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46.66</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Labor intensive &amp;Lack of Financial capacity</w:t>
            </w:r>
          </w:p>
        </w:tc>
      </w:tr>
      <w:tr w:rsidR="001E69E3">
        <w:trPr>
          <w:cantSplit/>
          <w:tblHeader/>
        </w:trPr>
        <w:tc>
          <w:tcPr>
            <w:tcW w:w="671"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Installation of permanent bait stations from planting to flowering stage</w:t>
            </w:r>
          </w:p>
        </w:tc>
        <w:tc>
          <w:tcPr>
            <w:tcW w:w="10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58.33</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of technology &amp;Lack of interest.</w:t>
            </w:r>
          </w:p>
        </w:tc>
      </w:tr>
      <w:tr w:rsidR="001E69E3">
        <w:trPr>
          <w:cantSplit/>
          <w:tblHeader/>
        </w:trPr>
        <w:tc>
          <w:tcPr>
            <w:tcW w:w="671"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crop period,</w:t>
            </w:r>
          </w:p>
        </w:tc>
        <w:tc>
          <w:tcPr>
            <w:tcW w:w="10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63.33</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of technology</w:t>
            </w:r>
          </w:p>
        </w:tc>
      </w:tr>
      <w:tr w:rsidR="001E69E3">
        <w:trPr>
          <w:cantSplit/>
          <w:tblHeader/>
        </w:trPr>
        <w:tc>
          <w:tcPr>
            <w:tcW w:w="671"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live burrows and simultaneously place 15g freshly prepared bromadioline</w:t>
            </w:r>
          </w:p>
        </w:tc>
        <w:tc>
          <w:tcPr>
            <w:tcW w:w="10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53.33</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Labor intensive &amp;Lack of interest. </w:t>
            </w:r>
          </w:p>
        </w:tc>
      </w:tr>
      <w:tr w:rsidR="001E69E3">
        <w:trPr>
          <w:cantSplit/>
          <w:tblHeader/>
        </w:trPr>
        <w:tc>
          <w:tcPr>
            <w:tcW w:w="671"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054"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Repeat bromadioline</w:t>
            </w:r>
          </w:p>
        </w:tc>
        <w:tc>
          <w:tcPr>
            <w:tcW w:w="1056" w:type="dxa"/>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527" w:type="dxa"/>
          </w:tcPr>
          <w:p w:rsidR="001E69E3" w:rsidRDefault="00011FBD">
            <w:pPr>
              <w:pStyle w:val="norm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340" w:type="dxa"/>
            <w:vAlign w:val="center"/>
          </w:tcPr>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aware of technology</w:t>
            </w:r>
          </w:p>
        </w:tc>
      </w:tr>
    </w:tbl>
    <w:p w:rsidR="001E69E3" w:rsidRDefault="00011FBD">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findings revealed that among the paddy varieties, the highest non-adoption was observed for MTU-1075 (Pushyami) (51%)</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followed by MTU-1061 (Indra) (47%) and MTU-1064 (Amara) (42%)</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mainly due to lack of awareness</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whereas the non-adoption of RGL-2537, BPT-5204, BPT-3291, and MTU-7029 was primarily attributed to lack of interest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Among the recommended technologies, seed treatment recorded only 9 per cent non-adoption, mainly because farmers were not aware of the technology. In plant protection technologies, BLB management (65.63%) and sheath blight management (52.78%) showed the highest non-adoption due to lack of awareness, while financial constraints were the major reason for the non-adoption of stem borer, thrips, BPH/WBPH, and blast management practices. With regard to weed management, dry direct-seeded paddy weed management (60%) had higher non-adoption than transplanted paddy weed management (27%), mainly due to lack of awareness and lack of interest. Among rodent management technologies, the </w:t>
      </w:r>
      <w:r>
        <w:rPr>
          <w:rFonts w:ascii="Times New Roman" w:eastAsia="Times New Roman" w:hAnsi="Times New Roman" w:cs="Times New Roman"/>
          <w:color w:val="000000"/>
          <w:sz w:val="24"/>
          <w:szCs w:val="24"/>
        </w:rPr>
        <w:lastRenderedPageBreak/>
        <w:t>highest non-adoption was recorded for repeat application of bromadiolone (70%)</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followed by</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rodent management during the crop period (63.33%)</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and</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installation of permanent bait stations (58.33%)</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primarily because of lack of awareness, labour-intensive operations, financial constraints, and lack of interest</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Overall, the study indicates that lack of awareness, lack of interest, financial limitations, and labour-intensive nature of certain practices were the major constraints affecting the adoption of ANGRAU-recommended paddy technologies among farmers in the study area.</w:t>
      </w:r>
    </w:p>
    <w:p w:rsidR="001E69E3" w:rsidRDefault="00011FBD">
      <w:pPr>
        <w:pStyle w:val="normal0"/>
        <w:spacing w:after="0" w:line="240" w:lineRule="auto"/>
        <w:ind w:firstLine="720"/>
        <w:jc w:val="both"/>
      </w:pPr>
      <w:r>
        <w:rPr>
          <w:rFonts w:ascii="Times New Roman" w:eastAsia="Times New Roman" w:hAnsi="Times New Roman" w:cs="Times New Roman"/>
          <w:sz w:val="24"/>
          <w:szCs w:val="24"/>
        </w:rPr>
        <w:t>The reported combination of low awareness, lack of interest, financial limitation, and labour intensity is consistent with broader evidence that adoption barriers in rice systems are multidimensional. Studies in Andhra Pradesh and other Indian rice settings similarly identify knowledge or experience gaps, labour and cost burdens, and institutional access as important constraints, indicating that extension responses should combine information support with practical and resource-sensitive delivery mechanisms (Balla &amp; Goswami, 2022; Mishra et al., 2024; Dar et al., 2020).</w:t>
      </w:r>
    </w:p>
    <w:p w:rsidR="001E69E3" w:rsidRDefault="001E69E3">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p>
    <w:p w:rsidR="001E69E3" w:rsidRDefault="001E69E3">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p>
    <w:p w:rsidR="001E69E3" w:rsidRDefault="001E69E3">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p>
    <w:p w:rsidR="001E69E3" w:rsidRDefault="00011FBD">
      <w:pPr>
        <w:pStyle w:val="norm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Conclusion:</w:t>
      </w:r>
    </w:p>
    <w:p w:rsidR="001E69E3" w:rsidRDefault="00011FBD">
      <w:pPr>
        <w:pStyle w:val="normal0"/>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The present study assessed the extent of awareness and adoption of ANGRAU-recommended paddy production technologies among farmers in Anakapalli district of Andhra Pradesh. The findings revealed that the respondents possessed relatively higher awareness and adoption of popular paddy varieties such as RGL-2537 (Srikakulam Sannalu), BPT-5204 (Samba Mahsuri), and BPT-3291 (Sona Mahsuri)</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as well as recommended practices like optimum seed rate and the management of major insect pests, including stem borer, thrips, and brown planthopper. However, the awareness and adoption of recently released varieties, integrated weed management under direct-seeded rice, bacterial leaf blight and sheath blight management, and rodent management practices were comparatively low.The study further revealed that lack of awareness, lack of interest, financial constraints, and the labour-intensive nature of certain technologies were the major factors limiting the adoption of several ANGRAU recommendations.</w:t>
      </w:r>
    </w:p>
    <w:p w:rsidR="001E69E3" w:rsidRDefault="00011FBD">
      <w:pPr>
        <w:pStyle w:val="norm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Declaration of AI Use</w:t>
      </w:r>
    </w:p>
    <w:p w:rsidR="001E69E3" w:rsidRDefault="001E69E3">
      <w:pPr>
        <w:pStyle w:val="normal0"/>
        <w:spacing w:after="0" w:line="240" w:lineRule="auto"/>
        <w:rPr>
          <w:rFonts w:ascii="Times New Roman" w:eastAsia="Times New Roman" w:hAnsi="Times New Roman" w:cs="Times New Roman"/>
          <w:b/>
          <w:bCs/>
        </w:rPr>
      </w:pPr>
    </w:p>
    <w:p w:rsidR="001E69E3" w:rsidRDefault="001E69E3">
      <w:pPr>
        <w:pStyle w:val="normal0"/>
        <w:spacing w:after="0" w:line="240" w:lineRule="auto"/>
        <w:rPr>
          <w:rFonts w:ascii="Times New Roman" w:eastAsia="Times New Roman" w:hAnsi="Times New Roman" w:cs="Times New Roman"/>
          <w:b/>
          <w:bCs/>
        </w:rPr>
      </w:pPr>
    </w:p>
    <w:p w:rsidR="001E69E3" w:rsidRDefault="001E69E3">
      <w:pPr>
        <w:pStyle w:val="normal0"/>
        <w:spacing w:after="0" w:line="240" w:lineRule="auto"/>
        <w:rPr>
          <w:rFonts w:ascii="Times New Roman" w:eastAsia="Times New Roman" w:hAnsi="Times New Roman" w:cs="Times New Roman"/>
          <w:b/>
          <w:bCs/>
        </w:rPr>
      </w:pPr>
    </w:p>
    <w:p w:rsidR="001E69E3" w:rsidRDefault="00011FBD">
      <w:pPr>
        <w:pStyle w:val="normal0"/>
        <w:spacing w:after="0" w:line="240" w:lineRule="auto"/>
        <w:rPr>
          <w:rFonts w:ascii="Arial" w:eastAsia="Arial" w:hAnsi="Arial" w:cs="Arial"/>
          <w:sz w:val="20"/>
          <w:szCs w:val="20"/>
        </w:rPr>
      </w:pPr>
      <w:r>
        <w:rPr>
          <w:rFonts w:ascii="Arial" w:eastAsia="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1E69E3" w:rsidRDefault="001E69E3">
      <w:pPr>
        <w:pStyle w:val="normal0"/>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rsidR="001E69E3" w:rsidRDefault="00011FBD">
      <w:pPr>
        <w:pStyle w:val="normal0"/>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References:</w:t>
      </w:r>
    </w:p>
    <w:p w:rsidR="001E69E3" w:rsidRDefault="00011FBD">
      <w:pPr>
        <w:pStyle w:val="normal0"/>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Manoj, V Visalakshmi, G Sivanarayana. Extent of adoption of paddy cultivation technologies of ANGRAU among farmers in Guntur District of Andhra Pradesh. I</w:t>
      </w:r>
      <w:r>
        <w:rPr>
          <w:rFonts w:ascii="Times New Roman" w:eastAsia="Times New Roman" w:hAnsi="Times New Roman" w:cs="Times New Roman"/>
          <w:i/>
          <w:iCs/>
          <w:color w:val="000000"/>
          <w:sz w:val="24"/>
          <w:szCs w:val="24"/>
        </w:rPr>
        <w:t xml:space="preserve">nt J Agric Extension Social Dev </w:t>
      </w:r>
      <w:r>
        <w:rPr>
          <w:rFonts w:ascii="Times New Roman" w:eastAsia="Times New Roman" w:hAnsi="Times New Roman" w:cs="Times New Roman"/>
          <w:color w:val="000000"/>
          <w:sz w:val="24"/>
          <w:szCs w:val="24"/>
        </w:rPr>
        <w:t>2026; 9(3):309-313. https://doi.org/10.33545/26180723.2026.v9.i3e.3398</w:t>
      </w:r>
    </w:p>
    <w:p w:rsidR="001E69E3" w:rsidRDefault="00011FBD">
      <w:pPr>
        <w:pStyle w:val="norm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K. Raghavendra Chowdary and S. V. Prasad and Vemaraju. Extent of Adoption of ANGRAU Technologies in Cotton Crop in Andhra Pradesh. </w:t>
      </w:r>
      <w:r>
        <w:rPr>
          <w:rFonts w:ascii="Times New Roman" w:eastAsia="Times New Roman" w:hAnsi="Times New Roman" w:cs="Times New Roman"/>
          <w:i/>
          <w:iCs/>
        </w:rPr>
        <w:t xml:space="preserve">Asian Journal of Agricultural Extension, Economics &amp; Sociology, </w:t>
      </w:r>
      <w:r>
        <w:rPr>
          <w:rFonts w:ascii="Times New Roman" w:eastAsia="Times New Roman" w:hAnsi="Times New Roman" w:cs="Times New Roman"/>
        </w:rPr>
        <w:t>39(5): 34-38, 2021.</w:t>
      </w:r>
      <w:r>
        <w:rPr>
          <w:rFonts w:ascii="Times New Roman" w:eastAsia="Times New Roman" w:hAnsi="Times New Roman" w:cs="Times New Roman"/>
          <w:sz w:val="24"/>
          <w:szCs w:val="24"/>
        </w:rPr>
        <w:t xml:space="preserve"> https://doi.org/10.9734/ajaees/2021/v39i530576</w:t>
      </w:r>
    </w:p>
    <w:p w:rsidR="001E69E3" w:rsidRDefault="00011FBD">
      <w:pPr>
        <w:pStyle w:val="normal0"/>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K. Raghavendra Chowdary, Vemaraju , M. Tejaswini and M. Reddi Kumar. A Study on the extent of adoption of ANGRAU Technologies in Groundnut crop by Farmers of Rayalaseema Zone of Andhra Pradesh. </w:t>
      </w:r>
      <w:r>
        <w:rPr>
          <w:rFonts w:ascii="Times New Roman" w:eastAsia="Times New Roman" w:hAnsi="Times New Roman" w:cs="Times New Roman"/>
          <w:i/>
          <w:iCs/>
          <w:color w:val="000000"/>
          <w:sz w:val="24"/>
          <w:szCs w:val="24"/>
        </w:rPr>
        <w:t>Asian Journal of Agricultural Extension, Economics &amp; Sociology</w:t>
      </w:r>
      <w:r>
        <w:rPr>
          <w:rFonts w:ascii="Times New Roman" w:eastAsia="Times New Roman" w:hAnsi="Times New Roman" w:cs="Times New Roman"/>
          <w:color w:val="000000"/>
          <w:sz w:val="24"/>
          <w:szCs w:val="24"/>
        </w:rPr>
        <w:t>, 39(5): 29-33, 2021. https://doi.org/10.9734/ajaees/2021/v39i530575</w:t>
      </w:r>
    </w:p>
    <w:p w:rsidR="001E69E3" w:rsidRDefault="00011FBD">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S. Ramalakshmi Devi, A. Veeraiah, T. Swami Chaitanya and V. Shilpakala. </w:t>
      </w:r>
      <w:r>
        <w:rPr>
          <w:rFonts w:ascii="Times New Roman" w:eastAsia="Times New Roman" w:hAnsi="Times New Roman" w:cs="Times New Roman"/>
          <w:sz w:val="24"/>
          <w:szCs w:val="24"/>
        </w:rPr>
        <w:t xml:space="preserve">Extent of adoption of ANGRAU technologies in Bengal gram crop in YSR district of Andhra Pradesh, India. </w:t>
      </w:r>
      <w:r>
        <w:rPr>
          <w:rFonts w:ascii="Times New Roman" w:eastAsia="Times New Roman" w:hAnsi="Times New Roman" w:cs="Times New Roman"/>
          <w:i/>
          <w:iCs/>
          <w:sz w:val="24"/>
          <w:szCs w:val="24"/>
        </w:rPr>
        <w:t>Eco. Env. &amp; Cons.</w:t>
      </w:r>
      <w:r>
        <w:rPr>
          <w:rFonts w:ascii="Times New Roman" w:eastAsia="Times New Roman" w:hAnsi="Times New Roman" w:cs="Times New Roman"/>
          <w:sz w:val="24"/>
          <w:szCs w:val="24"/>
        </w:rPr>
        <w:t xml:space="preserve"> 29 (April Suppl. Issue): 2023; pp. (S444-S448). https://doi.org/10.53550/EEC.2023.v29i02s.072</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Athulya, S., Velayudhan, P. K., Singh, A., Anbukkani, P., Jha, G. K., &amp; Bishnoi, S. (2026). Adoption and economic impact of improved rice varieties in climate vulnerable districts of eastern India. </w:t>
      </w:r>
      <w:r>
        <w:rPr>
          <w:rFonts w:ascii="Times New Roman" w:eastAsia="Times New Roman" w:hAnsi="Times New Roman" w:cs="Times New Roman"/>
          <w:i/>
          <w:iCs/>
          <w:sz w:val="24"/>
          <w:szCs w:val="24"/>
        </w:rPr>
        <w:t>Discover Agriculture, 4</w:t>
      </w:r>
      <w:r>
        <w:rPr>
          <w:rFonts w:ascii="Times New Roman" w:eastAsia="Times New Roman" w:hAnsi="Times New Roman" w:cs="Times New Roman"/>
          <w:sz w:val="24"/>
          <w:szCs w:val="24"/>
        </w:rPr>
        <w:t>, 170. https://doi.org/10.1007/s44279-026-00653-w</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Balla, J., &amp; Goswami, K. (2022). Understanding the constraints and reasons to adopt natural farming - a study on rice growing farmers of Andhra Pradesh, India. </w:t>
      </w:r>
      <w:r>
        <w:rPr>
          <w:rFonts w:ascii="Times New Roman" w:eastAsia="Times New Roman" w:hAnsi="Times New Roman" w:cs="Times New Roman"/>
          <w:i/>
          <w:iCs/>
          <w:sz w:val="24"/>
          <w:szCs w:val="24"/>
        </w:rPr>
        <w:t>International Journal of Agricultural Sustainability, 20</w:t>
      </w:r>
      <w:r>
        <w:rPr>
          <w:rFonts w:ascii="Times New Roman" w:eastAsia="Times New Roman" w:hAnsi="Times New Roman" w:cs="Times New Roman"/>
          <w:sz w:val="24"/>
          <w:szCs w:val="24"/>
        </w:rPr>
        <w:t>(6), 1209-1224. https://doi.org/10.1080/14735903.2022.2070340</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Banik, N. C., Kumar, A., Mohapatra, B. K., Kumar, V., Sreenivas, C., Singh, S., Panneerselvam, P., &amp; Kumar, V. (2020). Weed management approaches in direct-seeded rice in eastern Indian ecologies - A critical and updated review. </w:t>
      </w:r>
      <w:r>
        <w:rPr>
          <w:rFonts w:ascii="Times New Roman" w:eastAsia="Times New Roman" w:hAnsi="Times New Roman" w:cs="Times New Roman"/>
          <w:i/>
          <w:iCs/>
          <w:sz w:val="24"/>
          <w:szCs w:val="24"/>
        </w:rPr>
        <w:t>Indian Journal of Weed Science, 52</w:t>
      </w:r>
      <w:r>
        <w:rPr>
          <w:rFonts w:ascii="Times New Roman" w:eastAsia="Times New Roman" w:hAnsi="Times New Roman" w:cs="Times New Roman"/>
          <w:sz w:val="24"/>
          <w:szCs w:val="24"/>
        </w:rPr>
        <w:t>(1), 1-9. https://doi.org/10.5958/0974-8164.2020.00001.5</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Borah, R. K., &amp; Mallick, A. (2016). Effect of rodenticides and traps against lesser bandicoot rat (Bandicota bengalensis) in rice field. </w:t>
      </w:r>
      <w:r>
        <w:rPr>
          <w:rFonts w:ascii="Times New Roman" w:eastAsia="Times New Roman" w:hAnsi="Times New Roman" w:cs="Times New Roman"/>
          <w:i/>
          <w:iCs/>
          <w:sz w:val="24"/>
          <w:szCs w:val="24"/>
        </w:rPr>
        <w:t>Indian Journal of Agricultural Research, 50</w:t>
      </w:r>
      <w:r>
        <w:rPr>
          <w:rFonts w:ascii="Times New Roman" w:eastAsia="Times New Roman" w:hAnsi="Times New Roman" w:cs="Times New Roman"/>
          <w:sz w:val="24"/>
          <w:szCs w:val="24"/>
        </w:rPr>
        <w:t>(4), 354-357. https://doi.org/10.18805/ijare.v0iOF.11006</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Chakravorty, S., Timmanna, Muralikrishnan, L., &amp; Rana, R. (2023). Pest management modules for basmati rice and farmer's perception. </w:t>
      </w:r>
      <w:r>
        <w:rPr>
          <w:rFonts w:ascii="Times New Roman" w:eastAsia="Times New Roman" w:hAnsi="Times New Roman" w:cs="Times New Roman"/>
          <w:i/>
          <w:iCs/>
          <w:sz w:val="24"/>
          <w:szCs w:val="24"/>
        </w:rPr>
        <w:t>Indian Journal of Entomology, 85</w:t>
      </w:r>
      <w:r>
        <w:rPr>
          <w:rFonts w:ascii="Times New Roman" w:eastAsia="Times New Roman" w:hAnsi="Times New Roman" w:cs="Times New Roman"/>
          <w:sz w:val="24"/>
          <w:szCs w:val="24"/>
        </w:rPr>
        <w:t>(2), 303-307. https://doi.org/10.55446/IJE.2022.795</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Checco, J., Azizan, F. A., Mitchell, J., &amp; Aziz, A. A. (2023). Adoption of improved rice varieties in the Global South: A review. </w:t>
      </w:r>
      <w:r>
        <w:rPr>
          <w:rFonts w:ascii="Times New Roman" w:eastAsia="Times New Roman" w:hAnsi="Times New Roman" w:cs="Times New Roman"/>
          <w:i/>
          <w:iCs/>
          <w:sz w:val="24"/>
          <w:szCs w:val="24"/>
        </w:rPr>
        <w:t>Rice Science, 30</w:t>
      </w:r>
      <w:r>
        <w:rPr>
          <w:rFonts w:ascii="Times New Roman" w:eastAsia="Times New Roman" w:hAnsi="Times New Roman" w:cs="Times New Roman"/>
          <w:sz w:val="24"/>
          <w:szCs w:val="24"/>
        </w:rPr>
        <w:t>(3), 186-206. https://doi.org/10.1016/j.rsci.2023.03.004</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Dar, M. H., Waza, S. A., Nayak, S., Chakravorty, R., Zaidi, N. W., &amp; Hossain, M. (2020). Gender focused training and knowledge enhances the adoption of climate resilient seeds. </w:t>
      </w:r>
      <w:r>
        <w:rPr>
          <w:rFonts w:ascii="Times New Roman" w:eastAsia="Times New Roman" w:hAnsi="Times New Roman" w:cs="Times New Roman"/>
          <w:i/>
          <w:iCs/>
          <w:sz w:val="24"/>
          <w:szCs w:val="24"/>
        </w:rPr>
        <w:t>Technology in Society, 63</w:t>
      </w:r>
      <w:r>
        <w:rPr>
          <w:rFonts w:ascii="Times New Roman" w:eastAsia="Times New Roman" w:hAnsi="Times New Roman" w:cs="Times New Roman"/>
          <w:sz w:val="24"/>
          <w:szCs w:val="24"/>
        </w:rPr>
        <w:t>, 101388. https://doi.org/10.1016/j.techsoc.2020.101388</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Dhillon, B. S., Kumar, V., Kaur, N., Kumar, S., Sagwal, P., Batra, C., &amp; Lore, J. S. (2025). Impact of seed priming and fungicide seed treatments on disease development, crop growth and yield of dry direct-seeded Basmati rice in north-western India. </w:t>
      </w:r>
      <w:r>
        <w:rPr>
          <w:rFonts w:ascii="Times New Roman" w:eastAsia="Times New Roman" w:hAnsi="Times New Roman" w:cs="Times New Roman"/>
          <w:i/>
          <w:iCs/>
          <w:sz w:val="24"/>
          <w:szCs w:val="24"/>
        </w:rPr>
        <w:t>Journal of Phytopathology, 173</w:t>
      </w:r>
      <w:r>
        <w:rPr>
          <w:rFonts w:ascii="Times New Roman" w:eastAsia="Times New Roman" w:hAnsi="Times New Roman" w:cs="Times New Roman"/>
          <w:sz w:val="24"/>
          <w:szCs w:val="24"/>
        </w:rPr>
        <w:t>(4), e70134. https://doi.org/10.1111/jph.70134</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Gars, J., &amp; Ward, P. S. (2019). Can differences in individual learning explain patterns of technology adoption? Evidence on heterogeneous learning patterns and hybrid rice adoption in Bihar, India. </w:t>
      </w:r>
      <w:r>
        <w:rPr>
          <w:rFonts w:ascii="Times New Roman" w:eastAsia="Times New Roman" w:hAnsi="Times New Roman" w:cs="Times New Roman"/>
          <w:i/>
          <w:iCs/>
          <w:sz w:val="24"/>
          <w:szCs w:val="24"/>
        </w:rPr>
        <w:t>World Development, 115</w:t>
      </w:r>
      <w:r>
        <w:rPr>
          <w:rFonts w:ascii="Times New Roman" w:eastAsia="Times New Roman" w:hAnsi="Times New Roman" w:cs="Times New Roman"/>
          <w:sz w:val="24"/>
          <w:szCs w:val="24"/>
        </w:rPr>
        <w:t>, 178-189. https://doi.org/10.1016/j.worlddev.2018.11.014</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Hossain, M., Nayak, S., Mohapatra, S., Trivedi, P., &amp; Waza, S. A. (2024). Women-led community institutions as a potential vehicle for the adoption of varieties and improved seed practices: An impact case from India. </w:t>
      </w:r>
      <w:r>
        <w:rPr>
          <w:rFonts w:ascii="Times New Roman" w:eastAsia="Times New Roman" w:hAnsi="Times New Roman" w:cs="Times New Roman"/>
          <w:i/>
          <w:iCs/>
          <w:sz w:val="24"/>
          <w:szCs w:val="24"/>
        </w:rPr>
        <w:t>CABI Agriculture and Bioscience, 5</w:t>
      </w:r>
      <w:r>
        <w:rPr>
          <w:rFonts w:ascii="Times New Roman" w:eastAsia="Times New Roman" w:hAnsi="Times New Roman" w:cs="Times New Roman"/>
          <w:sz w:val="24"/>
          <w:szCs w:val="24"/>
        </w:rPr>
        <w:t>, 53. https://doi.org/10.1186/s43170-024-00257-8</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Htwe, N. M., Singleton, G. R., &amp; Johnson, D. E. (2019). Interactions between rodents and weeds in a lowland rice agro-ecosystem: The need for an integrated approach to management. </w:t>
      </w:r>
      <w:r>
        <w:rPr>
          <w:rFonts w:ascii="Times New Roman" w:eastAsia="Times New Roman" w:hAnsi="Times New Roman" w:cs="Times New Roman"/>
          <w:i/>
          <w:iCs/>
          <w:sz w:val="24"/>
          <w:szCs w:val="24"/>
        </w:rPr>
        <w:t>Integrative Zoology, 14</w:t>
      </w:r>
      <w:r>
        <w:rPr>
          <w:rFonts w:ascii="Times New Roman" w:eastAsia="Times New Roman" w:hAnsi="Times New Roman" w:cs="Times New Roman"/>
          <w:sz w:val="24"/>
          <w:szCs w:val="24"/>
        </w:rPr>
        <w:t>(4), 396-409. https://doi.org/10.1111/1749-4877.12395</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Kamboj, R., Singh, D., &amp; Kaur, L. (2022). Adoption status of direct seeded rice technology by the farmers of Punjab. </w:t>
      </w:r>
      <w:r>
        <w:rPr>
          <w:rFonts w:ascii="Times New Roman" w:eastAsia="Times New Roman" w:hAnsi="Times New Roman" w:cs="Times New Roman"/>
          <w:i/>
          <w:iCs/>
          <w:sz w:val="24"/>
          <w:szCs w:val="24"/>
        </w:rPr>
        <w:t>Indian Journal of Extension Education, 58</w:t>
      </w:r>
      <w:r>
        <w:rPr>
          <w:rFonts w:ascii="Times New Roman" w:eastAsia="Times New Roman" w:hAnsi="Times New Roman" w:cs="Times New Roman"/>
          <w:sz w:val="24"/>
          <w:szCs w:val="24"/>
        </w:rPr>
        <w:t>(1), 76-80. https://doi.org/10.48165/IJEE.2022.58117</w:t>
      </w:r>
    </w:p>
    <w:p w:rsidR="001E69E3" w:rsidRDefault="00011FBD">
      <w:pPr>
        <w:pStyle w:val="normal0"/>
        <w:spacing w:after="0" w:line="240" w:lineRule="auto"/>
        <w:ind w:left="720" w:hanging="720"/>
      </w:pPr>
      <w:r>
        <w:rPr>
          <w:rFonts w:ascii="Times New Roman" w:eastAsia="Times New Roman" w:hAnsi="Times New Roman" w:cs="Times New Roman"/>
          <w:sz w:val="24"/>
          <w:szCs w:val="24"/>
        </w:rPr>
        <w:lastRenderedPageBreak/>
        <w:t xml:space="preserve">Kumar, A., Khokhar, M. K., Chander, S., Singh, S. P., Parvez, R., Dabas, J. P. S., Kumar, R., Choudhary, M., &amp; Singh, S. K. (2025). Large scale validation and refinement of integrated pest management strategy for basmati rice (Oryza sativa) in farmers' participatory mode. </w:t>
      </w:r>
      <w:r>
        <w:rPr>
          <w:rFonts w:ascii="Times New Roman" w:eastAsia="Times New Roman" w:hAnsi="Times New Roman" w:cs="Times New Roman"/>
          <w:i/>
          <w:iCs/>
          <w:sz w:val="24"/>
          <w:szCs w:val="24"/>
        </w:rPr>
        <w:t>The Indian Journal of Agricultural Sciences, 95</w:t>
      </w:r>
      <w:r>
        <w:rPr>
          <w:rFonts w:ascii="Times New Roman" w:eastAsia="Times New Roman" w:hAnsi="Times New Roman" w:cs="Times New Roman"/>
          <w:sz w:val="24"/>
          <w:szCs w:val="24"/>
        </w:rPr>
        <w:t>(12), 1443-1448. https://doi.org/10.56093/ijas.v95i12.163712</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Mishra, A., Malik, J. S., &amp; Bhavesh. (2024). Constraints faced by paddy farmers in adoption of climate smart agricultural practices: A comparative study. </w:t>
      </w:r>
      <w:r>
        <w:rPr>
          <w:rFonts w:ascii="Times New Roman" w:eastAsia="Times New Roman" w:hAnsi="Times New Roman" w:cs="Times New Roman"/>
          <w:i/>
          <w:iCs/>
          <w:sz w:val="24"/>
          <w:szCs w:val="24"/>
        </w:rPr>
        <w:t>Indian Journal of Extension Education, 60</w:t>
      </w:r>
      <w:r>
        <w:rPr>
          <w:rFonts w:ascii="Times New Roman" w:eastAsia="Times New Roman" w:hAnsi="Times New Roman" w:cs="Times New Roman"/>
          <w:sz w:val="24"/>
          <w:szCs w:val="24"/>
        </w:rPr>
        <w:t>(2), 95-99. https://doi.org/10.48165/IJEE.2024.602RN1</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Namala, S. R. (2021). Rodent management modules against Bandicota bengalensis Gray &amp; Hardwicke in rice. </w:t>
      </w:r>
      <w:r>
        <w:rPr>
          <w:rFonts w:ascii="Times New Roman" w:eastAsia="Times New Roman" w:hAnsi="Times New Roman" w:cs="Times New Roman"/>
          <w:i/>
          <w:iCs/>
          <w:sz w:val="24"/>
          <w:szCs w:val="24"/>
        </w:rPr>
        <w:t>Annals of Plant Protection Sciences, 29</w:t>
      </w:r>
      <w:r>
        <w:rPr>
          <w:rFonts w:ascii="Times New Roman" w:eastAsia="Times New Roman" w:hAnsi="Times New Roman" w:cs="Times New Roman"/>
          <w:sz w:val="24"/>
          <w:szCs w:val="24"/>
        </w:rPr>
        <w:t>(2), 135-139. https://doi.org/10.5958/0974-0163.2021.00028.8</w:t>
      </w:r>
    </w:p>
    <w:p w:rsidR="001E69E3" w:rsidRDefault="00011FBD">
      <w:pPr>
        <w:pStyle w:val="normal0"/>
        <w:spacing w:after="0" w:line="240" w:lineRule="auto"/>
        <w:ind w:left="720" w:hanging="720"/>
      </w:pPr>
      <w:r>
        <w:rPr>
          <w:rFonts w:ascii="Times New Roman" w:eastAsia="Times New Roman" w:hAnsi="Times New Roman" w:cs="Times New Roman"/>
          <w:sz w:val="24"/>
          <w:szCs w:val="24"/>
        </w:rPr>
        <w:t xml:space="preserve">Verma, B., Bhan, M., Jha, A. K., Agrawal, K. K., Kewat, M. L., &amp; Porwal, M. (2023). Weed management in direct-seeded rice (Oryza sativa) in central India. </w:t>
      </w:r>
      <w:r>
        <w:rPr>
          <w:rFonts w:ascii="Times New Roman" w:eastAsia="Times New Roman" w:hAnsi="Times New Roman" w:cs="Times New Roman"/>
          <w:i/>
          <w:iCs/>
          <w:sz w:val="24"/>
          <w:szCs w:val="24"/>
        </w:rPr>
        <w:t>Indian Journal of Agronomy, 68</w:t>
      </w:r>
      <w:r>
        <w:rPr>
          <w:rFonts w:ascii="Times New Roman" w:eastAsia="Times New Roman" w:hAnsi="Times New Roman" w:cs="Times New Roman"/>
          <w:sz w:val="24"/>
          <w:szCs w:val="24"/>
        </w:rPr>
        <w:t>(2), 211-214. https://doi.org/10.59797/ija.v68i2.362</w:t>
      </w:r>
    </w:p>
    <w:sectPr w:rsidR="001E69E3" w:rsidSect="001E69E3">
      <w:headerReference w:type="even" r:id="rId8"/>
      <w:headerReference w:type="default" r:id="rId9"/>
      <w:footerReference w:type="even" r:id="rId10"/>
      <w:footerReference w:type="default" r:id="rId11"/>
      <w:headerReference w:type="first" r:id="rId12"/>
      <w:footerReference w:type="first" r:id="rId13"/>
      <w:pgSz w:w="11906" w:h="16838"/>
      <w:pgMar w:top="360" w:right="1440" w:bottom="993" w:left="1440" w:header="720" w:footer="720" w:gutter="0"/>
      <w:pgNumType w:start="1"/>
      <w:cols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HP" w:date="2026-09-16T23:29:00Z" w:initials="H">
    <w:p w:rsidR="00F022F0" w:rsidRDefault="00F022F0">
      <w:pPr>
        <w:pStyle w:val="CommentText"/>
      </w:pPr>
      <w:r>
        <w:rPr>
          <w:rStyle w:val="CommentReference"/>
        </w:rPr>
        <w:annotationRef/>
      </w:r>
      <w:r>
        <w:t>Sample size is very small</w:t>
      </w:r>
    </w:p>
  </w:comment>
  <w:comment w:id="1" w:author="HP" w:date="2026-09-16T23:31:00Z" w:initials="H">
    <w:p w:rsidR="00F022F0" w:rsidRDefault="00F022F0">
      <w:pPr>
        <w:pStyle w:val="CommentText"/>
      </w:pPr>
      <w:r>
        <w:rPr>
          <w:rStyle w:val="CommentReference"/>
        </w:rPr>
        <w:annotationRef/>
      </w:r>
      <w:r>
        <w:t>Provide reference for this</w:t>
      </w:r>
    </w:p>
  </w:comment>
  <w:comment w:id="2" w:author="HP" w:date="2026-09-16T23:35:00Z" w:initials="H">
    <w:p w:rsidR="00F022F0" w:rsidRDefault="00F022F0">
      <w:pPr>
        <w:pStyle w:val="CommentText"/>
      </w:pPr>
      <w:r>
        <w:rPr>
          <w:rStyle w:val="CommentReference"/>
        </w:rPr>
        <w:annotationRef/>
      </w:r>
      <w:r>
        <w:t>Very small sample size</w:t>
      </w:r>
    </w:p>
  </w:comment>
  <w:comment w:id="3" w:author="HP" w:date="2026-09-16T23:38:00Z" w:initials="H">
    <w:p w:rsidR="000C32FD" w:rsidRDefault="000C32FD">
      <w:pPr>
        <w:pStyle w:val="CommentText"/>
      </w:pPr>
      <w:r>
        <w:rPr>
          <w:rStyle w:val="CommentReference"/>
        </w:rPr>
        <w:annotationRef/>
      </w:r>
      <w:r>
        <w:t>What was the basis of this categorisation? No mean &amp; SD data ia available</w:t>
      </w:r>
    </w:p>
  </w:comment>
  <w:comment w:id="4" w:author="HP" w:date="2026-09-16T23:39:00Z" w:initials="H">
    <w:p w:rsidR="000C32FD" w:rsidRDefault="000C32FD">
      <w:pPr>
        <w:pStyle w:val="CommentText"/>
      </w:pPr>
      <w:r>
        <w:rPr>
          <w:rStyle w:val="CommentReference"/>
        </w:rPr>
        <w:annotationRef/>
      </w:r>
      <w:r>
        <w:t xml:space="preserve">Class </w:t>
      </w:r>
    </w:p>
  </w:comment>
  <w:comment w:id="5" w:author="HP" w:date="2026-09-16T23:41:00Z" w:initials="H">
    <w:p w:rsidR="007862B4" w:rsidRDefault="007862B4">
      <w:pPr>
        <w:pStyle w:val="CommentText"/>
      </w:pPr>
      <w:r>
        <w:rPr>
          <w:rStyle w:val="CommentReference"/>
        </w:rPr>
        <w:annotationRef/>
      </w:r>
      <w:r>
        <w:t>The word low medium and high should be removed. These can mislead interpretations.</w:t>
      </w:r>
    </w:p>
  </w:comment>
  <w:comment w:id="6" w:author="HP" w:date="2026-09-16T23:42:00Z" w:initials="H">
    <w:p w:rsidR="00703047" w:rsidRDefault="00703047">
      <w:pPr>
        <w:pStyle w:val="CommentText"/>
      </w:pPr>
      <w:r>
        <w:rPr>
          <w:rStyle w:val="CommentReference"/>
        </w:rPr>
        <w:annotationRef/>
      </w:r>
      <w:r>
        <w:t>Pl furnish the score</w:t>
      </w:r>
    </w:p>
  </w:comment>
  <w:comment w:id="7" w:author="HP" w:date="2026-09-16T23:46:00Z" w:initials="H">
    <w:p w:rsidR="009A401B" w:rsidRDefault="009A401B">
      <w:pPr>
        <w:pStyle w:val="CommentText"/>
      </w:pPr>
      <w:r>
        <w:rPr>
          <w:rStyle w:val="CommentReference"/>
        </w:rPr>
        <w:annotationRef/>
      </w:r>
      <w:r>
        <w:t>Details to be include –what was the seed rate &gt;</w:t>
      </w:r>
    </w:p>
  </w:comment>
  <w:comment w:id="8" w:author="HP" w:date="2026-09-16T23:47:00Z" w:initials="H">
    <w:p w:rsidR="009A401B" w:rsidRDefault="009A401B" w:rsidP="009A401B">
      <w:pPr>
        <w:pStyle w:val="CommentText"/>
      </w:pPr>
      <w:r>
        <w:rPr>
          <w:rStyle w:val="CommentReference"/>
        </w:rPr>
        <w:annotationRef/>
      </w:r>
      <w:r>
        <w:t>Details to be include –what was the seed treatment method &gt;</w:t>
      </w:r>
    </w:p>
    <w:p w:rsidR="009A401B" w:rsidRDefault="009A401B">
      <w:pPr>
        <w:pStyle w:val="CommentText"/>
      </w:pPr>
    </w:p>
  </w:comment>
  <w:comment w:id="9" w:author="HP" w:date="2026-09-16T23:49:00Z" w:initials="H">
    <w:p w:rsidR="00CA0D62" w:rsidRDefault="00CA0D62" w:rsidP="00CA0D62">
      <w:pPr>
        <w:pStyle w:val="CommentText"/>
      </w:pPr>
      <w:r>
        <w:rPr>
          <w:rStyle w:val="CommentReference"/>
        </w:rPr>
        <w:annotationRef/>
      </w:r>
      <w:r>
        <w:t>Details to be included</w:t>
      </w:r>
    </w:p>
    <w:p w:rsidR="00CA0D62" w:rsidRDefault="00CA0D62">
      <w:pPr>
        <w:pStyle w:val="CommentText"/>
      </w:pPr>
    </w:p>
  </w:comment>
  <w:comment w:id="10" w:author="HP" w:date="2026-09-16T23:49:00Z" w:initials="H">
    <w:p w:rsidR="00903E11" w:rsidRDefault="00903E11" w:rsidP="00903E11">
      <w:pPr>
        <w:pStyle w:val="CommentText"/>
      </w:pPr>
      <w:r>
        <w:rPr>
          <w:rStyle w:val="CommentReference"/>
        </w:rPr>
        <w:annotationRef/>
      </w:r>
      <w:r>
        <w:t>Details to be included</w:t>
      </w:r>
    </w:p>
    <w:p w:rsidR="00903E11" w:rsidRDefault="00903E11">
      <w:pPr>
        <w:pStyle w:val="CommentText"/>
      </w:pPr>
    </w:p>
  </w:comment>
  <w:comment w:id="11" w:author="HP" w:date="2026-09-16T23:50:00Z" w:initials="H">
    <w:p w:rsidR="00C67B74" w:rsidRDefault="00C67B74">
      <w:pPr>
        <w:pStyle w:val="CommentText"/>
      </w:pPr>
      <w:r>
        <w:rPr>
          <w:rStyle w:val="CommentReference"/>
        </w:rPr>
        <w:annotationRef/>
      </w:r>
      <w:r>
        <w:t>Not clear – give details</w:t>
      </w:r>
    </w:p>
  </w:comment>
  <w:comment w:id="12" w:author="HP" w:date="2026-09-16T23:51:00Z" w:initials="H">
    <w:p w:rsidR="00C67B74" w:rsidRDefault="00C67B74">
      <w:pPr>
        <w:pStyle w:val="CommentText"/>
      </w:pPr>
      <w:r>
        <w:rPr>
          <w:rStyle w:val="CommentReference"/>
        </w:rPr>
        <w:annotationRef/>
      </w:r>
      <w:r>
        <w:t>This is not technology</w:t>
      </w:r>
    </w:p>
  </w:comment>
  <w:comment w:id="13" w:author="HP" w:date="2026-09-16T23:51:00Z" w:initials="H">
    <w:p w:rsidR="00C67B74" w:rsidRDefault="00C67B74">
      <w:pPr>
        <w:pStyle w:val="CommentText"/>
      </w:pPr>
      <w:r>
        <w:rPr>
          <w:rStyle w:val="CommentReference"/>
        </w:rPr>
        <w:annotationRef/>
      </w:r>
      <w:r>
        <w:t>Correct the wordings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9E3" w:rsidRDefault="001E69E3" w:rsidP="001E69E3">
      <w:pPr>
        <w:spacing w:after="0" w:line="240" w:lineRule="auto"/>
      </w:pPr>
      <w:r>
        <w:separator/>
      </w:r>
    </w:p>
  </w:endnote>
  <w:endnote w:type="continuationSeparator" w:id="1">
    <w:p w:rsidR="001E69E3" w:rsidRDefault="001E69E3" w:rsidP="001E69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embedRegular r:id="rId1" w:fontKey="{3731C848-0449-4291-8838-55E8381EFDA4}"/>
    <w:embedBold r:id="rId2" w:fontKey="{CF2F7BEB-96B6-43C5-B2BC-D4F59ED0DFF1}"/>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25FEE97A-CB42-4931-BFBF-A86C4B67B561}"/>
    <w:embedBold r:id="rId4" w:fontKey="{7604FBC5-B4CA-410C-84D3-D318D082E53B}"/>
  </w:font>
  <w:font w:name="Georgia">
    <w:panose1 w:val="02040502050405020303"/>
    <w:charset w:val="00"/>
    <w:family w:val="roman"/>
    <w:pitch w:val="variable"/>
    <w:sig w:usb0="00000287" w:usb1="00000000" w:usb2="00000000" w:usb3="00000000" w:csb0="0000009F" w:csb1="00000000"/>
    <w:embedItalic r:id="rId5" w:fontKey="{D7B8486B-B80A-4834-BF32-554B9FB9DC99}"/>
  </w:font>
  <w:font w:name="Tahoma">
    <w:panose1 w:val="020B0604030504040204"/>
    <w:charset w:val="00"/>
    <w:family w:val="swiss"/>
    <w:pitch w:val="variable"/>
    <w:sig w:usb0="E1002EFF" w:usb1="C000605B" w:usb2="00000029" w:usb3="00000000" w:csb0="000101FF" w:csb1="00000000"/>
    <w:embedRegular r:id="rId6" w:fontKey="{7DEE0CE3-3728-4471-850C-AB2A053BD86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E3" w:rsidRDefault="001E69E3">
    <w:pPr>
      <w:pStyle w:val="normal0"/>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E3" w:rsidRDefault="001E69E3">
    <w:pPr>
      <w:pStyle w:val="normal0"/>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E3" w:rsidRDefault="001E69E3">
    <w:pPr>
      <w:pStyle w:val="normal0"/>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9E3" w:rsidRDefault="001E69E3" w:rsidP="001E69E3">
      <w:pPr>
        <w:spacing w:after="0" w:line="240" w:lineRule="auto"/>
      </w:pPr>
      <w:r>
        <w:separator/>
      </w:r>
    </w:p>
  </w:footnote>
  <w:footnote w:type="continuationSeparator" w:id="1">
    <w:p w:rsidR="001E69E3" w:rsidRDefault="001E69E3" w:rsidP="001E69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E3" w:rsidRDefault="00FD34F6">
    <w:pPr>
      <w:pStyle w:val="normal0"/>
      <w:pBdr>
        <w:top w:val="nil"/>
        <w:left w:val="nil"/>
        <w:bottom w:val="nil"/>
        <w:right w:val="nil"/>
        <w:between w:val="nil"/>
      </w:pBdr>
      <w:tabs>
        <w:tab w:val="center" w:pos="4513"/>
        <w:tab w:val="right" w:pos="9026"/>
      </w:tabs>
      <w:spacing w:after="0" w:line="240" w:lineRule="auto"/>
      <w:rPr>
        <w:color w:val="000000"/>
      </w:rPr>
    </w:pPr>
    <w:r w:rsidRPr="00FD34F6">
      <w:rPr>
        <w:color w:val="00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35.8pt;height:100.45pt;rotation:315;z-index:-251657728;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E3" w:rsidRDefault="00FD34F6">
    <w:pPr>
      <w:pStyle w:val="normal0"/>
      <w:pBdr>
        <w:top w:val="nil"/>
        <w:left w:val="nil"/>
        <w:bottom w:val="nil"/>
        <w:right w:val="nil"/>
        <w:between w:val="nil"/>
      </w:pBdr>
      <w:tabs>
        <w:tab w:val="center" w:pos="4513"/>
        <w:tab w:val="right" w:pos="9026"/>
      </w:tabs>
      <w:spacing w:after="0" w:line="240" w:lineRule="auto"/>
      <w:rPr>
        <w:color w:val="000000"/>
      </w:rPr>
    </w:pPr>
    <w:r w:rsidRPr="00FD34F6">
      <w:rPr>
        <w:color w:val="00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7" type="#_x0000_t136" style="position:absolute;margin-left:0;margin-top:0;width:535.8pt;height:100.45pt;rotation:315;z-index:-251659776;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E3" w:rsidRDefault="00FD34F6">
    <w:pPr>
      <w:pStyle w:val="normal0"/>
      <w:pBdr>
        <w:top w:val="nil"/>
        <w:left w:val="nil"/>
        <w:bottom w:val="nil"/>
        <w:right w:val="nil"/>
        <w:between w:val="nil"/>
      </w:pBdr>
      <w:tabs>
        <w:tab w:val="center" w:pos="4513"/>
        <w:tab w:val="right" w:pos="9026"/>
      </w:tabs>
      <w:spacing w:after="0" w:line="240" w:lineRule="auto"/>
      <w:rPr>
        <w:color w:val="000000"/>
      </w:rPr>
    </w:pPr>
    <w:r w:rsidRPr="00FD34F6">
      <w:rPr>
        <w:color w:val="00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35.8pt;height:100.45pt;rotation:315;z-index:-251658752;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84AE3"/>
    <w:multiLevelType w:val="multilevel"/>
    <w:tmpl w:val="6EE82878"/>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TrueTypeFonts/>
  <w:defaultTabStop w:val="720"/>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1E69E3"/>
    <w:rsid w:val="00011FBD"/>
    <w:rsid w:val="000C32FD"/>
    <w:rsid w:val="001E69E3"/>
    <w:rsid w:val="00703047"/>
    <w:rsid w:val="007862B4"/>
    <w:rsid w:val="00903E11"/>
    <w:rsid w:val="009A401B"/>
    <w:rsid w:val="00C67B74"/>
    <w:rsid w:val="00C75EB4"/>
    <w:rsid w:val="00CA0D62"/>
    <w:rsid w:val="00F022F0"/>
    <w:rsid w:val="00FD34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4F6"/>
  </w:style>
  <w:style w:type="paragraph" w:styleId="Heading1">
    <w:name w:val="heading 1"/>
    <w:basedOn w:val="normal0"/>
    <w:next w:val="normal0"/>
    <w:rsid w:val="001E69E3"/>
    <w:pPr>
      <w:keepNext/>
      <w:keepLines/>
      <w:spacing w:before="480" w:after="120"/>
      <w:outlineLvl w:val="0"/>
    </w:pPr>
    <w:rPr>
      <w:b/>
      <w:bCs/>
      <w:sz w:val="48"/>
      <w:szCs w:val="48"/>
    </w:rPr>
  </w:style>
  <w:style w:type="paragraph" w:styleId="Heading2">
    <w:name w:val="heading 2"/>
    <w:basedOn w:val="normal0"/>
    <w:next w:val="normal0"/>
    <w:rsid w:val="001E69E3"/>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0"/>
    <w:next w:val="normal0"/>
    <w:rsid w:val="001E69E3"/>
    <w:pPr>
      <w:keepNext/>
      <w:keepLines/>
      <w:spacing w:before="200" w:after="0"/>
      <w:outlineLvl w:val="2"/>
    </w:pPr>
    <w:rPr>
      <w:rFonts w:ascii="Cambria" w:eastAsia="Cambria" w:hAnsi="Cambria" w:cs="Cambria"/>
      <w:b/>
      <w:bCs/>
      <w:color w:val="4F81BD"/>
    </w:rPr>
  </w:style>
  <w:style w:type="paragraph" w:styleId="Heading4">
    <w:name w:val="heading 4"/>
    <w:basedOn w:val="normal0"/>
    <w:next w:val="normal0"/>
    <w:rsid w:val="001E69E3"/>
    <w:pPr>
      <w:keepNext/>
      <w:keepLines/>
      <w:spacing w:before="240" w:after="40"/>
      <w:outlineLvl w:val="3"/>
    </w:pPr>
    <w:rPr>
      <w:b/>
      <w:bCs/>
      <w:sz w:val="24"/>
      <w:szCs w:val="24"/>
    </w:rPr>
  </w:style>
  <w:style w:type="paragraph" w:styleId="Heading5">
    <w:name w:val="heading 5"/>
    <w:basedOn w:val="normal0"/>
    <w:next w:val="normal0"/>
    <w:rsid w:val="001E69E3"/>
    <w:pPr>
      <w:keepNext/>
      <w:keepLines/>
      <w:spacing w:before="220" w:after="40"/>
      <w:outlineLvl w:val="4"/>
    </w:pPr>
    <w:rPr>
      <w:b/>
      <w:bCs/>
    </w:rPr>
  </w:style>
  <w:style w:type="paragraph" w:styleId="Heading6">
    <w:name w:val="heading 6"/>
    <w:basedOn w:val="normal0"/>
    <w:next w:val="normal0"/>
    <w:rsid w:val="001E69E3"/>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1E69E3"/>
    <w:tblPr>
      <w:tblCellMar>
        <w:top w:w="100" w:type="dxa"/>
        <w:left w:w="100" w:type="dxa"/>
        <w:bottom w:w="100" w:type="dxa"/>
        <w:right w:w="100" w:type="dxa"/>
      </w:tblCellMar>
    </w:tblPr>
  </w:style>
  <w:style w:type="paragraph" w:customStyle="1" w:styleId="normal0">
    <w:name w:val="normal"/>
    <w:rsid w:val="001E69E3"/>
  </w:style>
  <w:style w:type="paragraph" w:styleId="Title">
    <w:name w:val="Title"/>
    <w:basedOn w:val="normal0"/>
    <w:next w:val="normal0"/>
    <w:rsid w:val="001E69E3"/>
    <w:pPr>
      <w:keepNext/>
      <w:keepLines/>
      <w:spacing w:before="480" w:after="120"/>
    </w:pPr>
    <w:rPr>
      <w:b/>
      <w:bCs/>
      <w:sz w:val="72"/>
      <w:szCs w:val="72"/>
    </w:rPr>
  </w:style>
  <w:style w:type="paragraph" w:styleId="Subtitle">
    <w:name w:val="Subtitle"/>
    <w:basedOn w:val="normal0"/>
    <w:next w:val="normal0"/>
    <w:rsid w:val="001E69E3"/>
    <w:pPr>
      <w:keepNext/>
      <w:keepLines/>
      <w:spacing w:before="360" w:after="80"/>
    </w:pPr>
    <w:rPr>
      <w:rFonts w:ascii="Georgia" w:eastAsia="Georgia" w:hAnsi="Georgia" w:cs="Georgia"/>
      <w:i/>
      <w:iCs/>
      <w:color w:val="666666"/>
      <w:sz w:val="48"/>
      <w:szCs w:val="48"/>
    </w:rPr>
  </w:style>
  <w:style w:type="table" w:customStyle="1" w:styleId="a">
    <w:basedOn w:val="TableNormal0"/>
    <w:rsid w:val="001E69E3"/>
    <w:tblPr>
      <w:tblStyleRowBandSize w:val="1"/>
      <w:tblStyleColBandSize w:val="1"/>
      <w:tblCellMar>
        <w:top w:w="0" w:type="dxa"/>
        <w:left w:w="115" w:type="dxa"/>
        <w:bottom w:w="0" w:type="dxa"/>
        <w:right w:w="115" w:type="dxa"/>
      </w:tblCellMar>
    </w:tblPr>
  </w:style>
  <w:style w:type="table" w:customStyle="1" w:styleId="a0">
    <w:basedOn w:val="TableNormal0"/>
    <w:rsid w:val="001E69E3"/>
    <w:tblPr>
      <w:tblStyleRowBandSize w:val="1"/>
      <w:tblStyleColBandSize w:val="1"/>
      <w:tblCellMar>
        <w:top w:w="0" w:type="dxa"/>
        <w:left w:w="115" w:type="dxa"/>
        <w:bottom w:w="0" w:type="dxa"/>
        <w:right w:w="115" w:type="dxa"/>
      </w:tblCellMar>
    </w:tblPr>
  </w:style>
  <w:style w:type="table" w:customStyle="1" w:styleId="a1">
    <w:basedOn w:val="TableNormal0"/>
    <w:rsid w:val="001E69E3"/>
    <w:tblPr>
      <w:tblStyleRowBandSize w:val="1"/>
      <w:tblStyleColBandSize w:val="1"/>
      <w:tblCellMar>
        <w:top w:w="0" w:type="dxa"/>
        <w:left w:w="115" w:type="dxa"/>
        <w:bottom w:w="0" w:type="dxa"/>
        <w:right w:w="115" w:type="dxa"/>
      </w:tblCellMar>
    </w:tblPr>
  </w:style>
  <w:style w:type="table" w:customStyle="1" w:styleId="a2">
    <w:basedOn w:val="TableNormal0"/>
    <w:rsid w:val="001E69E3"/>
    <w:tblPr>
      <w:tblStyleRowBandSize w:val="1"/>
      <w:tblStyleColBandSize w:val="1"/>
      <w:tblCellMar>
        <w:top w:w="0" w:type="dxa"/>
        <w:left w:w="115" w:type="dxa"/>
        <w:bottom w:w="0" w:type="dxa"/>
        <w:right w:w="115" w:type="dxa"/>
      </w:tblCellMar>
    </w:tblPr>
  </w:style>
  <w:style w:type="table" w:customStyle="1" w:styleId="a3">
    <w:basedOn w:val="TableNormal0"/>
    <w:rsid w:val="001E69E3"/>
    <w:tblPr>
      <w:tblStyleRowBandSize w:val="1"/>
      <w:tblStyleColBandSize w:val="1"/>
      <w:tblCellMar>
        <w:top w:w="0" w:type="dxa"/>
        <w:left w:w="115" w:type="dxa"/>
        <w:bottom w:w="0" w:type="dxa"/>
        <w:right w:w="115" w:type="dxa"/>
      </w:tblCellMar>
    </w:tblPr>
  </w:style>
  <w:style w:type="table" w:customStyle="1" w:styleId="a4">
    <w:basedOn w:val="TableNormal0"/>
    <w:rsid w:val="001E69E3"/>
    <w:tblPr>
      <w:tblStyleRowBandSize w:val="1"/>
      <w:tblStyleColBandSize w:val="1"/>
      <w:tblCellMar>
        <w:top w:w="0" w:type="dxa"/>
        <w:left w:w="115" w:type="dxa"/>
        <w:bottom w:w="0" w:type="dxa"/>
        <w:right w:w="115" w:type="dxa"/>
      </w:tblCellMar>
    </w:tblPr>
  </w:style>
  <w:style w:type="table" w:customStyle="1" w:styleId="a5">
    <w:basedOn w:val="TableNormal0"/>
    <w:rsid w:val="001E69E3"/>
    <w:tblPr>
      <w:tblStyleRowBandSize w:val="1"/>
      <w:tblStyleColBandSize w:val="1"/>
      <w:tblCellMar>
        <w:top w:w="0" w:type="dxa"/>
        <w:left w:w="115" w:type="dxa"/>
        <w:bottom w:w="0" w:type="dxa"/>
        <w:right w:w="115" w:type="dxa"/>
      </w:tblCellMar>
    </w:tblPr>
  </w:style>
  <w:style w:type="table" w:customStyle="1" w:styleId="a6">
    <w:basedOn w:val="TableNormal0"/>
    <w:rsid w:val="001E69E3"/>
    <w:tblPr>
      <w:tblStyleRowBandSize w:val="1"/>
      <w:tblStyleColBandSize w:val="1"/>
      <w:tblCellMar>
        <w:top w:w="0" w:type="dxa"/>
        <w:left w:w="115" w:type="dxa"/>
        <w:bottom w:w="0" w:type="dxa"/>
        <w:right w:w="115" w:type="dxa"/>
      </w:tblCellMar>
    </w:tblPr>
  </w:style>
  <w:style w:type="table" w:customStyle="1" w:styleId="a7">
    <w:basedOn w:val="TableNormal0"/>
    <w:rsid w:val="001E69E3"/>
    <w:tblPr>
      <w:tblStyleRowBandSize w:val="1"/>
      <w:tblStyleColBandSize w:val="1"/>
      <w:tblCellMar>
        <w:top w:w="0" w:type="dxa"/>
        <w:left w:w="115" w:type="dxa"/>
        <w:bottom w:w="0" w:type="dxa"/>
        <w:right w:w="115" w:type="dxa"/>
      </w:tblCellMar>
    </w:tblPr>
  </w:style>
  <w:style w:type="table" w:customStyle="1" w:styleId="a8">
    <w:basedOn w:val="TableNormal0"/>
    <w:rsid w:val="001E69E3"/>
    <w:tblPr>
      <w:tblStyleRowBandSize w:val="1"/>
      <w:tblStyleColBandSize w:val="1"/>
      <w:tblCellMar>
        <w:top w:w="0" w:type="dxa"/>
        <w:left w:w="115" w:type="dxa"/>
        <w:bottom w:w="0" w:type="dxa"/>
        <w:right w:w="115" w:type="dxa"/>
      </w:tblCellMar>
    </w:tblPr>
  </w:style>
  <w:style w:type="table" w:customStyle="1" w:styleId="a9">
    <w:basedOn w:val="TableNormal0"/>
    <w:rsid w:val="001E69E3"/>
    <w:tblPr>
      <w:tblStyleRowBandSize w:val="1"/>
      <w:tblStyleColBandSize w:val="1"/>
      <w:tblCellMar>
        <w:top w:w="0" w:type="dxa"/>
        <w:left w:w="115" w:type="dxa"/>
        <w:bottom w:w="0" w:type="dxa"/>
        <w:right w:w="115" w:type="dxa"/>
      </w:tblCellMar>
    </w:tblPr>
  </w:style>
  <w:style w:type="table" w:customStyle="1" w:styleId="aa">
    <w:basedOn w:val="TableNormal0"/>
    <w:rsid w:val="001E69E3"/>
    <w:tblPr>
      <w:tblStyleRowBandSize w:val="1"/>
      <w:tblStyleColBandSize w:val="1"/>
      <w:tblCellMar>
        <w:top w:w="0" w:type="dxa"/>
        <w:left w:w="115" w:type="dxa"/>
        <w:bottom w:w="0" w:type="dxa"/>
        <w:right w:w="115" w:type="dxa"/>
      </w:tblCellMar>
    </w:tblPr>
  </w:style>
  <w:style w:type="table" w:customStyle="1" w:styleId="ab">
    <w:basedOn w:val="TableNormal0"/>
    <w:rsid w:val="001E69E3"/>
    <w:tblPr>
      <w:tblStyleRowBandSize w:val="1"/>
      <w:tblStyleColBandSize w:val="1"/>
      <w:tblCellMar>
        <w:top w:w="0" w:type="dxa"/>
        <w:left w:w="115" w:type="dxa"/>
        <w:bottom w:w="0" w:type="dxa"/>
        <w:right w:w="115" w:type="dxa"/>
      </w:tblCellMar>
    </w:tblPr>
  </w:style>
  <w:style w:type="table" w:customStyle="1" w:styleId="ac">
    <w:basedOn w:val="TableNormal0"/>
    <w:rsid w:val="001E69E3"/>
    <w:tblPr>
      <w:tblStyleRowBandSize w:val="1"/>
      <w:tblStyleColBandSize w:val="1"/>
      <w:tblCellMar>
        <w:top w:w="0" w:type="dxa"/>
        <w:left w:w="115" w:type="dxa"/>
        <w:bottom w:w="0" w:type="dxa"/>
        <w:right w:w="115" w:type="dxa"/>
      </w:tblCellMar>
    </w:tblPr>
  </w:style>
  <w:style w:type="table" w:customStyle="1" w:styleId="ad">
    <w:basedOn w:val="TableNormal0"/>
    <w:rsid w:val="001E69E3"/>
    <w:tblPr>
      <w:tblStyleRowBandSize w:val="1"/>
      <w:tblStyleColBandSize w:val="1"/>
      <w:tblCellMar>
        <w:top w:w="0" w:type="dxa"/>
        <w:left w:w="115" w:type="dxa"/>
        <w:bottom w:w="0" w:type="dxa"/>
        <w:right w:w="115" w:type="dxa"/>
      </w:tblCellMar>
    </w:tblPr>
  </w:style>
  <w:style w:type="table" w:customStyle="1" w:styleId="ae">
    <w:basedOn w:val="TableNormal0"/>
    <w:rsid w:val="001E69E3"/>
    <w:tblPr>
      <w:tblStyleRowBandSize w:val="1"/>
      <w:tblStyleColBandSize w:val="1"/>
      <w:tblCellMar>
        <w:top w:w="0" w:type="dxa"/>
        <w:left w:w="115" w:type="dxa"/>
        <w:bottom w:w="0" w:type="dxa"/>
        <w:right w:w="115" w:type="dxa"/>
      </w:tblCellMar>
    </w:tblPr>
  </w:style>
  <w:style w:type="table" w:customStyle="1" w:styleId="af">
    <w:basedOn w:val="TableNormal0"/>
    <w:rsid w:val="001E69E3"/>
    <w:tblPr>
      <w:tblStyleRowBandSize w:val="1"/>
      <w:tblStyleColBandSize w:val="1"/>
      <w:tblCellMar>
        <w:top w:w="0" w:type="dxa"/>
        <w:left w:w="115" w:type="dxa"/>
        <w:bottom w:w="0" w:type="dxa"/>
        <w:right w:w="115" w:type="dxa"/>
      </w:tblCellMar>
    </w:tblPr>
  </w:style>
  <w:style w:type="table" w:customStyle="1" w:styleId="af0">
    <w:basedOn w:val="TableNormal0"/>
    <w:rsid w:val="001E69E3"/>
    <w:tblPr>
      <w:tblStyleRowBandSize w:val="1"/>
      <w:tblStyleColBandSize w:val="1"/>
      <w:tblCellMar>
        <w:top w:w="0" w:type="dxa"/>
        <w:left w:w="115" w:type="dxa"/>
        <w:bottom w:w="0" w:type="dxa"/>
        <w:right w:w="115" w:type="dxa"/>
      </w:tblCellMar>
    </w:tblPr>
  </w:style>
  <w:style w:type="table" w:customStyle="1" w:styleId="af1">
    <w:basedOn w:val="TableNormal0"/>
    <w:rsid w:val="001E69E3"/>
    <w:tblPr>
      <w:tblStyleRowBandSize w:val="1"/>
      <w:tblStyleColBandSize w:val="1"/>
      <w:tblCellMar>
        <w:top w:w="0" w:type="dxa"/>
        <w:left w:w="115" w:type="dxa"/>
        <w:bottom w:w="0" w:type="dxa"/>
        <w:right w:w="115" w:type="dxa"/>
      </w:tblCellMar>
    </w:tblPr>
  </w:style>
  <w:style w:type="table" w:customStyle="1" w:styleId="af2">
    <w:basedOn w:val="TableNormal0"/>
    <w:rsid w:val="001E69E3"/>
    <w:tblPr>
      <w:tblStyleRowBandSize w:val="1"/>
      <w:tblStyleColBandSize w:val="1"/>
      <w:tblCellMar>
        <w:top w:w="0" w:type="dxa"/>
        <w:left w:w="115" w:type="dxa"/>
        <w:bottom w:w="0" w:type="dxa"/>
        <w:right w:w="115" w:type="dxa"/>
      </w:tblCellMar>
    </w:tblPr>
  </w:style>
  <w:style w:type="table" w:customStyle="1" w:styleId="af3">
    <w:basedOn w:val="TableNormal0"/>
    <w:rsid w:val="001E69E3"/>
    <w:tblPr>
      <w:tblStyleRowBandSize w:val="1"/>
      <w:tblStyleColBandSize w:val="1"/>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F022F0"/>
    <w:rPr>
      <w:sz w:val="16"/>
      <w:szCs w:val="16"/>
    </w:rPr>
  </w:style>
  <w:style w:type="paragraph" w:styleId="CommentText">
    <w:name w:val="annotation text"/>
    <w:basedOn w:val="Normal"/>
    <w:link w:val="CommentTextChar"/>
    <w:uiPriority w:val="99"/>
    <w:semiHidden/>
    <w:unhideWhenUsed/>
    <w:rsid w:val="00F022F0"/>
    <w:pPr>
      <w:spacing w:line="240" w:lineRule="auto"/>
    </w:pPr>
    <w:rPr>
      <w:sz w:val="20"/>
      <w:szCs w:val="20"/>
    </w:rPr>
  </w:style>
  <w:style w:type="character" w:customStyle="1" w:styleId="CommentTextChar">
    <w:name w:val="Comment Text Char"/>
    <w:basedOn w:val="DefaultParagraphFont"/>
    <w:link w:val="CommentText"/>
    <w:uiPriority w:val="99"/>
    <w:semiHidden/>
    <w:rsid w:val="00F022F0"/>
    <w:rPr>
      <w:sz w:val="20"/>
      <w:szCs w:val="20"/>
    </w:rPr>
  </w:style>
  <w:style w:type="paragraph" w:styleId="CommentSubject">
    <w:name w:val="annotation subject"/>
    <w:basedOn w:val="CommentText"/>
    <w:next w:val="CommentText"/>
    <w:link w:val="CommentSubjectChar"/>
    <w:uiPriority w:val="99"/>
    <w:semiHidden/>
    <w:unhideWhenUsed/>
    <w:rsid w:val="00F022F0"/>
    <w:rPr>
      <w:b/>
      <w:bCs/>
    </w:rPr>
  </w:style>
  <w:style w:type="character" w:customStyle="1" w:styleId="CommentSubjectChar">
    <w:name w:val="Comment Subject Char"/>
    <w:basedOn w:val="CommentTextChar"/>
    <w:link w:val="CommentSubject"/>
    <w:uiPriority w:val="99"/>
    <w:semiHidden/>
    <w:rsid w:val="00F022F0"/>
    <w:rPr>
      <w:b/>
      <w:bCs/>
    </w:rPr>
  </w:style>
  <w:style w:type="paragraph" w:styleId="BalloonText">
    <w:name w:val="Balloon Text"/>
    <w:basedOn w:val="Normal"/>
    <w:link w:val="BalloonTextChar"/>
    <w:uiPriority w:val="99"/>
    <w:semiHidden/>
    <w:unhideWhenUsed/>
    <w:rsid w:val="00F022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2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15</Pages>
  <Words>5994</Words>
  <Characters>34170</Characters>
  <Application>Microsoft Office Word</Application>
  <DocSecurity>0</DocSecurity>
  <Lines>284</Lines>
  <Paragraphs>80</Paragraphs>
  <ScaleCrop>false</ScaleCrop>
  <Company/>
  <LinksUpToDate>false</LinksUpToDate>
  <CharactersWithSpaces>40084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2026-09-14T02:31:00Z</dcterms:created>
  <dcterms:modified xsi:type="dcterms:W3CDTF">2026-09-16T18:21:00Z</dcterms:modified>
</cp:coreProperties>
</file>