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6011F8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6011F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6011F8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011F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6011F8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6011F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0DC251BD" w:rsidR="002D2FC6" w:rsidRPr="006011F8" w:rsidRDefault="00CE18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Ms_JOBI_15689</w:t>
            </w:r>
          </w:p>
        </w:tc>
      </w:tr>
      <w:tr w:rsidR="002D2FC6" w:rsidRPr="006011F8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6011F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02C69380" w:rsidR="002D2FC6" w:rsidRPr="006011F8" w:rsidRDefault="00CE18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Acute Oral Toxicity, Anti-inflammatory and Anti-</w:t>
            </w:r>
            <w:proofErr w:type="spellStart"/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hyperuricemic</w:t>
            </w:r>
            <w:proofErr w:type="spellEnd"/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Activities of the Herbal Remedy </w:t>
            </w:r>
            <w:proofErr w:type="spellStart"/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Lamgout</w:t>
            </w:r>
            <w:proofErr w:type="spellEnd"/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Mice</w:t>
            </w:r>
          </w:p>
        </w:tc>
      </w:tr>
      <w:tr w:rsidR="002D2FC6" w:rsidRPr="006011F8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6011F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6011F8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20FB4B1" w14:textId="77777777" w:rsidR="002D2FC6" w:rsidRPr="006011F8" w:rsidRDefault="002D2FC6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653DEEBE" w14:textId="77777777" w:rsidR="002D2FC6" w:rsidRPr="006011F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011F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011F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6011F8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6011F8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6011F8" w:rsidRDefault="00000000" w:rsidP="00675D92">
            <w:pPr>
              <w:keepNext/>
              <w:jc w:val="both"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eastAsia="MS Mincho" w:hAnsi="Arial" w:cs="Arial"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6011F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011F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11F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EAB5FB" w14:textId="77777777" w:rsidR="00675D92" w:rsidRPr="006011F8" w:rsidRDefault="00675D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2996606" w14:textId="77777777" w:rsidR="00675D92" w:rsidRPr="006011F8" w:rsidRDefault="00675D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064EF4E" w14:textId="77777777" w:rsidR="00675D92" w:rsidRPr="006011F8" w:rsidRDefault="00675D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925157F" w14:textId="5B3D595A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6011F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8876796" w14:textId="17B7A319" w:rsidR="00675D92" w:rsidRPr="006011F8" w:rsidRDefault="00675D92" w:rsidP="00675D92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1.</w:t>
            </w:r>
            <w:r w:rsidRPr="006011F8">
              <w:rPr>
                <w:rFonts w:ascii="Arial" w:hAnsi="Arial" w:cs="Arial"/>
                <w:sz w:val="20"/>
                <w:szCs w:val="20"/>
                <w:lang w:val="en-GB"/>
              </w:rPr>
              <w:t>The significance of this research lies in its comprehensive and accurate evaluation of the efficacy and safety of the herbal sports medicine (</w:t>
            </w:r>
            <w:proofErr w:type="spellStart"/>
            <w:r w:rsidRPr="006011F8">
              <w:rPr>
                <w:rFonts w:ascii="Arial" w:hAnsi="Arial" w:cs="Arial"/>
                <w:sz w:val="20"/>
                <w:szCs w:val="20"/>
                <w:lang w:val="en-GB"/>
              </w:rPr>
              <w:t>Lamgout</w:t>
            </w:r>
            <w:proofErr w:type="spellEnd"/>
            <w:r w:rsidRPr="006011F8">
              <w:rPr>
                <w:rFonts w:ascii="Arial" w:hAnsi="Arial" w:cs="Arial"/>
                <w:sz w:val="20"/>
                <w:szCs w:val="20"/>
                <w:lang w:val="en-GB"/>
              </w:rPr>
              <w:t>), opening up new and alternative avenues for safe and effective treatments for hyperuricemia and gout.</w:t>
            </w:r>
          </w:p>
          <w:p w14:paraId="351B9013" w14:textId="319BD877" w:rsidR="00675D92" w:rsidRPr="006011F8" w:rsidRDefault="00675D92" w:rsidP="00675D92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</w:t>
            </w:r>
            <w:r w:rsidRPr="006011F8">
              <w:rPr>
                <w:rFonts w:ascii="Arial" w:hAnsi="Arial" w:cs="Arial"/>
                <w:sz w:val="20"/>
                <w:szCs w:val="20"/>
                <w:lang w:val="en-GB"/>
              </w:rPr>
              <w:t>This study contributes to the understanding of the biochemical mechanisms by which organic compounds reduce uric acid levels and alleviate arthritis, in conjunction with unique medications.</w:t>
            </w:r>
          </w:p>
          <w:p w14:paraId="63B893F7" w14:textId="2C62B674" w:rsidR="00822383" w:rsidRPr="006011F8" w:rsidRDefault="00675D92" w:rsidP="00675D92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</w:t>
            </w:r>
            <w:r w:rsidRPr="006011F8">
              <w:rPr>
                <w:rFonts w:ascii="Arial" w:hAnsi="Arial" w:cs="Arial"/>
                <w:sz w:val="20"/>
                <w:szCs w:val="20"/>
                <w:lang w:val="en-GB"/>
              </w:rPr>
              <w:t>This work serves as a valuable resource for innovative scientists, providing a reliable preliminary database that can support further research and future applications.</w:t>
            </w:r>
          </w:p>
        </w:tc>
        <w:tc>
          <w:tcPr>
            <w:tcW w:w="1667" w:type="pct"/>
          </w:tcPr>
          <w:p w14:paraId="3B115E0C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6011F8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6011F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011F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6011F8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6011F8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6011F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11F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6011F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6011F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6011F8" w14:paraId="354A65DC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6011F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529C0E7A" w:rsidR="002D2FC6" w:rsidRPr="006011F8" w:rsidRDefault="00C603EC" w:rsidP="00C603EC">
            <w:pPr>
              <w:bidi/>
              <w:spacing w:before="24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2AB5E937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23D41B9A" w:rsidR="002D2FC6" w:rsidRPr="006011F8" w:rsidRDefault="00C603EC" w:rsidP="00C603EC">
            <w:pPr>
              <w:bidi/>
              <w:spacing w:before="24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1439FE81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7CC74B3E" w:rsidR="002D2FC6" w:rsidRPr="006011F8" w:rsidRDefault="00C603EC" w:rsidP="00C603EC">
            <w:pPr>
              <w:bidi/>
              <w:spacing w:before="24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 xml:space="preserve">3   </w:t>
            </w:r>
          </w:p>
        </w:tc>
        <w:tc>
          <w:tcPr>
            <w:tcW w:w="1667" w:type="pct"/>
          </w:tcPr>
          <w:p w14:paraId="1D104529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16DB81DD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599CB" w14:textId="20EB1CF5" w:rsidR="002D2FC6" w:rsidRPr="006011F8" w:rsidRDefault="00BB677D" w:rsidP="00BB677D">
            <w:pPr>
              <w:tabs>
                <w:tab w:val="left" w:pos="2304"/>
                <w:tab w:val="center" w:pos="2388"/>
              </w:tabs>
              <w:bidi/>
              <w:spacing w:before="240"/>
              <w:ind w:left="360"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ab/>
            </w: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ab/>
              <w:t>4</w:t>
            </w:r>
          </w:p>
          <w:p w14:paraId="243D07E2" w14:textId="77777777" w:rsidR="00BB677D" w:rsidRPr="006011F8" w:rsidRDefault="00BB677D" w:rsidP="00BB677D">
            <w:pPr>
              <w:bidi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</w:pPr>
          </w:p>
          <w:p w14:paraId="010E4C78" w14:textId="045FDEF1" w:rsidR="00BB677D" w:rsidRPr="006011F8" w:rsidRDefault="00BB677D" w:rsidP="00BB677D">
            <w:pPr>
              <w:bidi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983950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4D5963A0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0EE715DF" w:rsidR="002D2FC6" w:rsidRPr="006011F8" w:rsidRDefault="00BB677D" w:rsidP="00BB677D">
            <w:pPr>
              <w:bidi/>
              <w:spacing w:before="24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17E3C176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523ED571" w:rsidR="002D2FC6" w:rsidRPr="006011F8" w:rsidRDefault="00BB677D" w:rsidP="00BB677D">
            <w:pPr>
              <w:bidi/>
              <w:spacing w:before="24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70FF9428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6F618FCA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0919E286" w:rsidR="002D2FC6" w:rsidRPr="006011F8" w:rsidRDefault="00BB677D" w:rsidP="00BB677D">
            <w:pPr>
              <w:bidi/>
              <w:spacing w:before="24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14788A62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231574CF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0D3E5DBE" w:rsidR="002D2FC6" w:rsidRPr="006011F8" w:rsidRDefault="00BB677D" w:rsidP="00BB677D">
            <w:pPr>
              <w:bidi/>
              <w:spacing w:before="24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4628859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552C5BCA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75015263" w:rsidR="002D2FC6" w:rsidRPr="006011F8" w:rsidRDefault="00BB677D" w:rsidP="00BB677D">
            <w:pPr>
              <w:bidi/>
              <w:spacing w:before="24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4480FB6F" w14:textId="77777777" w:rsidTr="00C603E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23F622D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6011F8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6011F8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4D44CD1E" w:rsidR="002D2FC6" w:rsidRPr="006011F8" w:rsidRDefault="00BB677D" w:rsidP="00BB677D">
            <w:pPr>
              <w:bidi/>
              <w:spacing w:before="24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4978975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79CB06CF" w:rsidR="002D2FC6" w:rsidRPr="006011F8" w:rsidRDefault="00BB677D" w:rsidP="00BB677D">
            <w:pPr>
              <w:spacing w:before="24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D8CDA4C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6A95491E" w:rsidR="002D2FC6" w:rsidRPr="006011F8" w:rsidRDefault="00BB677D" w:rsidP="00BB677D">
            <w:pPr>
              <w:spacing w:before="24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DBE85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329C19DB" w:rsidR="002D2FC6" w:rsidRPr="006011F8" w:rsidRDefault="00BB677D" w:rsidP="00BB677D">
            <w:pPr>
              <w:spacing w:before="24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08E39697" w:rsidR="002D2FC6" w:rsidRPr="006011F8" w:rsidRDefault="00BB677D" w:rsidP="00BB677D">
            <w:pPr>
              <w:spacing w:before="24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6011F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6011F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1E14D76E" w:rsidR="002D2FC6" w:rsidRPr="006011F8" w:rsidRDefault="00BB677D" w:rsidP="00BB677D">
            <w:pPr>
              <w:spacing w:before="240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6011F8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6011F8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6011F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011F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6011F8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6011F8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6011F8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6011F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011F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011F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011F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6011F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6011F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6011F8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27ED42A8" w:rsidR="002D2FC6" w:rsidRPr="006011F8" w:rsidRDefault="000920EE" w:rsidP="0082238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I suggest the following </w:t>
            </w:r>
            <w:r w:rsidR="00822383"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title:</w:t>
            </w: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Evolution of Acute Oral Toxicity, Anti-inflammatory and Anti-</w:t>
            </w:r>
            <w:proofErr w:type="spellStart"/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hyperuricemic</w:t>
            </w:r>
            <w:proofErr w:type="spellEnd"/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Activities of the Herbal Remedy </w:t>
            </w:r>
            <w:proofErr w:type="spellStart"/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Lamgout</w:t>
            </w:r>
            <w:proofErr w:type="spellEnd"/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Mice</w:t>
            </w:r>
          </w:p>
        </w:tc>
        <w:tc>
          <w:tcPr>
            <w:tcW w:w="1667" w:type="pct"/>
          </w:tcPr>
          <w:p w14:paraId="4FE1C56C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6011F8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447E19E4" w:rsidR="002D2FC6" w:rsidRPr="006011F8" w:rsidRDefault="000920EE" w:rsidP="0082238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bidi="ar-IQ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abstract of the article comprehensive and</w:t>
            </w:r>
            <w:r w:rsidRPr="006011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11F8">
              <w:rPr>
                <w:rFonts w:ascii="Arial" w:hAnsi="Arial" w:cs="Arial"/>
                <w:b/>
                <w:bCs/>
                <w:sz w:val="20"/>
                <w:szCs w:val="20"/>
              </w:rPr>
              <w:t>well-structured; no further revisions are required.</w:t>
            </w: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06D6FBC4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6011F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011F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6011F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5F290094" w:rsidR="002D2FC6" w:rsidRPr="006011F8" w:rsidRDefault="00A741C0" w:rsidP="00822383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The manuscript is scientifically sound; however, the authors should clearly list the active components of the herbal extract.</w:t>
            </w:r>
          </w:p>
        </w:tc>
        <w:tc>
          <w:tcPr>
            <w:tcW w:w="1667" w:type="pct"/>
          </w:tcPr>
          <w:p w14:paraId="7624BB33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6011F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6011F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6011F8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24C30A" w14:textId="77777777" w:rsidR="00822383" w:rsidRPr="006011F8" w:rsidRDefault="00822383" w:rsidP="0082238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82BD177" w14:textId="77777777" w:rsidR="00822383" w:rsidRPr="006011F8" w:rsidRDefault="00822383" w:rsidP="0082238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061F13DE" w14:textId="745B2874" w:rsidR="002D2FC6" w:rsidRPr="006011F8" w:rsidRDefault="00822383" w:rsidP="0082238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sz w:val="20"/>
                <w:szCs w:val="20"/>
                <w:lang w:val="en-GB"/>
              </w:rPr>
              <w:t>The reference of current study is sufficient.</w:t>
            </w:r>
          </w:p>
        </w:tc>
        <w:tc>
          <w:tcPr>
            <w:tcW w:w="1667" w:type="pct"/>
          </w:tcPr>
          <w:p w14:paraId="7149D3CF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6011F8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6011F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6011F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6011F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6011F8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AC1024" w14:textId="77777777" w:rsidR="00822383" w:rsidRPr="006011F8" w:rsidRDefault="00822383" w:rsidP="00822383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932C9FA" w14:textId="77777777" w:rsidR="00822383" w:rsidRPr="006011F8" w:rsidRDefault="00822383" w:rsidP="00822383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DDE20D9" w14:textId="1BF3F60B" w:rsidR="00822383" w:rsidRPr="006011F8" w:rsidRDefault="00822383" w:rsidP="00822383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1F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no ethical issues in this manuscript?</w:t>
            </w:r>
          </w:p>
          <w:p w14:paraId="23019E8D" w14:textId="0A9F5720" w:rsidR="002D2FC6" w:rsidRPr="006011F8" w:rsidRDefault="002D2F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2C4C3C" w14:textId="77777777" w:rsidR="002D2FC6" w:rsidRPr="006011F8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F33B48" w14:textId="77777777" w:rsidR="006011F8" w:rsidRPr="006011F8" w:rsidRDefault="006011F8" w:rsidP="006011F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D3620DB" w14:textId="77777777" w:rsidR="006011F8" w:rsidRPr="006011F8" w:rsidRDefault="006011F8" w:rsidP="006011F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011F8">
        <w:rPr>
          <w:rFonts w:ascii="Arial" w:hAnsi="Arial" w:cs="Arial"/>
          <w:b/>
          <w:u w:val="single"/>
        </w:rPr>
        <w:t>Reviewer details:</w:t>
      </w:r>
    </w:p>
    <w:p w14:paraId="30975A62" w14:textId="77777777" w:rsidR="006011F8" w:rsidRPr="006011F8" w:rsidRDefault="006011F8" w:rsidP="006011F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9733FDD" w14:textId="77777777" w:rsidR="006011F8" w:rsidRPr="006011F8" w:rsidRDefault="006011F8" w:rsidP="006011F8">
      <w:pPr>
        <w:rPr>
          <w:rFonts w:ascii="Arial" w:hAnsi="Arial" w:cs="Arial"/>
          <w:sz w:val="20"/>
          <w:szCs w:val="20"/>
        </w:rPr>
      </w:pPr>
      <w:proofErr w:type="spellStart"/>
      <w:r w:rsidRPr="006011F8">
        <w:rPr>
          <w:rFonts w:ascii="Arial" w:hAnsi="Arial" w:cs="Arial"/>
          <w:color w:val="000000"/>
          <w:sz w:val="20"/>
          <w:szCs w:val="20"/>
        </w:rPr>
        <w:t>Thualfiqar</w:t>
      </w:r>
      <w:proofErr w:type="spellEnd"/>
      <w:r w:rsidRPr="006011F8">
        <w:rPr>
          <w:rFonts w:ascii="Arial" w:hAnsi="Arial" w:cs="Arial"/>
          <w:color w:val="000000"/>
          <w:sz w:val="20"/>
          <w:szCs w:val="20"/>
        </w:rPr>
        <w:t xml:space="preserve"> Ghalib </w:t>
      </w:r>
      <w:proofErr w:type="gramStart"/>
      <w:r w:rsidRPr="006011F8">
        <w:rPr>
          <w:rFonts w:ascii="Arial" w:hAnsi="Arial" w:cs="Arial"/>
          <w:color w:val="000000"/>
          <w:sz w:val="20"/>
          <w:szCs w:val="20"/>
        </w:rPr>
        <w:t xml:space="preserve">Turki </w:t>
      </w:r>
      <w:r w:rsidRPr="006011F8">
        <w:rPr>
          <w:rFonts w:ascii="Arial" w:hAnsi="Arial" w:cs="Arial"/>
          <w:sz w:val="20"/>
          <w:szCs w:val="20"/>
        </w:rPr>
        <w:t>,</w:t>
      </w:r>
      <w:proofErr w:type="gramEnd"/>
      <w:r w:rsidRPr="006011F8">
        <w:rPr>
          <w:rFonts w:ascii="Arial" w:hAnsi="Arial" w:cs="Arial"/>
          <w:sz w:val="20"/>
          <w:szCs w:val="20"/>
        </w:rPr>
        <w:t xml:space="preserve"> </w:t>
      </w:r>
      <w:r w:rsidRPr="006011F8">
        <w:rPr>
          <w:rFonts w:ascii="Arial" w:hAnsi="Arial" w:cs="Arial"/>
          <w:color w:val="000000"/>
          <w:sz w:val="20"/>
          <w:szCs w:val="20"/>
        </w:rPr>
        <w:t>Islamic University of Najaf</w:t>
      </w:r>
      <w:r w:rsidRPr="006011F8">
        <w:rPr>
          <w:rFonts w:ascii="Arial" w:hAnsi="Arial" w:cs="Arial"/>
          <w:sz w:val="20"/>
          <w:szCs w:val="20"/>
        </w:rPr>
        <w:t xml:space="preserve">, </w:t>
      </w:r>
      <w:r w:rsidRPr="006011F8">
        <w:rPr>
          <w:rFonts w:ascii="Arial" w:hAnsi="Arial" w:cs="Arial"/>
          <w:color w:val="000000"/>
          <w:sz w:val="20"/>
          <w:szCs w:val="20"/>
        </w:rPr>
        <w:t>Iraq</w:t>
      </w:r>
    </w:p>
    <w:p w14:paraId="46CE94D5" w14:textId="77777777" w:rsidR="002D2FC6" w:rsidRPr="006011F8" w:rsidRDefault="002D2FC6" w:rsidP="006011F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6011F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C649" w14:textId="77777777" w:rsidR="000F34C8" w:rsidRDefault="000F34C8">
      <w:r>
        <w:separator/>
      </w:r>
    </w:p>
  </w:endnote>
  <w:endnote w:type="continuationSeparator" w:id="0">
    <w:p w14:paraId="7AC6274C" w14:textId="77777777" w:rsidR="000F34C8" w:rsidRDefault="000F3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41EA" w14:textId="77777777" w:rsidR="000F34C8" w:rsidRDefault="000F34C8">
      <w:r>
        <w:separator/>
      </w:r>
    </w:p>
  </w:footnote>
  <w:footnote w:type="continuationSeparator" w:id="0">
    <w:p w14:paraId="3D97B76F" w14:textId="77777777" w:rsidR="000F34C8" w:rsidRDefault="000F3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ar-SA" w:vendorID="64" w:dllVersion="409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060DD"/>
    <w:rsid w:val="000403EC"/>
    <w:rsid w:val="000920EE"/>
    <w:rsid w:val="000F34C8"/>
    <w:rsid w:val="002D2FC6"/>
    <w:rsid w:val="002E58D0"/>
    <w:rsid w:val="003714E3"/>
    <w:rsid w:val="00586BC9"/>
    <w:rsid w:val="00594D67"/>
    <w:rsid w:val="006011F8"/>
    <w:rsid w:val="00624D32"/>
    <w:rsid w:val="00675D92"/>
    <w:rsid w:val="00773937"/>
    <w:rsid w:val="007F149E"/>
    <w:rsid w:val="00822383"/>
    <w:rsid w:val="00981D99"/>
    <w:rsid w:val="009B7848"/>
    <w:rsid w:val="009F544C"/>
    <w:rsid w:val="00A23990"/>
    <w:rsid w:val="00A35C2B"/>
    <w:rsid w:val="00A741C0"/>
    <w:rsid w:val="00B71BB5"/>
    <w:rsid w:val="00BB677D"/>
    <w:rsid w:val="00C4544D"/>
    <w:rsid w:val="00C603EC"/>
    <w:rsid w:val="00CE18DB"/>
    <w:rsid w:val="00CE381C"/>
    <w:rsid w:val="00E2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011F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5268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