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5D9C" w:rsidRDefault="002601F4">
      <w:pPr>
        <w:spacing w:after="120" w:line="360" w:lineRule="auto"/>
        <w:jc w:val="center"/>
        <w:rPr>
          <w:b/>
          <w:bCs/>
          <w:sz w:val="28"/>
          <w:szCs w:val="28"/>
        </w:rPr>
      </w:pPr>
      <w:r>
        <w:rPr>
          <w:b/>
          <w:bCs/>
          <w:sz w:val="28"/>
          <w:szCs w:val="28"/>
        </w:rPr>
        <w:t>Growth Analysis of Fodder Sorghum [</w:t>
      </w:r>
      <w:r>
        <w:rPr>
          <w:b/>
          <w:bCs/>
          <w:i/>
          <w:iCs/>
          <w:sz w:val="28"/>
          <w:szCs w:val="28"/>
        </w:rPr>
        <w:t>Sorghum bicolor</w:t>
      </w:r>
      <w:r>
        <w:rPr>
          <w:b/>
          <w:bCs/>
          <w:sz w:val="28"/>
          <w:szCs w:val="28"/>
        </w:rPr>
        <w:t xml:space="preserve"> (L.) Moench] as Influenced by Varieties and Harvesting Stages under Temperate Conditions of Kashmir</w:t>
      </w:r>
    </w:p>
    <w:p w:rsidR="00291ADB" w:rsidRDefault="00291ADB">
      <w:pPr>
        <w:spacing w:after="240" w:line="276" w:lineRule="auto"/>
        <w:jc w:val="center"/>
        <w:rPr>
          <w:b/>
          <w:bCs/>
        </w:rPr>
      </w:pPr>
    </w:p>
    <w:p w:rsidR="00291ADB" w:rsidRDefault="00291ADB">
      <w:pPr>
        <w:spacing w:after="240" w:line="276" w:lineRule="auto"/>
        <w:jc w:val="center"/>
        <w:rPr>
          <w:b/>
          <w:bCs/>
        </w:rPr>
      </w:pPr>
    </w:p>
    <w:p w:rsidR="005B5D9C" w:rsidRDefault="002601F4">
      <w:pPr>
        <w:spacing w:after="240" w:line="276" w:lineRule="auto"/>
        <w:jc w:val="center"/>
        <w:rPr>
          <w:sz w:val="22"/>
          <w:szCs w:val="22"/>
        </w:rPr>
      </w:pPr>
      <w:r>
        <w:rPr>
          <w:b/>
          <w:bCs/>
        </w:rPr>
        <w:t>ABSTRACT</w:t>
      </w:r>
    </w:p>
    <w:p w:rsidR="005B5D9C" w:rsidRDefault="002601F4">
      <w:pPr>
        <w:spacing w:after="120" w:line="360" w:lineRule="auto"/>
        <w:jc w:val="both"/>
      </w:pPr>
      <w:commentRangeStart w:id="0"/>
      <w:r>
        <w:t>Fodder scarcity is a severe constraint for livestock production in the temperate valley of Kashmir, where the production falls short of the actual requirement. Cultivation of high yielding fodder crops is one of the practical means and fodder sorghum ranks among the best suited crops for its rapid growth, high biomass production and wide adaptability. Dry matter accumulation in a crop follows a characteristic pattern varying with variety and stage of harvest.</w:t>
      </w:r>
      <w:commentRangeEnd w:id="0"/>
      <w:r>
        <w:rPr>
          <w:rStyle w:val="CommentReference"/>
        </w:rPr>
        <w:commentReference w:id="0"/>
      </w:r>
      <w:r>
        <w:t xml:space="preserve"> A field investigation was carried out over two consecutive </w:t>
      </w:r>
      <w:r>
        <w:rPr>
          <w:i/>
          <w:iCs/>
        </w:rPr>
        <w:t xml:space="preserve">Kharif </w:t>
      </w:r>
      <w:r>
        <w:t>seasons of 2024 and 2025, at Research Farm, Faculty of Agriculture, Wadura, SKUAST-Kashmir, India, to characterize the dry matter accumulation and partitioning over time in two fodder sorghum (</w:t>
      </w:r>
      <w:r>
        <w:rPr>
          <w:i/>
          <w:iCs/>
        </w:rPr>
        <w:t>Sorghum bicolor</w:t>
      </w:r>
      <w:r>
        <w:t>) varieties harvested at three stages. The experiment was laid out in a factorial randomised block design with four replications. The experiment consisted of two factors; variety and harvesting stage. The two varieties MP Chari (V₁) and SFG-5000 (V₂) were harvested at 3 stages viz, flowering (S₁), soft dough (S₂) and hard dough (S₃). Crop growth rate (CGR), relative growth rate (RGR) and net assimilation rate (NAR) were recorded at 20-40 days after sowing, 40-60 days after sowing and 60 days after sowing to harvest. Leaf area index (LAI) was determined at 20, 40, 60 days after sowing and at harvest. MP Chari recorded highest LAI from 40 DAS onwards, attaining peak values at harvest (4.595 and 5.637). Among stages, highest LAI was reported at the flowering stage (4.782 and 5.817). MP Chari proved significantly superior to SFG-5000 in CGR and NAR. During 40-60 DAS interval, MP Chari recorded highest CGR values (24.73 and 39.11 g m</w:t>
      </w:r>
      <w:r>
        <w:rPr>
          <w:vertAlign w:val="superscript"/>
        </w:rPr>
        <w:t>-2</w:t>
      </w:r>
      <w:r>
        <w:t xml:space="preserve"> day</w:t>
      </w:r>
      <w:r>
        <w:rPr>
          <w:vertAlign w:val="superscript"/>
        </w:rPr>
        <w:t>-1</w:t>
      </w:r>
      <w:r>
        <w:t>) and NAR values (9.13 and 11.54 g m</w:t>
      </w:r>
      <w:r>
        <w:rPr>
          <w:vertAlign w:val="superscript"/>
        </w:rPr>
        <w:t>-2</w:t>
      </w:r>
      <w:r>
        <w:t xml:space="preserve"> day</w:t>
      </w:r>
      <w:r>
        <w:rPr>
          <w:vertAlign w:val="superscript"/>
        </w:rPr>
        <w:t>-1</w:t>
      </w:r>
      <w:r>
        <w:t>). At all intervals, the impact of harvesting stages was found to be non-significant on CGR whereas, in case of RGR and NAR significant response was shown at 60 DAS to harvest interval, where flowering stage recorded the highest RGR (32.30 and 27.06 mg g</w:t>
      </w:r>
      <w:r>
        <w:rPr>
          <w:vertAlign w:val="superscript"/>
        </w:rPr>
        <w:t>-1</w:t>
      </w:r>
      <w:r>
        <w:t xml:space="preserve"> day</w:t>
      </w:r>
      <w:r>
        <w:rPr>
          <w:vertAlign w:val="superscript"/>
        </w:rPr>
        <w:t>-1</w:t>
      </w:r>
      <w:r>
        <w:t>) and hard dough stage the highest NAR (5.98 g m</w:t>
      </w:r>
      <w:r>
        <w:rPr>
          <w:vertAlign w:val="superscript"/>
        </w:rPr>
        <w:t>-2</w:t>
      </w:r>
      <w:r>
        <w:t xml:space="preserve"> day</w:t>
      </w:r>
      <w:r>
        <w:rPr>
          <w:vertAlign w:val="superscript"/>
        </w:rPr>
        <w:t>-1</w:t>
      </w:r>
      <w:r>
        <w:t xml:space="preserve"> during 2025).</w:t>
      </w:r>
    </w:p>
    <w:p w:rsidR="005B5D9C" w:rsidRDefault="002601F4">
      <w:pPr>
        <w:spacing w:before="240" w:after="120" w:line="360" w:lineRule="auto"/>
        <w:rPr>
          <w:i/>
          <w:iCs/>
        </w:rPr>
      </w:pPr>
      <w:r>
        <w:rPr>
          <w:i/>
          <w:iCs/>
        </w:rPr>
        <w:lastRenderedPageBreak/>
        <w:t xml:space="preserve">Keywords: Fodder sorghum, MP Chari, SFG-5000, Harvesting stage, Leaf area index, Crop growth rate, Relative growth rate, Net assimilation rate </w:t>
      </w:r>
    </w:p>
    <w:p w:rsidR="005B5D9C" w:rsidRDefault="002601F4">
      <w:pPr>
        <w:spacing w:before="240" w:after="120" w:line="360" w:lineRule="auto"/>
      </w:pPr>
      <w:r>
        <w:rPr>
          <w:b/>
          <w:bCs/>
        </w:rPr>
        <w:t>1. Introduction</w:t>
      </w:r>
    </w:p>
    <w:p w:rsidR="005B5D9C" w:rsidRDefault="002601F4">
      <w:pPr>
        <w:spacing w:after="120" w:line="360" w:lineRule="auto"/>
        <w:jc w:val="both"/>
      </w:pPr>
      <w:r>
        <w:t xml:space="preserve">Livestock plays a crucial role in the agricultural economy and socio-economic development in Jammu and Kashmir, where 60% of the revenue is contributed by agriculture and animal husbandry (Hamadani </w:t>
      </w:r>
      <w:r>
        <w:rPr>
          <w:i/>
          <w:iCs/>
        </w:rPr>
        <w:t>et al.,</w:t>
      </w:r>
      <w:r>
        <w:t xml:space="preserve"> 2022). Agricultural sector, including livestock contributes 16% to the Gross State Domestic Product of Jammu and Kashmir (ICAR-IGFRI, 2021). Livestock population recorded in 19</w:t>
      </w:r>
      <w:r>
        <w:rPr>
          <w:vertAlign w:val="superscript"/>
        </w:rPr>
        <w:t>th</w:t>
      </w:r>
      <w:r>
        <w:t xml:space="preserve"> livestock census was 92.01 lakhs which has decreased to 83.19 lakhs as reported by 20</w:t>
      </w:r>
      <w:r>
        <w:rPr>
          <w:vertAlign w:val="superscript"/>
        </w:rPr>
        <w:t>th</w:t>
      </w:r>
      <w:r>
        <w:t xml:space="preserve"> livestock census (Department of Animal Husbandry, Dairying, and Fisheries, 2019). This decline is attributed to several factors and insufficient fodder supply is among the primary factors (ICAR-IGFRI, 2021). Jammu and Kashmir produces around 64 lakh MT of green fodder and 35 lakh MT of dry fodder. However, the requirement of green fodder is 139.13 lakh MT and dry fodder is 58.53 lakh MT (Ahmad </w:t>
      </w:r>
      <w:r>
        <w:rPr>
          <w:i/>
          <w:iCs/>
        </w:rPr>
        <w:t>et al.,</w:t>
      </w:r>
      <w:r>
        <w:t xml:space="preserve"> 2018). This deficit is more prevalent in Kashmir valley, therefore, increased production of fodder is essential to meet the nutritional requirements of the livestock.</w:t>
      </w:r>
    </w:p>
    <w:p w:rsidR="005B5D9C" w:rsidRDefault="002601F4">
      <w:pPr>
        <w:spacing w:after="120" w:line="360" w:lineRule="auto"/>
        <w:jc w:val="both"/>
      </w:pPr>
      <w:r>
        <w:t xml:space="preserve">To address fodder scarcity and boost livestock productivity, the introduction and popularization of potential fodder crops is essential (Singh </w:t>
      </w:r>
      <w:r>
        <w:rPr>
          <w:i/>
          <w:iCs/>
        </w:rPr>
        <w:t>et al</w:t>
      </w:r>
      <w:r>
        <w:t>., 2022). Fodder sorghum emerges as a promising option for several reasons. It can produce high biomass and green fodder yield of 30 t ha</w:t>
      </w:r>
      <w:r>
        <w:rPr>
          <w:vertAlign w:val="superscript"/>
        </w:rPr>
        <w:t>-1</w:t>
      </w:r>
      <w:r>
        <w:t xml:space="preserve"> (ICAR-IGFRI, 2021). Fodder Sorghum is known for its adaptability to diverse climatic conditions, high soil adaptability, low water requirement, deep rooted system and drought resistance, making it a suitable crop for regions with variable and challenging growing conditions (Hossain </w:t>
      </w:r>
      <w:r>
        <w:rPr>
          <w:i/>
          <w:iCs/>
        </w:rPr>
        <w:t>et al</w:t>
      </w:r>
      <w:r>
        <w:t xml:space="preserve">., 2022; Kumar </w:t>
      </w:r>
      <w:r>
        <w:rPr>
          <w:i/>
          <w:iCs/>
        </w:rPr>
        <w:t>et al</w:t>
      </w:r>
      <w:r>
        <w:t xml:space="preserve">., 2024). These characteristics make fodder sorghum a promising alternative to maize under water-limited and variable growing conditions (Getachew </w:t>
      </w:r>
      <w:r>
        <w:rPr>
          <w:i/>
          <w:iCs/>
        </w:rPr>
        <w:t>et al</w:t>
      </w:r>
      <w:r>
        <w:t xml:space="preserve">., 2016; Bhattarai </w:t>
      </w:r>
      <w:r>
        <w:rPr>
          <w:i/>
          <w:iCs/>
        </w:rPr>
        <w:t>et al</w:t>
      </w:r>
      <w:r>
        <w:t>., 2020). Despite its potential benefits, fodder sorghum has not been extensively adopted by farmers in Kashmir valley and remains largely confined to research stations. Therefore, it is imperative to encourage the cultivation of fodder sorghum in order to ensure a stable fodder supply and improve livestock productivity.</w:t>
      </w:r>
    </w:p>
    <w:p w:rsidR="005B5D9C" w:rsidRDefault="002601F4">
      <w:pPr>
        <w:spacing w:after="120" w:line="360" w:lineRule="auto"/>
        <w:jc w:val="both"/>
      </w:pPr>
      <w:r>
        <w:t xml:space="preserve">The performance of fodder sorghum is determined by several factors including variety selected for the cultivation. Varieties differ in tillering, leaf production, stem thickness and total biomass and these differences affect the quantity and quality of fodder harvested (Bhat, 2019). </w:t>
      </w:r>
      <w:r>
        <w:rPr>
          <w:color w:val="000000"/>
        </w:rPr>
        <w:t xml:space="preserve">MP Chari </w:t>
      </w:r>
      <w:r>
        <w:rPr>
          <w:color w:val="000000"/>
        </w:rPr>
        <w:lastRenderedPageBreak/>
        <w:t xml:space="preserve">is among the most widely grown fodder varieties in the country and is valued for its high green fodder yield (Chauhan </w:t>
      </w:r>
      <w:r>
        <w:rPr>
          <w:i/>
          <w:iCs/>
          <w:color w:val="000000"/>
        </w:rPr>
        <w:t>et al</w:t>
      </w:r>
      <w:r>
        <w:rPr>
          <w:color w:val="000000"/>
        </w:rPr>
        <w:t xml:space="preserve">., 2021). SFG-5000 is an important multi-cut fodder sorghum known for its ability to regenerate rapidly after cutting and produce successive harvests of green fodder. Its repeated regrowth potential makes it a promising option for sustained fodder production and improved forage availability. </w:t>
      </w:r>
      <w:r>
        <w:t>Both varieties are recommended for green fodder production but their relative performance has not been studied under the temperate conditions of the Kashmir valley. The stage of harvest is also very important, as the crop advances towards maturity, dry matter accumulation continues to increase while the nutritive value of the fodder declines (Atış</w:t>
      </w:r>
      <w:r>
        <w:rPr>
          <w:i/>
          <w:iCs/>
        </w:rPr>
        <w:t>et al</w:t>
      </w:r>
      <w:r>
        <w:t xml:space="preserve">., 2012). Shanti </w:t>
      </w:r>
      <w:r>
        <w:rPr>
          <w:i/>
          <w:iCs/>
        </w:rPr>
        <w:t>et al</w:t>
      </w:r>
      <w:r>
        <w:t xml:space="preserve">. (2017) recorded a reduction in crude protein from 10.05% at </w:t>
      </w:r>
      <w:commentRangeStart w:id="1"/>
      <w:r>
        <w:t xml:space="preserve">fifty percent </w:t>
      </w:r>
      <w:commentRangeEnd w:id="1"/>
      <w:r w:rsidR="00455DD5">
        <w:rPr>
          <w:rStyle w:val="CommentReference"/>
        </w:rPr>
        <w:commentReference w:id="1"/>
      </w:r>
      <w:r>
        <w:t>flowering to 7.96% at physiological maturity, with crude fibre increasing over the same period. Khalilian</w:t>
      </w:r>
      <w:r>
        <w:rPr>
          <w:i/>
          <w:iCs/>
        </w:rPr>
        <w:t>et al</w:t>
      </w:r>
      <w:r>
        <w:t xml:space="preserve">. (2022) recorded highest dry matter yield at physiological maturity and the highest feed value at the grain milk stage and recommended harvesting between the soft dough and hard dough stages when both yield and quality are taken into account. Early harvesting can carry the risk of HCN toxicity whose concentration is high in young tissues and decreases with the age of crop (Ouma </w:t>
      </w:r>
      <w:r>
        <w:rPr>
          <w:i/>
          <w:iCs/>
        </w:rPr>
        <w:t>et al</w:t>
      </w:r>
      <w:r>
        <w:t xml:space="preserve">., 2024). The harvesting stage therefore represents a trade off between the quality and quantity of fodder obtained (Nikhil </w:t>
      </w:r>
      <w:r>
        <w:rPr>
          <w:i/>
          <w:iCs/>
        </w:rPr>
        <w:t>et al</w:t>
      </w:r>
      <w:r>
        <w:t>., 2026).</w:t>
      </w:r>
    </w:p>
    <w:p w:rsidR="005B5D9C" w:rsidRDefault="002601F4">
      <w:pPr>
        <w:spacing w:after="120" w:line="360" w:lineRule="auto"/>
        <w:jc w:val="both"/>
      </w:pPr>
      <w:commentRangeStart w:id="2"/>
      <w:r>
        <w:t xml:space="preserve">Growth analysis provides a detailed assessment by quantifying the accumulation of dry matter and the development of leaf area at successive stages of crop growth (Pandey </w:t>
      </w:r>
      <w:r>
        <w:rPr>
          <w:i/>
          <w:iCs/>
        </w:rPr>
        <w:t>et al</w:t>
      </w:r>
      <w:r>
        <w:t xml:space="preserve">., 2017). Crop growth rate (CGR) measures the dry matter produced per unit land area per unit time and represents the productivity of the crop stand (Pollo </w:t>
      </w:r>
      <w:r>
        <w:rPr>
          <w:i/>
          <w:iCs/>
        </w:rPr>
        <w:t>et al</w:t>
      </w:r>
      <w:r>
        <w:t xml:space="preserve">., 2018). Relative growth rate (RGR) expresses the dry matter produced per unit of dry matter already present and reflects the efficiency of growth. Net assimilation rate (NAR) represents the dry matter produced per unit leaf area per unit time and serves as a measure of the photosynthetic efficiency of the canopy (Zhou </w:t>
      </w:r>
      <w:r>
        <w:rPr>
          <w:i/>
          <w:iCs/>
        </w:rPr>
        <w:t>et al</w:t>
      </w:r>
      <w:r>
        <w:t>., 2024). Leaf area index (LAI) indicates the extent of leaf surface available for the interception of light per unit ground area. These indices can elaborate the superiority of a variety from a larger canopy or from greater efficiency per unit leaf area, an important distinction that cannot be drawn from other parameters.</w:t>
      </w:r>
      <w:commentRangeEnd w:id="2"/>
      <w:r w:rsidR="00BC6D6D">
        <w:rPr>
          <w:rStyle w:val="CommentReference"/>
        </w:rPr>
        <w:commentReference w:id="2"/>
      </w:r>
    </w:p>
    <w:p w:rsidR="005B5D9C" w:rsidRDefault="002601F4">
      <w:pPr>
        <w:spacing w:after="120" w:line="360" w:lineRule="auto"/>
        <w:jc w:val="both"/>
      </w:pPr>
      <w:r>
        <w:t xml:space="preserve">Growth analysis has been used to characterise fodder sorghum in different environments. Pérez Hernández </w:t>
      </w:r>
      <w:r>
        <w:rPr>
          <w:i/>
          <w:iCs/>
        </w:rPr>
        <w:t>et al</w:t>
      </w:r>
      <w:r>
        <w:t xml:space="preserve">. (2019) recorded the highest crop growth rate during the 56-85 days after sowing interval and observed significant differences among cultivars in leaf area index and net assimilation rate. Saberi and Siti Aishah (2013) similarly reported significant differences in </w:t>
      </w:r>
      <w:r>
        <w:lastRenderedPageBreak/>
        <w:t>relative growth rate and net assimilation rate of different fodder sorghum varieties. However, literature remains limited regarding the fodder sorghum varieties and the influence of harvesting stages on the growth indices. Keeping these considerations in view, the present investigation was carried out to study the crop growth rate, relative growth rate, net assimilation rate and leaf area index of two fodder sorghum varieties harvested at three stages of harvest.</w:t>
      </w:r>
    </w:p>
    <w:p w:rsidR="005B5D9C" w:rsidRDefault="002601F4">
      <w:pPr>
        <w:spacing w:before="240" w:after="120" w:line="360" w:lineRule="auto"/>
      </w:pPr>
      <w:r>
        <w:rPr>
          <w:b/>
          <w:bCs/>
        </w:rPr>
        <w:t>2. Materials and Methods</w:t>
      </w:r>
    </w:p>
    <w:p w:rsidR="005B5D9C" w:rsidRDefault="002601F4">
      <w:pPr>
        <w:spacing w:after="120" w:line="360" w:lineRule="auto"/>
        <w:jc w:val="both"/>
      </w:pPr>
      <w:r>
        <w:t xml:space="preserve">The trial was conducted at the Research Farm of Division of Agronomy, Faculty of Agriculture, SKUAST-K, Wadura, during </w:t>
      </w:r>
      <w:r>
        <w:rPr>
          <w:i/>
          <w:iCs/>
        </w:rPr>
        <w:t>kharif</w:t>
      </w:r>
      <w:r>
        <w:t xml:space="preserve"> season of 2024 and 2025 to study the influence of different varieties and harvesting stages on the growth indices of fodder sorghum. The trial was laid out in the temperate region of Jammu and Kashmir at an elevation of 1584 m above the mean sea level, 34°34′ N latitude and 74°40′ E longitude. The soil of experimental site had clay loam texture, neutral pH (6.8), normal EC (0.35 dS m</w:t>
      </w:r>
      <w:r>
        <w:rPr>
          <w:vertAlign w:val="superscript"/>
        </w:rPr>
        <w:t>-1</w:t>
      </w:r>
      <w:r>
        <w:t>), medium organic carbon (0.71%) and medium available nitrogen (325.2 kg ha</w:t>
      </w:r>
      <w:r>
        <w:rPr>
          <w:vertAlign w:val="superscript"/>
        </w:rPr>
        <w:t>-1</w:t>
      </w:r>
      <w:r>
        <w:t>), phosphorus (20.7 kg ha</w:t>
      </w:r>
      <w:r>
        <w:rPr>
          <w:vertAlign w:val="superscript"/>
        </w:rPr>
        <w:t>-1</w:t>
      </w:r>
      <w:r>
        <w:t>) and potassium (195.6 kg ha</w:t>
      </w:r>
      <w:r>
        <w:rPr>
          <w:vertAlign w:val="superscript"/>
        </w:rPr>
        <w:t>-1</w:t>
      </w:r>
      <w:r>
        <w:t>).</w:t>
      </w:r>
    </w:p>
    <w:p w:rsidR="005B5D9C" w:rsidRDefault="002601F4">
      <w:pPr>
        <w:spacing w:before="160" w:after="80" w:line="360" w:lineRule="auto"/>
      </w:pPr>
      <w:r>
        <w:rPr>
          <w:b/>
          <w:bCs/>
        </w:rPr>
        <w:t>2.1 Experimental Details</w:t>
      </w:r>
    </w:p>
    <w:p w:rsidR="005B5D9C" w:rsidRDefault="002601F4">
      <w:pPr>
        <w:spacing w:after="120" w:line="360" w:lineRule="auto"/>
        <w:jc w:val="both"/>
      </w:pPr>
      <w:r>
        <w:t>The experiment was laid out in factorial randomised block design with four replications. The two factors were variety with two levels-V</w:t>
      </w:r>
      <w:r>
        <w:rPr>
          <w:vertAlign w:val="subscript"/>
        </w:rPr>
        <w:t xml:space="preserve">1 </w:t>
      </w:r>
      <w:r>
        <w:t>(MP Chari) and V</w:t>
      </w:r>
      <w:r>
        <w:rPr>
          <w:vertAlign w:val="subscript"/>
        </w:rPr>
        <w:t xml:space="preserve">2 </w:t>
      </w:r>
      <w:r>
        <w:t>(SFG-5000) and harvesting stage with three levels- S₁ (Flowering), S₂ (Soft dough) and S₃ (Hard dough). This gave six treatment combinations and 24 total number of plots. The size of the plot was 4 m x 3 m with row spacing of 30 cm.</w:t>
      </w:r>
    </w:p>
    <w:p w:rsidR="005B5D9C" w:rsidRDefault="002601F4">
      <w:pPr>
        <w:spacing w:after="120" w:line="360" w:lineRule="auto"/>
        <w:jc w:val="both"/>
        <w:rPr>
          <w:b/>
          <w:bCs/>
        </w:rPr>
      </w:pPr>
      <w:r>
        <w:rPr>
          <w:b/>
          <w:bCs/>
        </w:rPr>
        <w:t>2.2 Observations Recorded</w:t>
      </w:r>
    </w:p>
    <w:p w:rsidR="005B5D9C" w:rsidRDefault="002601F4">
      <w:pPr>
        <w:spacing w:after="120" w:line="360" w:lineRule="auto"/>
        <w:jc w:val="both"/>
      </w:pPr>
      <w:r>
        <w:t>The observations listed below were recorded to study the growth indices of fodder sorghum crop. Plant samples were collected at 20, 40 and 60 days after sowing (DAS) and at the harvesting stage from each plot. The samples were dried in the oven at 65 ± 2 °C until a constant weight was attained and weighed on an electronic balance. Dry weights obtained on plant basis were then converted into unit land area basis. The growth rate indices were computed for the 20-40 DAS, 40-60 DAS and 60 DAS to harvest intervals following the standard procedures of Watson (1952) and Radford (1967).</w:t>
      </w:r>
    </w:p>
    <w:p w:rsidR="005B5D9C" w:rsidRDefault="002601F4">
      <w:pPr>
        <w:spacing w:after="120" w:line="360" w:lineRule="auto"/>
        <w:jc w:val="both"/>
        <w:rPr>
          <w:b/>
          <w:bCs/>
        </w:rPr>
      </w:pPr>
      <w:r>
        <w:rPr>
          <w:b/>
          <w:bCs/>
        </w:rPr>
        <w:t>2.2.1 Crop Growth Rate (g m⁻² day⁻¹)</w:t>
      </w:r>
    </w:p>
    <w:p w:rsidR="005B5D9C" w:rsidRDefault="002601F4">
      <w:pPr>
        <w:spacing w:after="120" w:line="360" w:lineRule="auto"/>
        <w:jc w:val="both"/>
      </w:pPr>
      <w:r>
        <w:lastRenderedPageBreak/>
        <w:t>Crop growth rate denotes the dry matter accumulated by the crop stand per unit land area per unit time. It was calculated as suggested by Watson (1952):</w:t>
      </w:r>
    </w:p>
    <w:tbl>
      <w:tblPr>
        <w:tblStyle w:val="a"/>
        <w:tblpPr w:leftFromText="180" w:rightFromText="180" w:vertAnchor="text" w:tblpX="2216"/>
        <w:tblW w:w="4928" w:type="dxa"/>
        <w:tblInd w:w="0" w:type="dxa"/>
        <w:tblLayout w:type="fixed"/>
        <w:tblLook w:val="0400"/>
      </w:tblPr>
      <w:tblGrid>
        <w:gridCol w:w="2518"/>
        <w:gridCol w:w="1558"/>
        <w:gridCol w:w="285"/>
        <w:gridCol w:w="567"/>
      </w:tblGrid>
      <w:tr w:rsidR="005B5D9C">
        <w:trPr>
          <w:trHeight w:val="235"/>
        </w:trPr>
        <w:tc>
          <w:tcPr>
            <w:tcW w:w="2518" w:type="dxa"/>
            <w:vMerge w:val="restart"/>
            <w:vAlign w:val="center"/>
          </w:tcPr>
          <w:p w:rsidR="005B5D9C" w:rsidRDefault="002601F4">
            <w:pPr>
              <w:spacing w:before="40" w:after="40"/>
              <w:jc w:val="center"/>
              <w:rPr>
                <w:i/>
                <w:iCs/>
              </w:rPr>
            </w:pPr>
            <w:r>
              <w:rPr>
                <w:i/>
                <w:iCs/>
              </w:rPr>
              <w:t>CGR (g m</w:t>
            </w:r>
            <w:r>
              <w:rPr>
                <w:i/>
                <w:iCs/>
                <w:vertAlign w:val="superscript"/>
              </w:rPr>
              <w:t xml:space="preserve">-2 </w:t>
            </w:r>
            <w:r>
              <w:rPr>
                <w:i/>
                <w:iCs/>
              </w:rPr>
              <w:t>day</w:t>
            </w:r>
            <w:r>
              <w:rPr>
                <w:i/>
                <w:iCs/>
                <w:vertAlign w:val="superscript"/>
              </w:rPr>
              <w:t>-1</w:t>
            </w:r>
            <w:r>
              <w:rPr>
                <w:i/>
                <w:iCs/>
              </w:rPr>
              <w:t>) =</w:t>
            </w:r>
          </w:p>
        </w:tc>
        <w:tc>
          <w:tcPr>
            <w:tcW w:w="1558" w:type="dxa"/>
            <w:tcBorders>
              <w:bottom w:val="single" w:sz="4" w:space="0" w:color="000000"/>
            </w:tcBorders>
            <w:vAlign w:val="center"/>
          </w:tcPr>
          <w:p w:rsidR="005B5D9C" w:rsidRDefault="002601F4">
            <w:pPr>
              <w:spacing w:before="40" w:after="40"/>
              <w:jc w:val="center"/>
              <w:rPr>
                <w:i/>
                <w:iCs/>
                <w:vertAlign w:val="subscript"/>
              </w:rPr>
            </w:pPr>
            <w:r>
              <w:rPr>
                <w:i/>
                <w:iCs/>
              </w:rPr>
              <w:t>W</w:t>
            </w:r>
            <w:r>
              <w:rPr>
                <w:i/>
                <w:iCs/>
                <w:vertAlign w:val="subscript"/>
              </w:rPr>
              <w:t>2</w:t>
            </w:r>
            <w:r>
              <w:rPr>
                <w:i/>
                <w:iCs/>
              </w:rPr>
              <w:t>-W</w:t>
            </w:r>
            <w:r>
              <w:rPr>
                <w:i/>
                <w:iCs/>
                <w:vertAlign w:val="subscript"/>
              </w:rPr>
              <w:t>1</w:t>
            </w:r>
          </w:p>
        </w:tc>
        <w:tc>
          <w:tcPr>
            <w:tcW w:w="285" w:type="dxa"/>
            <w:vMerge w:val="restart"/>
            <w:vAlign w:val="center"/>
          </w:tcPr>
          <w:p w:rsidR="005B5D9C" w:rsidRDefault="002601F4">
            <w:pPr>
              <w:spacing w:before="40" w:after="40"/>
              <w:jc w:val="center"/>
              <w:rPr>
                <w:i/>
                <w:iCs/>
              </w:rPr>
            </w:pPr>
            <w:r>
              <w:rPr>
                <w:i/>
                <w:iCs/>
              </w:rPr>
              <w:t>×</w:t>
            </w:r>
          </w:p>
        </w:tc>
        <w:tc>
          <w:tcPr>
            <w:tcW w:w="567" w:type="dxa"/>
            <w:tcBorders>
              <w:bottom w:val="single" w:sz="4" w:space="0" w:color="000000"/>
            </w:tcBorders>
          </w:tcPr>
          <w:p w:rsidR="005B5D9C" w:rsidRDefault="002601F4">
            <w:pPr>
              <w:spacing w:before="40" w:after="40"/>
              <w:jc w:val="center"/>
              <w:rPr>
                <w:i/>
                <w:iCs/>
              </w:rPr>
            </w:pPr>
            <w:r>
              <w:rPr>
                <w:i/>
                <w:iCs/>
              </w:rPr>
              <w:t>1</w:t>
            </w:r>
          </w:p>
        </w:tc>
      </w:tr>
      <w:tr w:rsidR="005B5D9C">
        <w:trPr>
          <w:trHeight w:val="98"/>
        </w:trPr>
        <w:tc>
          <w:tcPr>
            <w:tcW w:w="2518" w:type="dxa"/>
            <w:vMerge/>
            <w:vAlign w:val="center"/>
          </w:tcPr>
          <w:p w:rsidR="005B5D9C" w:rsidRDefault="005B5D9C">
            <w:pPr>
              <w:widowControl w:val="0"/>
              <w:pBdr>
                <w:top w:val="nil"/>
                <w:left w:val="nil"/>
                <w:bottom w:val="nil"/>
                <w:right w:val="nil"/>
                <w:between w:val="nil"/>
              </w:pBdr>
              <w:spacing w:line="276" w:lineRule="auto"/>
              <w:rPr>
                <w:i/>
                <w:iCs/>
              </w:rPr>
            </w:pPr>
          </w:p>
        </w:tc>
        <w:tc>
          <w:tcPr>
            <w:tcW w:w="1558" w:type="dxa"/>
            <w:tcBorders>
              <w:top w:val="single" w:sz="4" w:space="0" w:color="000000"/>
            </w:tcBorders>
          </w:tcPr>
          <w:p w:rsidR="005B5D9C" w:rsidRDefault="002601F4">
            <w:pPr>
              <w:spacing w:before="40" w:after="40"/>
              <w:jc w:val="center"/>
              <w:rPr>
                <w:i/>
                <w:iCs/>
              </w:rPr>
            </w:pPr>
            <w:r>
              <w:rPr>
                <w:i/>
                <w:iCs/>
              </w:rPr>
              <w:t>T</w:t>
            </w:r>
            <w:r>
              <w:rPr>
                <w:i/>
                <w:iCs/>
                <w:vertAlign w:val="subscript"/>
              </w:rPr>
              <w:t>2</w:t>
            </w:r>
            <w:r>
              <w:rPr>
                <w:i/>
                <w:iCs/>
              </w:rPr>
              <w:t>-T</w:t>
            </w:r>
            <w:r>
              <w:rPr>
                <w:i/>
                <w:iCs/>
                <w:vertAlign w:val="subscript"/>
              </w:rPr>
              <w:t>1</w:t>
            </w:r>
          </w:p>
        </w:tc>
        <w:tc>
          <w:tcPr>
            <w:tcW w:w="285" w:type="dxa"/>
            <w:vMerge/>
            <w:vAlign w:val="center"/>
          </w:tcPr>
          <w:p w:rsidR="005B5D9C" w:rsidRDefault="005B5D9C">
            <w:pPr>
              <w:widowControl w:val="0"/>
              <w:pBdr>
                <w:top w:val="nil"/>
                <w:left w:val="nil"/>
                <w:bottom w:val="nil"/>
                <w:right w:val="nil"/>
                <w:between w:val="nil"/>
              </w:pBdr>
              <w:spacing w:line="276" w:lineRule="auto"/>
              <w:rPr>
                <w:i/>
                <w:iCs/>
              </w:rPr>
            </w:pPr>
          </w:p>
        </w:tc>
        <w:tc>
          <w:tcPr>
            <w:tcW w:w="567" w:type="dxa"/>
            <w:tcBorders>
              <w:top w:val="single" w:sz="4" w:space="0" w:color="000000"/>
            </w:tcBorders>
            <w:vAlign w:val="center"/>
          </w:tcPr>
          <w:p w:rsidR="005B5D9C" w:rsidRDefault="002601F4">
            <w:pPr>
              <w:spacing w:before="40" w:after="40"/>
              <w:jc w:val="center"/>
              <w:rPr>
                <w:i/>
                <w:iCs/>
              </w:rPr>
            </w:pPr>
            <w:r>
              <w:rPr>
                <w:i/>
                <w:iCs/>
              </w:rPr>
              <w:t>A</w:t>
            </w:r>
          </w:p>
        </w:tc>
      </w:tr>
    </w:tbl>
    <w:p w:rsidR="005B5D9C" w:rsidRDefault="005B5D9C">
      <w:pPr>
        <w:spacing w:after="120" w:line="360" w:lineRule="auto"/>
        <w:jc w:val="both"/>
      </w:pPr>
    </w:p>
    <w:p w:rsidR="005B5D9C" w:rsidRDefault="005B5D9C">
      <w:pPr>
        <w:spacing w:after="120" w:line="360" w:lineRule="auto"/>
        <w:jc w:val="both"/>
      </w:pPr>
    </w:p>
    <w:p w:rsidR="005B5D9C" w:rsidRDefault="002601F4">
      <w:pPr>
        <w:spacing w:after="120" w:line="360" w:lineRule="auto"/>
        <w:jc w:val="both"/>
      </w:pPr>
      <w:r>
        <w:t>Where, W₁ and W₂ are dry weight recorded at times t₁ and t₂ respectively, (t₂-t₁) is the duration of the interval in days and A is the area (Spacing).</w:t>
      </w:r>
    </w:p>
    <w:p w:rsidR="005B5D9C" w:rsidRDefault="002601F4">
      <w:pPr>
        <w:spacing w:after="120" w:line="360" w:lineRule="auto"/>
        <w:jc w:val="both"/>
        <w:rPr>
          <w:b/>
          <w:bCs/>
        </w:rPr>
      </w:pPr>
      <w:r>
        <w:rPr>
          <w:b/>
          <w:bCs/>
        </w:rPr>
        <w:t>2.2.2 Relative Growth Rate (g g</w:t>
      </w:r>
      <w:r>
        <w:rPr>
          <w:b/>
          <w:bCs/>
          <w:vertAlign w:val="superscript"/>
        </w:rPr>
        <w:t>-1</w:t>
      </w:r>
      <w:r>
        <w:rPr>
          <w:b/>
          <w:bCs/>
        </w:rPr>
        <w:t xml:space="preserve"> day</w:t>
      </w:r>
      <w:r>
        <w:rPr>
          <w:b/>
          <w:bCs/>
          <w:vertAlign w:val="superscript"/>
        </w:rPr>
        <w:t>-1</w:t>
      </w:r>
      <w:r>
        <w:rPr>
          <w:b/>
          <w:bCs/>
        </w:rPr>
        <w:t>)</w:t>
      </w:r>
    </w:p>
    <w:p w:rsidR="005B5D9C" w:rsidRDefault="002601F4">
      <w:pPr>
        <w:spacing w:after="120" w:line="360" w:lineRule="auto"/>
        <w:jc w:val="both"/>
      </w:pPr>
      <w:r>
        <w:t>Relative growth rate expresses the dry matter produced per unit of dry matter already present per unit time. The index was derived from the difference between the natural logarithms of successive dry weights (Blackman, 1919; Radford, 1967):</w:t>
      </w:r>
    </w:p>
    <w:tbl>
      <w:tblPr>
        <w:tblStyle w:val="a0"/>
        <w:tblW w:w="4145" w:type="dxa"/>
        <w:jc w:val="center"/>
        <w:tblInd w:w="0" w:type="dxa"/>
        <w:tblLayout w:type="fixed"/>
        <w:tblLook w:val="0400"/>
      </w:tblPr>
      <w:tblGrid>
        <w:gridCol w:w="2518"/>
        <w:gridCol w:w="1627"/>
      </w:tblGrid>
      <w:tr w:rsidR="005B5D9C">
        <w:trPr>
          <w:trHeight w:val="235"/>
          <w:jc w:val="center"/>
        </w:trPr>
        <w:tc>
          <w:tcPr>
            <w:tcW w:w="2518" w:type="dxa"/>
            <w:vMerge w:val="restart"/>
            <w:vAlign w:val="center"/>
          </w:tcPr>
          <w:p w:rsidR="005B5D9C" w:rsidRDefault="002601F4">
            <w:pPr>
              <w:spacing w:after="120" w:line="360" w:lineRule="auto"/>
              <w:jc w:val="both"/>
              <w:rPr>
                <w:i/>
                <w:iCs/>
              </w:rPr>
            </w:pPr>
            <w:r>
              <w:rPr>
                <w:i/>
                <w:iCs/>
              </w:rPr>
              <w:t>RGR (g g</w:t>
            </w:r>
            <w:r>
              <w:rPr>
                <w:i/>
                <w:iCs/>
                <w:vertAlign w:val="superscript"/>
              </w:rPr>
              <w:t xml:space="preserve">-1 </w:t>
            </w:r>
            <w:r>
              <w:rPr>
                <w:i/>
                <w:iCs/>
              </w:rPr>
              <w:t>day</w:t>
            </w:r>
            <w:r>
              <w:rPr>
                <w:i/>
                <w:iCs/>
                <w:vertAlign w:val="superscript"/>
              </w:rPr>
              <w:t>-1</w:t>
            </w:r>
            <w:r>
              <w:rPr>
                <w:i/>
                <w:iCs/>
              </w:rPr>
              <w:t>) =</w:t>
            </w:r>
          </w:p>
        </w:tc>
        <w:tc>
          <w:tcPr>
            <w:tcW w:w="1627" w:type="dxa"/>
            <w:tcBorders>
              <w:bottom w:val="single" w:sz="4" w:space="0" w:color="000000"/>
            </w:tcBorders>
            <w:vAlign w:val="center"/>
          </w:tcPr>
          <w:p w:rsidR="005B5D9C" w:rsidRDefault="002601F4">
            <w:pPr>
              <w:spacing w:after="120" w:line="360" w:lineRule="auto"/>
              <w:jc w:val="both"/>
              <w:rPr>
                <w:i/>
                <w:iCs/>
                <w:vertAlign w:val="subscript"/>
              </w:rPr>
            </w:pPr>
            <w:r>
              <w:rPr>
                <w:i/>
                <w:iCs/>
              </w:rPr>
              <w:t xml:space="preserve"> ln W</w:t>
            </w:r>
            <w:r>
              <w:rPr>
                <w:i/>
                <w:iCs/>
                <w:vertAlign w:val="subscript"/>
              </w:rPr>
              <w:t>2</w:t>
            </w:r>
            <w:r>
              <w:rPr>
                <w:i/>
                <w:iCs/>
              </w:rPr>
              <w:t>- ln W</w:t>
            </w:r>
            <w:r>
              <w:rPr>
                <w:i/>
                <w:iCs/>
                <w:vertAlign w:val="subscript"/>
              </w:rPr>
              <w:t>1</w:t>
            </w:r>
          </w:p>
        </w:tc>
      </w:tr>
      <w:tr w:rsidR="005B5D9C">
        <w:trPr>
          <w:trHeight w:val="98"/>
          <w:jc w:val="center"/>
        </w:trPr>
        <w:tc>
          <w:tcPr>
            <w:tcW w:w="2518" w:type="dxa"/>
            <w:vMerge/>
            <w:vAlign w:val="center"/>
          </w:tcPr>
          <w:p w:rsidR="005B5D9C" w:rsidRDefault="005B5D9C">
            <w:pPr>
              <w:widowControl w:val="0"/>
              <w:pBdr>
                <w:top w:val="nil"/>
                <w:left w:val="nil"/>
                <w:bottom w:val="nil"/>
                <w:right w:val="nil"/>
                <w:between w:val="nil"/>
              </w:pBdr>
              <w:spacing w:line="276" w:lineRule="auto"/>
              <w:rPr>
                <w:i/>
                <w:iCs/>
                <w:vertAlign w:val="subscript"/>
              </w:rPr>
            </w:pPr>
          </w:p>
        </w:tc>
        <w:tc>
          <w:tcPr>
            <w:tcW w:w="1627" w:type="dxa"/>
            <w:tcBorders>
              <w:top w:val="single" w:sz="4" w:space="0" w:color="000000"/>
            </w:tcBorders>
          </w:tcPr>
          <w:p w:rsidR="005B5D9C" w:rsidRDefault="002601F4">
            <w:pPr>
              <w:spacing w:after="120" w:line="360" w:lineRule="auto"/>
              <w:jc w:val="both"/>
              <w:rPr>
                <w:i/>
                <w:iCs/>
              </w:rPr>
            </w:pPr>
            <w:r>
              <w:rPr>
                <w:i/>
                <w:iCs/>
              </w:rPr>
              <w:t>T</w:t>
            </w:r>
            <w:r>
              <w:rPr>
                <w:i/>
                <w:iCs/>
                <w:vertAlign w:val="subscript"/>
              </w:rPr>
              <w:t>2</w:t>
            </w:r>
            <w:r>
              <w:rPr>
                <w:i/>
                <w:iCs/>
              </w:rPr>
              <w:t>-T</w:t>
            </w:r>
            <w:r>
              <w:rPr>
                <w:i/>
                <w:iCs/>
                <w:vertAlign w:val="subscript"/>
              </w:rPr>
              <w:t>1</w:t>
            </w:r>
          </w:p>
        </w:tc>
      </w:tr>
    </w:tbl>
    <w:p w:rsidR="005B5D9C" w:rsidRDefault="002601F4">
      <w:pPr>
        <w:spacing w:after="120" w:line="360" w:lineRule="auto"/>
        <w:jc w:val="both"/>
      </w:pPr>
      <w:r>
        <w:t>Where, ln W₁ and ln W₂ are the dry weights recorded at times t₁ and t₂ respectively. The obtained values were converted from g g⁻¹ day⁻¹ to mg g⁻¹ day⁻¹.</w:t>
      </w:r>
    </w:p>
    <w:p w:rsidR="005B5D9C" w:rsidRDefault="002601F4">
      <w:pPr>
        <w:spacing w:after="120" w:line="360" w:lineRule="auto"/>
        <w:jc w:val="both"/>
        <w:rPr>
          <w:b/>
          <w:bCs/>
        </w:rPr>
      </w:pPr>
      <w:r>
        <w:rPr>
          <w:b/>
          <w:bCs/>
        </w:rPr>
        <w:t>2.2.3 Net Assimilation Rate (g m</w:t>
      </w:r>
      <w:r>
        <w:rPr>
          <w:b/>
          <w:bCs/>
          <w:vertAlign w:val="superscript"/>
        </w:rPr>
        <w:t xml:space="preserve">-2 </w:t>
      </w:r>
      <w:r>
        <w:rPr>
          <w:b/>
          <w:bCs/>
        </w:rPr>
        <w:t>day</w:t>
      </w:r>
      <w:r>
        <w:rPr>
          <w:b/>
          <w:bCs/>
          <w:vertAlign w:val="superscript"/>
        </w:rPr>
        <w:t>-1</w:t>
      </w:r>
      <w:r>
        <w:rPr>
          <w:b/>
          <w:bCs/>
        </w:rPr>
        <w:t>)</w:t>
      </w:r>
    </w:p>
    <w:p w:rsidR="005B5D9C" w:rsidRDefault="002601F4">
      <w:pPr>
        <w:spacing w:after="120" w:line="360" w:lineRule="auto"/>
        <w:jc w:val="both"/>
      </w:pPr>
      <w:r>
        <w:t>Net assimilation rate represents the dry matter produced per unit leaf area per unit time and serves as a field measure of the net photosynthetic efficiency of the canopy. It was computed using the formula of Radford (1967):</w:t>
      </w:r>
    </w:p>
    <w:tbl>
      <w:tblPr>
        <w:tblStyle w:val="a1"/>
        <w:tblpPr w:leftFromText="180" w:rightFromText="180" w:vertAnchor="text" w:tblpX="1932"/>
        <w:tblW w:w="5495" w:type="dxa"/>
        <w:tblInd w:w="0" w:type="dxa"/>
        <w:tblLayout w:type="fixed"/>
        <w:tblLook w:val="0400"/>
      </w:tblPr>
      <w:tblGrid>
        <w:gridCol w:w="2235"/>
        <w:gridCol w:w="1275"/>
        <w:gridCol w:w="284"/>
        <w:gridCol w:w="1701"/>
      </w:tblGrid>
      <w:tr w:rsidR="005B5D9C">
        <w:trPr>
          <w:trHeight w:val="235"/>
        </w:trPr>
        <w:tc>
          <w:tcPr>
            <w:tcW w:w="2235" w:type="dxa"/>
            <w:vMerge w:val="restart"/>
            <w:vAlign w:val="center"/>
          </w:tcPr>
          <w:p w:rsidR="005B5D9C" w:rsidRDefault="002601F4">
            <w:pPr>
              <w:spacing w:after="120" w:line="360" w:lineRule="auto"/>
              <w:jc w:val="both"/>
              <w:rPr>
                <w:i/>
                <w:iCs/>
              </w:rPr>
            </w:pPr>
            <w:r>
              <w:rPr>
                <w:i/>
                <w:iCs/>
              </w:rPr>
              <w:t>NAR (g m</w:t>
            </w:r>
            <w:r>
              <w:rPr>
                <w:i/>
                <w:iCs/>
                <w:vertAlign w:val="superscript"/>
              </w:rPr>
              <w:t>-2</w:t>
            </w:r>
            <w:r>
              <w:rPr>
                <w:i/>
                <w:iCs/>
              </w:rPr>
              <w:t xml:space="preserve"> day</w:t>
            </w:r>
            <w:r>
              <w:rPr>
                <w:i/>
                <w:iCs/>
                <w:vertAlign w:val="superscript"/>
              </w:rPr>
              <w:t>-1</w:t>
            </w:r>
            <w:r>
              <w:rPr>
                <w:i/>
                <w:iCs/>
              </w:rPr>
              <w:t>) =</w:t>
            </w:r>
          </w:p>
        </w:tc>
        <w:tc>
          <w:tcPr>
            <w:tcW w:w="1275" w:type="dxa"/>
            <w:tcBorders>
              <w:bottom w:val="single" w:sz="4" w:space="0" w:color="000000"/>
            </w:tcBorders>
            <w:vAlign w:val="center"/>
          </w:tcPr>
          <w:p w:rsidR="005B5D9C" w:rsidRDefault="002601F4">
            <w:pPr>
              <w:spacing w:after="120" w:line="360" w:lineRule="auto"/>
              <w:jc w:val="both"/>
              <w:rPr>
                <w:i/>
                <w:iCs/>
                <w:vertAlign w:val="subscript"/>
              </w:rPr>
            </w:pPr>
            <w:r>
              <w:rPr>
                <w:i/>
                <w:iCs/>
              </w:rPr>
              <w:t xml:space="preserve"> W</w:t>
            </w:r>
            <w:r>
              <w:rPr>
                <w:i/>
                <w:iCs/>
                <w:vertAlign w:val="subscript"/>
              </w:rPr>
              <w:t>2</w:t>
            </w:r>
            <w:r>
              <w:rPr>
                <w:i/>
                <w:iCs/>
              </w:rPr>
              <w:t xml:space="preserve"> – W</w:t>
            </w:r>
            <w:r>
              <w:rPr>
                <w:i/>
                <w:iCs/>
                <w:vertAlign w:val="subscript"/>
              </w:rPr>
              <w:t>1</w:t>
            </w:r>
          </w:p>
        </w:tc>
        <w:tc>
          <w:tcPr>
            <w:tcW w:w="284" w:type="dxa"/>
            <w:vMerge w:val="restart"/>
            <w:vAlign w:val="center"/>
          </w:tcPr>
          <w:p w:rsidR="005B5D9C" w:rsidRDefault="002601F4">
            <w:pPr>
              <w:spacing w:after="120" w:line="360" w:lineRule="auto"/>
              <w:jc w:val="both"/>
              <w:rPr>
                <w:i/>
                <w:iCs/>
              </w:rPr>
            </w:pPr>
            <w:r>
              <w:rPr>
                <w:i/>
                <w:iCs/>
              </w:rPr>
              <w:t>×</w:t>
            </w:r>
          </w:p>
        </w:tc>
        <w:tc>
          <w:tcPr>
            <w:tcW w:w="1701" w:type="dxa"/>
            <w:tcBorders>
              <w:bottom w:val="single" w:sz="4" w:space="0" w:color="000000"/>
            </w:tcBorders>
          </w:tcPr>
          <w:p w:rsidR="005B5D9C" w:rsidRDefault="002601F4">
            <w:pPr>
              <w:spacing w:after="120" w:line="360" w:lineRule="auto"/>
              <w:jc w:val="both"/>
              <w:rPr>
                <w:i/>
                <w:iCs/>
                <w:vertAlign w:val="subscript"/>
              </w:rPr>
            </w:pPr>
            <w:r>
              <w:rPr>
                <w:i/>
                <w:iCs/>
              </w:rPr>
              <w:t>ln L</w:t>
            </w:r>
            <w:r>
              <w:rPr>
                <w:i/>
                <w:iCs/>
                <w:vertAlign w:val="subscript"/>
              </w:rPr>
              <w:t>2</w:t>
            </w:r>
            <w:r>
              <w:rPr>
                <w:i/>
                <w:iCs/>
              </w:rPr>
              <w:t xml:space="preserve"> – ln L</w:t>
            </w:r>
            <w:r>
              <w:rPr>
                <w:i/>
                <w:iCs/>
                <w:vertAlign w:val="subscript"/>
              </w:rPr>
              <w:t>1</w:t>
            </w:r>
          </w:p>
        </w:tc>
      </w:tr>
      <w:tr w:rsidR="005B5D9C">
        <w:trPr>
          <w:trHeight w:val="98"/>
        </w:trPr>
        <w:tc>
          <w:tcPr>
            <w:tcW w:w="2235" w:type="dxa"/>
            <w:vMerge/>
            <w:vAlign w:val="center"/>
          </w:tcPr>
          <w:p w:rsidR="005B5D9C" w:rsidRDefault="005B5D9C">
            <w:pPr>
              <w:widowControl w:val="0"/>
              <w:pBdr>
                <w:top w:val="nil"/>
                <w:left w:val="nil"/>
                <w:bottom w:val="nil"/>
                <w:right w:val="nil"/>
                <w:between w:val="nil"/>
              </w:pBdr>
              <w:spacing w:line="276" w:lineRule="auto"/>
              <w:rPr>
                <w:i/>
                <w:iCs/>
                <w:vertAlign w:val="subscript"/>
              </w:rPr>
            </w:pPr>
          </w:p>
        </w:tc>
        <w:tc>
          <w:tcPr>
            <w:tcW w:w="1275" w:type="dxa"/>
            <w:tcBorders>
              <w:top w:val="single" w:sz="4" w:space="0" w:color="000000"/>
            </w:tcBorders>
          </w:tcPr>
          <w:p w:rsidR="005B5D9C" w:rsidRDefault="002601F4">
            <w:pPr>
              <w:spacing w:after="120" w:line="360" w:lineRule="auto"/>
              <w:jc w:val="both"/>
              <w:rPr>
                <w:i/>
                <w:iCs/>
              </w:rPr>
            </w:pPr>
            <w:r>
              <w:rPr>
                <w:i/>
                <w:iCs/>
              </w:rPr>
              <w:t>T</w:t>
            </w:r>
            <w:r>
              <w:rPr>
                <w:i/>
                <w:iCs/>
                <w:vertAlign w:val="subscript"/>
              </w:rPr>
              <w:t>2</w:t>
            </w:r>
            <w:r>
              <w:rPr>
                <w:i/>
                <w:iCs/>
              </w:rPr>
              <w:t>–T</w:t>
            </w:r>
            <w:r>
              <w:rPr>
                <w:i/>
                <w:iCs/>
                <w:vertAlign w:val="subscript"/>
              </w:rPr>
              <w:t>1</w:t>
            </w:r>
          </w:p>
        </w:tc>
        <w:tc>
          <w:tcPr>
            <w:tcW w:w="284" w:type="dxa"/>
            <w:vMerge/>
            <w:vAlign w:val="center"/>
          </w:tcPr>
          <w:p w:rsidR="005B5D9C" w:rsidRDefault="005B5D9C">
            <w:pPr>
              <w:widowControl w:val="0"/>
              <w:pBdr>
                <w:top w:val="nil"/>
                <w:left w:val="nil"/>
                <w:bottom w:val="nil"/>
                <w:right w:val="nil"/>
                <w:between w:val="nil"/>
              </w:pBdr>
              <w:spacing w:line="276" w:lineRule="auto"/>
              <w:rPr>
                <w:i/>
                <w:iCs/>
              </w:rPr>
            </w:pPr>
          </w:p>
        </w:tc>
        <w:tc>
          <w:tcPr>
            <w:tcW w:w="1701" w:type="dxa"/>
            <w:tcBorders>
              <w:top w:val="single" w:sz="4" w:space="0" w:color="000000"/>
            </w:tcBorders>
          </w:tcPr>
          <w:p w:rsidR="005B5D9C" w:rsidRDefault="002601F4">
            <w:pPr>
              <w:spacing w:after="120" w:line="360" w:lineRule="auto"/>
              <w:jc w:val="both"/>
              <w:rPr>
                <w:i/>
                <w:iCs/>
                <w:vertAlign w:val="subscript"/>
              </w:rPr>
            </w:pPr>
            <w:r>
              <w:rPr>
                <w:i/>
                <w:iCs/>
              </w:rPr>
              <w:t>L</w:t>
            </w:r>
            <w:r>
              <w:rPr>
                <w:i/>
                <w:iCs/>
                <w:vertAlign w:val="subscript"/>
              </w:rPr>
              <w:t>2</w:t>
            </w:r>
            <w:r>
              <w:rPr>
                <w:i/>
                <w:iCs/>
              </w:rPr>
              <w:t xml:space="preserve"> –L</w:t>
            </w:r>
            <w:r>
              <w:rPr>
                <w:i/>
                <w:iCs/>
                <w:vertAlign w:val="subscript"/>
              </w:rPr>
              <w:t>1</w:t>
            </w:r>
          </w:p>
        </w:tc>
      </w:tr>
    </w:tbl>
    <w:p w:rsidR="005B5D9C" w:rsidRDefault="005B5D9C">
      <w:pPr>
        <w:spacing w:after="120" w:line="360" w:lineRule="auto"/>
        <w:jc w:val="both"/>
      </w:pPr>
    </w:p>
    <w:p w:rsidR="005B5D9C" w:rsidRDefault="005B5D9C">
      <w:pPr>
        <w:spacing w:after="120" w:line="360" w:lineRule="auto"/>
        <w:jc w:val="both"/>
      </w:pPr>
    </w:p>
    <w:p w:rsidR="005B5D9C" w:rsidRDefault="002601F4">
      <w:pPr>
        <w:spacing w:after="120" w:line="360" w:lineRule="auto"/>
        <w:jc w:val="both"/>
      </w:pPr>
      <w:r>
        <w:t xml:space="preserve">Where, L₁ and L₂ are the leaf areas corresponding to the dry weights W₁ and W₂ at times t₁ and t₂ respectively. </w:t>
      </w:r>
    </w:p>
    <w:p w:rsidR="005B5D9C" w:rsidRDefault="002601F4">
      <w:pPr>
        <w:spacing w:after="120" w:line="360" w:lineRule="auto"/>
        <w:jc w:val="both"/>
        <w:rPr>
          <w:b/>
          <w:bCs/>
        </w:rPr>
      </w:pPr>
      <w:r>
        <w:rPr>
          <w:b/>
          <w:bCs/>
        </w:rPr>
        <w:t>2.2.4 Leaf Area Index</w:t>
      </w:r>
    </w:p>
    <w:p w:rsidR="005B5D9C" w:rsidRDefault="002601F4">
      <w:pPr>
        <w:spacing w:after="120" w:line="360" w:lineRule="auto"/>
        <w:jc w:val="both"/>
      </w:pPr>
      <w:r>
        <w:t>The leaf area was measured at 20, 40, 60 days after sowing and at harvest using an AccuPAR LP-80 canopy analyser (Decagon Devices, USA).</w:t>
      </w:r>
    </w:p>
    <w:p w:rsidR="005B5D9C" w:rsidRDefault="002601F4">
      <w:pPr>
        <w:spacing w:before="160" w:after="80" w:line="360" w:lineRule="auto"/>
      </w:pPr>
      <w:r>
        <w:rPr>
          <w:b/>
          <w:bCs/>
        </w:rPr>
        <w:t>2.3 Statistical Analysis</w:t>
      </w:r>
    </w:p>
    <w:p w:rsidR="005B5D9C" w:rsidRDefault="002601F4">
      <w:pPr>
        <w:spacing w:after="120" w:line="360" w:lineRule="auto"/>
        <w:jc w:val="both"/>
      </w:pPr>
      <w:r>
        <w:lastRenderedPageBreak/>
        <w:t xml:space="preserve">The data pertaining to each parameter was analysed by analysis of variance appropriate to factorial randomised block design. The significance of treatment effects was tested by the </w:t>
      </w:r>
      <w:r>
        <w:rPr>
          <w:i/>
          <w:iCs/>
        </w:rPr>
        <w:t>F</w:t>
      </w:r>
      <w:r>
        <w:t xml:space="preserve">-test, and treatment means were separated by the critical difference (CD) at </w:t>
      </w:r>
      <w:r>
        <w:rPr>
          <w:i/>
          <w:iCs/>
        </w:rPr>
        <w:t>p ≤ 0.05</w:t>
      </w:r>
      <w:r>
        <w:t>. All the statistical analysis procedures were performed using R software version 4.3.1.</w:t>
      </w:r>
    </w:p>
    <w:p w:rsidR="005B5D9C" w:rsidRDefault="002601F4">
      <w:pPr>
        <w:spacing w:before="240" w:after="120" w:line="360" w:lineRule="auto"/>
      </w:pPr>
      <w:r>
        <w:rPr>
          <w:b/>
          <w:bCs/>
        </w:rPr>
        <w:t>3. Results</w:t>
      </w:r>
    </w:p>
    <w:p w:rsidR="005B5D9C" w:rsidRDefault="002601F4">
      <w:pPr>
        <w:spacing w:before="160" w:after="80" w:line="360" w:lineRule="auto"/>
        <w:rPr>
          <w:b/>
          <w:bCs/>
        </w:rPr>
      </w:pPr>
      <w:r>
        <w:rPr>
          <w:b/>
          <w:bCs/>
        </w:rPr>
        <w:t>3.1 Crop growth rate (CGR)</w:t>
      </w:r>
    </w:p>
    <w:p w:rsidR="005B5D9C" w:rsidRDefault="002601F4">
      <w:pPr>
        <w:spacing w:before="160" w:after="80" w:line="360" w:lineRule="auto"/>
        <w:jc w:val="both"/>
      </w:pPr>
      <w:r>
        <w:t>Variety significantly influenced the crop growth rate at all the three intervals (Table 1). CGR increased with the age of crop up to 60 days after sowing and then declined (Figure 1). MP Chari exceeded SFG-5000 throughout the crop cycle. Peak values were recorded during 40-60 days after sowing interval for MP Chari (24.73 and 39.11 g m</w:t>
      </w:r>
      <w:r>
        <w:rPr>
          <w:vertAlign w:val="superscript"/>
        </w:rPr>
        <w:t>-2</w:t>
      </w:r>
      <w:r>
        <w:t xml:space="preserve"> day</w:t>
      </w:r>
      <w:r>
        <w:rPr>
          <w:vertAlign w:val="superscript"/>
        </w:rPr>
        <w:t>-1</w:t>
      </w:r>
      <w:r>
        <w:t>) followed by SFG-5000 (21.46 and 31.30 g m</w:t>
      </w:r>
      <w:r>
        <w:rPr>
          <w:vertAlign w:val="superscript"/>
        </w:rPr>
        <w:t>-2</w:t>
      </w:r>
      <w:r>
        <w:t xml:space="preserve"> day</w:t>
      </w:r>
      <w:r>
        <w:rPr>
          <w:vertAlign w:val="superscript"/>
        </w:rPr>
        <w:t>-1</w:t>
      </w:r>
      <w:r>
        <w:t xml:space="preserve">) in 2024 and 2025 respectively. The impact of harvesting stage on mean crop growth rate was found to be non-significant at all intervals. </w:t>
      </w:r>
    </w:p>
    <w:p w:rsidR="005B5D9C" w:rsidRDefault="002601F4">
      <w:pPr>
        <w:spacing w:before="80" w:after="90" w:line="320" w:lineRule="auto"/>
        <w:jc w:val="both"/>
      </w:pPr>
      <w:r>
        <w:rPr>
          <w:b/>
          <w:bCs/>
          <w:sz w:val="20"/>
          <w:szCs w:val="20"/>
        </w:rPr>
        <w:t>Table 1: Crop growth rate (g m</w:t>
      </w:r>
      <w:r>
        <w:rPr>
          <w:b/>
          <w:bCs/>
          <w:sz w:val="20"/>
          <w:szCs w:val="20"/>
          <w:vertAlign w:val="superscript"/>
        </w:rPr>
        <w:t>-2</w:t>
      </w:r>
      <w:r>
        <w:rPr>
          <w:b/>
          <w:bCs/>
          <w:sz w:val="20"/>
          <w:szCs w:val="20"/>
        </w:rPr>
        <w:t xml:space="preserve"> day</w:t>
      </w:r>
      <w:r>
        <w:rPr>
          <w:b/>
          <w:bCs/>
          <w:sz w:val="20"/>
          <w:szCs w:val="20"/>
          <w:vertAlign w:val="superscript"/>
        </w:rPr>
        <w:t>-1</w:t>
      </w:r>
      <w:r>
        <w:rPr>
          <w:b/>
          <w:bCs/>
          <w:sz w:val="20"/>
          <w:szCs w:val="20"/>
        </w:rPr>
        <w:t>) of fodder sorghum as influenced by variety and harvesting stage during 2024 and 2025</w:t>
      </w:r>
    </w:p>
    <w:tbl>
      <w:tblPr>
        <w:tblStyle w:val="a2"/>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616"/>
        <w:gridCol w:w="949"/>
        <w:gridCol w:w="949"/>
        <w:gridCol w:w="1031"/>
        <w:gridCol w:w="1031"/>
        <w:gridCol w:w="1392"/>
        <w:gridCol w:w="1392"/>
      </w:tblGrid>
      <w:tr w:rsidR="005B5D9C">
        <w:trPr>
          <w:tblHeader/>
        </w:trPr>
        <w:tc>
          <w:tcPr>
            <w:tcW w:w="2616" w:type="dxa"/>
            <w:vMerge w:val="restart"/>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b/>
                <w:bCs/>
                <w:sz w:val="19"/>
                <w:szCs w:val="19"/>
              </w:rPr>
              <w:t>Treatment</w:t>
            </w:r>
          </w:p>
        </w:tc>
        <w:tc>
          <w:tcPr>
            <w:tcW w:w="1898"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20-40 DAS</w:t>
            </w:r>
          </w:p>
        </w:tc>
        <w:tc>
          <w:tcPr>
            <w:tcW w:w="2062"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40-60 DAS</w:t>
            </w:r>
          </w:p>
        </w:tc>
        <w:tc>
          <w:tcPr>
            <w:tcW w:w="2784"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60 DAS-Harvest</w:t>
            </w:r>
          </w:p>
        </w:tc>
      </w:tr>
      <w:tr w:rsidR="005B5D9C">
        <w:trPr>
          <w:tblHeader/>
        </w:trPr>
        <w:tc>
          <w:tcPr>
            <w:tcW w:w="2616" w:type="dxa"/>
            <w:vMerge/>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5B5D9C">
            <w:pPr>
              <w:widowControl w:val="0"/>
              <w:pBdr>
                <w:top w:val="nil"/>
                <w:left w:val="nil"/>
                <w:bottom w:val="nil"/>
                <w:right w:val="nil"/>
                <w:between w:val="nil"/>
              </w:pBdr>
              <w:spacing w:line="276" w:lineRule="auto"/>
            </w:pP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2024</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2025</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2024</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2025</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2024</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2025</w:t>
            </w:r>
          </w:p>
        </w:tc>
      </w:tr>
      <w:tr w:rsidR="005B5D9C">
        <w:tc>
          <w:tcPr>
            <w:tcW w:w="9360" w:type="dxa"/>
            <w:gridSpan w:val="7"/>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b/>
                <w:bCs/>
                <w:i/>
                <w:iCs/>
                <w:sz w:val="19"/>
                <w:szCs w:val="19"/>
              </w:rPr>
              <w:t>Varieties</w:t>
            </w:r>
          </w:p>
        </w:tc>
      </w:tr>
      <w:tr w:rsidR="005B5D9C">
        <w:tc>
          <w:tcPr>
            <w:tcW w:w="261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sz w:val="19"/>
                <w:szCs w:val="19"/>
              </w:rPr>
              <w:t>V₁ (MP Chari)</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7.22</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8.96</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24.73</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39.11</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23.68</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29.62</w:t>
            </w:r>
          </w:p>
        </w:tc>
      </w:tr>
      <w:tr w:rsidR="005B5D9C">
        <w:tc>
          <w:tcPr>
            <w:tcW w:w="261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sz w:val="19"/>
                <w:szCs w:val="19"/>
              </w:rPr>
              <w:t>V₂ (SFG-5000)</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6.03</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7.03</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21.46</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31.30</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19.15</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24.99</w:t>
            </w:r>
          </w:p>
        </w:tc>
      </w:tr>
      <w:tr w:rsidR="005B5D9C">
        <w:tc>
          <w:tcPr>
            <w:tcW w:w="261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b/>
                <w:bCs/>
                <w:sz w:val="19"/>
                <w:szCs w:val="19"/>
              </w:rPr>
              <w:t>SE(m) ±</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0.08</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0.07</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0.11</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0.20</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0.91</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1.07</w:t>
            </w:r>
          </w:p>
        </w:tc>
      </w:tr>
      <w:tr w:rsidR="005B5D9C">
        <w:tc>
          <w:tcPr>
            <w:tcW w:w="261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b/>
                <w:bCs/>
                <w:sz w:val="19"/>
                <w:szCs w:val="19"/>
              </w:rPr>
              <w:t>CD (p ≤ 0.05)</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0.23</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0.23</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0.34</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0.60</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2.76</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3.23</w:t>
            </w:r>
          </w:p>
        </w:tc>
      </w:tr>
      <w:tr w:rsidR="005B5D9C">
        <w:tc>
          <w:tcPr>
            <w:tcW w:w="9360" w:type="dxa"/>
            <w:gridSpan w:val="7"/>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b/>
                <w:bCs/>
                <w:i/>
                <w:iCs/>
                <w:sz w:val="19"/>
                <w:szCs w:val="19"/>
              </w:rPr>
              <w:t>Harvesting stages</w:t>
            </w:r>
          </w:p>
        </w:tc>
      </w:tr>
      <w:tr w:rsidR="005B5D9C">
        <w:tc>
          <w:tcPr>
            <w:tcW w:w="261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sz w:val="19"/>
                <w:szCs w:val="19"/>
              </w:rPr>
              <w:t>S₁ (Flowering)</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6.58</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7.94</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23.04</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34.99</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21.99</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25.63</w:t>
            </w:r>
          </w:p>
        </w:tc>
      </w:tr>
      <w:tr w:rsidR="005B5D9C">
        <w:tc>
          <w:tcPr>
            <w:tcW w:w="261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sz w:val="19"/>
                <w:szCs w:val="19"/>
              </w:rPr>
              <w:t>S₂ (Soft dough)</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6.63</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8.03</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23.13</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35.28</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19.85</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26.12</w:t>
            </w:r>
          </w:p>
        </w:tc>
      </w:tr>
      <w:tr w:rsidR="005B5D9C">
        <w:tc>
          <w:tcPr>
            <w:tcW w:w="261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sz w:val="19"/>
                <w:szCs w:val="19"/>
              </w:rPr>
              <w:t>S₃ (Hard dough)</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6.66</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8.01</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23.11</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35.35</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22.40</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30.17</w:t>
            </w:r>
          </w:p>
        </w:tc>
      </w:tr>
      <w:tr w:rsidR="005B5D9C">
        <w:tc>
          <w:tcPr>
            <w:tcW w:w="261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b/>
                <w:bCs/>
                <w:sz w:val="19"/>
                <w:szCs w:val="19"/>
              </w:rPr>
              <w:t>SE(m) ±</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0.09</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0.09</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0.14</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0.25</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1.12</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1.31</w:t>
            </w:r>
          </w:p>
        </w:tc>
      </w:tr>
      <w:tr w:rsidR="005B5D9C">
        <w:tc>
          <w:tcPr>
            <w:tcW w:w="261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b/>
                <w:bCs/>
                <w:sz w:val="19"/>
                <w:szCs w:val="19"/>
              </w:rPr>
              <w:t>CD (p ≤ 0.05)</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NS</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NS</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NS</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NS</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NS</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NS</w:t>
            </w:r>
          </w:p>
        </w:tc>
      </w:tr>
    </w:tbl>
    <w:p w:rsidR="005B5D9C" w:rsidRDefault="002601F4">
      <w:pPr>
        <w:pBdr>
          <w:top w:val="nil"/>
          <w:left w:val="nil"/>
          <w:bottom w:val="nil"/>
          <w:right w:val="nil"/>
          <w:between w:val="nil"/>
        </w:pBdr>
        <w:rPr>
          <w:color w:val="000000"/>
        </w:rPr>
      </w:pPr>
      <w:r>
        <w:rPr>
          <w:noProof/>
          <w:color w:val="000000"/>
          <w:lang w:val="en-US" w:eastAsia="en-US"/>
        </w:rPr>
        <w:lastRenderedPageBreak/>
        <w:drawing>
          <wp:inline distT="0" distB="0" distL="0" distR="0">
            <wp:extent cx="5943600" cy="265493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943600" cy="2654935"/>
                    </a:xfrm>
                    <a:prstGeom prst="rect">
                      <a:avLst/>
                    </a:prstGeom>
                    <a:ln/>
                  </pic:spPr>
                </pic:pic>
              </a:graphicData>
            </a:graphic>
          </wp:inline>
        </w:drawing>
      </w:r>
    </w:p>
    <w:p w:rsidR="005B5D9C" w:rsidRDefault="002601F4">
      <w:pPr>
        <w:spacing w:before="180" w:after="90" w:line="360" w:lineRule="auto"/>
        <w:jc w:val="both"/>
      </w:pPr>
      <w:r>
        <w:t>Figure 1: Crop growth rate (g m</w:t>
      </w:r>
      <w:r>
        <w:rPr>
          <w:vertAlign w:val="superscript"/>
        </w:rPr>
        <w:t>-2</w:t>
      </w:r>
      <w:r>
        <w:t xml:space="preserve"> day</w:t>
      </w:r>
      <w:r>
        <w:rPr>
          <w:vertAlign w:val="superscript"/>
        </w:rPr>
        <w:t>-1</w:t>
      </w:r>
      <w:r>
        <w:t>) of fodder sorghum as influenced by variety during year 2024 and 2025</w:t>
      </w:r>
    </w:p>
    <w:p w:rsidR="005B5D9C" w:rsidRDefault="002601F4">
      <w:pPr>
        <w:spacing w:before="180" w:after="90" w:line="360" w:lineRule="auto"/>
      </w:pPr>
      <w:r>
        <w:rPr>
          <w:b/>
          <w:bCs/>
        </w:rPr>
        <w:t>3.2 Relative growth rate (RGR)</w:t>
      </w:r>
    </w:p>
    <w:p w:rsidR="005B5D9C" w:rsidRDefault="002601F4">
      <w:pPr>
        <w:spacing w:after="140" w:line="360" w:lineRule="auto"/>
        <w:jc w:val="both"/>
      </w:pPr>
      <w:r>
        <w:t>Relative growth rate declined steadily with the advancing crop age in both varieties across both seasons, declining from 77.56-78.66 and 82.39-83.15 mg g</w:t>
      </w:r>
      <w:r>
        <w:rPr>
          <w:vertAlign w:val="superscript"/>
        </w:rPr>
        <w:t>-1</w:t>
      </w:r>
      <w:r>
        <w:t xml:space="preserve"> day</w:t>
      </w:r>
      <w:r>
        <w:rPr>
          <w:vertAlign w:val="superscript"/>
        </w:rPr>
        <w:t xml:space="preserve">-1 </w:t>
      </w:r>
      <w:r>
        <w:t>during 20-40 DAS to 65.44-67.01 and 75.62-76.28 mg g</w:t>
      </w:r>
      <w:r>
        <w:rPr>
          <w:vertAlign w:val="superscript"/>
        </w:rPr>
        <w:t>-1</w:t>
      </w:r>
      <w:r>
        <w:t xml:space="preserve"> day</w:t>
      </w:r>
      <w:r>
        <w:rPr>
          <w:vertAlign w:val="superscript"/>
        </w:rPr>
        <w:t>-1</w:t>
      </w:r>
      <w:r>
        <w:t xml:space="preserve"> during 40-60 DAS in 2024 and 2025 respectively (Table 2). Varietal differences in RGR were found non-significant, however, at all intervals SFG-5000 was numerically superior to MP Chari. Harvesting stage also produced no significant effect during first two intervals of 20-40 and 40-60 DAS. A significant response was observed during the 60 DAS to harvest interval for both years (Figure 2), where the flowering stage recorded highest RGR (32.30 and 27.06 mg g</w:t>
      </w:r>
      <w:r>
        <w:rPr>
          <w:vertAlign w:val="superscript"/>
        </w:rPr>
        <w:t>-1</w:t>
      </w:r>
      <w:r>
        <w:t xml:space="preserve"> day</w:t>
      </w:r>
      <w:r>
        <w:rPr>
          <w:vertAlign w:val="superscript"/>
        </w:rPr>
        <w:t>-1</w:t>
      </w:r>
      <w:r>
        <w:t>), exceeding both soft dough (23.08 and 21.71 mg g</w:t>
      </w:r>
      <w:r>
        <w:rPr>
          <w:vertAlign w:val="superscript"/>
        </w:rPr>
        <w:t>-1</w:t>
      </w:r>
      <w:r>
        <w:t xml:space="preserve"> day</w:t>
      </w:r>
      <w:r>
        <w:rPr>
          <w:vertAlign w:val="superscript"/>
        </w:rPr>
        <w:t>-1</w:t>
      </w:r>
      <w:r>
        <w:t>) and hard dough stages (22.90 and 22.03 mg g</w:t>
      </w:r>
      <w:r>
        <w:rPr>
          <w:vertAlign w:val="superscript"/>
        </w:rPr>
        <w:t>-1</w:t>
      </w:r>
      <w:r>
        <w:t xml:space="preserve"> day</w:t>
      </w:r>
      <w:r>
        <w:rPr>
          <w:vertAlign w:val="superscript"/>
        </w:rPr>
        <w:t>-1</w:t>
      </w:r>
      <w:r>
        <w:t>). The two dough stages did not differ significantly from each other during both years.</w:t>
      </w:r>
    </w:p>
    <w:p w:rsidR="005B5D9C" w:rsidRDefault="002601F4">
      <w:pPr>
        <w:spacing w:before="80" w:after="90" w:line="320" w:lineRule="auto"/>
        <w:jc w:val="both"/>
      </w:pPr>
      <w:r>
        <w:rPr>
          <w:b/>
          <w:bCs/>
          <w:sz w:val="20"/>
          <w:szCs w:val="20"/>
        </w:rPr>
        <w:t>Table 2: Relative growth rate (mg g</w:t>
      </w:r>
      <w:r>
        <w:rPr>
          <w:b/>
          <w:bCs/>
          <w:sz w:val="20"/>
          <w:szCs w:val="20"/>
          <w:vertAlign w:val="superscript"/>
        </w:rPr>
        <w:t>-1</w:t>
      </w:r>
      <w:r>
        <w:rPr>
          <w:b/>
          <w:bCs/>
          <w:sz w:val="20"/>
          <w:szCs w:val="20"/>
        </w:rPr>
        <w:t xml:space="preserve"> day</w:t>
      </w:r>
      <w:r>
        <w:rPr>
          <w:b/>
          <w:bCs/>
          <w:sz w:val="20"/>
          <w:szCs w:val="20"/>
          <w:vertAlign w:val="superscript"/>
        </w:rPr>
        <w:t>-1</w:t>
      </w:r>
      <w:r>
        <w:rPr>
          <w:b/>
          <w:bCs/>
          <w:sz w:val="20"/>
          <w:szCs w:val="20"/>
        </w:rPr>
        <w:t>) of fodder sorghum as influenced by variety and harvesting stage during 2024 and 2025</w:t>
      </w:r>
    </w:p>
    <w:tbl>
      <w:tblPr>
        <w:tblStyle w:val="a3"/>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571"/>
        <w:gridCol w:w="1014"/>
        <w:gridCol w:w="1013"/>
        <w:gridCol w:w="1013"/>
        <w:gridCol w:w="1013"/>
        <w:gridCol w:w="1368"/>
        <w:gridCol w:w="1368"/>
      </w:tblGrid>
      <w:tr w:rsidR="005B5D9C">
        <w:trPr>
          <w:tblHeader/>
        </w:trPr>
        <w:tc>
          <w:tcPr>
            <w:tcW w:w="2571" w:type="dxa"/>
            <w:vMerge w:val="restart"/>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b/>
                <w:bCs/>
                <w:sz w:val="19"/>
                <w:szCs w:val="19"/>
              </w:rPr>
              <w:t>Treatment</w:t>
            </w:r>
          </w:p>
        </w:tc>
        <w:tc>
          <w:tcPr>
            <w:tcW w:w="2027"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20-40 DAS</w:t>
            </w:r>
          </w:p>
        </w:tc>
        <w:tc>
          <w:tcPr>
            <w:tcW w:w="2026"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40-60 DAS</w:t>
            </w:r>
          </w:p>
        </w:tc>
        <w:tc>
          <w:tcPr>
            <w:tcW w:w="2736"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60 DAS-Harvest</w:t>
            </w:r>
          </w:p>
        </w:tc>
      </w:tr>
      <w:tr w:rsidR="005B5D9C">
        <w:trPr>
          <w:tblHeader/>
        </w:trPr>
        <w:tc>
          <w:tcPr>
            <w:tcW w:w="2571" w:type="dxa"/>
            <w:vMerge/>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5B5D9C">
            <w:pPr>
              <w:widowControl w:val="0"/>
              <w:pBdr>
                <w:top w:val="nil"/>
                <w:left w:val="nil"/>
                <w:bottom w:val="nil"/>
                <w:right w:val="nil"/>
                <w:between w:val="nil"/>
              </w:pBdr>
              <w:spacing w:line="276" w:lineRule="auto"/>
            </w:pP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2024</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2025</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2024</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2025</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2024</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2025</w:t>
            </w:r>
          </w:p>
        </w:tc>
      </w:tr>
      <w:tr w:rsidR="005B5D9C">
        <w:tc>
          <w:tcPr>
            <w:tcW w:w="9360" w:type="dxa"/>
            <w:gridSpan w:val="7"/>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b/>
                <w:bCs/>
                <w:i/>
                <w:iCs/>
                <w:sz w:val="19"/>
                <w:szCs w:val="19"/>
              </w:rPr>
              <w:t>Varieties</w:t>
            </w:r>
          </w:p>
        </w:tc>
      </w:tr>
      <w:tr w:rsidR="005B5D9C">
        <w:tc>
          <w:tcPr>
            <w:tcW w:w="257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sz w:val="19"/>
                <w:szCs w:val="19"/>
              </w:rPr>
              <w:t>V₁ (MP Chari)</w:t>
            </w: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77.56</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82.39</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65.44</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75.62</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25.64</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22.72</w:t>
            </w:r>
          </w:p>
        </w:tc>
      </w:tr>
      <w:tr w:rsidR="005B5D9C">
        <w:tc>
          <w:tcPr>
            <w:tcW w:w="257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sz w:val="19"/>
                <w:szCs w:val="19"/>
              </w:rPr>
              <w:t>V₂ (SFG-5000)</w:t>
            </w: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78.66</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83.15</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67.01</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76.28</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26.54</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24.48</w:t>
            </w:r>
          </w:p>
        </w:tc>
      </w:tr>
      <w:tr w:rsidR="005B5D9C">
        <w:tc>
          <w:tcPr>
            <w:tcW w:w="257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b/>
                <w:bCs/>
                <w:sz w:val="19"/>
                <w:szCs w:val="19"/>
              </w:rPr>
              <w:t>SE(m) ±</w:t>
            </w: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0.52</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0.34</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0.44</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0.76</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0.93</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0.97</w:t>
            </w:r>
          </w:p>
        </w:tc>
      </w:tr>
      <w:tr w:rsidR="005B5D9C">
        <w:tc>
          <w:tcPr>
            <w:tcW w:w="257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b/>
                <w:bCs/>
                <w:sz w:val="19"/>
                <w:szCs w:val="19"/>
              </w:rPr>
              <w:t>CD (p ≤ 0.05)</w:t>
            </w: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NS</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NS</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NS</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NS</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NS</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NS</w:t>
            </w:r>
          </w:p>
        </w:tc>
      </w:tr>
      <w:tr w:rsidR="005B5D9C">
        <w:tc>
          <w:tcPr>
            <w:tcW w:w="9360" w:type="dxa"/>
            <w:gridSpan w:val="7"/>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b/>
                <w:bCs/>
                <w:i/>
                <w:iCs/>
                <w:sz w:val="19"/>
                <w:szCs w:val="19"/>
              </w:rPr>
              <w:lastRenderedPageBreak/>
              <w:t>Harvesting stages</w:t>
            </w:r>
          </w:p>
        </w:tc>
      </w:tr>
      <w:tr w:rsidR="005B5D9C">
        <w:tc>
          <w:tcPr>
            <w:tcW w:w="257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sz w:val="19"/>
                <w:szCs w:val="19"/>
              </w:rPr>
              <w:t>S₁ (Flowering)</w:t>
            </w: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78.22</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82.83</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66.38</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75.94</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32.30</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27.06</w:t>
            </w:r>
          </w:p>
        </w:tc>
      </w:tr>
      <w:tr w:rsidR="005B5D9C">
        <w:tc>
          <w:tcPr>
            <w:tcW w:w="257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sz w:val="19"/>
                <w:szCs w:val="19"/>
              </w:rPr>
              <w:t>S₂ (Soft dough)</w:t>
            </w: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78.09</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82.90</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66.24</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75.91</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23.08</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21.71</w:t>
            </w:r>
          </w:p>
        </w:tc>
      </w:tr>
      <w:tr w:rsidR="005B5D9C">
        <w:tc>
          <w:tcPr>
            <w:tcW w:w="257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sz w:val="19"/>
                <w:szCs w:val="19"/>
              </w:rPr>
              <w:t>S₃ (Hard dough)</w:t>
            </w: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78.02</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82.58</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66.05</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76.00</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22.90</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22.03</w:t>
            </w:r>
          </w:p>
        </w:tc>
      </w:tr>
      <w:tr w:rsidR="005B5D9C">
        <w:tc>
          <w:tcPr>
            <w:tcW w:w="257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b/>
                <w:bCs/>
                <w:sz w:val="19"/>
                <w:szCs w:val="19"/>
              </w:rPr>
              <w:t>SE(m) ±</w:t>
            </w: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0.63</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0.42</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0.54</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0.93</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1.14</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1.19</w:t>
            </w:r>
          </w:p>
        </w:tc>
      </w:tr>
      <w:tr w:rsidR="005B5D9C">
        <w:tc>
          <w:tcPr>
            <w:tcW w:w="257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b/>
                <w:bCs/>
                <w:sz w:val="19"/>
                <w:szCs w:val="19"/>
              </w:rPr>
              <w:t>CD (p ≤ 0.05)</w:t>
            </w: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NS</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NS</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NS</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NS</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3.43</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3.60</w:t>
            </w:r>
          </w:p>
        </w:tc>
      </w:tr>
    </w:tbl>
    <w:p w:rsidR="005B5D9C" w:rsidRDefault="005B5D9C">
      <w:pPr>
        <w:spacing w:after="160"/>
      </w:pPr>
    </w:p>
    <w:p w:rsidR="005B5D9C" w:rsidRDefault="002601F4">
      <w:pPr>
        <w:spacing w:before="180" w:after="90" w:line="360" w:lineRule="auto"/>
      </w:pPr>
      <w:r>
        <w:rPr>
          <w:noProof/>
          <w:lang w:val="en-US" w:eastAsia="en-US"/>
        </w:rPr>
        <w:drawing>
          <wp:inline distT="0" distB="0" distL="0" distR="0">
            <wp:extent cx="5943600" cy="2654300"/>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5943600" cy="2654300"/>
                    </a:xfrm>
                    <a:prstGeom prst="rect">
                      <a:avLst/>
                    </a:prstGeom>
                    <a:ln/>
                  </pic:spPr>
                </pic:pic>
              </a:graphicData>
            </a:graphic>
          </wp:inline>
        </w:drawing>
      </w:r>
    </w:p>
    <w:p w:rsidR="005B5D9C" w:rsidRDefault="002601F4">
      <w:pPr>
        <w:spacing w:before="180" w:after="90" w:line="360" w:lineRule="auto"/>
        <w:jc w:val="both"/>
      </w:pPr>
      <w:r>
        <w:t>Figure 2: Relative growth rate (mg g</w:t>
      </w:r>
      <w:r>
        <w:rPr>
          <w:vertAlign w:val="superscript"/>
        </w:rPr>
        <w:t>-1</w:t>
      </w:r>
      <w:r>
        <w:t xml:space="preserve"> day</w:t>
      </w:r>
      <w:r>
        <w:rPr>
          <w:vertAlign w:val="superscript"/>
        </w:rPr>
        <w:t>-1</w:t>
      </w:r>
      <w:r>
        <w:t>) of fodder sorghum as influenced by harvesting stage during year 2024 and 2025</w:t>
      </w:r>
    </w:p>
    <w:p w:rsidR="005B5D9C" w:rsidRDefault="002601F4">
      <w:pPr>
        <w:spacing w:before="180" w:after="90" w:line="360" w:lineRule="auto"/>
        <w:rPr>
          <w:b/>
          <w:bCs/>
        </w:rPr>
      </w:pPr>
      <w:r>
        <w:rPr>
          <w:b/>
          <w:bCs/>
        </w:rPr>
        <w:t>3.3 Net assimilation rate</w:t>
      </w:r>
    </w:p>
    <w:p w:rsidR="005B5D9C" w:rsidRDefault="002601F4">
      <w:pPr>
        <w:spacing w:before="180" w:after="90" w:line="360" w:lineRule="auto"/>
        <w:jc w:val="both"/>
      </w:pPr>
      <w:r>
        <w:t>Among the varieties, MP Chari maintained a significantly higher net assimilation rate than SFG-5000 at every interval in both years (Table 3, Figure 3). The peak values were observed during 40-60 DAS, where MP Chari recorded NAR (9.13 and 11.54 g m</w:t>
      </w:r>
      <w:r>
        <w:rPr>
          <w:vertAlign w:val="superscript"/>
        </w:rPr>
        <w:t>-2</w:t>
      </w:r>
      <w:r>
        <w:t xml:space="preserve"> day</w:t>
      </w:r>
      <w:r>
        <w:rPr>
          <w:vertAlign w:val="superscript"/>
        </w:rPr>
        <w:t>-1</w:t>
      </w:r>
      <w:r>
        <w:t>) against (7.10 and 8.26 g m</w:t>
      </w:r>
      <w:r>
        <w:rPr>
          <w:vertAlign w:val="superscript"/>
        </w:rPr>
        <w:t>-2</w:t>
      </w:r>
      <w:r>
        <w:t xml:space="preserve"> day</w:t>
      </w:r>
      <w:r>
        <w:rPr>
          <w:vertAlign w:val="superscript"/>
        </w:rPr>
        <w:t>-1</w:t>
      </w:r>
      <w:r>
        <w:t>) for SFG-5000. In both varieties, the net assimilation rate increased first from the 20-40 DAS to 40-60 DAS interval and after that declined in the 60 DAS to harvest interval. Harvesting stage showed no significant influence during 20-40 and 40-60 DAS during both years. A significant response was recorded only in the 60 DAS to harvest interval of 2025 (Figure 4). The NAR at hard dough was 5.98 g m</w:t>
      </w:r>
      <w:r>
        <w:rPr>
          <w:vertAlign w:val="superscript"/>
        </w:rPr>
        <w:t>-2</w:t>
      </w:r>
      <w:r>
        <w:t xml:space="preserve"> day</w:t>
      </w:r>
      <w:r>
        <w:rPr>
          <w:vertAlign w:val="superscript"/>
        </w:rPr>
        <w:t>-1</w:t>
      </w:r>
      <w:r>
        <w:t>, 5.06 g m</w:t>
      </w:r>
      <w:r>
        <w:rPr>
          <w:vertAlign w:val="superscript"/>
        </w:rPr>
        <w:t>-2</w:t>
      </w:r>
      <w:r>
        <w:t xml:space="preserve"> day</w:t>
      </w:r>
      <w:r>
        <w:rPr>
          <w:vertAlign w:val="superscript"/>
        </w:rPr>
        <w:t xml:space="preserve">-1 </w:t>
      </w:r>
      <w:r>
        <w:t>at soft dough and 4.77 g m</w:t>
      </w:r>
      <w:r>
        <w:rPr>
          <w:vertAlign w:val="superscript"/>
        </w:rPr>
        <w:t>-2</w:t>
      </w:r>
      <w:r>
        <w:t xml:space="preserve"> day</w:t>
      </w:r>
      <w:r>
        <w:rPr>
          <w:vertAlign w:val="superscript"/>
        </w:rPr>
        <w:t xml:space="preserve">-1 </w:t>
      </w:r>
      <w:r>
        <w:t>at flowering stage.</w:t>
      </w:r>
    </w:p>
    <w:p w:rsidR="005B5D9C" w:rsidRDefault="002601F4">
      <w:pPr>
        <w:spacing w:before="80" w:after="90" w:line="320" w:lineRule="auto"/>
      </w:pPr>
      <w:r>
        <w:rPr>
          <w:b/>
          <w:bCs/>
          <w:sz w:val="20"/>
          <w:szCs w:val="20"/>
        </w:rPr>
        <w:lastRenderedPageBreak/>
        <w:t>Table 3: Net assimilation rate (g m</w:t>
      </w:r>
      <w:r>
        <w:rPr>
          <w:b/>
          <w:bCs/>
          <w:sz w:val="20"/>
          <w:szCs w:val="20"/>
          <w:vertAlign w:val="superscript"/>
        </w:rPr>
        <w:t>-2</w:t>
      </w:r>
      <w:r>
        <w:rPr>
          <w:b/>
          <w:bCs/>
          <w:sz w:val="20"/>
          <w:szCs w:val="20"/>
        </w:rPr>
        <w:t xml:space="preserve"> day</w:t>
      </w:r>
      <w:r>
        <w:rPr>
          <w:b/>
          <w:bCs/>
          <w:sz w:val="20"/>
          <w:szCs w:val="20"/>
          <w:vertAlign w:val="superscript"/>
        </w:rPr>
        <w:t>-1</w:t>
      </w:r>
      <w:r>
        <w:rPr>
          <w:b/>
          <w:bCs/>
          <w:sz w:val="20"/>
          <w:szCs w:val="20"/>
        </w:rPr>
        <w:t>) of fodder sorghum as influenced by variety and harvesting stage during 2024 and 2025</w:t>
      </w:r>
    </w:p>
    <w:tbl>
      <w:tblPr>
        <w:tblStyle w:val="a4"/>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641"/>
        <w:gridCol w:w="959"/>
        <w:gridCol w:w="959"/>
        <w:gridCol w:w="947"/>
        <w:gridCol w:w="1042"/>
        <w:gridCol w:w="1406"/>
        <w:gridCol w:w="1406"/>
      </w:tblGrid>
      <w:tr w:rsidR="005B5D9C">
        <w:trPr>
          <w:tblHeader/>
        </w:trPr>
        <w:tc>
          <w:tcPr>
            <w:tcW w:w="2641" w:type="dxa"/>
            <w:vMerge w:val="restart"/>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b/>
                <w:bCs/>
                <w:sz w:val="19"/>
                <w:szCs w:val="19"/>
              </w:rPr>
              <w:t>Treatment</w:t>
            </w:r>
          </w:p>
        </w:tc>
        <w:tc>
          <w:tcPr>
            <w:tcW w:w="1918"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20-40 DAS</w:t>
            </w:r>
          </w:p>
        </w:tc>
        <w:tc>
          <w:tcPr>
            <w:tcW w:w="1989"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40-60 DAS</w:t>
            </w:r>
          </w:p>
        </w:tc>
        <w:tc>
          <w:tcPr>
            <w:tcW w:w="2812"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60 DAS-Harvest</w:t>
            </w:r>
          </w:p>
        </w:tc>
      </w:tr>
      <w:tr w:rsidR="005B5D9C">
        <w:trPr>
          <w:tblHeader/>
        </w:trPr>
        <w:tc>
          <w:tcPr>
            <w:tcW w:w="2641" w:type="dxa"/>
            <w:vMerge/>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5B5D9C">
            <w:pPr>
              <w:widowControl w:val="0"/>
              <w:pBdr>
                <w:top w:val="nil"/>
                <w:left w:val="nil"/>
                <w:bottom w:val="nil"/>
                <w:right w:val="nil"/>
                <w:between w:val="nil"/>
              </w:pBdr>
              <w:spacing w:line="276" w:lineRule="auto"/>
            </w:pP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2024</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2025</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2024</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2025</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2024</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2025</w:t>
            </w:r>
          </w:p>
        </w:tc>
      </w:tr>
      <w:tr w:rsidR="005B5D9C">
        <w:tc>
          <w:tcPr>
            <w:tcW w:w="9360" w:type="dxa"/>
            <w:gridSpan w:val="7"/>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b/>
                <w:bCs/>
                <w:i/>
                <w:iCs/>
                <w:sz w:val="19"/>
                <w:szCs w:val="19"/>
              </w:rPr>
              <w:t>Varieties</w:t>
            </w:r>
          </w:p>
        </w:tc>
      </w:tr>
      <w:tr w:rsidR="005B5D9C">
        <w:tc>
          <w:tcPr>
            <w:tcW w:w="264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sz w:val="19"/>
                <w:szCs w:val="19"/>
              </w:rPr>
              <w:t>V₁ (MP Chari)</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7.67</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7.88</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9.13</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11.54</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5.87</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5.88</w:t>
            </w:r>
          </w:p>
        </w:tc>
      </w:tr>
      <w:tr w:rsidR="005B5D9C">
        <w:tc>
          <w:tcPr>
            <w:tcW w:w="264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sz w:val="19"/>
                <w:szCs w:val="19"/>
              </w:rPr>
              <w:t>V₂ (SFG-5000)</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5.48</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5.41</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7.10</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8.26</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4.44</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4.67</w:t>
            </w:r>
          </w:p>
        </w:tc>
      </w:tr>
      <w:tr w:rsidR="005B5D9C">
        <w:tc>
          <w:tcPr>
            <w:tcW w:w="264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b/>
                <w:bCs/>
                <w:sz w:val="19"/>
                <w:szCs w:val="19"/>
              </w:rPr>
              <w:t>SE(m) ±</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0.39</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0.19</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0.21</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0.21</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0.25</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0.20</w:t>
            </w:r>
          </w:p>
        </w:tc>
      </w:tr>
      <w:tr w:rsidR="005B5D9C">
        <w:tc>
          <w:tcPr>
            <w:tcW w:w="264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b/>
                <w:bCs/>
                <w:sz w:val="19"/>
                <w:szCs w:val="19"/>
              </w:rPr>
              <w:t>CD (p ≤ 0.05)</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1.18</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0.57</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0.63</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0.63</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0.74</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0.59</w:t>
            </w:r>
          </w:p>
        </w:tc>
      </w:tr>
      <w:tr w:rsidR="005B5D9C">
        <w:tc>
          <w:tcPr>
            <w:tcW w:w="9360" w:type="dxa"/>
            <w:gridSpan w:val="7"/>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b/>
                <w:bCs/>
                <w:i/>
                <w:iCs/>
                <w:sz w:val="19"/>
                <w:szCs w:val="19"/>
              </w:rPr>
              <w:t>Harvesting stages</w:t>
            </w:r>
          </w:p>
        </w:tc>
      </w:tr>
      <w:tr w:rsidR="005B5D9C">
        <w:tc>
          <w:tcPr>
            <w:tcW w:w="264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sz w:val="19"/>
                <w:szCs w:val="19"/>
              </w:rPr>
              <w:t>S₁ (Flowering)</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6.59</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6.58</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8.21</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9.84</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5.13</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4.77</w:t>
            </w:r>
          </w:p>
        </w:tc>
      </w:tr>
      <w:tr w:rsidR="005B5D9C">
        <w:tc>
          <w:tcPr>
            <w:tcW w:w="264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sz w:val="19"/>
                <w:szCs w:val="19"/>
              </w:rPr>
              <w:t>S₂ (Soft dough)</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6.62</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6.77</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8.18</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10.02</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4.75</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5.06</w:t>
            </w:r>
          </w:p>
        </w:tc>
      </w:tr>
      <w:tr w:rsidR="005B5D9C">
        <w:tc>
          <w:tcPr>
            <w:tcW w:w="264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sz w:val="19"/>
                <w:szCs w:val="19"/>
              </w:rPr>
              <w:t>S₃ (Hard dough)</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6.52</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6.59</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7.96</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9.83</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5.59</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5.98</w:t>
            </w:r>
          </w:p>
        </w:tc>
      </w:tr>
      <w:tr w:rsidR="005B5D9C">
        <w:tc>
          <w:tcPr>
            <w:tcW w:w="264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b/>
                <w:bCs/>
                <w:sz w:val="19"/>
                <w:szCs w:val="19"/>
              </w:rPr>
              <w:t>SE(m) ±</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0.48</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0.23</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0.26</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0.26</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0.30</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0.24</w:t>
            </w:r>
          </w:p>
        </w:tc>
      </w:tr>
      <w:tr w:rsidR="005B5D9C">
        <w:tc>
          <w:tcPr>
            <w:tcW w:w="264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b/>
                <w:bCs/>
                <w:sz w:val="19"/>
                <w:szCs w:val="19"/>
              </w:rPr>
              <w:t>CD (p ≤ 0.05)</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NS</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NS</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NS</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NS</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NS</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0.73</w:t>
            </w:r>
          </w:p>
        </w:tc>
      </w:tr>
    </w:tbl>
    <w:p w:rsidR="005B5D9C" w:rsidRDefault="005B5D9C">
      <w:pPr>
        <w:spacing w:after="160"/>
      </w:pPr>
    </w:p>
    <w:p w:rsidR="005B5D9C" w:rsidRDefault="002601F4">
      <w:pPr>
        <w:spacing w:after="140" w:line="360" w:lineRule="auto"/>
        <w:jc w:val="both"/>
      </w:pPr>
      <w:r>
        <w:rPr>
          <w:noProof/>
          <w:lang w:val="en-US" w:eastAsia="en-US"/>
        </w:rPr>
        <w:drawing>
          <wp:inline distT="0" distB="0" distL="0" distR="0">
            <wp:extent cx="5870245" cy="2664007"/>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cstate="print"/>
                    <a:srcRect/>
                    <a:stretch>
                      <a:fillRect/>
                    </a:stretch>
                  </pic:blipFill>
                  <pic:spPr>
                    <a:xfrm>
                      <a:off x="0" y="0"/>
                      <a:ext cx="5870245" cy="2664007"/>
                    </a:xfrm>
                    <a:prstGeom prst="rect">
                      <a:avLst/>
                    </a:prstGeom>
                    <a:ln/>
                  </pic:spPr>
                </pic:pic>
              </a:graphicData>
            </a:graphic>
          </wp:inline>
        </w:drawing>
      </w:r>
    </w:p>
    <w:p w:rsidR="005B5D9C" w:rsidRDefault="002601F4">
      <w:pPr>
        <w:spacing w:after="140" w:line="360" w:lineRule="auto"/>
        <w:jc w:val="both"/>
      </w:pPr>
      <w:r>
        <w:t>Figure 3:Net assimilation rate (g m</w:t>
      </w:r>
      <w:r>
        <w:rPr>
          <w:vertAlign w:val="superscript"/>
        </w:rPr>
        <w:t>-2</w:t>
      </w:r>
      <w:r>
        <w:t xml:space="preserve"> day</w:t>
      </w:r>
      <w:r>
        <w:rPr>
          <w:vertAlign w:val="superscript"/>
        </w:rPr>
        <w:t>-1</w:t>
      </w:r>
      <w:r>
        <w:t>) of fodder sorghum as influenced by variety during year 2024 and 2025</w:t>
      </w:r>
    </w:p>
    <w:p w:rsidR="005B5D9C" w:rsidRDefault="002601F4">
      <w:pPr>
        <w:spacing w:after="140" w:line="360" w:lineRule="auto"/>
        <w:jc w:val="both"/>
      </w:pPr>
      <w:r>
        <w:rPr>
          <w:noProof/>
          <w:lang w:val="en-US" w:eastAsia="en-US"/>
        </w:rPr>
        <w:lastRenderedPageBreak/>
        <w:drawing>
          <wp:inline distT="0" distB="0" distL="0" distR="0">
            <wp:extent cx="5943600" cy="2654300"/>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5943600" cy="2654300"/>
                    </a:xfrm>
                    <a:prstGeom prst="rect">
                      <a:avLst/>
                    </a:prstGeom>
                    <a:ln/>
                  </pic:spPr>
                </pic:pic>
              </a:graphicData>
            </a:graphic>
          </wp:inline>
        </w:drawing>
      </w:r>
    </w:p>
    <w:p w:rsidR="005B5D9C" w:rsidRDefault="002601F4">
      <w:pPr>
        <w:spacing w:after="140" w:line="360" w:lineRule="auto"/>
        <w:jc w:val="both"/>
      </w:pPr>
      <w:r>
        <w:t>Figure 4:Net assimilation rate (g m</w:t>
      </w:r>
      <w:r>
        <w:rPr>
          <w:vertAlign w:val="superscript"/>
        </w:rPr>
        <w:t>-2</w:t>
      </w:r>
      <w:r>
        <w:t xml:space="preserve"> day</w:t>
      </w:r>
      <w:r>
        <w:rPr>
          <w:vertAlign w:val="superscript"/>
        </w:rPr>
        <w:t>-1</w:t>
      </w:r>
      <w:r>
        <w:t>) of fodder sorghum as influenced by harvesting stages during year 2024 and 2025</w:t>
      </w:r>
    </w:p>
    <w:p w:rsidR="005B5D9C" w:rsidRDefault="002601F4">
      <w:pPr>
        <w:spacing w:before="180" w:after="90" w:line="360" w:lineRule="auto"/>
        <w:rPr>
          <w:b/>
          <w:bCs/>
        </w:rPr>
      </w:pPr>
      <w:r>
        <w:rPr>
          <w:b/>
          <w:bCs/>
        </w:rPr>
        <w:t>3.4 Leaf area index</w:t>
      </w:r>
    </w:p>
    <w:p w:rsidR="005B5D9C" w:rsidRDefault="002601F4">
      <w:pPr>
        <w:spacing w:before="180" w:after="90" w:line="360" w:lineRule="auto"/>
        <w:jc w:val="both"/>
      </w:pPr>
      <w:r>
        <w:t xml:space="preserve">Leaf area index increased with advancing crop age in both varieties and years (Table 4). The two varieties did not differ significantly at 20 DAS, but MP Chari recorded significantly higher values from 40 DAS onwards up to harvest (Figure 5). MP Chari recorded leaf area index of 4.595 and 5.637 at harvest against 4.297 and 5.342 for SFG-5000 during 2024 and 2025 respectively. Harvesting stage produced no significant effect at 20, 40 and 60 DAS. Significant impact was witnessed at harvest (Figure 6). The flowering stage exhibited the largest leaf area index (4.782 and 5.817), followed by soft dough (4.466 and 5.496) and hard dough (4.091 and 5.157). </w:t>
      </w:r>
    </w:p>
    <w:p w:rsidR="005B5D9C" w:rsidRDefault="002601F4">
      <w:pPr>
        <w:spacing w:before="80" w:after="90" w:line="320" w:lineRule="auto"/>
      </w:pPr>
      <w:r>
        <w:rPr>
          <w:b/>
          <w:bCs/>
          <w:sz w:val="20"/>
          <w:szCs w:val="20"/>
        </w:rPr>
        <w:t>Table 4: Leaf area index of fodder sorghum as influenced by variety and harvesting stage during 2024 and 2025</w:t>
      </w:r>
    </w:p>
    <w:tbl>
      <w:tblPr>
        <w:tblStyle w:val="a5"/>
        <w:tblW w:w="93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253"/>
        <w:gridCol w:w="889"/>
        <w:gridCol w:w="889"/>
        <w:gridCol w:w="888"/>
        <w:gridCol w:w="888"/>
        <w:gridCol w:w="888"/>
        <w:gridCol w:w="888"/>
        <w:gridCol w:w="888"/>
        <w:gridCol w:w="888"/>
      </w:tblGrid>
      <w:tr w:rsidR="005B5D9C">
        <w:trPr>
          <w:tblHeader/>
        </w:trPr>
        <w:tc>
          <w:tcPr>
            <w:tcW w:w="2254" w:type="dxa"/>
            <w:vMerge w:val="restart"/>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b/>
                <w:bCs/>
                <w:sz w:val="19"/>
                <w:szCs w:val="19"/>
              </w:rPr>
              <w:t>Treatment</w:t>
            </w:r>
          </w:p>
        </w:tc>
        <w:tc>
          <w:tcPr>
            <w:tcW w:w="1778"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 DAS</w:t>
            </w:r>
          </w:p>
        </w:tc>
        <w:tc>
          <w:tcPr>
            <w:tcW w:w="1776"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40 DAS</w:t>
            </w:r>
          </w:p>
        </w:tc>
        <w:tc>
          <w:tcPr>
            <w:tcW w:w="1776"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60 DAS</w:t>
            </w:r>
          </w:p>
        </w:tc>
        <w:tc>
          <w:tcPr>
            <w:tcW w:w="1776"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At harvest</w:t>
            </w:r>
          </w:p>
        </w:tc>
      </w:tr>
      <w:tr w:rsidR="005B5D9C">
        <w:trPr>
          <w:tblHeader/>
        </w:trPr>
        <w:tc>
          <w:tcPr>
            <w:tcW w:w="2254" w:type="dxa"/>
            <w:vMerge/>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5B5D9C">
            <w:pPr>
              <w:widowControl w:val="0"/>
              <w:pBdr>
                <w:top w:val="nil"/>
                <w:left w:val="nil"/>
                <w:bottom w:val="nil"/>
                <w:right w:val="nil"/>
                <w:between w:val="nil"/>
              </w:pBdr>
              <w:spacing w:line="276" w:lineRule="auto"/>
            </w:pP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2024</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2025</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2024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2025</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2024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2025</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2024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2025</w:t>
            </w:r>
          </w:p>
        </w:tc>
      </w:tr>
      <w:tr w:rsidR="005B5D9C">
        <w:tc>
          <w:tcPr>
            <w:tcW w:w="9360" w:type="dxa"/>
            <w:gridSpan w:val="9"/>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b/>
                <w:bCs/>
                <w:i/>
                <w:iCs/>
                <w:sz w:val="19"/>
                <w:szCs w:val="19"/>
              </w:rPr>
              <w:t>Varieties</w:t>
            </w:r>
          </w:p>
        </w:tc>
      </w:tr>
      <w:tr w:rsidR="005B5D9C">
        <w:tc>
          <w:tcPr>
            <w:tcW w:w="225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sz w:val="19"/>
                <w:szCs w:val="19"/>
              </w:rPr>
              <w:t>V₁ (MP Chari)</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0.463</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0.493</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2.183</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2.751</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4.065</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5.093</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4.595</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5.637</w:t>
            </w:r>
          </w:p>
        </w:tc>
      </w:tr>
      <w:tr w:rsidR="005B5D9C">
        <w:tc>
          <w:tcPr>
            <w:tcW w:w="225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sz w:val="19"/>
                <w:szCs w:val="19"/>
              </w:rPr>
              <w:t>V₂ (SFG-5000)</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0.450</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0.459</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1.873</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2.304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3.829</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4.798</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4.297</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5.342</w:t>
            </w:r>
          </w:p>
        </w:tc>
      </w:tr>
      <w:tr w:rsidR="005B5D9C">
        <w:tc>
          <w:tcPr>
            <w:tcW w:w="225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b/>
                <w:bCs/>
                <w:sz w:val="19"/>
                <w:szCs w:val="19"/>
              </w:rPr>
              <w:t>SE(m) ±</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0.051</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0.022</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0.075</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0.072</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0.062</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0.078</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0.083</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0.080</w:t>
            </w:r>
          </w:p>
        </w:tc>
      </w:tr>
      <w:tr w:rsidR="005B5D9C">
        <w:tc>
          <w:tcPr>
            <w:tcW w:w="225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b/>
                <w:bCs/>
                <w:sz w:val="19"/>
                <w:szCs w:val="19"/>
              </w:rPr>
              <w:t>CD (p ≤ 0.05)</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NS</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NS</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0.227</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0.218</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0.188</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0.234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0.250</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0.241</w:t>
            </w:r>
          </w:p>
        </w:tc>
      </w:tr>
      <w:tr w:rsidR="005B5D9C">
        <w:tc>
          <w:tcPr>
            <w:tcW w:w="9360" w:type="dxa"/>
            <w:gridSpan w:val="9"/>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b/>
                <w:bCs/>
                <w:i/>
                <w:iCs/>
                <w:sz w:val="19"/>
                <w:szCs w:val="19"/>
              </w:rPr>
              <w:t>Harvesting stages</w:t>
            </w:r>
          </w:p>
        </w:tc>
      </w:tr>
      <w:tr w:rsidR="005B5D9C">
        <w:tc>
          <w:tcPr>
            <w:tcW w:w="225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sz w:val="19"/>
                <w:szCs w:val="19"/>
              </w:rPr>
              <w:t>S₁ (Flowering)</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0.438</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0.474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2.004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2.528</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3.894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4.936</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4.782</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5.817</w:t>
            </w:r>
          </w:p>
        </w:tc>
      </w:tr>
      <w:tr w:rsidR="005B5D9C">
        <w:tc>
          <w:tcPr>
            <w:tcW w:w="225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sz w:val="19"/>
                <w:szCs w:val="19"/>
              </w:rPr>
              <w:lastRenderedPageBreak/>
              <w:t>S₂ (Soft dough)</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0.460</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0.478</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1.987</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2.481</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3.974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4.920</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4.466</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5.496</w:t>
            </w:r>
          </w:p>
        </w:tc>
      </w:tr>
      <w:tr w:rsidR="005B5D9C">
        <w:tc>
          <w:tcPr>
            <w:tcW w:w="225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sz w:val="19"/>
                <w:szCs w:val="19"/>
              </w:rPr>
              <w:t>S₃ (Hard dough)</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0.471</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0.476</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2.092</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2.575</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3.974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4.979</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4.091</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sz w:val="19"/>
                <w:szCs w:val="19"/>
              </w:rPr>
              <w:t>5.157</w:t>
            </w:r>
          </w:p>
        </w:tc>
      </w:tr>
      <w:tr w:rsidR="005B5D9C">
        <w:tc>
          <w:tcPr>
            <w:tcW w:w="225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b/>
                <w:bCs/>
                <w:sz w:val="19"/>
                <w:szCs w:val="19"/>
              </w:rPr>
              <w:t>SE(m) ±</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0.062</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0.026</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0.092</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0.089</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0.077</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0.095</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0.102</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0.098</w:t>
            </w:r>
          </w:p>
        </w:tc>
      </w:tr>
      <w:tr w:rsidR="005B5D9C">
        <w:tc>
          <w:tcPr>
            <w:tcW w:w="225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r>
              <w:rPr>
                <w:b/>
                <w:bCs/>
                <w:sz w:val="19"/>
                <w:szCs w:val="19"/>
              </w:rPr>
              <w:t>CD (p ≤ 0.05)</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NS</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NS</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NS</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NS</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NS</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NS</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0.306</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rsidR="005B5D9C" w:rsidRDefault="002601F4">
            <w:pPr>
              <w:jc w:val="center"/>
            </w:pPr>
            <w:r>
              <w:rPr>
                <w:b/>
                <w:bCs/>
                <w:sz w:val="19"/>
                <w:szCs w:val="19"/>
              </w:rPr>
              <w:t>0.295</w:t>
            </w:r>
          </w:p>
        </w:tc>
      </w:tr>
    </w:tbl>
    <w:p w:rsidR="005B5D9C" w:rsidRDefault="005B5D9C"/>
    <w:p w:rsidR="005B5D9C" w:rsidRDefault="002601F4">
      <w:pPr>
        <w:tabs>
          <w:tab w:val="left" w:pos="1660"/>
        </w:tabs>
      </w:pPr>
      <w:r>
        <w:tab/>
      </w:r>
    </w:p>
    <w:p w:rsidR="005B5D9C" w:rsidRDefault="002601F4">
      <w:pPr>
        <w:spacing w:after="140" w:line="360" w:lineRule="auto"/>
        <w:jc w:val="both"/>
      </w:pPr>
      <w:r>
        <w:rPr>
          <w:noProof/>
          <w:lang w:val="en-US" w:eastAsia="en-US"/>
        </w:rPr>
        <w:drawing>
          <wp:inline distT="0" distB="0" distL="0" distR="0">
            <wp:extent cx="5948322" cy="2699438"/>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5948322" cy="2699438"/>
                    </a:xfrm>
                    <a:prstGeom prst="rect">
                      <a:avLst/>
                    </a:prstGeom>
                    <a:ln/>
                  </pic:spPr>
                </pic:pic>
              </a:graphicData>
            </a:graphic>
          </wp:inline>
        </w:drawing>
      </w:r>
    </w:p>
    <w:p w:rsidR="005B5D9C" w:rsidRDefault="002601F4">
      <w:pPr>
        <w:spacing w:after="140" w:line="360" w:lineRule="auto"/>
        <w:jc w:val="both"/>
      </w:pPr>
      <w:r>
        <w:t xml:space="preserve">Figure 5:Leaf area index of fodder sorghum as influenced by variety during year 2024 and 2025 </w:t>
      </w:r>
    </w:p>
    <w:p w:rsidR="005B5D9C" w:rsidRDefault="002601F4">
      <w:pPr>
        <w:spacing w:after="140" w:line="360" w:lineRule="auto"/>
        <w:jc w:val="both"/>
      </w:pPr>
      <w:r>
        <w:rPr>
          <w:noProof/>
          <w:lang w:val="en-US" w:eastAsia="en-US"/>
        </w:rPr>
        <w:drawing>
          <wp:inline distT="0" distB="0" distL="0" distR="0">
            <wp:extent cx="5766876" cy="261709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5766876" cy="2617096"/>
                    </a:xfrm>
                    <a:prstGeom prst="rect">
                      <a:avLst/>
                    </a:prstGeom>
                    <a:ln/>
                  </pic:spPr>
                </pic:pic>
              </a:graphicData>
            </a:graphic>
          </wp:inline>
        </w:drawing>
      </w:r>
    </w:p>
    <w:p w:rsidR="005B5D9C" w:rsidRDefault="002601F4">
      <w:pPr>
        <w:spacing w:after="140" w:line="360" w:lineRule="auto"/>
        <w:jc w:val="both"/>
      </w:pPr>
      <w:r>
        <w:t>Figure 6:Leaf area index of fodder sorghum as influenced by harvesting stage during year 2024 and 2025</w:t>
      </w:r>
    </w:p>
    <w:p w:rsidR="005B5D9C" w:rsidRDefault="002601F4">
      <w:pPr>
        <w:spacing w:after="140" w:line="360" w:lineRule="auto"/>
        <w:jc w:val="both"/>
      </w:pPr>
      <w:r>
        <w:rPr>
          <w:b/>
          <w:bCs/>
        </w:rPr>
        <w:lastRenderedPageBreak/>
        <w:t>4. Discussion</w:t>
      </w:r>
    </w:p>
    <w:p w:rsidR="005B5D9C" w:rsidRDefault="002601F4">
      <w:pPr>
        <w:spacing w:after="140" w:line="360" w:lineRule="auto"/>
        <w:jc w:val="both"/>
      </w:pPr>
      <w:r>
        <w:t xml:space="preserve">Growth analysis provides an integrated assessment of crop growth and biomass production by describing the changes in leaf area and dry matter accumulation over time. Parameters such as leaf area index (LAI), crop growth rate (CGR), relative growth rate (RGR) and net assimilation rate (NAR) collectively reflect the ability of crop to develop its photosynthetic surface, accumulate the biomass and utilize that surface for dry matter production. </w:t>
      </w:r>
    </w:p>
    <w:p w:rsidR="005B5D9C" w:rsidRDefault="002601F4">
      <w:pPr>
        <w:spacing w:after="140" w:line="360" w:lineRule="auto"/>
        <w:jc w:val="both"/>
      </w:pPr>
      <w:r>
        <w:t xml:space="preserve">Leaf area index increased progressively with crop age, with a marked increase between 20 and 60 DAS. Among varieties, MP Chari (V₁) recorded significantly higher LAI than SFG-5000 (V₂) from 40 DAS onwards during both years. The greater canopy development of MP Chari may be attributed to its inherently greater leaf production and expansion which resulted in a larger photosynthetically active surface. The varieties differed significantly from 40 days after sowing onwards, showing that the canopy differences became more pronounced with the progression of crop growth. A higher value of leaf area index increases interception of solar radiation and contributes to the greater biomass producing capacity of MP Chari (Chavez </w:t>
      </w:r>
      <w:r>
        <w:rPr>
          <w:i/>
          <w:iCs/>
        </w:rPr>
        <w:t>et al</w:t>
      </w:r>
      <w:r>
        <w:t xml:space="preserve">., 2022). Harvesting stage had non-significant influence on LAI up to 60 DAS. However, significant differences were observed at harvest. During both years, LAI was highest at flowering, followed by soft dough and hard dough stages. The decline in leaf area index from flowering through soft dough to hard dough stage reflects the senescence and drying of some of the lower leaves (Shanti </w:t>
      </w:r>
      <w:r>
        <w:rPr>
          <w:i/>
          <w:iCs/>
        </w:rPr>
        <w:t>et al</w:t>
      </w:r>
      <w:r>
        <w:t>., 2017).</w:t>
      </w:r>
    </w:p>
    <w:p w:rsidR="005B5D9C" w:rsidRDefault="002601F4">
      <w:pPr>
        <w:spacing w:after="140" w:line="360" w:lineRule="auto"/>
        <w:jc w:val="both"/>
      </w:pPr>
      <w:r>
        <w:t>Among the varieties under study, MP Chari (V</w:t>
      </w:r>
      <w:r>
        <w:rPr>
          <w:vertAlign w:val="subscript"/>
        </w:rPr>
        <w:t>1</w:t>
      </w:r>
      <w:r>
        <w:t>) proved consistently superior in crop growth rate, net assimilation rate and leaf area index than SFG-5000 (V</w:t>
      </w:r>
      <w:r>
        <w:rPr>
          <w:vertAlign w:val="subscript"/>
        </w:rPr>
        <w:t>2</w:t>
      </w:r>
      <w:r>
        <w:t>). MP Chari (V</w:t>
      </w:r>
      <w:r>
        <w:rPr>
          <w:vertAlign w:val="subscript"/>
        </w:rPr>
        <w:t>1</w:t>
      </w:r>
      <w:r>
        <w:t>) had significantly larger canopy from 40 DAS onwards and simultaneously fixed more dry matter per unit of that canopy. The higher leaf area enhanced the interception and utilization of incident solar radiation. The higher net assimilation rate indicates greater dry matter production per unit leaf area in MP Chari, suggesting greater assimilatory efficiency of its canopy under the prevailing field conditions. The combined advantage of larger canopy and higher assimilatory efficiency resulted in higher biomass accumulation and consequently higher crop growth rate in MP Chari (V</w:t>
      </w:r>
      <w:r>
        <w:rPr>
          <w:vertAlign w:val="subscript"/>
        </w:rPr>
        <w:t>1</w:t>
      </w:r>
      <w:r>
        <w:t xml:space="preserve">) (Hilty </w:t>
      </w:r>
      <w:r>
        <w:rPr>
          <w:i/>
          <w:iCs/>
        </w:rPr>
        <w:t>et al</w:t>
      </w:r>
      <w:r>
        <w:t xml:space="preserve">., 2021). These differences may be associated with the inherent genetic characteristics of the varieties (Saberi and Siti Aishah, 2013; Pérez Hernández </w:t>
      </w:r>
      <w:r>
        <w:rPr>
          <w:i/>
          <w:iCs/>
        </w:rPr>
        <w:t>et al</w:t>
      </w:r>
      <w:r>
        <w:t xml:space="preserve">., 2019). Relative growth rate behaved differently from the other indices, that is, crop growth rate and net </w:t>
      </w:r>
      <w:r>
        <w:lastRenderedPageBreak/>
        <w:t xml:space="preserve">assimilation rate. </w:t>
      </w:r>
      <w:r>
        <w:rPr>
          <w:color w:val="000000"/>
        </w:rPr>
        <w:t>Although non-significant response was shown by varieties, SFG-5000 had numerically higher RGR than MP Chari</w:t>
      </w:r>
      <w:r>
        <w:rPr>
          <w:color w:val="EE0000"/>
        </w:rPr>
        <w:t xml:space="preserve">. </w:t>
      </w:r>
      <w:r>
        <w:t xml:space="preserve">RGR is a relative measure and its high value in SFG-5000 indicates a relative faster increase in biomass in relation to the biomass already present. This may be attributed to differences in initial biomass and relative pattern of biomass accumulation (Lamont </w:t>
      </w:r>
      <w:r>
        <w:rPr>
          <w:i/>
          <w:iCs/>
        </w:rPr>
        <w:t>et al</w:t>
      </w:r>
      <w:r>
        <w:t>., 2023). The non-significant impact of varieties indicates that these numerical differences were not sufficient for SFG-5000 to establish a varietal advantage over MP Chari.</w:t>
      </w:r>
    </w:p>
    <w:p w:rsidR="005B5D9C" w:rsidRDefault="002601F4">
      <w:pPr>
        <w:spacing w:after="140" w:line="360" w:lineRule="auto"/>
        <w:jc w:val="both"/>
      </w:pPr>
      <w:r>
        <w:t xml:space="preserve">Harvesting stage did not affect crop growth rate at any interval. Plots assigned to the three harvest stages received identical management until their harvesting times and therefore harvesting stage was not expected to differentially influence the growth indices during initial intervals of 20-40 and 40-60 DAS. Non-significant effect during the final interval of 60 DAS to harvest indicated that the crop continued to accumulate dry matter at a comparable rate. Cruz </w:t>
      </w:r>
      <w:r>
        <w:rPr>
          <w:i/>
          <w:iCs/>
        </w:rPr>
        <w:t>et al</w:t>
      </w:r>
      <w:r>
        <w:t>. (2025) recorded a 31 percent increase in dry matter accumulation between the milky-grain and soft-dough stages in warm-season annual forages and Khalilian</w:t>
      </w:r>
      <w:r>
        <w:rPr>
          <w:i/>
          <w:iCs/>
        </w:rPr>
        <w:t>et al</w:t>
      </w:r>
      <w:r>
        <w:t xml:space="preserve">. (2022) obtained maximum dry matter yield at physiological maturity in sorghum cultivars. The significant response of relative growth rate was observed in the 60 DAS to harvest interval of both years with flowering stage recording highest RGR followed by dough stages. Higher RGR at flowering stage may reflect relatively active growth and biomass accumulation during early reproductive phases (Ravibabu </w:t>
      </w:r>
      <w:r>
        <w:rPr>
          <w:i/>
          <w:iCs/>
        </w:rPr>
        <w:t>et al</w:t>
      </w:r>
      <w:r>
        <w:t xml:space="preserve">., 2009). Moving towards soft and hard dough stages of crop this index had declined further. The soft dough and hard dough did not differ from each other indicating that most of the decline had already occurred by the soft dough stage. The higher net assimilation rate recorded under hard dough in the 60 DAS to harvest interval of 2025 represents greater efficiency of dry matter production per unit leaf area. This response could be associated with the maintenance of physiologically active leaf area and continued production of assimilates during dough stage. The difference in the magnitude of response during two years may reflect variation in environmental conditions influencing leaf persistence, canopy activity and assimilate partitioning during the reproductive phase (Borrell </w:t>
      </w:r>
      <w:r>
        <w:rPr>
          <w:i/>
          <w:iCs/>
        </w:rPr>
        <w:t>et al</w:t>
      </w:r>
      <w:r>
        <w:t>., 2000).</w:t>
      </w:r>
    </w:p>
    <w:p w:rsidR="005B5D9C" w:rsidRDefault="002601F4">
      <w:pPr>
        <w:spacing w:before="240" w:after="120" w:line="360" w:lineRule="auto"/>
      </w:pPr>
      <w:r>
        <w:rPr>
          <w:b/>
          <w:bCs/>
        </w:rPr>
        <w:t>5. CONCLUSION</w:t>
      </w:r>
    </w:p>
    <w:p w:rsidR="005B5D9C" w:rsidRDefault="002601F4">
      <w:pPr>
        <w:spacing w:after="120" w:line="360" w:lineRule="auto"/>
        <w:jc w:val="both"/>
      </w:pPr>
      <w:commentRangeStart w:id="3"/>
      <w:r>
        <w:t>The present investigation revealed that both variety and stage of harvest influenced the growth behaviour of fodder sorghum. Among varieties, MP Chari (V</w:t>
      </w:r>
      <w:r>
        <w:rPr>
          <w:vertAlign w:val="subscript"/>
        </w:rPr>
        <w:t>1</w:t>
      </w:r>
      <w:r>
        <w:t xml:space="preserve">) proved superior to SFG-5000 </w:t>
      </w:r>
      <w:r>
        <w:lastRenderedPageBreak/>
        <w:t>(V</w:t>
      </w:r>
      <w:r>
        <w:rPr>
          <w:vertAlign w:val="subscript"/>
        </w:rPr>
        <w:t>2</w:t>
      </w:r>
      <w:r>
        <w:t>) in crop growth rate, net assimilation rate and leaf area index during both years. It maintained a significantly larger canopy from 40 days after sowing onwards and produced more dry matter. Relative growth rate did not differ significantly between the varieties. MP Chari (V</w:t>
      </w:r>
      <w:r>
        <w:rPr>
          <w:vertAlign w:val="subscript"/>
        </w:rPr>
        <w:t>1</w:t>
      </w:r>
      <w:r>
        <w:t>) can thus be regarded as the more productive and physiologically efficient variety under the temperate conditions. Harvesting stage did not influence crop growth rate at any of the growth intervals, indicating that the crop continued to accumulate dry matter at a comparable rate irrespective of the stage at which it was harvested. The effect of harvesting stage was confined to the final interval of 60 DAS to harvest, where the flowering stage recorded the highest relative growth rate during both the years and the hard dough stage the highest net assimilation rate during 2025. Leaf area index at harvest declined progressively from flowering through soft dough to hard dough stage, reflecting the senescence and drying of the lower leaves with advancing maturity. Since the rate of dry matter accumulation remained unaffected by delaying the harvest but the green leaf area declined, the selection of harvesting stage involves a trade off between the quantity of fodder obtained and the retention of green leaf area. The present study thus identifies MP Chari as the more productive variety under temperate conditions of Kashmir, while the selection of an appropriate harvesting stage requires further evaluation with fodder yield and quality data.</w:t>
      </w:r>
      <w:commentRangeEnd w:id="3"/>
      <w:r w:rsidR="000D41F7">
        <w:rPr>
          <w:rStyle w:val="CommentReference"/>
        </w:rPr>
        <w:commentReference w:id="3"/>
      </w:r>
    </w:p>
    <w:p w:rsidR="005B5D9C" w:rsidRDefault="002601F4">
      <w:pPr>
        <w:spacing w:after="120" w:line="360" w:lineRule="auto"/>
        <w:jc w:val="both"/>
        <w:rPr>
          <w:b/>
          <w:bCs/>
        </w:rPr>
      </w:pPr>
      <w:r>
        <w:rPr>
          <w:b/>
          <w:bCs/>
        </w:rPr>
        <w:t>6. Limitation</w:t>
      </w:r>
    </w:p>
    <w:p w:rsidR="005B5D9C" w:rsidRDefault="002601F4">
      <w:pPr>
        <w:spacing w:after="120" w:line="360" w:lineRule="auto"/>
        <w:jc w:val="both"/>
      </w:pPr>
      <w:r>
        <w:t xml:space="preserve">The present study was confined to a single temperate location, two fodder sorghum varieties and two </w:t>
      </w:r>
      <w:r>
        <w:rPr>
          <w:i/>
          <w:iCs/>
        </w:rPr>
        <w:t xml:space="preserve">Kharif </w:t>
      </w:r>
      <w:r>
        <w:t>seasons. The responses recorded may therefore be specific to the soil and climatic conditions of the experimental site and to the varieties evaluated. Since the three harvesting stages were reached on different dates, the indices computed for the final interval represent mean values over periods of differing duration. The scope of the investigation was restricted to physiological growth indices and the interpretation accordingly applies to leaf area index, crop growth rate, relative growth rate and net assimilation rate under the conditions described. Evaluation over different locations, varieties and seasons would help establish the generality of these responses.</w:t>
      </w:r>
    </w:p>
    <w:p w:rsidR="005B5D9C" w:rsidRDefault="002601F4">
      <w:pPr>
        <w:spacing w:before="240" w:after="120" w:line="360" w:lineRule="auto"/>
        <w:rPr>
          <w:b/>
          <w:bCs/>
        </w:rPr>
      </w:pPr>
      <w:r>
        <w:rPr>
          <w:b/>
          <w:bCs/>
        </w:rPr>
        <w:t xml:space="preserve">Competing Interests </w:t>
      </w:r>
    </w:p>
    <w:p w:rsidR="005B5D9C" w:rsidRDefault="002601F4">
      <w:pPr>
        <w:spacing w:before="240" w:after="120" w:line="360" w:lineRule="auto"/>
      </w:pPr>
      <w:r>
        <w:t>Authors have declared that no competing interests exist.</w:t>
      </w:r>
    </w:p>
    <w:p w:rsidR="0022443C" w:rsidRDefault="0022443C" w:rsidP="0022443C">
      <w:pPr>
        <w:rPr>
          <w:b/>
        </w:rPr>
      </w:pPr>
      <w:r w:rsidRPr="000839CE">
        <w:rPr>
          <w:b/>
        </w:rPr>
        <w:lastRenderedPageBreak/>
        <w:t>Declaration of AI Use</w:t>
      </w:r>
    </w:p>
    <w:p w:rsidR="0022443C" w:rsidRDefault="0022443C" w:rsidP="0022443C">
      <w:pPr>
        <w:rPr>
          <w:b/>
        </w:rPr>
      </w:pPr>
    </w:p>
    <w:p w:rsidR="0022443C" w:rsidRDefault="0022443C" w:rsidP="0022443C">
      <w:pPr>
        <w:rPr>
          <w:b/>
        </w:rPr>
      </w:pPr>
    </w:p>
    <w:p w:rsidR="0022443C" w:rsidRDefault="0022443C" w:rsidP="0022443C">
      <w:pPr>
        <w:rPr>
          <w:b/>
        </w:rPr>
      </w:pPr>
    </w:p>
    <w:p w:rsidR="0022443C" w:rsidRPr="002D08AC" w:rsidRDefault="0022443C" w:rsidP="0022443C">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rsidR="0022443C" w:rsidRDefault="0022443C">
      <w:pPr>
        <w:spacing w:before="240" w:after="120" w:line="360" w:lineRule="auto"/>
      </w:pPr>
    </w:p>
    <w:p w:rsidR="005B5D9C" w:rsidRDefault="002601F4">
      <w:pPr>
        <w:spacing w:before="240" w:after="120" w:line="360" w:lineRule="auto"/>
      </w:pPr>
      <w:r>
        <w:rPr>
          <w:b/>
          <w:bCs/>
        </w:rPr>
        <w:t>References</w:t>
      </w:r>
    </w:p>
    <w:p w:rsidR="005B5D9C" w:rsidRDefault="002601F4">
      <w:pPr>
        <w:spacing w:after="100" w:line="360" w:lineRule="auto"/>
        <w:ind w:left="360" w:hanging="360"/>
        <w:jc w:val="both"/>
      </w:pPr>
      <w:r>
        <w:t xml:space="preserve">Ahmad, S., Mir, N., Bhat, S., &amp; Singh, J. (2018). High altitude pasturelands of Kashmir Himalaya: Current status, issues and future strategies in a changing climatic scenario. </w:t>
      </w:r>
      <w:r>
        <w:rPr>
          <w:i/>
          <w:iCs/>
        </w:rPr>
        <w:t>Current Journal of Applied Science and Technology, 27</w:t>
      </w:r>
      <w:r>
        <w:t xml:space="preserve">(2), 1–10. </w:t>
      </w:r>
      <w:hyperlink r:id="rId13">
        <w:r w:rsidR="005B5D9C">
          <w:rPr>
            <w:color w:val="0563C1"/>
            <w:u w:val="single"/>
          </w:rPr>
          <w:t>https://doi.org/10.9734/cjast/2018/40695</w:t>
        </w:r>
      </w:hyperlink>
    </w:p>
    <w:p w:rsidR="005B5D9C" w:rsidRDefault="002601F4">
      <w:pPr>
        <w:spacing w:after="100" w:line="360" w:lineRule="auto"/>
        <w:ind w:left="360" w:hanging="360"/>
        <w:jc w:val="both"/>
      </w:pPr>
      <w:r>
        <w:t xml:space="preserve">Atış, İ., Konuşkan, Ö., Duru, M., Gözübenli, H. and Yılmaz, Ş. (2012). Effect of harvesting time on yield, composition and forage quality of some forage sorghum cultivars. </w:t>
      </w:r>
      <w:r>
        <w:rPr>
          <w:i/>
          <w:iCs/>
        </w:rPr>
        <w:t>International Journal of Agriculture &amp; Biology</w:t>
      </w:r>
      <w:r>
        <w:t>, 14(6), 879–886.</w:t>
      </w:r>
    </w:p>
    <w:p w:rsidR="005B5D9C" w:rsidRDefault="002601F4">
      <w:pPr>
        <w:spacing w:after="100" w:line="360" w:lineRule="auto"/>
        <w:ind w:left="360" w:hanging="360"/>
        <w:jc w:val="both"/>
      </w:pPr>
      <w:r>
        <w:t xml:space="preserve">Bhat, B. V. (2019). Breeding forage sorghum. In </w:t>
      </w:r>
      <w:r>
        <w:rPr>
          <w:i/>
          <w:iCs/>
        </w:rPr>
        <w:t>Breeding sorghum for diverse end uses</w:t>
      </w:r>
      <w:r>
        <w:t xml:space="preserve"> (pp. 175–191). Woodhead Publishing. https://doi.org/10.1016/B978-0-08-101879-8.00011-5</w:t>
      </w:r>
    </w:p>
    <w:p w:rsidR="005B5D9C" w:rsidRDefault="002601F4">
      <w:pPr>
        <w:spacing w:after="100" w:line="360" w:lineRule="auto"/>
        <w:ind w:left="360" w:hanging="360"/>
        <w:jc w:val="both"/>
      </w:pPr>
      <w:r>
        <w:t xml:space="preserve">Bhattarai, B., Singh, S., West, C. P., Ritchie, G. L., &amp; Trostle, C. L. (2020). Water depletion pattern and water use efficiency of forage sorghum, pearl millet, and corn under water limiting condition. </w:t>
      </w:r>
      <w:r>
        <w:rPr>
          <w:i/>
          <w:iCs/>
        </w:rPr>
        <w:t>Agricultural Water Management, 238</w:t>
      </w:r>
      <w:r>
        <w:t>, 106206. https://doi.org/10.1016/j.agwat.2020.106206</w:t>
      </w:r>
    </w:p>
    <w:p w:rsidR="005B5D9C" w:rsidRDefault="002601F4">
      <w:pPr>
        <w:spacing w:after="100" w:line="360" w:lineRule="auto"/>
        <w:ind w:left="360" w:hanging="360"/>
        <w:jc w:val="both"/>
      </w:pPr>
      <w:r>
        <w:t xml:space="preserve">Blackman, V. H. (1919). The compound interest law and plant growth. </w:t>
      </w:r>
      <w:r>
        <w:rPr>
          <w:i/>
          <w:iCs/>
        </w:rPr>
        <w:t>Annals of Botany, os-33</w:t>
      </w:r>
      <w:r>
        <w:t>, 353–360. https://doi.org/10.1093/oxfordjournals.aob.a089727</w:t>
      </w:r>
    </w:p>
    <w:p w:rsidR="005B5D9C" w:rsidRDefault="002601F4">
      <w:pPr>
        <w:spacing w:after="100" w:line="360" w:lineRule="auto"/>
        <w:ind w:left="360" w:hanging="360"/>
        <w:jc w:val="both"/>
      </w:pPr>
      <w:r>
        <w:t xml:space="preserve">Borrell, A. K., Hammer, G. L., &amp; Henzell, R. G. (2000). Does maintaining green leaf area in sorghum improve yield under drought? II. Dry matter production and yield. </w:t>
      </w:r>
      <w:r>
        <w:rPr>
          <w:i/>
          <w:iCs/>
        </w:rPr>
        <w:t>Crop Science, 40</w:t>
      </w:r>
      <w:r>
        <w:t>(4), 1037–1048. https://doi.org/10.2135/cropsci2000.4041037x</w:t>
      </w:r>
    </w:p>
    <w:p w:rsidR="005B5D9C" w:rsidRDefault="002601F4">
      <w:pPr>
        <w:spacing w:after="100" w:line="360" w:lineRule="auto"/>
        <w:ind w:left="360" w:hanging="360"/>
        <w:jc w:val="both"/>
      </w:pPr>
      <w:r>
        <w:t xml:space="preserve">Chauhan, J. S., Chand, S., Choudhury, P. R., Singh, K. H., Agarwal, R. K., Bhardwaj, N. R., &amp; Roy, A. K. (2021). A scenario of breeding varieties and seed production of forage crops in </w:t>
      </w:r>
      <w:r>
        <w:lastRenderedPageBreak/>
        <w:t xml:space="preserve">India. </w:t>
      </w:r>
      <w:r>
        <w:rPr>
          <w:i/>
          <w:iCs/>
        </w:rPr>
        <w:t>Indian Journal of Genetics and Plant Breeding, 81</w:t>
      </w:r>
      <w:r>
        <w:t>(3), 343–357. https://doi.org/10.31742/IJGPB.81.3.1</w:t>
      </w:r>
    </w:p>
    <w:p w:rsidR="005B5D9C" w:rsidRDefault="002601F4">
      <w:pPr>
        <w:spacing w:after="100" w:line="360" w:lineRule="auto"/>
        <w:ind w:left="360" w:hanging="360"/>
        <w:jc w:val="both"/>
      </w:pPr>
      <w:r>
        <w:t xml:space="preserve">Chavez, J. C., Ganjegunte, G. K., Jeong, J., Rajan, N., Zapata, S. D., Ruiz-Alvarez, O., &amp; Enciso, J. (2022). Radiation use efficiency and agronomic performance of biomass sorghum under different sowing dates. </w:t>
      </w:r>
      <w:r>
        <w:rPr>
          <w:i/>
          <w:iCs/>
        </w:rPr>
        <w:t>Agronomy, 12</w:t>
      </w:r>
      <w:r>
        <w:t>(6), 1252. https://doi.org/10.3390/agronomy12061252</w:t>
      </w:r>
    </w:p>
    <w:p w:rsidR="005B5D9C" w:rsidRDefault="002601F4">
      <w:pPr>
        <w:spacing w:after="100" w:line="360" w:lineRule="auto"/>
        <w:ind w:left="360" w:hanging="360"/>
        <w:jc w:val="both"/>
      </w:pPr>
      <w:r>
        <w:t xml:space="preserve">Cruz, A., Bangari, M., Aviles, D., Impa, S. M., Ostmeyer, T., Ritchie, G., Hayes, C., Norris, A., &amp; Jagadish, S. V. K. (2025). Assessment of biomass and nutritive value of warm season annual forages, including prussic acid free sorghum. </w:t>
      </w:r>
      <w:r>
        <w:rPr>
          <w:i/>
          <w:iCs/>
        </w:rPr>
        <w:t>Plant Physiology Reports, 30</w:t>
      </w:r>
      <w:r>
        <w:t>(4), 749–761. https://doi.org/10.1007/s40502-025-00900-0</w:t>
      </w:r>
    </w:p>
    <w:p w:rsidR="005B5D9C" w:rsidRDefault="002601F4">
      <w:pPr>
        <w:spacing w:after="100" w:line="360" w:lineRule="auto"/>
        <w:ind w:left="360" w:hanging="360"/>
        <w:jc w:val="both"/>
      </w:pPr>
      <w:r>
        <w:t xml:space="preserve">Department of Animal Husbandry, Dairying and Fisheries. (2019). </w:t>
      </w:r>
      <w:r>
        <w:rPr>
          <w:i/>
          <w:iCs/>
        </w:rPr>
        <w:t>20th livestock census</w:t>
      </w:r>
      <w:r>
        <w:t>. Ministry of Agriculture and Farmers Welfare, Government of India.</w:t>
      </w:r>
    </w:p>
    <w:p w:rsidR="005B5D9C" w:rsidRDefault="002601F4">
      <w:pPr>
        <w:spacing w:after="100" w:line="360" w:lineRule="auto"/>
        <w:ind w:left="360" w:hanging="360"/>
        <w:jc w:val="both"/>
      </w:pPr>
      <w:r>
        <w:t xml:space="preserve">Getachew, G., Putnam, D. H., De Ben, C. M., &amp; De Peters, E. J. (2016). Potential of sorghum as an alternative to corn forage. </w:t>
      </w:r>
      <w:r>
        <w:rPr>
          <w:i/>
          <w:iCs/>
        </w:rPr>
        <w:t>American Journal of Plant Sciences, 7</w:t>
      </w:r>
      <w:r>
        <w:t>(7), 1106–1121. https://doi.org/10.4236/ajps.2016.77106</w:t>
      </w:r>
    </w:p>
    <w:p w:rsidR="005B5D9C" w:rsidRDefault="002601F4">
      <w:pPr>
        <w:spacing w:after="100" w:line="360" w:lineRule="auto"/>
        <w:ind w:left="360" w:hanging="360"/>
        <w:jc w:val="both"/>
      </w:pPr>
      <w:r>
        <w:t xml:space="preserve">Hamadani, A., Ganai, N. A., Rather, M. A., Shanaz, S., Ayaz, A., Mansoor, S., &amp; Nazir, S. (2022). Livestock and poultry breeds of Jammu and Kashmir and Ladakh. </w:t>
      </w:r>
      <w:r>
        <w:rPr>
          <w:i/>
          <w:iCs/>
        </w:rPr>
        <w:t>The Indian Journal of Animal Sciences, 92</w:t>
      </w:r>
      <w:r>
        <w:t>(4), 409–416. https://doi.org/10.56093/ijans.v92i4.124009</w:t>
      </w:r>
    </w:p>
    <w:p w:rsidR="005B5D9C" w:rsidRDefault="002601F4">
      <w:pPr>
        <w:spacing w:after="100" w:line="360" w:lineRule="auto"/>
        <w:ind w:left="360" w:hanging="360"/>
        <w:jc w:val="both"/>
      </w:pPr>
      <w:r>
        <w:t xml:space="preserve">Hilty, J., Muller, B., Pantin, F., &amp; Leuzinger, S. (2021). Plant growth: The what, the how, and the why. </w:t>
      </w:r>
      <w:r>
        <w:rPr>
          <w:i/>
          <w:iCs/>
        </w:rPr>
        <w:t>New Phytologist, 232</w:t>
      </w:r>
      <w:r>
        <w:t>(1), 25–41. https://doi.org/10.1111/nph.17610</w:t>
      </w:r>
    </w:p>
    <w:p w:rsidR="005B5D9C" w:rsidRDefault="002601F4">
      <w:pPr>
        <w:spacing w:after="100" w:line="360" w:lineRule="auto"/>
        <w:ind w:left="360" w:hanging="360"/>
        <w:jc w:val="both"/>
      </w:pPr>
      <w:r>
        <w:t xml:space="preserve">Hossain, M. S., Islam, M. N., Rahman, M. M., Mostofa, M. G., &amp; Khan, M. A. R. (2022). Sorghum: A prospective crop for climatic vulnerability, food and nutritional security. </w:t>
      </w:r>
      <w:r>
        <w:rPr>
          <w:i/>
          <w:iCs/>
        </w:rPr>
        <w:t>Journal of Agriculture and Food Research, 8</w:t>
      </w:r>
      <w:r>
        <w:t>, 100300. https://doi.org/10.1016/j.jafr.2022.100300</w:t>
      </w:r>
    </w:p>
    <w:p w:rsidR="005B5D9C" w:rsidRDefault="002601F4">
      <w:pPr>
        <w:spacing w:after="100" w:line="360" w:lineRule="auto"/>
        <w:ind w:left="360" w:hanging="360"/>
        <w:jc w:val="both"/>
      </w:pPr>
      <w:r>
        <w:t xml:space="preserve">ICAR-IGFRI. (2021). </w:t>
      </w:r>
      <w:r>
        <w:rPr>
          <w:i/>
          <w:iCs/>
        </w:rPr>
        <w:t>Fodder resources development plan for Jammu and Kashmir</w:t>
      </w:r>
      <w:r>
        <w:t>. ICAR-Indian Grassland and Fodder Research Institute.</w:t>
      </w:r>
    </w:p>
    <w:p w:rsidR="005B5D9C" w:rsidRDefault="002601F4">
      <w:pPr>
        <w:spacing w:after="100" w:line="360" w:lineRule="auto"/>
        <w:ind w:left="360" w:hanging="360"/>
        <w:jc w:val="both"/>
      </w:pPr>
      <w:r>
        <w:t>Khalilian, M. E., Habibi, D., Golzardi, F., Aghayari, F., &amp; Khazaei, A. (2022). Effect of maturity stage on yield, morphological characteristics, and feed value of sorghum [</w:t>
      </w:r>
      <w:r>
        <w:rPr>
          <w:i/>
          <w:iCs/>
        </w:rPr>
        <w:t>Sorghum bicolor</w:t>
      </w:r>
      <w:r>
        <w:t xml:space="preserve"> (L.) Moench] cultivars. </w:t>
      </w:r>
      <w:r>
        <w:rPr>
          <w:i/>
          <w:iCs/>
        </w:rPr>
        <w:t>Cereal Research Communications, 50</w:t>
      </w:r>
      <w:r>
        <w:t>(4), 1095–1104. https://doi.org/10.1007/s42976-022-00244-7</w:t>
      </w:r>
    </w:p>
    <w:p w:rsidR="005B5D9C" w:rsidRDefault="002601F4">
      <w:pPr>
        <w:spacing w:after="100" w:line="360" w:lineRule="auto"/>
        <w:ind w:left="360" w:hanging="360"/>
        <w:jc w:val="both"/>
      </w:pPr>
      <w:r>
        <w:lastRenderedPageBreak/>
        <w:t xml:space="preserve">Kumar, B., Singh, M., Kumar, A., Rana, R., Kumar, S., Kumar, R., &amp; Singh, A. K. (2024). Sweet sorghum utilization for dual-purpose: Feed-fodder and fuel production (A review). </w:t>
      </w:r>
      <w:r>
        <w:rPr>
          <w:i/>
          <w:iCs/>
        </w:rPr>
        <w:t>Ecology, Environment and Conservation, 30</w:t>
      </w:r>
      <w:r>
        <w:t>(2), 852–857. https://doi.org/10.53550/eec.2024.v30i02.072</w:t>
      </w:r>
    </w:p>
    <w:p w:rsidR="005B5D9C" w:rsidRDefault="002601F4">
      <w:pPr>
        <w:spacing w:after="100" w:line="360" w:lineRule="auto"/>
        <w:ind w:left="360" w:hanging="360"/>
        <w:jc w:val="both"/>
      </w:pPr>
      <w:r>
        <w:t xml:space="preserve">Lamont, B. B., Williams, M. R., &amp; He, T. (2023). Relative growth rate (RGR) and other confounded variables: Mathematical problems and biological solutions. </w:t>
      </w:r>
      <w:r>
        <w:rPr>
          <w:i/>
          <w:iCs/>
        </w:rPr>
        <w:t>Annals of Botany, 131</w:t>
      </w:r>
      <w:r>
        <w:t>(4), 555–568. https://doi.org/10.1093/aob/mcad031</w:t>
      </w:r>
    </w:p>
    <w:p w:rsidR="005B5D9C" w:rsidRDefault="002601F4">
      <w:pPr>
        <w:spacing w:after="100" w:line="360" w:lineRule="auto"/>
        <w:ind w:left="360" w:hanging="360"/>
        <w:jc w:val="both"/>
      </w:pPr>
      <w:r>
        <w:t>Nikhil, Kaur, M., Oberoi, H. K., Singh, R., &amp; Singh, S. (2026). Fodder productivity and nutritional value of sorghum (</w:t>
      </w:r>
      <w:r>
        <w:rPr>
          <w:i/>
          <w:iCs/>
        </w:rPr>
        <w:t>Sorghum bicolor</w:t>
      </w:r>
      <w:r>
        <w:t xml:space="preserve">) as influenced by seeding rate and harvesting time. </w:t>
      </w:r>
      <w:r>
        <w:rPr>
          <w:i/>
          <w:iCs/>
        </w:rPr>
        <w:t>The Indian Journal of Agricultural Sciences, 96</w:t>
      </w:r>
      <w:r>
        <w:t xml:space="preserve">(2), 190–196. </w:t>
      </w:r>
      <w:hyperlink r:id="rId14">
        <w:r w:rsidR="005B5D9C">
          <w:rPr>
            <w:color w:val="0563C1"/>
            <w:u w:val="single"/>
          </w:rPr>
          <w:t>https://doi.org/10.56093/ijas.v96i02.166759</w:t>
        </w:r>
      </w:hyperlink>
    </w:p>
    <w:p w:rsidR="005B5D9C" w:rsidRDefault="002601F4">
      <w:pPr>
        <w:spacing w:after="100" w:line="360" w:lineRule="auto"/>
        <w:ind w:left="360" w:hanging="360"/>
        <w:jc w:val="both"/>
      </w:pPr>
      <w:r>
        <w:t xml:space="preserve">Ouma, L., Cheruiyot, E., &amp;Ogendo, J. (2024). Hydrocyanic acid potential in sorghums reduce with maturity and increase with temperature. </w:t>
      </w:r>
      <w:r>
        <w:rPr>
          <w:i/>
          <w:iCs/>
        </w:rPr>
        <w:t>Agronomy Journal, 116</w:t>
      </w:r>
      <w:r>
        <w:t>(1), 180–188. https://doi.org/10.1002/agj2.21491</w:t>
      </w:r>
    </w:p>
    <w:p w:rsidR="005B5D9C" w:rsidRDefault="002601F4">
      <w:pPr>
        <w:spacing w:after="100" w:line="360" w:lineRule="auto"/>
        <w:ind w:left="360" w:hanging="360"/>
        <w:jc w:val="both"/>
      </w:pPr>
      <w:r>
        <w:t xml:space="preserve">Pandey, R., Paul, V., Das, M., Meena, M., &amp; Meena, R. C. (2017). Plant growth analysis. In </w:t>
      </w:r>
      <w:r>
        <w:rPr>
          <w:i/>
          <w:iCs/>
        </w:rPr>
        <w:t>Manual of ICAR sponsored training programme on physiological techniques to analyze the impact of climate change on crop plants</w:t>
      </w:r>
      <w:r>
        <w:t xml:space="preserve"> (pp. 103–107). Division of Plant Physiology, ICAR-Indian Agricultural Research Institute, New Delhi.</w:t>
      </w:r>
    </w:p>
    <w:p w:rsidR="005B5D9C" w:rsidRDefault="002601F4">
      <w:pPr>
        <w:spacing w:after="100" w:line="360" w:lineRule="auto"/>
        <w:ind w:left="360" w:hanging="360"/>
        <w:jc w:val="both"/>
      </w:pPr>
      <w:r>
        <w:t xml:space="preserve">Pérez Hernández, A., Quero Carrillo, A. R., Garduño Velázquez, S., Escalante Estrada, J. A. S., Rodríguez González, M. T., &amp; Miranda Jiménez, L. (2019). Análisis de crecimientoen sorgo forrajeroen dos períodos de siembra [Growth analysis in forage sorghum in two planting periods]. </w:t>
      </w:r>
      <w:r>
        <w:rPr>
          <w:i/>
          <w:iCs/>
        </w:rPr>
        <w:t>Revista Mexicana de CienciasAgrícolas, 10</w:t>
      </w:r>
      <w:r>
        <w:t>(5), 1083–1095. https://doi.org/10.29312/remexca.v10i5.1813</w:t>
      </w:r>
    </w:p>
    <w:p w:rsidR="005B5D9C" w:rsidRDefault="002601F4">
      <w:pPr>
        <w:spacing w:after="100" w:line="360" w:lineRule="auto"/>
        <w:ind w:left="360" w:hanging="360"/>
        <w:jc w:val="both"/>
      </w:pPr>
      <w:r>
        <w:t>Pollo, R., Sitompul, S. M., Guritno, B., &amp;Tyasmoro, Y. S. (2018). Crop growth parameters of grain sorghum varieties (</w:t>
      </w:r>
      <w:r>
        <w:rPr>
          <w:i/>
          <w:iCs/>
        </w:rPr>
        <w:t>Sorghum bicolor</w:t>
      </w:r>
      <w:r>
        <w:t xml:space="preserve"> (L.) Moench) at different crop spacing. </w:t>
      </w:r>
      <w:r>
        <w:rPr>
          <w:i/>
          <w:iCs/>
        </w:rPr>
        <w:t>Russian Journal of Agricultural and Socio-Economic Sciences, 74</w:t>
      </w:r>
      <w:r>
        <w:t>(2), 224–233. https://doi.org/10.18551/rjoas.2018-02.25</w:t>
      </w:r>
    </w:p>
    <w:p w:rsidR="005B5D9C" w:rsidRDefault="002601F4">
      <w:pPr>
        <w:spacing w:after="100" w:line="360" w:lineRule="auto"/>
        <w:ind w:left="360" w:hanging="360"/>
        <w:jc w:val="both"/>
      </w:pPr>
      <w:r>
        <w:t xml:space="preserve">Radford, P. J. (1967). Growth analysis formulae—their use and abuse. </w:t>
      </w:r>
      <w:r>
        <w:rPr>
          <w:i/>
          <w:iCs/>
        </w:rPr>
        <w:t>Crop Science, 7</w:t>
      </w:r>
      <w:r>
        <w:t>(3), 171–175. https://doi.org/10.2135/cropsci1967.0011183x000700030001x</w:t>
      </w:r>
    </w:p>
    <w:p w:rsidR="005B5D9C" w:rsidRDefault="002601F4">
      <w:pPr>
        <w:spacing w:after="100" w:line="360" w:lineRule="auto"/>
        <w:ind w:left="360" w:hanging="360"/>
        <w:jc w:val="both"/>
      </w:pPr>
      <w:r>
        <w:lastRenderedPageBreak/>
        <w:t>Ravibabu, M., Swamy, N. R., Jayalalitha, K., &amp; Ravuri, V. (2009). Physiological assessment of sweet sorghum [</w:t>
      </w:r>
      <w:r>
        <w:rPr>
          <w:i/>
          <w:iCs/>
        </w:rPr>
        <w:t>Sorghum bicolor</w:t>
      </w:r>
      <w:r>
        <w:t xml:space="preserve"> (L.) Moench] cultivars in coastal Andhra. </w:t>
      </w:r>
      <w:r>
        <w:rPr>
          <w:i/>
          <w:iCs/>
        </w:rPr>
        <w:t>The Andhra Agricultural Journal, 56</w:t>
      </w:r>
      <w:r>
        <w:t>(4), 478–481.</w:t>
      </w:r>
    </w:p>
    <w:p w:rsidR="005B5D9C" w:rsidRDefault="002601F4">
      <w:pPr>
        <w:spacing w:after="100" w:line="360" w:lineRule="auto"/>
        <w:ind w:left="360" w:hanging="360"/>
        <w:jc w:val="both"/>
      </w:pPr>
      <w:r>
        <w:t>Saberi, A. R., &amp; Siti Aishah, H. (2013). Growth analysis of forage sorghum (</w:t>
      </w:r>
      <w:r>
        <w:rPr>
          <w:i/>
          <w:iCs/>
        </w:rPr>
        <w:t>Sorghum bicolor</w:t>
      </w:r>
      <w:r>
        <w:t xml:space="preserve"> L.) varieties under varying salinity and irrigation frequency. </w:t>
      </w:r>
      <w:r>
        <w:rPr>
          <w:i/>
          <w:iCs/>
        </w:rPr>
        <w:t>The International Journal of Biotechnology, 2</w:t>
      </w:r>
      <w:r>
        <w:t>(7), 130–140.</w:t>
      </w:r>
    </w:p>
    <w:p w:rsidR="005B5D9C" w:rsidRDefault="002601F4">
      <w:pPr>
        <w:spacing w:after="100" w:line="360" w:lineRule="auto"/>
        <w:ind w:left="360" w:hanging="360"/>
        <w:jc w:val="both"/>
      </w:pPr>
      <w:r>
        <w:t xml:space="preserve">Shanti, M., Susheela, R., Umakanth, A. V., Anuradha, M., &amp; Shashikala, T. (2017). Evaluation of sweet sorghum genotypes for fodder yield and quality under different levels of NPK. </w:t>
      </w:r>
      <w:r>
        <w:rPr>
          <w:i/>
          <w:iCs/>
        </w:rPr>
        <w:t>Forage Research, 42</w:t>
      </w:r>
      <w:r>
        <w:t>(4), 238–242.</w:t>
      </w:r>
    </w:p>
    <w:p w:rsidR="005B5D9C" w:rsidRDefault="002601F4">
      <w:pPr>
        <w:spacing w:after="100" w:line="360" w:lineRule="auto"/>
        <w:ind w:left="360" w:hanging="360"/>
        <w:jc w:val="both"/>
      </w:pPr>
      <w:r>
        <w:t xml:space="preserve">Singh, D. N., Bohra, J. S., Tyagi, V., Singh, T., Banjara, T. R., &amp; Gupta, G. (2022). A review of India’s fodder production status and opportunities. </w:t>
      </w:r>
      <w:r>
        <w:rPr>
          <w:i/>
          <w:iCs/>
        </w:rPr>
        <w:t>Grass and Forage Science, 77</w:t>
      </w:r>
      <w:r>
        <w:t>(1), 1–10. https://doi.org/10.1111/gfs.12561</w:t>
      </w:r>
    </w:p>
    <w:p w:rsidR="005B5D9C" w:rsidRDefault="002601F4">
      <w:pPr>
        <w:spacing w:after="100" w:line="360" w:lineRule="auto"/>
        <w:ind w:left="360" w:hanging="360"/>
        <w:jc w:val="both"/>
      </w:pPr>
      <w:r>
        <w:t xml:space="preserve">Watson, D. J. (1952). The physiological basis of variation in yield. </w:t>
      </w:r>
      <w:r>
        <w:rPr>
          <w:i/>
          <w:iCs/>
        </w:rPr>
        <w:t>Advances in Agronomy, 4</w:t>
      </w:r>
      <w:r>
        <w:t>, 101–145. https://doi.org/10.1016/s0065-2113(08)60307-7</w:t>
      </w:r>
    </w:p>
    <w:p w:rsidR="005B5D9C" w:rsidRDefault="002601F4">
      <w:pPr>
        <w:spacing w:after="100" w:line="360" w:lineRule="auto"/>
        <w:ind w:left="360" w:hanging="360"/>
        <w:jc w:val="both"/>
      </w:pPr>
      <w:r>
        <w:t xml:space="preserve">Zhou, Y., Huang, J., Li, Z., Wang, Q., Li, Y., Zhang, Y., Zhang, X., &amp; Wu, Y. (2024). Optimal nitrogen management for high yield and N use efficiency of ratoon sorghum. </w:t>
      </w:r>
      <w:r>
        <w:rPr>
          <w:i/>
          <w:iCs/>
        </w:rPr>
        <w:t>Scientific Reports, 14</w:t>
      </w:r>
      <w:r>
        <w:t>(1), 19566. https://doi.org/10.1038/s41598-024-70555-8</w:t>
      </w:r>
    </w:p>
    <w:p w:rsidR="005B5D9C" w:rsidRDefault="005B5D9C">
      <w:pPr>
        <w:spacing w:after="100" w:line="360" w:lineRule="auto"/>
        <w:jc w:val="both"/>
        <w:rPr>
          <w:color w:val="70AD47"/>
        </w:rPr>
      </w:pPr>
    </w:p>
    <w:p w:rsidR="005B5D9C" w:rsidRDefault="005B5D9C">
      <w:pPr>
        <w:spacing w:after="100" w:line="360" w:lineRule="auto"/>
        <w:ind w:left="360" w:hanging="360"/>
        <w:jc w:val="both"/>
        <w:rPr>
          <w:color w:val="70AD47"/>
        </w:rPr>
      </w:pPr>
    </w:p>
    <w:p w:rsidR="005B5D9C" w:rsidRDefault="005B5D9C">
      <w:pPr>
        <w:spacing w:after="100" w:line="360" w:lineRule="auto"/>
        <w:ind w:left="360" w:hanging="360"/>
        <w:jc w:val="both"/>
      </w:pPr>
    </w:p>
    <w:sectPr w:rsidR="005B5D9C" w:rsidSect="004338B8">
      <w:headerReference w:type="even" r:id="rId15"/>
      <w:headerReference w:type="default" r:id="rId16"/>
      <w:headerReference w:type="first" r:id="rId17"/>
      <w:pgSz w:w="12240" w:h="15840"/>
      <w:pgMar w:top="1440" w:right="1440" w:bottom="1440" w:left="1440" w:header="708" w:footer="708" w:gutter="0"/>
      <w:pgNumType w:start="1"/>
      <w:cols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ADA" w:date="2026-09-09T08:21:00Z" w:initials="A">
    <w:p w:rsidR="002601F4" w:rsidRDefault="002601F4">
      <w:pPr>
        <w:pStyle w:val="CommentText"/>
      </w:pPr>
      <w:r>
        <w:rPr>
          <w:rStyle w:val="CommentReference"/>
        </w:rPr>
        <w:annotationRef/>
      </w:r>
      <w:r>
        <w:t>Omit this.</w:t>
      </w:r>
    </w:p>
  </w:comment>
  <w:comment w:id="1" w:author="ADA" w:date="2026-09-09T08:30:00Z" w:initials="A">
    <w:p w:rsidR="00455DD5" w:rsidRDefault="00455DD5">
      <w:pPr>
        <w:pStyle w:val="CommentText"/>
      </w:pPr>
      <w:r>
        <w:rPr>
          <w:rStyle w:val="CommentReference"/>
        </w:rPr>
        <w:annotationRef/>
      </w:r>
      <w:r>
        <w:t>Keep in numerical form</w:t>
      </w:r>
    </w:p>
  </w:comment>
  <w:comment w:id="2" w:author="ADA" w:date="2026-09-09T08:38:00Z" w:initials="A">
    <w:p w:rsidR="00BC6D6D" w:rsidRDefault="00BC6D6D">
      <w:pPr>
        <w:pStyle w:val="CommentText"/>
      </w:pPr>
      <w:r>
        <w:rPr>
          <w:rStyle w:val="CommentReference"/>
        </w:rPr>
        <w:annotationRef/>
      </w:r>
      <w:r>
        <w:t>Omit this as it is already provided in Materials and Methods part</w:t>
      </w:r>
    </w:p>
  </w:comment>
  <w:comment w:id="3" w:author="ADA" w:date="2026-09-09T08:55:00Z" w:initials="A">
    <w:p w:rsidR="000D41F7" w:rsidRDefault="000D41F7">
      <w:pPr>
        <w:pStyle w:val="CommentText"/>
      </w:pPr>
      <w:r>
        <w:rPr>
          <w:rStyle w:val="CommentReference"/>
        </w:rPr>
        <w:annotationRef/>
      </w:r>
      <w:r>
        <w:t>It should be given in a concise way. Omit the discussion part here.</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3F40" w:rsidRDefault="003B3F40" w:rsidP="00291ADB">
      <w:r>
        <w:separator/>
      </w:r>
    </w:p>
  </w:endnote>
  <w:endnote w:type="continuationSeparator" w:id="1">
    <w:p w:rsidR="003B3F40" w:rsidRDefault="003B3F40" w:rsidP="00291A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FE4CB1C-5B67-4C4E-906D-A31ECB815F73}"/>
  </w:font>
  <w:font w:name="Tahoma">
    <w:panose1 w:val="020B0604030504040204"/>
    <w:charset w:val="00"/>
    <w:family w:val="swiss"/>
    <w:pitch w:val="variable"/>
    <w:sig w:usb0="E1002EFF" w:usb1="C000605B" w:usb2="00000029" w:usb3="00000000" w:csb0="000101FF" w:csb1="00000000"/>
    <w:embedRegular r:id="rId2" w:fontKey="{A494B167-2AF5-4CB8-BEF2-80337593A1E3}"/>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3" w:fontKey="{08045DAA-6CA1-4089-8BCB-43F1703C422D}"/>
  </w:font>
  <w:font w:name="Cambria">
    <w:panose1 w:val="02040503050406030204"/>
    <w:charset w:val="00"/>
    <w:family w:val="roman"/>
    <w:pitch w:val="variable"/>
    <w:sig w:usb0="E00006FF" w:usb1="420024FF" w:usb2="02000000" w:usb3="00000000" w:csb0="0000019F" w:csb1="00000000"/>
    <w:embedRegular r:id="rId4" w:fontKey="{F6B4CB96-6445-4F17-A849-87062EE988EC}"/>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3F40" w:rsidRDefault="003B3F40" w:rsidP="00291ADB">
      <w:r>
        <w:separator/>
      </w:r>
    </w:p>
  </w:footnote>
  <w:footnote w:type="continuationSeparator" w:id="1">
    <w:p w:rsidR="003B3F40" w:rsidRDefault="003B3F40" w:rsidP="00291A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1F4" w:rsidRDefault="002601F4">
    <w:pPr>
      <w:pStyle w:val="Header"/>
    </w:pPr>
    <w:r w:rsidRPr="004338B8">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013251"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1F4" w:rsidRDefault="002601F4">
    <w:pPr>
      <w:pStyle w:val="Header"/>
    </w:pPr>
    <w:r w:rsidRPr="004338B8">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013252"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1F4" w:rsidRDefault="002601F4">
    <w:pPr>
      <w:pStyle w:val="Header"/>
    </w:pPr>
    <w:r w:rsidRPr="004338B8">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013250"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embedTrueTypeFonts/>
  <w:defaultTabStop w:val="720"/>
  <w:characterSpacingControl w:val="doNotCompress"/>
  <w:hdrShapeDefaults>
    <o:shapedefaults v:ext="edit" spidmax="4098"/>
    <o:shapelayout v:ext="edit">
      <o:idmap v:ext="edit" data="1"/>
    </o:shapelayout>
  </w:hdrShapeDefaults>
  <w:footnotePr>
    <w:footnote w:id="0"/>
    <w:footnote w:id="1"/>
  </w:footnotePr>
  <w:endnotePr>
    <w:endnote w:id="0"/>
    <w:endnote w:id="1"/>
  </w:endnotePr>
  <w:compat/>
  <w:rsids>
    <w:rsidRoot w:val="005B5D9C"/>
    <w:rsid w:val="000D41F7"/>
    <w:rsid w:val="001B2D67"/>
    <w:rsid w:val="0022443C"/>
    <w:rsid w:val="002601F4"/>
    <w:rsid w:val="00291ADB"/>
    <w:rsid w:val="003B3F40"/>
    <w:rsid w:val="004338B8"/>
    <w:rsid w:val="00455DD5"/>
    <w:rsid w:val="00546C49"/>
    <w:rsid w:val="005B5D9C"/>
    <w:rsid w:val="009B623C"/>
    <w:rsid w:val="00BC6D6D"/>
    <w:rsid w:val="00D36D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8B8"/>
  </w:style>
  <w:style w:type="paragraph" w:styleId="Heading1">
    <w:name w:val="heading 1"/>
    <w:basedOn w:val="Normal"/>
    <w:next w:val="Normal"/>
    <w:uiPriority w:val="9"/>
    <w:qFormat/>
    <w:rsid w:val="004338B8"/>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rsid w:val="004338B8"/>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rsid w:val="004338B8"/>
    <w:pPr>
      <w:pBdr>
        <w:top w:val="nil"/>
        <w:left w:val="nil"/>
        <w:bottom w:val="nil"/>
        <w:right w:val="nil"/>
        <w:between w:val="nil"/>
      </w:pBdr>
      <w:outlineLvl w:val="2"/>
    </w:pPr>
    <w:rPr>
      <w:color w:val="1F4D78"/>
    </w:rPr>
  </w:style>
  <w:style w:type="paragraph" w:styleId="Heading4">
    <w:name w:val="heading 4"/>
    <w:basedOn w:val="Normal"/>
    <w:next w:val="Normal"/>
    <w:uiPriority w:val="9"/>
    <w:semiHidden/>
    <w:unhideWhenUsed/>
    <w:qFormat/>
    <w:rsid w:val="004338B8"/>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rsid w:val="004338B8"/>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rsid w:val="004338B8"/>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4338B8"/>
    <w:tblPr>
      <w:tblCellMar>
        <w:top w:w="100" w:type="dxa"/>
        <w:left w:w="100" w:type="dxa"/>
        <w:bottom w:w="100" w:type="dxa"/>
        <w:right w:w="100" w:type="dxa"/>
      </w:tblCellMar>
    </w:tblPr>
  </w:style>
  <w:style w:type="paragraph" w:styleId="Title">
    <w:name w:val="Title"/>
    <w:basedOn w:val="Normal"/>
    <w:next w:val="Normal"/>
    <w:uiPriority w:val="10"/>
    <w:qFormat/>
    <w:rsid w:val="004338B8"/>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rsid w:val="004338B8"/>
    <w:pPr>
      <w:keepNext/>
      <w:keepLines/>
      <w:spacing w:before="360" w:after="80"/>
    </w:pPr>
    <w:rPr>
      <w:rFonts w:ascii="Georgia" w:eastAsia="Georgia" w:hAnsi="Georgia" w:cs="Georgia"/>
      <w:i/>
      <w:iCs/>
      <w:color w:val="666666"/>
      <w:sz w:val="48"/>
      <w:szCs w:val="48"/>
    </w:rPr>
  </w:style>
  <w:style w:type="table" w:customStyle="1" w:styleId="a">
    <w:basedOn w:val="TableNormal0"/>
    <w:rsid w:val="004338B8"/>
    <w:tblPr>
      <w:tblStyleRowBandSize w:val="1"/>
      <w:tblStyleColBandSize w:val="1"/>
      <w:tblCellMar>
        <w:top w:w="0" w:type="dxa"/>
        <w:left w:w="115" w:type="dxa"/>
        <w:bottom w:w="0" w:type="dxa"/>
        <w:right w:w="115" w:type="dxa"/>
      </w:tblCellMar>
    </w:tblPr>
  </w:style>
  <w:style w:type="table" w:customStyle="1" w:styleId="a0">
    <w:basedOn w:val="TableNormal0"/>
    <w:rsid w:val="004338B8"/>
    <w:tblPr>
      <w:tblStyleRowBandSize w:val="1"/>
      <w:tblStyleColBandSize w:val="1"/>
      <w:tblCellMar>
        <w:top w:w="0" w:type="dxa"/>
        <w:left w:w="115" w:type="dxa"/>
        <w:bottom w:w="0" w:type="dxa"/>
        <w:right w:w="115" w:type="dxa"/>
      </w:tblCellMar>
    </w:tblPr>
  </w:style>
  <w:style w:type="table" w:customStyle="1" w:styleId="a1">
    <w:basedOn w:val="TableNormal0"/>
    <w:rsid w:val="004338B8"/>
    <w:tblPr>
      <w:tblStyleRowBandSize w:val="1"/>
      <w:tblStyleColBandSize w:val="1"/>
      <w:tblCellMar>
        <w:top w:w="0" w:type="dxa"/>
        <w:left w:w="115" w:type="dxa"/>
        <w:bottom w:w="0" w:type="dxa"/>
        <w:right w:w="115" w:type="dxa"/>
      </w:tblCellMar>
    </w:tblPr>
  </w:style>
  <w:style w:type="table" w:customStyle="1" w:styleId="a2">
    <w:basedOn w:val="TableNormal0"/>
    <w:rsid w:val="004338B8"/>
    <w:tblPr>
      <w:tblStyleRowBandSize w:val="1"/>
      <w:tblStyleColBandSize w:val="1"/>
      <w:tblCellMar>
        <w:top w:w="0" w:type="dxa"/>
        <w:bottom w:w="0" w:type="dxa"/>
      </w:tblCellMar>
    </w:tblPr>
  </w:style>
  <w:style w:type="table" w:customStyle="1" w:styleId="a3">
    <w:basedOn w:val="TableNormal0"/>
    <w:rsid w:val="004338B8"/>
    <w:tblPr>
      <w:tblStyleRowBandSize w:val="1"/>
      <w:tblStyleColBandSize w:val="1"/>
      <w:tblCellMar>
        <w:top w:w="0" w:type="dxa"/>
        <w:bottom w:w="0" w:type="dxa"/>
      </w:tblCellMar>
    </w:tblPr>
  </w:style>
  <w:style w:type="table" w:customStyle="1" w:styleId="a4">
    <w:basedOn w:val="TableNormal0"/>
    <w:rsid w:val="004338B8"/>
    <w:tblPr>
      <w:tblStyleRowBandSize w:val="1"/>
      <w:tblStyleColBandSize w:val="1"/>
      <w:tblCellMar>
        <w:top w:w="0" w:type="dxa"/>
        <w:bottom w:w="0" w:type="dxa"/>
      </w:tblCellMar>
    </w:tblPr>
  </w:style>
  <w:style w:type="table" w:customStyle="1" w:styleId="a5">
    <w:basedOn w:val="TableNormal0"/>
    <w:rsid w:val="004338B8"/>
    <w:tblPr>
      <w:tblStyleRowBandSize w:val="1"/>
      <w:tblStyleColBandSize w:val="1"/>
      <w:tblCellMar>
        <w:top w:w="0" w:type="dxa"/>
        <w:bottom w:w="0" w:type="dxa"/>
      </w:tblCellMar>
    </w:tblPr>
  </w:style>
  <w:style w:type="character" w:styleId="Hyperlink">
    <w:name w:val="Hyperlink"/>
    <w:basedOn w:val="DefaultParagraphFont"/>
    <w:uiPriority w:val="99"/>
    <w:unhideWhenUsed/>
    <w:rsid w:val="00D36D7C"/>
    <w:rPr>
      <w:color w:val="0000FF" w:themeColor="hyperlink"/>
      <w:u w:val="single"/>
    </w:rPr>
  </w:style>
  <w:style w:type="character" w:customStyle="1" w:styleId="UnresolvedMention">
    <w:name w:val="Unresolved Mention"/>
    <w:basedOn w:val="DefaultParagraphFont"/>
    <w:uiPriority w:val="99"/>
    <w:semiHidden/>
    <w:unhideWhenUsed/>
    <w:rsid w:val="00D36D7C"/>
    <w:rPr>
      <w:color w:val="605E5C"/>
      <w:shd w:val="clear" w:color="auto" w:fill="E1DFDD"/>
    </w:rPr>
  </w:style>
  <w:style w:type="paragraph" w:styleId="Header">
    <w:name w:val="header"/>
    <w:basedOn w:val="Normal"/>
    <w:link w:val="HeaderChar"/>
    <w:uiPriority w:val="99"/>
    <w:unhideWhenUsed/>
    <w:rsid w:val="00291ADB"/>
    <w:pPr>
      <w:tabs>
        <w:tab w:val="center" w:pos="4513"/>
        <w:tab w:val="right" w:pos="9026"/>
      </w:tabs>
    </w:pPr>
  </w:style>
  <w:style w:type="character" w:customStyle="1" w:styleId="HeaderChar">
    <w:name w:val="Header Char"/>
    <w:basedOn w:val="DefaultParagraphFont"/>
    <w:link w:val="Header"/>
    <w:uiPriority w:val="99"/>
    <w:rsid w:val="00291ADB"/>
  </w:style>
  <w:style w:type="paragraph" w:styleId="Footer">
    <w:name w:val="footer"/>
    <w:basedOn w:val="Normal"/>
    <w:link w:val="FooterChar"/>
    <w:uiPriority w:val="99"/>
    <w:unhideWhenUsed/>
    <w:rsid w:val="00291ADB"/>
    <w:pPr>
      <w:tabs>
        <w:tab w:val="center" w:pos="4513"/>
        <w:tab w:val="right" w:pos="9026"/>
      </w:tabs>
    </w:pPr>
  </w:style>
  <w:style w:type="character" w:customStyle="1" w:styleId="FooterChar">
    <w:name w:val="Footer Char"/>
    <w:basedOn w:val="DefaultParagraphFont"/>
    <w:link w:val="Footer"/>
    <w:uiPriority w:val="99"/>
    <w:rsid w:val="00291ADB"/>
  </w:style>
  <w:style w:type="character" w:styleId="CommentReference">
    <w:name w:val="annotation reference"/>
    <w:basedOn w:val="DefaultParagraphFont"/>
    <w:uiPriority w:val="99"/>
    <w:semiHidden/>
    <w:unhideWhenUsed/>
    <w:rsid w:val="002601F4"/>
    <w:rPr>
      <w:sz w:val="16"/>
      <w:szCs w:val="16"/>
    </w:rPr>
  </w:style>
  <w:style w:type="paragraph" w:styleId="CommentText">
    <w:name w:val="annotation text"/>
    <w:basedOn w:val="Normal"/>
    <w:link w:val="CommentTextChar"/>
    <w:uiPriority w:val="99"/>
    <w:semiHidden/>
    <w:unhideWhenUsed/>
    <w:rsid w:val="002601F4"/>
    <w:rPr>
      <w:sz w:val="20"/>
      <w:szCs w:val="20"/>
    </w:rPr>
  </w:style>
  <w:style w:type="character" w:customStyle="1" w:styleId="CommentTextChar">
    <w:name w:val="Comment Text Char"/>
    <w:basedOn w:val="DefaultParagraphFont"/>
    <w:link w:val="CommentText"/>
    <w:uiPriority w:val="99"/>
    <w:semiHidden/>
    <w:rsid w:val="002601F4"/>
    <w:rPr>
      <w:sz w:val="20"/>
      <w:szCs w:val="20"/>
    </w:rPr>
  </w:style>
  <w:style w:type="paragraph" w:styleId="CommentSubject">
    <w:name w:val="annotation subject"/>
    <w:basedOn w:val="CommentText"/>
    <w:next w:val="CommentText"/>
    <w:link w:val="CommentSubjectChar"/>
    <w:uiPriority w:val="99"/>
    <w:semiHidden/>
    <w:unhideWhenUsed/>
    <w:rsid w:val="002601F4"/>
    <w:rPr>
      <w:b/>
      <w:bCs/>
    </w:rPr>
  </w:style>
  <w:style w:type="character" w:customStyle="1" w:styleId="CommentSubjectChar">
    <w:name w:val="Comment Subject Char"/>
    <w:basedOn w:val="CommentTextChar"/>
    <w:link w:val="CommentSubject"/>
    <w:uiPriority w:val="99"/>
    <w:semiHidden/>
    <w:rsid w:val="002601F4"/>
    <w:rPr>
      <w:b/>
      <w:bCs/>
    </w:rPr>
  </w:style>
  <w:style w:type="paragraph" w:styleId="BalloonText">
    <w:name w:val="Balloon Text"/>
    <w:basedOn w:val="Normal"/>
    <w:link w:val="BalloonTextChar"/>
    <w:uiPriority w:val="99"/>
    <w:semiHidden/>
    <w:unhideWhenUsed/>
    <w:rsid w:val="002601F4"/>
    <w:rPr>
      <w:rFonts w:ascii="Tahoma" w:hAnsi="Tahoma" w:cs="Tahoma"/>
      <w:sz w:val="16"/>
      <w:szCs w:val="16"/>
    </w:rPr>
  </w:style>
  <w:style w:type="character" w:customStyle="1" w:styleId="BalloonTextChar">
    <w:name w:val="Balloon Text Char"/>
    <w:basedOn w:val="DefaultParagraphFont"/>
    <w:link w:val="BalloonText"/>
    <w:uiPriority w:val="99"/>
    <w:semiHidden/>
    <w:rsid w:val="002601F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9734/cjast/2018/40695"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hyperlink" Target="https://doi.org/10.56093/ijas.v96i02.166759"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18</Pages>
  <Words>4991</Words>
  <Characters>28451</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ADA</cp:lastModifiedBy>
  <cp:revision>5</cp:revision>
  <dcterms:created xsi:type="dcterms:W3CDTF">2026-09-05T10:30:00Z</dcterms:created>
  <dcterms:modified xsi:type="dcterms:W3CDTF">2026-09-09T03:27:00Z</dcterms:modified>
</cp:coreProperties>
</file>