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64C261" w14:textId="77777777" w:rsidR="00875168" w:rsidRDefault="00875168" w:rsidP="00902A6C">
      <w:pPr>
        <w:spacing w:before="100" w:beforeAutospacing="1" w:after="100" w:afterAutospacing="1" w:line="360" w:lineRule="auto"/>
        <w:jc w:val="both"/>
        <w:outlineLvl w:val="1"/>
        <w:rPr>
          <w:rFonts w:ascii="Times New Roman" w:hAnsi="Times New Roman" w:cs="Times New Roman"/>
          <w:b/>
          <w:sz w:val="24"/>
        </w:rPr>
      </w:pPr>
      <w:r w:rsidRPr="00875168">
        <w:rPr>
          <w:rFonts w:ascii="Times New Roman" w:hAnsi="Times New Roman" w:cs="Times New Roman"/>
          <w:b/>
          <w:sz w:val="24"/>
        </w:rPr>
        <w:t>Trait associations and Path analysis for green fruit yield in elite selections from multi-parent d</w:t>
      </w:r>
      <w:r>
        <w:rPr>
          <w:rFonts w:ascii="Times New Roman" w:hAnsi="Times New Roman" w:cs="Times New Roman"/>
          <w:b/>
          <w:sz w:val="24"/>
        </w:rPr>
        <w:t>erived p</w:t>
      </w:r>
      <w:r w:rsidRPr="00875168">
        <w:rPr>
          <w:rFonts w:ascii="Times New Roman" w:hAnsi="Times New Roman" w:cs="Times New Roman"/>
          <w:b/>
          <w:sz w:val="24"/>
        </w:rPr>
        <w:t>opulations of Chilli (</w:t>
      </w:r>
      <w:r w:rsidRPr="00875168">
        <w:rPr>
          <w:rStyle w:val="Emphasis"/>
          <w:rFonts w:ascii="Times New Roman" w:hAnsi="Times New Roman" w:cs="Times New Roman"/>
          <w:b/>
          <w:sz w:val="24"/>
        </w:rPr>
        <w:t>Capsicum annuum</w:t>
      </w:r>
      <w:r w:rsidRPr="00875168">
        <w:rPr>
          <w:rFonts w:ascii="Times New Roman" w:hAnsi="Times New Roman" w:cs="Times New Roman"/>
          <w:b/>
          <w:sz w:val="24"/>
        </w:rPr>
        <w:t xml:space="preserve"> L.)</w:t>
      </w:r>
    </w:p>
    <w:p w14:paraId="1A675574" w14:textId="77777777" w:rsidR="00CD526D" w:rsidRDefault="00CD526D" w:rsidP="00902A6C">
      <w:pPr>
        <w:spacing w:before="100" w:beforeAutospacing="1" w:after="100" w:afterAutospacing="1" w:line="360" w:lineRule="auto"/>
        <w:jc w:val="both"/>
        <w:outlineLvl w:val="1"/>
        <w:rPr>
          <w:rFonts w:ascii="Times New Roman" w:eastAsia="Times New Roman" w:hAnsi="Times New Roman" w:cs="Times New Roman"/>
          <w:b/>
          <w:bCs/>
          <w:sz w:val="24"/>
          <w:szCs w:val="24"/>
        </w:rPr>
      </w:pPr>
    </w:p>
    <w:p w14:paraId="72804177" w14:textId="4CBD6F65" w:rsidR="00277C6B" w:rsidRPr="00277C6B" w:rsidRDefault="00277C6B" w:rsidP="00902A6C">
      <w:pPr>
        <w:spacing w:before="100" w:beforeAutospacing="1" w:after="100" w:afterAutospacing="1" w:line="360" w:lineRule="auto"/>
        <w:jc w:val="both"/>
        <w:outlineLvl w:val="1"/>
        <w:rPr>
          <w:rFonts w:ascii="Times New Roman" w:eastAsia="Times New Roman" w:hAnsi="Times New Roman" w:cs="Times New Roman"/>
          <w:b/>
          <w:bCs/>
          <w:sz w:val="24"/>
          <w:szCs w:val="24"/>
        </w:rPr>
      </w:pPr>
      <w:r w:rsidRPr="00277C6B">
        <w:rPr>
          <w:rFonts w:ascii="Times New Roman" w:eastAsia="Times New Roman" w:hAnsi="Times New Roman" w:cs="Times New Roman"/>
          <w:b/>
          <w:bCs/>
          <w:sz w:val="24"/>
          <w:szCs w:val="24"/>
        </w:rPr>
        <w:t>Abstract</w:t>
      </w:r>
    </w:p>
    <w:p w14:paraId="3D5C76A1" w14:textId="77777777" w:rsidR="00277C6B" w:rsidRPr="00277C6B" w:rsidRDefault="00277C6B" w:rsidP="00902A6C">
      <w:pPr>
        <w:spacing w:before="100" w:beforeAutospacing="1" w:after="100" w:afterAutospacing="1" w:line="360" w:lineRule="auto"/>
        <w:jc w:val="both"/>
        <w:rPr>
          <w:rFonts w:ascii="Times New Roman" w:eastAsia="Times New Roman" w:hAnsi="Times New Roman" w:cs="Times New Roman"/>
          <w:sz w:val="24"/>
          <w:szCs w:val="24"/>
        </w:rPr>
      </w:pPr>
      <w:r w:rsidRPr="00277C6B">
        <w:rPr>
          <w:rFonts w:ascii="Times New Roman" w:eastAsia="Times New Roman" w:hAnsi="Times New Roman" w:cs="Times New Roman"/>
          <w:sz w:val="24"/>
          <w:szCs w:val="24"/>
        </w:rPr>
        <w:t xml:space="preserve">Green fruit yield is a complex quantitative trait influenced by several yield-related components, and understanding the relative contribution of these traits is essential for effective selection in </w:t>
      </w:r>
      <w:proofErr w:type="spellStart"/>
      <w:r w:rsidRPr="00277C6B">
        <w:rPr>
          <w:rFonts w:ascii="Times New Roman" w:eastAsia="Times New Roman" w:hAnsi="Times New Roman" w:cs="Times New Roman"/>
          <w:sz w:val="24"/>
          <w:szCs w:val="24"/>
        </w:rPr>
        <w:t>chilli</w:t>
      </w:r>
      <w:proofErr w:type="spellEnd"/>
      <w:r w:rsidRPr="00277C6B">
        <w:rPr>
          <w:rFonts w:ascii="Times New Roman" w:eastAsia="Times New Roman" w:hAnsi="Times New Roman" w:cs="Times New Roman"/>
          <w:sz w:val="24"/>
          <w:szCs w:val="24"/>
        </w:rPr>
        <w:t xml:space="preserve"> breeding. The present study was undertaken to assess the association of green fruit yield with yield-related traits among elite selections derived from five superior eight-parent multi-pa</w:t>
      </w:r>
      <w:r w:rsidR="007B61CE" w:rsidRPr="00902A6C">
        <w:rPr>
          <w:rFonts w:ascii="Times New Roman" w:eastAsia="Times New Roman" w:hAnsi="Times New Roman" w:cs="Times New Roman"/>
          <w:sz w:val="24"/>
          <w:szCs w:val="24"/>
        </w:rPr>
        <w:t xml:space="preserve">rent (MP) populations of </w:t>
      </w:r>
      <w:proofErr w:type="spellStart"/>
      <w:r w:rsidR="007B61CE" w:rsidRPr="00902A6C">
        <w:rPr>
          <w:rFonts w:ascii="Times New Roman" w:eastAsia="Times New Roman" w:hAnsi="Times New Roman" w:cs="Times New Roman"/>
          <w:sz w:val="24"/>
          <w:szCs w:val="24"/>
        </w:rPr>
        <w:t>chilli</w:t>
      </w:r>
      <w:proofErr w:type="spellEnd"/>
      <w:r w:rsidR="007B61CE" w:rsidRPr="00902A6C">
        <w:rPr>
          <w:rFonts w:ascii="Times New Roman" w:eastAsia="Times New Roman" w:hAnsi="Times New Roman" w:cs="Times New Roman"/>
          <w:sz w:val="24"/>
          <w:szCs w:val="24"/>
        </w:rPr>
        <w:t xml:space="preserve">. </w:t>
      </w:r>
      <w:r w:rsidRPr="00277C6B">
        <w:rPr>
          <w:rFonts w:ascii="Times New Roman" w:eastAsia="Times New Roman" w:hAnsi="Times New Roman" w:cs="Times New Roman"/>
          <w:sz w:val="24"/>
          <w:szCs w:val="24"/>
        </w:rPr>
        <w:t xml:space="preserve">The selected MP-derived populations comprised D4 × D3, D4 × D2, D5 × D2, D6 × D2 and D7 × D2. Elite progenies derived from superior plants within these populations were evaluated during the 2020 rainy season at the experimental farm of the University of Agricultural Sciences, Bengaluru. Observations were recorded for average fruit weight, average </w:t>
      </w:r>
      <w:r w:rsidR="0014430E" w:rsidRPr="00902A6C">
        <w:rPr>
          <w:rFonts w:ascii="Times New Roman" w:eastAsia="Times New Roman" w:hAnsi="Times New Roman" w:cs="Times New Roman"/>
          <w:sz w:val="24"/>
          <w:szCs w:val="24"/>
        </w:rPr>
        <w:t>fruit number plant</w:t>
      </w:r>
      <w:r w:rsidR="0014430E" w:rsidRPr="00902A6C">
        <w:rPr>
          <w:rFonts w:ascii="Times New Roman" w:eastAsia="Times New Roman" w:hAnsi="Times New Roman" w:cs="Times New Roman"/>
          <w:sz w:val="24"/>
          <w:szCs w:val="24"/>
          <w:vertAlign w:val="superscript"/>
        </w:rPr>
        <w:t>-1</w:t>
      </w:r>
      <w:r w:rsidRPr="00277C6B">
        <w:rPr>
          <w:rFonts w:ascii="Times New Roman" w:eastAsia="Times New Roman" w:hAnsi="Times New Roman" w:cs="Times New Roman"/>
          <w:sz w:val="24"/>
          <w:szCs w:val="24"/>
        </w:rPr>
        <w:t xml:space="preserve">, average fruit length, average fruit width and green fruit yield per plant. Phenotypic correlation coefficients were estimated separately for each MP-derived population, while path coefficient analysis was performed using the pooled dataset to partition the correlations into direct and indirect effects. Average </w:t>
      </w:r>
      <w:r w:rsidR="0014430E" w:rsidRPr="00902A6C">
        <w:rPr>
          <w:rFonts w:ascii="Times New Roman" w:eastAsia="Times New Roman" w:hAnsi="Times New Roman" w:cs="Times New Roman"/>
          <w:sz w:val="24"/>
          <w:szCs w:val="24"/>
        </w:rPr>
        <w:t>fruit number plant</w:t>
      </w:r>
      <w:r w:rsidR="0014430E" w:rsidRPr="00902A6C">
        <w:rPr>
          <w:rFonts w:ascii="Times New Roman" w:eastAsia="Times New Roman" w:hAnsi="Times New Roman" w:cs="Times New Roman"/>
          <w:sz w:val="24"/>
          <w:szCs w:val="24"/>
          <w:vertAlign w:val="superscript"/>
        </w:rPr>
        <w:t>-1</w:t>
      </w:r>
      <w:r w:rsidRPr="00277C6B">
        <w:rPr>
          <w:rFonts w:ascii="Times New Roman" w:eastAsia="Times New Roman" w:hAnsi="Times New Roman" w:cs="Times New Roman"/>
          <w:sz w:val="24"/>
          <w:szCs w:val="24"/>
        </w:rPr>
        <w:t xml:space="preserve"> exhibited a strong and positive association with green fruit yield across all five populations</w:t>
      </w:r>
      <w:r w:rsidR="007B61CE" w:rsidRPr="00902A6C">
        <w:rPr>
          <w:rFonts w:ascii="Times New Roman" w:eastAsia="Times New Roman" w:hAnsi="Times New Roman" w:cs="Times New Roman"/>
          <w:sz w:val="24"/>
          <w:szCs w:val="24"/>
        </w:rPr>
        <w:t xml:space="preserve">. </w:t>
      </w:r>
      <w:r w:rsidRPr="00277C6B">
        <w:rPr>
          <w:rFonts w:ascii="Times New Roman" w:eastAsia="Times New Roman" w:hAnsi="Times New Roman" w:cs="Times New Roman"/>
          <w:sz w:val="24"/>
          <w:szCs w:val="24"/>
        </w:rPr>
        <w:t>Average fruit length showed significant positive associations with gree</w:t>
      </w:r>
      <w:r w:rsidR="007B61CE" w:rsidRPr="00902A6C">
        <w:rPr>
          <w:rFonts w:ascii="Times New Roman" w:eastAsia="Times New Roman" w:hAnsi="Times New Roman" w:cs="Times New Roman"/>
          <w:sz w:val="24"/>
          <w:szCs w:val="24"/>
        </w:rPr>
        <w:t>n fruit yield. P</w:t>
      </w:r>
      <w:r w:rsidRPr="00277C6B">
        <w:rPr>
          <w:rFonts w:ascii="Times New Roman" w:eastAsia="Times New Roman" w:hAnsi="Times New Roman" w:cs="Times New Roman"/>
          <w:sz w:val="24"/>
          <w:szCs w:val="24"/>
        </w:rPr>
        <w:t xml:space="preserve">ath analysis revealed the highest positive direct </w:t>
      </w:r>
      <w:r w:rsidR="007B61CE" w:rsidRPr="00902A6C">
        <w:rPr>
          <w:rFonts w:ascii="Times New Roman" w:eastAsia="Times New Roman" w:hAnsi="Times New Roman" w:cs="Times New Roman"/>
          <w:sz w:val="24"/>
          <w:szCs w:val="24"/>
        </w:rPr>
        <w:t xml:space="preserve">effect for average </w:t>
      </w:r>
      <w:r w:rsidR="0014430E" w:rsidRPr="00902A6C">
        <w:rPr>
          <w:rFonts w:ascii="Times New Roman" w:eastAsia="Times New Roman" w:hAnsi="Times New Roman" w:cs="Times New Roman"/>
          <w:sz w:val="24"/>
          <w:szCs w:val="24"/>
        </w:rPr>
        <w:t>fruit number plant</w:t>
      </w:r>
      <w:r w:rsidR="0014430E" w:rsidRPr="00902A6C">
        <w:rPr>
          <w:rFonts w:ascii="Times New Roman" w:eastAsia="Times New Roman" w:hAnsi="Times New Roman" w:cs="Times New Roman"/>
          <w:sz w:val="24"/>
          <w:szCs w:val="24"/>
          <w:vertAlign w:val="superscript"/>
        </w:rPr>
        <w:t>-1</w:t>
      </w:r>
      <w:r w:rsidR="007B61CE" w:rsidRPr="00902A6C">
        <w:rPr>
          <w:rFonts w:ascii="Times New Roman" w:eastAsia="Times New Roman" w:hAnsi="Times New Roman" w:cs="Times New Roman"/>
          <w:sz w:val="24"/>
          <w:szCs w:val="24"/>
        </w:rPr>
        <w:t xml:space="preserve">, </w:t>
      </w:r>
      <w:r w:rsidRPr="00277C6B">
        <w:rPr>
          <w:rFonts w:ascii="Times New Roman" w:eastAsia="Times New Roman" w:hAnsi="Times New Roman" w:cs="Times New Roman"/>
          <w:sz w:val="24"/>
          <w:szCs w:val="24"/>
        </w:rPr>
        <w:t>f</w:t>
      </w:r>
      <w:r w:rsidR="007B61CE" w:rsidRPr="00902A6C">
        <w:rPr>
          <w:rFonts w:ascii="Times New Roman" w:eastAsia="Times New Roman" w:hAnsi="Times New Roman" w:cs="Times New Roman"/>
          <w:sz w:val="24"/>
          <w:szCs w:val="24"/>
        </w:rPr>
        <w:t xml:space="preserve">ollowed by average fruit width </w:t>
      </w:r>
      <w:r w:rsidRPr="00277C6B">
        <w:rPr>
          <w:rFonts w:ascii="Times New Roman" w:eastAsia="Times New Roman" w:hAnsi="Times New Roman" w:cs="Times New Roman"/>
          <w:sz w:val="24"/>
          <w:szCs w:val="24"/>
        </w:rPr>
        <w:t>and average fruit weight</w:t>
      </w:r>
      <w:r w:rsidR="007B61CE" w:rsidRPr="00902A6C">
        <w:rPr>
          <w:rFonts w:ascii="Times New Roman" w:eastAsia="Times New Roman" w:hAnsi="Times New Roman" w:cs="Times New Roman"/>
          <w:sz w:val="24"/>
          <w:szCs w:val="24"/>
        </w:rPr>
        <w:t>.</w:t>
      </w:r>
      <w:r w:rsidRPr="00277C6B">
        <w:rPr>
          <w:rFonts w:ascii="Times New Roman" w:eastAsia="Times New Roman" w:hAnsi="Times New Roman" w:cs="Times New Roman"/>
          <w:sz w:val="24"/>
          <w:szCs w:val="24"/>
        </w:rPr>
        <w:t xml:space="preserve"> The findings suggest that </w:t>
      </w:r>
      <w:r w:rsidR="0014430E" w:rsidRPr="00902A6C">
        <w:rPr>
          <w:rFonts w:ascii="Times New Roman" w:eastAsia="Times New Roman" w:hAnsi="Times New Roman" w:cs="Times New Roman"/>
          <w:sz w:val="24"/>
          <w:szCs w:val="24"/>
        </w:rPr>
        <w:t>fruit number plant</w:t>
      </w:r>
      <w:r w:rsidR="0014430E" w:rsidRPr="00902A6C">
        <w:rPr>
          <w:rFonts w:ascii="Times New Roman" w:eastAsia="Times New Roman" w:hAnsi="Times New Roman" w:cs="Times New Roman"/>
          <w:sz w:val="24"/>
          <w:szCs w:val="24"/>
          <w:vertAlign w:val="superscript"/>
        </w:rPr>
        <w:t>-1</w:t>
      </w:r>
      <w:r w:rsidRPr="00277C6B">
        <w:rPr>
          <w:rFonts w:ascii="Times New Roman" w:eastAsia="Times New Roman" w:hAnsi="Times New Roman" w:cs="Times New Roman"/>
          <w:sz w:val="24"/>
          <w:szCs w:val="24"/>
        </w:rPr>
        <w:t xml:space="preserve"> may serve as an important selection criterion for improving green fruit yield, with fruit length and fruit width serving as complementary traits depending on the genetic background of the population.</w:t>
      </w:r>
    </w:p>
    <w:p w14:paraId="1F3FD6D5" w14:textId="77777777" w:rsidR="00277C6B" w:rsidRPr="00277C6B" w:rsidRDefault="00277C6B" w:rsidP="00902A6C">
      <w:pPr>
        <w:spacing w:before="100" w:beforeAutospacing="1" w:after="100" w:afterAutospacing="1"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b/>
          <w:bCs/>
          <w:sz w:val="24"/>
          <w:szCs w:val="24"/>
        </w:rPr>
        <w:t>Keywords:</w:t>
      </w:r>
      <w:r w:rsidRPr="00277C6B">
        <w:rPr>
          <w:rFonts w:ascii="Times New Roman" w:eastAsia="Times New Roman" w:hAnsi="Times New Roman" w:cs="Times New Roman"/>
          <w:sz w:val="24"/>
          <w:szCs w:val="24"/>
        </w:rPr>
        <w:t xml:space="preserve"> </w:t>
      </w:r>
      <w:r w:rsidR="007B61CE" w:rsidRPr="00902A6C">
        <w:rPr>
          <w:rFonts w:ascii="Times New Roman" w:eastAsia="Times New Roman" w:hAnsi="Times New Roman" w:cs="Times New Roman"/>
          <w:sz w:val="24"/>
          <w:szCs w:val="24"/>
        </w:rPr>
        <w:t xml:space="preserve">association, </w:t>
      </w:r>
      <w:proofErr w:type="spellStart"/>
      <w:r w:rsidRPr="00277C6B">
        <w:rPr>
          <w:rFonts w:ascii="Times New Roman" w:eastAsia="Times New Roman" w:hAnsi="Times New Roman" w:cs="Times New Roman"/>
          <w:sz w:val="24"/>
          <w:szCs w:val="24"/>
        </w:rPr>
        <w:t>chilli</w:t>
      </w:r>
      <w:proofErr w:type="spellEnd"/>
      <w:r w:rsidRPr="00277C6B">
        <w:rPr>
          <w:rFonts w:ascii="Times New Roman" w:eastAsia="Times New Roman" w:hAnsi="Times New Roman" w:cs="Times New Roman"/>
          <w:sz w:val="24"/>
          <w:szCs w:val="24"/>
        </w:rPr>
        <w:t xml:space="preserve">, </w:t>
      </w:r>
      <w:r w:rsidR="007B61CE" w:rsidRPr="00277C6B">
        <w:rPr>
          <w:rFonts w:ascii="Times New Roman" w:eastAsia="Times New Roman" w:hAnsi="Times New Roman" w:cs="Times New Roman"/>
          <w:sz w:val="24"/>
          <w:szCs w:val="24"/>
        </w:rPr>
        <w:t xml:space="preserve">correlation, </w:t>
      </w:r>
      <w:r w:rsidRPr="00277C6B">
        <w:rPr>
          <w:rFonts w:ascii="Times New Roman" w:eastAsia="Times New Roman" w:hAnsi="Times New Roman" w:cs="Times New Roman"/>
          <w:sz w:val="24"/>
          <w:szCs w:val="24"/>
        </w:rPr>
        <w:t>green fruit yield,</w:t>
      </w:r>
      <w:r w:rsidR="007B61CE" w:rsidRPr="00902A6C">
        <w:rPr>
          <w:rFonts w:ascii="Times New Roman" w:eastAsia="Times New Roman" w:hAnsi="Times New Roman" w:cs="Times New Roman"/>
          <w:sz w:val="24"/>
          <w:szCs w:val="24"/>
        </w:rPr>
        <w:t xml:space="preserve"> multi-parent population,</w:t>
      </w:r>
      <w:r w:rsidR="000B5852" w:rsidRPr="00902A6C">
        <w:rPr>
          <w:rFonts w:ascii="Times New Roman" w:eastAsia="Times New Roman" w:hAnsi="Times New Roman" w:cs="Times New Roman"/>
          <w:sz w:val="24"/>
          <w:szCs w:val="24"/>
        </w:rPr>
        <w:t xml:space="preserve"> </w:t>
      </w:r>
      <w:r w:rsidR="000B5852" w:rsidRPr="00277C6B">
        <w:rPr>
          <w:rFonts w:ascii="Times New Roman" w:eastAsia="Times New Roman" w:hAnsi="Times New Roman" w:cs="Times New Roman"/>
          <w:sz w:val="24"/>
          <w:szCs w:val="24"/>
        </w:rPr>
        <w:t>path coefficient analysis</w:t>
      </w:r>
      <w:r w:rsidR="000B5852" w:rsidRPr="00902A6C">
        <w:rPr>
          <w:rFonts w:ascii="Times New Roman" w:eastAsia="Times New Roman" w:hAnsi="Times New Roman" w:cs="Times New Roman"/>
          <w:sz w:val="24"/>
          <w:szCs w:val="24"/>
        </w:rPr>
        <w:t>,</w:t>
      </w:r>
      <w:r w:rsidR="007B61CE" w:rsidRPr="00902A6C">
        <w:rPr>
          <w:rFonts w:ascii="Times New Roman" w:eastAsia="Times New Roman" w:hAnsi="Times New Roman" w:cs="Times New Roman"/>
          <w:sz w:val="24"/>
          <w:szCs w:val="24"/>
        </w:rPr>
        <w:t xml:space="preserve"> </w:t>
      </w:r>
      <w:r w:rsidR="000B5852" w:rsidRPr="00902A6C">
        <w:rPr>
          <w:rFonts w:ascii="Times New Roman" w:eastAsia="Times New Roman" w:hAnsi="Times New Roman" w:cs="Times New Roman"/>
          <w:sz w:val="24"/>
          <w:szCs w:val="24"/>
        </w:rPr>
        <w:t>traits</w:t>
      </w:r>
      <w:r w:rsidRPr="00277C6B">
        <w:rPr>
          <w:rFonts w:ascii="Times New Roman" w:eastAsia="Times New Roman" w:hAnsi="Times New Roman" w:cs="Times New Roman"/>
          <w:sz w:val="24"/>
          <w:szCs w:val="24"/>
        </w:rPr>
        <w:t xml:space="preserve"> </w:t>
      </w:r>
    </w:p>
    <w:p w14:paraId="6F2162C5" w14:textId="77777777" w:rsidR="00277C6B" w:rsidRPr="00277C6B" w:rsidRDefault="00277C6B" w:rsidP="00902A6C">
      <w:pPr>
        <w:spacing w:before="100" w:beforeAutospacing="1" w:after="100" w:afterAutospacing="1" w:line="360" w:lineRule="auto"/>
        <w:jc w:val="both"/>
        <w:outlineLvl w:val="0"/>
        <w:rPr>
          <w:rFonts w:ascii="Times New Roman" w:eastAsia="Times New Roman" w:hAnsi="Times New Roman" w:cs="Times New Roman"/>
          <w:b/>
          <w:bCs/>
          <w:kern w:val="36"/>
          <w:sz w:val="24"/>
          <w:szCs w:val="24"/>
        </w:rPr>
      </w:pPr>
      <w:r w:rsidRPr="00277C6B">
        <w:rPr>
          <w:rFonts w:ascii="Times New Roman" w:eastAsia="Times New Roman" w:hAnsi="Times New Roman" w:cs="Times New Roman"/>
          <w:b/>
          <w:bCs/>
          <w:kern w:val="36"/>
          <w:sz w:val="24"/>
          <w:szCs w:val="24"/>
        </w:rPr>
        <w:t>Introduction</w:t>
      </w:r>
    </w:p>
    <w:p w14:paraId="6ED72503" w14:textId="77777777" w:rsidR="00277C6B" w:rsidRPr="00277C6B" w:rsidRDefault="00277C6B" w:rsidP="00902A6C">
      <w:pPr>
        <w:spacing w:before="100" w:beforeAutospacing="1" w:after="100" w:afterAutospacing="1" w:line="360" w:lineRule="auto"/>
        <w:jc w:val="both"/>
        <w:rPr>
          <w:rFonts w:ascii="Times New Roman" w:eastAsia="Times New Roman" w:hAnsi="Times New Roman" w:cs="Times New Roman"/>
          <w:sz w:val="24"/>
          <w:szCs w:val="24"/>
        </w:rPr>
      </w:pPr>
      <w:r w:rsidRPr="00277C6B">
        <w:rPr>
          <w:rFonts w:ascii="Times New Roman" w:eastAsia="Times New Roman" w:hAnsi="Times New Roman" w:cs="Times New Roman"/>
          <w:sz w:val="24"/>
          <w:szCs w:val="24"/>
        </w:rPr>
        <w:t>Chilli (</w:t>
      </w:r>
      <w:r w:rsidRPr="00902A6C">
        <w:rPr>
          <w:rFonts w:ascii="Times New Roman" w:eastAsia="Times New Roman" w:hAnsi="Times New Roman" w:cs="Times New Roman"/>
          <w:i/>
          <w:iCs/>
          <w:sz w:val="24"/>
          <w:szCs w:val="24"/>
        </w:rPr>
        <w:t>Capsicum annuum</w:t>
      </w:r>
      <w:r w:rsidRPr="00277C6B">
        <w:rPr>
          <w:rFonts w:ascii="Times New Roman" w:eastAsia="Times New Roman" w:hAnsi="Times New Roman" w:cs="Times New Roman"/>
          <w:sz w:val="24"/>
          <w:szCs w:val="24"/>
        </w:rPr>
        <w:t xml:space="preserve"> L.) is an important vegetable and spice crop cultivated widely for its green and dry fruits</w:t>
      </w:r>
      <w:r w:rsidR="002D428D" w:rsidRPr="00902A6C">
        <w:rPr>
          <w:rFonts w:ascii="Times New Roman" w:eastAsia="Times New Roman" w:hAnsi="Times New Roman" w:cs="Times New Roman"/>
          <w:sz w:val="24"/>
          <w:szCs w:val="24"/>
        </w:rPr>
        <w:t xml:space="preserve"> (Komala et al., 2023</w:t>
      </w:r>
      <w:r w:rsidR="00875168">
        <w:rPr>
          <w:rFonts w:ascii="Times New Roman" w:eastAsia="Times New Roman" w:hAnsi="Times New Roman" w:cs="Times New Roman"/>
          <w:sz w:val="24"/>
          <w:szCs w:val="24"/>
        </w:rPr>
        <w:t xml:space="preserve">; </w:t>
      </w:r>
      <w:r w:rsidR="00052FBE" w:rsidRPr="00902A6C">
        <w:rPr>
          <w:rFonts w:ascii="Times New Roman" w:eastAsia="Times New Roman" w:hAnsi="Times New Roman" w:cs="Times New Roman"/>
          <w:sz w:val="24"/>
          <w:szCs w:val="24"/>
        </w:rPr>
        <w:t>Deepika et al., 2026</w:t>
      </w:r>
      <w:r w:rsidR="002D428D" w:rsidRPr="00902A6C">
        <w:rPr>
          <w:rFonts w:ascii="Times New Roman" w:eastAsia="Times New Roman" w:hAnsi="Times New Roman" w:cs="Times New Roman"/>
          <w:sz w:val="24"/>
          <w:szCs w:val="24"/>
        </w:rPr>
        <w:t>)</w:t>
      </w:r>
      <w:r w:rsidRPr="00277C6B">
        <w:rPr>
          <w:rFonts w:ascii="Times New Roman" w:eastAsia="Times New Roman" w:hAnsi="Times New Roman" w:cs="Times New Roman"/>
          <w:sz w:val="24"/>
          <w:szCs w:val="24"/>
        </w:rPr>
        <w:t xml:space="preserve">. </w:t>
      </w:r>
      <w:r w:rsidR="002D428D" w:rsidRPr="00902A6C">
        <w:rPr>
          <w:rFonts w:ascii="Times New Roman" w:hAnsi="Times New Roman" w:cs="Times New Roman"/>
          <w:color w:val="1F1F1F"/>
          <w:sz w:val="24"/>
          <w:szCs w:val="24"/>
        </w:rPr>
        <w:t xml:space="preserve">Chilli is rich in minerals, </w:t>
      </w:r>
      <w:r w:rsidR="002D428D" w:rsidRPr="00902A6C">
        <w:rPr>
          <w:rFonts w:ascii="Times New Roman" w:hAnsi="Times New Roman" w:cs="Times New Roman"/>
          <w:color w:val="1F1F1F"/>
          <w:sz w:val="24"/>
          <w:szCs w:val="24"/>
        </w:rPr>
        <w:lastRenderedPageBreak/>
        <w:t>essential vitamins, nutrients and </w:t>
      </w:r>
      <w:r w:rsidR="002D428D" w:rsidRPr="00902A6C">
        <w:rPr>
          <w:rFonts w:ascii="Times New Roman" w:hAnsi="Times New Roman" w:cs="Times New Roman"/>
          <w:sz w:val="24"/>
          <w:szCs w:val="24"/>
        </w:rPr>
        <w:t>phytochemicals</w:t>
      </w:r>
      <w:r w:rsidR="002D428D" w:rsidRPr="00902A6C">
        <w:rPr>
          <w:rFonts w:ascii="Times New Roman" w:hAnsi="Times New Roman" w:cs="Times New Roman"/>
          <w:color w:val="1F1F1F"/>
          <w:sz w:val="24"/>
          <w:szCs w:val="24"/>
        </w:rPr>
        <w:t> contents (</w:t>
      </w:r>
      <w:r w:rsidR="00052FBE" w:rsidRPr="00902A6C">
        <w:rPr>
          <w:rFonts w:ascii="Times New Roman" w:hAnsi="Times New Roman" w:cs="Times New Roman"/>
          <w:color w:val="1F1F1F"/>
          <w:sz w:val="24"/>
          <w:szCs w:val="24"/>
        </w:rPr>
        <w:t xml:space="preserve">Karim et al., 2021; </w:t>
      </w:r>
      <w:r w:rsidR="00052FBE" w:rsidRPr="00902A6C">
        <w:rPr>
          <w:rFonts w:ascii="Times New Roman" w:eastAsia="Times New Roman" w:hAnsi="Times New Roman" w:cs="Times New Roman"/>
          <w:sz w:val="24"/>
          <w:szCs w:val="24"/>
        </w:rPr>
        <w:t xml:space="preserve">Madhavi et al., 2024; </w:t>
      </w:r>
      <w:r w:rsidR="00A06D19" w:rsidRPr="00902A6C">
        <w:rPr>
          <w:rFonts w:ascii="Times New Roman" w:hAnsi="Times New Roman" w:cs="Times New Roman"/>
          <w:sz w:val="24"/>
          <w:szCs w:val="24"/>
        </w:rPr>
        <w:t xml:space="preserve">Ali </w:t>
      </w:r>
      <w:r w:rsidR="002D428D" w:rsidRPr="00902A6C">
        <w:rPr>
          <w:rFonts w:ascii="Times New Roman" w:hAnsi="Times New Roman" w:cs="Times New Roman"/>
          <w:sz w:val="24"/>
          <w:szCs w:val="24"/>
        </w:rPr>
        <w:t>et al., 2025)</w:t>
      </w:r>
      <w:r w:rsidR="002D428D" w:rsidRPr="00902A6C">
        <w:rPr>
          <w:rFonts w:ascii="Times New Roman" w:hAnsi="Times New Roman" w:cs="Times New Roman"/>
          <w:color w:val="1F1F1F"/>
          <w:sz w:val="24"/>
          <w:szCs w:val="24"/>
        </w:rPr>
        <w:t>. </w:t>
      </w:r>
      <w:r w:rsidRPr="00277C6B">
        <w:rPr>
          <w:rFonts w:ascii="Times New Roman" w:eastAsia="Times New Roman" w:hAnsi="Times New Roman" w:cs="Times New Roman"/>
          <w:sz w:val="24"/>
          <w:szCs w:val="24"/>
        </w:rPr>
        <w:t xml:space="preserve">Green fruit yield is one of the major economic traits determining the productivity and commercial value of </w:t>
      </w:r>
      <w:proofErr w:type="spellStart"/>
      <w:r w:rsidRPr="00277C6B">
        <w:rPr>
          <w:rFonts w:ascii="Times New Roman" w:eastAsia="Times New Roman" w:hAnsi="Times New Roman" w:cs="Times New Roman"/>
          <w:sz w:val="24"/>
          <w:szCs w:val="24"/>
        </w:rPr>
        <w:t>chilli</w:t>
      </w:r>
      <w:proofErr w:type="spellEnd"/>
      <w:r w:rsidRPr="00277C6B">
        <w:rPr>
          <w:rFonts w:ascii="Times New Roman" w:eastAsia="Times New Roman" w:hAnsi="Times New Roman" w:cs="Times New Roman"/>
          <w:sz w:val="24"/>
          <w:szCs w:val="24"/>
        </w:rPr>
        <w:t xml:space="preserve"> cultivars. However, yield is a complex quantitative trait governed by several component traits and influenced by environmental conditions</w:t>
      </w:r>
      <w:r w:rsidR="00052FBE" w:rsidRPr="00902A6C">
        <w:rPr>
          <w:rFonts w:ascii="Times New Roman" w:eastAsia="Times New Roman" w:hAnsi="Times New Roman" w:cs="Times New Roman"/>
          <w:sz w:val="24"/>
          <w:szCs w:val="24"/>
        </w:rPr>
        <w:t xml:space="preserve"> (</w:t>
      </w:r>
      <w:r w:rsidR="00052FBE" w:rsidRPr="00902A6C">
        <w:rPr>
          <w:rFonts w:ascii="Times New Roman" w:hAnsi="Times New Roman" w:cs="Times New Roman"/>
          <w:color w:val="333333"/>
          <w:sz w:val="24"/>
          <w:szCs w:val="24"/>
        </w:rPr>
        <w:t>Tilahun et al., 2022)</w:t>
      </w:r>
      <w:r w:rsidRPr="00277C6B">
        <w:rPr>
          <w:rFonts w:ascii="Times New Roman" w:eastAsia="Times New Roman" w:hAnsi="Times New Roman" w:cs="Times New Roman"/>
          <w:sz w:val="24"/>
          <w:szCs w:val="24"/>
        </w:rPr>
        <w:t>. Therefore, direct selection for yield alone may not always provide an efficient approach for improving yield potential</w:t>
      </w:r>
      <w:r w:rsidR="000601F3" w:rsidRPr="00902A6C">
        <w:rPr>
          <w:rFonts w:ascii="Times New Roman" w:eastAsia="Times New Roman" w:hAnsi="Times New Roman" w:cs="Times New Roman"/>
          <w:sz w:val="24"/>
          <w:szCs w:val="24"/>
        </w:rPr>
        <w:t xml:space="preserve"> (Balakrishnan et al., 2026)</w:t>
      </w:r>
      <w:r w:rsidRPr="00277C6B">
        <w:rPr>
          <w:rFonts w:ascii="Times New Roman" w:eastAsia="Times New Roman" w:hAnsi="Times New Roman" w:cs="Times New Roman"/>
          <w:sz w:val="24"/>
          <w:szCs w:val="24"/>
        </w:rPr>
        <w:t>.</w:t>
      </w:r>
      <w:r w:rsidR="0013352F" w:rsidRPr="00902A6C">
        <w:rPr>
          <w:rFonts w:ascii="Times New Roman" w:eastAsia="Times New Roman" w:hAnsi="Times New Roman" w:cs="Times New Roman"/>
          <w:sz w:val="24"/>
          <w:szCs w:val="24"/>
        </w:rPr>
        <w:t xml:space="preserve"> </w:t>
      </w:r>
      <w:r w:rsidRPr="00277C6B">
        <w:rPr>
          <w:rFonts w:ascii="Times New Roman" w:eastAsia="Times New Roman" w:hAnsi="Times New Roman" w:cs="Times New Roman"/>
          <w:sz w:val="24"/>
          <w:szCs w:val="24"/>
        </w:rPr>
        <w:t xml:space="preserve">Several morphological and yield-related traits contribute to green fruit yield, including </w:t>
      </w:r>
      <w:r w:rsidR="0014430E" w:rsidRPr="00902A6C">
        <w:rPr>
          <w:rFonts w:ascii="Times New Roman" w:eastAsia="Times New Roman" w:hAnsi="Times New Roman" w:cs="Times New Roman"/>
          <w:sz w:val="24"/>
          <w:szCs w:val="24"/>
        </w:rPr>
        <w:t>fruit number plant</w:t>
      </w:r>
      <w:r w:rsidR="0014430E" w:rsidRPr="00902A6C">
        <w:rPr>
          <w:rFonts w:ascii="Times New Roman" w:eastAsia="Times New Roman" w:hAnsi="Times New Roman" w:cs="Times New Roman"/>
          <w:sz w:val="24"/>
          <w:szCs w:val="24"/>
          <w:vertAlign w:val="superscript"/>
        </w:rPr>
        <w:t>-1</w:t>
      </w:r>
      <w:r w:rsidRPr="00277C6B">
        <w:rPr>
          <w:rFonts w:ascii="Times New Roman" w:eastAsia="Times New Roman" w:hAnsi="Times New Roman" w:cs="Times New Roman"/>
          <w:sz w:val="24"/>
          <w:szCs w:val="24"/>
        </w:rPr>
        <w:t>, fruit size, fruit weight and fruit dimensions. The magnitude and direction of their association with yield may vary depending on the genetic background of the breeding material. Identification of traits that consistently contribute to yield is therefore important for developing effective selection strategies.</w:t>
      </w:r>
    </w:p>
    <w:p w14:paraId="4EB3D143" w14:textId="77777777" w:rsidR="00277C6B" w:rsidRPr="00277C6B" w:rsidRDefault="00277C6B" w:rsidP="00902A6C">
      <w:pPr>
        <w:spacing w:before="100" w:beforeAutospacing="1" w:after="100" w:afterAutospacing="1" w:line="360" w:lineRule="auto"/>
        <w:ind w:firstLine="720"/>
        <w:jc w:val="both"/>
        <w:rPr>
          <w:rFonts w:ascii="Times New Roman" w:eastAsia="Times New Roman" w:hAnsi="Times New Roman" w:cs="Times New Roman"/>
          <w:sz w:val="24"/>
          <w:szCs w:val="24"/>
        </w:rPr>
      </w:pPr>
      <w:r w:rsidRPr="00277C6B">
        <w:rPr>
          <w:rFonts w:ascii="Times New Roman" w:eastAsia="Times New Roman" w:hAnsi="Times New Roman" w:cs="Times New Roman"/>
          <w:sz w:val="24"/>
          <w:szCs w:val="24"/>
        </w:rPr>
        <w:t>Correlation analysis provides an estimate of the degree and direction of association between yield and its component traits</w:t>
      </w:r>
      <w:r w:rsidR="00EC4E92" w:rsidRPr="00902A6C">
        <w:rPr>
          <w:rFonts w:ascii="Times New Roman" w:eastAsia="Times New Roman" w:hAnsi="Times New Roman" w:cs="Times New Roman"/>
          <w:sz w:val="24"/>
          <w:szCs w:val="24"/>
        </w:rPr>
        <w:t xml:space="preserve"> (</w:t>
      </w:r>
      <w:r w:rsidR="00A712AE" w:rsidRPr="00902A6C">
        <w:rPr>
          <w:rFonts w:ascii="Times New Roman" w:eastAsia="Times New Roman" w:hAnsi="Times New Roman" w:cs="Times New Roman"/>
          <w:sz w:val="24"/>
          <w:szCs w:val="24"/>
        </w:rPr>
        <w:t xml:space="preserve">Singh </w:t>
      </w:r>
      <w:r w:rsidR="00EC4E92" w:rsidRPr="00902A6C">
        <w:rPr>
          <w:rFonts w:ascii="Times New Roman" w:eastAsia="Times New Roman" w:hAnsi="Times New Roman" w:cs="Times New Roman"/>
          <w:sz w:val="24"/>
          <w:szCs w:val="24"/>
        </w:rPr>
        <w:t>et al., 2024)</w:t>
      </w:r>
      <w:r w:rsidRPr="00277C6B">
        <w:rPr>
          <w:rFonts w:ascii="Times New Roman" w:eastAsia="Times New Roman" w:hAnsi="Times New Roman" w:cs="Times New Roman"/>
          <w:sz w:val="24"/>
          <w:szCs w:val="24"/>
        </w:rPr>
        <w:t>. Positive correlation between a component trait and yield indicates that improvement of the trait may be accompanied by an increase in yield. However, correlation coefficients do not distinguish between direct effects and associations arising through other component traits. A trait may exhibit a strong correlation with yield because of its association with another trait that has a stronger direct influence on yield. Path coefficient analysis helps overcome this limitation by partitioning correlation coefficients into direct and indirect effects</w:t>
      </w:r>
      <w:r w:rsidR="00EC4E92" w:rsidRPr="00902A6C">
        <w:rPr>
          <w:rFonts w:ascii="Times New Roman" w:eastAsia="Times New Roman" w:hAnsi="Times New Roman" w:cs="Times New Roman"/>
          <w:sz w:val="24"/>
          <w:szCs w:val="24"/>
        </w:rPr>
        <w:t xml:space="preserve"> (Usman et al., 2017)</w:t>
      </w:r>
      <w:r w:rsidRPr="00277C6B">
        <w:rPr>
          <w:rFonts w:ascii="Times New Roman" w:eastAsia="Times New Roman" w:hAnsi="Times New Roman" w:cs="Times New Roman"/>
          <w:sz w:val="24"/>
          <w:szCs w:val="24"/>
        </w:rPr>
        <w:t>.</w:t>
      </w:r>
    </w:p>
    <w:p w14:paraId="636FC3D7" w14:textId="77777777" w:rsidR="00277C6B" w:rsidRPr="00277C6B" w:rsidRDefault="00277C6B" w:rsidP="00CC2C55">
      <w:pPr>
        <w:spacing w:before="100" w:beforeAutospacing="1" w:after="100" w:afterAutospacing="1" w:line="360" w:lineRule="auto"/>
        <w:ind w:firstLine="720"/>
        <w:jc w:val="both"/>
        <w:rPr>
          <w:rFonts w:ascii="Times New Roman" w:eastAsia="Times New Roman" w:hAnsi="Times New Roman" w:cs="Times New Roman"/>
          <w:sz w:val="24"/>
          <w:szCs w:val="24"/>
        </w:rPr>
      </w:pPr>
      <w:r w:rsidRPr="00277C6B">
        <w:rPr>
          <w:rFonts w:ascii="Times New Roman" w:eastAsia="Times New Roman" w:hAnsi="Times New Roman" w:cs="Times New Roman"/>
          <w:sz w:val="24"/>
          <w:szCs w:val="24"/>
        </w:rPr>
        <w:t>Multi-parent populations provide an opportunity to combine genetic variation from several founder lines and generate diverse recombinants. Such populations can provide useful material for identifying superior selections and understanding relationships among complex quantitative traits. Five superior eight-parent MP-derived populations were previously identified based on their breeding potential from a larger s</w:t>
      </w:r>
      <w:r w:rsidR="0013352F" w:rsidRPr="00902A6C">
        <w:rPr>
          <w:rFonts w:ascii="Times New Roman" w:eastAsia="Times New Roman" w:hAnsi="Times New Roman" w:cs="Times New Roman"/>
          <w:sz w:val="24"/>
          <w:szCs w:val="24"/>
        </w:rPr>
        <w:t xml:space="preserve">et of MP-derived populations (Siddu et al., </w:t>
      </w:r>
      <w:r w:rsidR="00257D50" w:rsidRPr="00902A6C">
        <w:rPr>
          <w:rFonts w:ascii="Times New Roman" w:eastAsia="Times New Roman" w:hAnsi="Times New Roman" w:cs="Times New Roman"/>
          <w:sz w:val="24"/>
          <w:szCs w:val="24"/>
        </w:rPr>
        <w:t>2025</w:t>
      </w:r>
      <w:r w:rsidRPr="00277C6B">
        <w:rPr>
          <w:rFonts w:ascii="Times New Roman" w:eastAsia="Times New Roman" w:hAnsi="Times New Roman" w:cs="Times New Roman"/>
          <w:sz w:val="24"/>
          <w:szCs w:val="24"/>
        </w:rPr>
        <w:t>). The elite selections derived from these populations provide an opportunity to investigate the contribution of individual yield-related traits to green fruit yield across different population backgrounds.</w:t>
      </w:r>
    </w:p>
    <w:p w14:paraId="51B8FA67" w14:textId="77777777" w:rsidR="00277C6B" w:rsidRPr="00277C6B" w:rsidRDefault="00277C6B" w:rsidP="00902A6C">
      <w:pPr>
        <w:spacing w:before="100" w:beforeAutospacing="1" w:after="100" w:afterAutospacing="1" w:line="360" w:lineRule="auto"/>
        <w:jc w:val="both"/>
        <w:rPr>
          <w:rFonts w:ascii="Times New Roman" w:eastAsia="Times New Roman" w:hAnsi="Times New Roman" w:cs="Times New Roman"/>
          <w:sz w:val="24"/>
          <w:szCs w:val="24"/>
        </w:rPr>
      </w:pPr>
      <w:r w:rsidRPr="00277C6B">
        <w:rPr>
          <w:rFonts w:ascii="Times New Roman" w:eastAsia="Times New Roman" w:hAnsi="Times New Roman" w:cs="Times New Roman"/>
          <w:sz w:val="24"/>
          <w:szCs w:val="24"/>
        </w:rPr>
        <w:t xml:space="preserve">Therefore, the present study was undertaken to </w:t>
      </w:r>
      <w:r w:rsidRPr="00902A6C">
        <w:rPr>
          <w:rFonts w:ascii="Times New Roman" w:eastAsia="Times New Roman" w:hAnsi="Times New Roman" w:cs="Times New Roman"/>
          <w:bCs/>
          <w:sz w:val="24"/>
          <w:szCs w:val="24"/>
        </w:rPr>
        <w:t xml:space="preserve">assess the association of green fruit yield with selected yield-related traits across five superior MP-derived populations and to partition these </w:t>
      </w:r>
      <w:r w:rsidRPr="00902A6C">
        <w:rPr>
          <w:rFonts w:ascii="Times New Roman" w:eastAsia="Times New Roman" w:hAnsi="Times New Roman" w:cs="Times New Roman"/>
          <w:bCs/>
          <w:sz w:val="24"/>
          <w:szCs w:val="24"/>
        </w:rPr>
        <w:lastRenderedPageBreak/>
        <w:t>associations into direct and indirect effects through path coefficient analysis, with the objective of identifying yield components that consistently contribute to green fruit yield</w:t>
      </w:r>
      <w:r w:rsidRPr="00277C6B">
        <w:rPr>
          <w:rFonts w:ascii="Times New Roman" w:eastAsia="Times New Roman" w:hAnsi="Times New Roman" w:cs="Times New Roman"/>
          <w:sz w:val="24"/>
          <w:szCs w:val="24"/>
        </w:rPr>
        <w:t>.</w:t>
      </w:r>
    </w:p>
    <w:p w14:paraId="406B1F74" w14:textId="77777777" w:rsidR="00277C6B" w:rsidRPr="00277C6B" w:rsidRDefault="00277C6B" w:rsidP="00902A6C">
      <w:pPr>
        <w:spacing w:before="100" w:beforeAutospacing="1" w:after="100" w:afterAutospacing="1" w:line="360" w:lineRule="auto"/>
        <w:jc w:val="both"/>
        <w:outlineLvl w:val="0"/>
        <w:rPr>
          <w:rFonts w:ascii="Times New Roman" w:eastAsia="Times New Roman" w:hAnsi="Times New Roman" w:cs="Times New Roman"/>
          <w:b/>
          <w:bCs/>
          <w:kern w:val="36"/>
          <w:sz w:val="24"/>
          <w:szCs w:val="24"/>
        </w:rPr>
      </w:pPr>
      <w:r w:rsidRPr="00277C6B">
        <w:rPr>
          <w:rFonts w:ascii="Times New Roman" w:eastAsia="Times New Roman" w:hAnsi="Times New Roman" w:cs="Times New Roman"/>
          <w:b/>
          <w:bCs/>
          <w:kern w:val="36"/>
          <w:sz w:val="24"/>
          <w:szCs w:val="24"/>
        </w:rPr>
        <w:t>Materials and Methods</w:t>
      </w:r>
    </w:p>
    <w:p w14:paraId="68A27D67" w14:textId="77777777" w:rsidR="00277C6B" w:rsidRPr="00277C6B" w:rsidRDefault="00277C6B" w:rsidP="00902A6C">
      <w:pPr>
        <w:spacing w:before="100" w:beforeAutospacing="1" w:after="100" w:afterAutospacing="1" w:line="360" w:lineRule="auto"/>
        <w:jc w:val="both"/>
        <w:outlineLvl w:val="1"/>
        <w:rPr>
          <w:rFonts w:ascii="Times New Roman" w:eastAsia="Times New Roman" w:hAnsi="Times New Roman" w:cs="Times New Roman"/>
          <w:b/>
          <w:bCs/>
          <w:sz w:val="24"/>
          <w:szCs w:val="24"/>
        </w:rPr>
      </w:pPr>
      <w:r w:rsidRPr="00277C6B">
        <w:rPr>
          <w:rFonts w:ascii="Times New Roman" w:eastAsia="Times New Roman" w:hAnsi="Times New Roman" w:cs="Times New Roman"/>
          <w:b/>
          <w:bCs/>
          <w:sz w:val="24"/>
          <w:szCs w:val="24"/>
        </w:rPr>
        <w:t>Experimental material</w:t>
      </w:r>
    </w:p>
    <w:p w14:paraId="3CB1D792" w14:textId="77777777" w:rsidR="00277C6B" w:rsidRPr="00902A6C" w:rsidRDefault="00277C6B" w:rsidP="00902A6C">
      <w:pPr>
        <w:spacing w:before="100" w:beforeAutospacing="1" w:after="100" w:afterAutospacing="1" w:line="360" w:lineRule="auto"/>
        <w:jc w:val="both"/>
        <w:rPr>
          <w:rFonts w:ascii="Times New Roman" w:eastAsia="Times New Roman" w:hAnsi="Times New Roman" w:cs="Times New Roman"/>
          <w:sz w:val="24"/>
          <w:szCs w:val="24"/>
        </w:rPr>
      </w:pPr>
      <w:r w:rsidRPr="00277C6B">
        <w:rPr>
          <w:rFonts w:ascii="Times New Roman" w:eastAsia="Times New Roman" w:hAnsi="Times New Roman" w:cs="Times New Roman"/>
          <w:sz w:val="24"/>
          <w:szCs w:val="24"/>
        </w:rPr>
        <w:t>The experimental material comprised five superior eight-parent multi-parent (MP)-derived populations selected from an earlier study that evaluated the breeding potential of ten MP-derived populations (</w:t>
      </w:r>
      <w:r w:rsidR="000B5852" w:rsidRPr="00902A6C">
        <w:rPr>
          <w:rFonts w:ascii="Times New Roman" w:eastAsia="Times New Roman" w:hAnsi="Times New Roman" w:cs="Times New Roman"/>
          <w:sz w:val="24"/>
          <w:szCs w:val="24"/>
        </w:rPr>
        <w:t>Siddu et al</w:t>
      </w:r>
      <w:r w:rsidR="00257D50" w:rsidRPr="00902A6C">
        <w:rPr>
          <w:rFonts w:ascii="Times New Roman" w:eastAsia="Times New Roman" w:hAnsi="Times New Roman" w:cs="Times New Roman"/>
          <w:sz w:val="24"/>
          <w:szCs w:val="24"/>
        </w:rPr>
        <w:t>., 2025</w:t>
      </w:r>
      <w:r w:rsidRPr="00277C6B">
        <w:rPr>
          <w:rFonts w:ascii="Times New Roman" w:eastAsia="Times New Roman" w:hAnsi="Times New Roman" w:cs="Times New Roman"/>
          <w:sz w:val="24"/>
          <w:szCs w:val="24"/>
        </w:rPr>
        <w:t>). The selected populations were D4 × D3, D4 × D2, D5 × D2, D6 × D2 and D7 × D2. Seeds of the selected MP-derived populations were obtained from the Hot Pepper Improvement Unit, Department of Genetics and Plant Breeding, College of Agriculture, University of Agricultural Sciences, Bengaluru, India.</w:t>
      </w:r>
      <w:r w:rsidR="000B5852" w:rsidRPr="00902A6C">
        <w:rPr>
          <w:rFonts w:ascii="Times New Roman" w:eastAsia="Times New Roman" w:hAnsi="Times New Roman" w:cs="Times New Roman"/>
          <w:sz w:val="24"/>
          <w:szCs w:val="24"/>
        </w:rPr>
        <w:t xml:space="preserve"> </w:t>
      </w:r>
      <w:r w:rsidRPr="00277C6B">
        <w:rPr>
          <w:rFonts w:ascii="Times New Roman" w:eastAsia="Times New Roman" w:hAnsi="Times New Roman" w:cs="Times New Roman"/>
          <w:sz w:val="24"/>
          <w:szCs w:val="24"/>
        </w:rPr>
        <w:t>Within each of the five superior MP-derived populations, ten elite plants were identified based on their superior performance for yield and yield-related traits. Seeds harvested from these selected plants were advanced and evaluated during the present investigation.</w:t>
      </w:r>
    </w:p>
    <w:p w14:paraId="0DA7DF3F" w14:textId="77777777" w:rsidR="0014430E" w:rsidRPr="00277C6B" w:rsidRDefault="0014430E" w:rsidP="00902A6C">
      <w:pPr>
        <w:spacing w:before="100" w:beforeAutospacing="1" w:after="100" w:afterAutospacing="1" w:line="360" w:lineRule="auto"/>
        <w:jc w:val="both"/>
        <w:outlineLvl w:val="0"/>
        <w:rPr>
          <w:rFonts w:ascii="Times New Roman" w:eastAsia="Times New Roman" w:hAnsi="Times New Roman" w:cs="Times New Roman"/>
          <w:b/>
          <w:bCs/>
          <w:kern w:val="36"/>
          <w:sz w:val="24"/>
          <w:szCs w:val="24"/>
        </w:rPr>
      </w:pPr>
      <w:r w:rsidRPr="00902A6C">
        <w:rPr>
          <w:rFonts w:ascii="Times New Roman" w:eastAsia="Times New Roman" w:hAnsi="Times New Roman" w:cs="Times New Roman"/>
          <w:b/>
          <w:bCs/>
          <w:kern w:val="36"/>
          <w:sz w:val="24"/>
          <w:szCs w:val="24"/>
        </w:rPr>
        <w:t>Table 1</w:t>
      </w:r>
      <w:r w:rsidRPr="00277C6B">
        <w:rPr>
          <w:rFonts w:ascii="Times New Roman" w:eastAsia="Times New Roman" w:hAnsi="Times New Roman" w:cs="Times New Roman"/>
          <w:b/>
          <w:bCs/>
          <w:kern w:val="36"/>
          <w:sz w:val="24"/>
          <w:szCs w:val="24"/>
        </w:rPr>
        <w:t>. Multi-parent derived populations selected based on breeding potential and their parentage</w:t>
      </w:r>
    </w:p>
    <w:tbl>
      <w:tblPr>
        <w:tblStyle w:val="TableGrid"/>
        <w:tblW w:w="0" w:type="auto"/>
        <w:tblLook w:val="04A0" w:firstRow="1" w:lastRow="0" w:firstColumn="1" w:lastColumn="0" w:noHBand="0" w:noVBand="1"/>
      </w:tblPr>
      <w:tblGrid>
        <w:gridCol w:w="1728"/>
        <w:gridCol w:w="7848"/>
      </w:tblGrid>
      <w:tr w:rsidR="0014430E" w:rsidRPr="00277C6B" w14:paraId="2A425A7E" w14:textId="77777777" w:rsidTr="00902A6C">
        <w:tc>
          <w:tcPr>
            <w:tcW w:w="1728" w:type="dxa"/>
            <w:hideMark/>
          </w:tcPr>
          <w:p w14:paraId="7C2C3A3E" w14:textId="77777777" w:rsidR="0014430E" w:rsidRPr="00277C6B" w:rsidRDefault="0014430E" w:rsidP="00902A6C">
            <w:pPr>
              <w:jc w:val="both"/>
              <w:rPr>
                <w:rFonts w:ascii="Times New Roman" w:eastAsia="Times New Roman" w:hAnsi="Times New Roman" w:cs="Times New Roman"/>
                <w:b/>
                <w:bCs/>
                <w:sz w:val="24"/>
                <w:szCs w:val="24"/>
              </w:rPr>
            </w:pPr>
            <w:r w:rsidRPr="00277C6B">
              <w:rPr>
                <w:rFonts w:ascii="Times New Roman" w:eastAsia="Times New Roman" w:hAnsi="Times New Roman" w:cs="Times New Roman"/>
                <w:b/>
                <w:bCs/>
                <w:sz w:val="24"/>
                <w:szCs w:val="24"/>
              </w:rPr>
              <w:t>MP-derived population</w:t>
            </w:r>
          </w:p>
        </w:tc>
        <w:tc>
          <w:tcPr>
            <w:tcW w:w="7848" w:type="dxa"/>
            <w:hideMark/>
          </w:tcPr>
          <w:p w14:paraId="47C34BDE" w14:textId="77777777" w:rsidR="0014430E" w:rsidRPr="00277C6B" w:rsidRDefault="0014430E" w:rsidP="00902A6C">
            <w:pPr>
              <w:spacing w:line="360" w:lineRule="auto"/>
              <w:jc w:val="center"/>
              <w:rPr>
                <w:rFonts w:ascii="Times New Roman" w:eastAsia="Times New Roman" w:hAnsi="Times New Roman" w:cs="Times New Roman"/>
                <w:b/>
                <w:bCs/>
                <w:sz w:val="24"/>
                <w:szCs w:val="24"/>
              </w:rPr>
            </w:pPr>
            <w:r w:rsidRPr="00277C6B">
              <w:rPr>
                <w:rFonts w:ascii="Times New Roman" w:eastAsia="Times New Roman" w:hAnsi="Times New Roman" w:cs="Times New Roman"/>
                <w:b/>
                <w:bCs/>
                <w:sz w:val="24"/>
                <w:szCs w:val="24"/>
              </w:rPr>
              <w:t>Parentage</w:t>
            </w:r>
          </w:p>
        </w:tc>
      </w:tr>
      <w:tr w:rsidR="0014430E" w:rsidRPr="00277C6B" w14:paraId="689D2EEE" w14:textId="77777777" w:rsidTr="00902A6C">
        <w:tc>
          <w:tcPr>
            <w:tcW w:w="1728" w:type="dxa"/>
            <w:hideMark/>
          </w:tcPr>
          <w:p w14:paraId="4E965B41" w14:textId="77777777" w:rsidR="0014430E" w:rsidRPr="00277C6B" w:rsidRDefault="0014430E"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b/>
                <w:bCs/>
                <w:sz w:val="24"/>
                <w:szCs w:val="24"/>
              </w:rPr>
              <w:t>D4 × D3</w:t>
            </w:r>
          </w:p>
        </w:tc>
        <w:tc>
          <w:tcPr>
            <w:tcW w:w="7848" w:type="dxa"/>
            <w:hideMark/>
          </w:tcPr>
          <w:p w14:paraId="7937B163" w14:textId="77777777" w:rsidR="0014430E" w:rsidRPr="00277C6B" w:rsidRDefault="0014430E" w:rsidP="00902A6C">
            <w:pPr>
              <w:spacing w:line="360" w:lineRule="auto"/>
              <w:jc w:val="both"/>
              <w:rPr>
                <w:rFonts w:ascii="Times New Roman" w:eastAsia="Times New Roman" w:hAnsi="Times New Roman" w:cs="Times New Roman"/>
                <w:sz w:val="24"/>
                <w:szCs w:val="24"/>
              </w:rPr>
            </w:pPr>
            <w:r w:rsidRPr="00277C6B">
              <w:rPr>
                <w:rFonts w:ascii="Times New Roman" w:eastAsia="Times New Roman" w:hAnsi="Times New Roman" w:cs="Times New Roman"/>
                <w:sz w:val="24"/>
                <w:szCs w:val="24"/>
              </w:rPr>
              <w:t>[(LG 174 × BD) × (Vang × CA14)] × [(UA × PJ) × (PS × CMS 6B)]</w:t>
            </w:r>
          </w:p>
        </w:tc>
      </w:tr>
      <w:tr w:rsidR="0014430E" w:rsidRPr="00277C6B" w14:paraId="2AF6B36D" w14:textId="77777777" w:rsidTr="00902A6C">
        <w:tc>
          <w:tcPr>
            <w:tcW w:w="1728" w:type="dxa"/>
            <w:hideMark/>
          </w:tcPr>
          <w:p w14:paraId="711E45FC" w14:textId="77777777" w:rsidR="0014430E" w:rsidRPr="00277C6B" w:rsidRDefault="0014430E"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b/>
                <w:bCs/>
                <w:sz w:val="24"/>
                <w:szCs w:val="24"/>
              </w:rPr>
              <w:t>D4 × D2</w:t>
            </w:r>
          </w:p>
        </w:tc>
        <w:tc>
          <w:tcPr>
            <w:tcW w:w="7848" w:type="dxa"/>
            <w:hideMark/>
          </w:tcPr>
          <w:p w14:paraId="316FD979" w14:textId="77777777" w:rsidR="0014430E" w:rsidRPr="00277C6B" w:rsidRDefault="0014430E" w:rsidP="00902A6C">
            <w:pPr>
              <w:spacing w:line="360" w:lineRule="auto"/>
              <w:jc w:val="both"/>
              <w:rPr>
                <w:rFonts w:ascii="Times New Roman" w:eastAsia="Times New Roman" w:hAnsi="Times New Roman" w:cs="Times New Roman"/>
                <w:sz w:val="24"/>
                <w:szCs w:val="24"/>
              </w:rPr>
            </w:pPr>
            <w:r w:rsidRPr="00277C6B">
              <w:rPr>
                <w:rFonts w:ascii="Times New Roman" w:eastAsia="Times New Roman" w:hAnsi="Times New Roman" w:cs="Times New Roman"/>
                <w:sz w:val="24"/>
                <w:szCs w:val="24"/>
              </w:rPr>
              <w:t>[(LG 174 × BD) × (Vang × CA14)] × [(PC1 × CMS 10B) × (JL × CMS 8B)]</w:t>
            </w:r>
          </w:p>
        </w:tc>
      </w:tr>
      <w:tr w:rsidR="0014430E" w:rsidRPr="00277C6B" w14:paraId="1B67E01A" w14:textId="77777777" w:rsidTr="00902A6C">
        <w:tc>
          <w:tcPr>
            <w:tcW w:w="1728" w:type="dxa"/>
            <w:hideMark/>
          </w:tcPr>
          <w:p w14:paraId="554E267A" w14:textId="77777777" w:rsidR="0014430E" w:rsidRPr="00277C6B" w:rsidRDefault="0014430E"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b/>
                <w:bCs/>
                <w:sz w:val="24"/>
                <w:szCs w:val="24"/>
              </w:rPr>
              <w:t>D5 × D2</w:t>
            </w:r>
          </w:p>
        </w:tc>
        <w:tc>
          <w:tcPr>
            <w:tcW w:w="7848" w:type="dxa"/>
            <w:hideMark/>
          </w:tcPr>
          <w:p w14:paraId="3226F3E8" w14:textId="77777777" w:rsidR="0014430E" w:rsidRPr="00277C6B" w:rsidRDefault="0014430E" w:rsidP="00902A6C">
            <w:pPr>
              <w:spacing w:line="360" w:lineRule="auto"/>
              <w:jc w:val="both"/>
              <w:rPr>
                <w:rFonts w:ascii="Times New Roman" w:eastAsia="Times New Roman" w:hAnsi="Times New Roman" w:cs="Times New Roman"/>
                <w:sz w:val="24"/>
                <w:szCs w:val="24"/>
              </w:rPr>
            </w:pPr>
            <w:r w:rsidRPr="00277C6B">
              <w:rPr>
                <w:rFonts w:ascii="Times New Roman" w:eastAsia="Times New Roman" w:hAnsi="Times New Roman" w:cs="Times New Roman"/>
                <w:sz w:val="24"/>
                <w:szCs w:val="24"/>
              </w:rPr>
              <w:t>[(LG 174 × BK) × (Vang × CA14)] × [(PC1 × CMS 10B) × (JL × CMS 8B)]</w:t>
            </w:r>
          </w:p>
        </w:tc>
      </w:tr>
      <w:tr w:rsidR="0014430E" w:rsidRPr="00277C6B" w14:paraId="79C8EFC4" w14:textId="77777777" w:rsidTr="00902A6C">
        <w:tc>
          <w:tcPr>
            <w:tcW w:w="1728" w:type="dxa"/>
            <w:hideMark/>
          </w:tcPr>
          <w:p w14:paraId="7B0D1098" w14:textId="77777777" w:rsidR="0014430E" w:rsidRPr="00277C6B" w:rsidRDefault="0014430E"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b/>
                <w:bCs/>
                <w:sz w:val="24"/>
                <w:szCs w:val="24"/>
              </w:rPr>
              <w:t>D6 × D2</w:t>
            </w:r>
          </w:p>
        </w:tc>
        <w:tc>
          <w:tcPr>
            <w:tcW w:w="7848" w:type="dxa"/>
            <w:hideMark/>
          </w:tcPr>
          <w:p w14:paraId="3F429E8A" w14:textId="77777777" w:rsidR="0014430E" w:rsidRPr="00277C6B" w:rsidRDefault="0014430E" w:rsidP="00902A6C">
            <w:pPr>
              <w:spacing w:line="360" w:lineRule="auto"/>
              <w:jc w:val="both"/>
              <w:rPr>
                <w:rFonts w:ascii="Times New Roman" w:eastAsia="Times New Roman" w:hAnsi="Times New Roman" w:cs="Times New Roman"/>
                <w:sz w:val="24"/>
                <w:szCs w:val="24"/>
              </w:rPr>
            </w:pPr>
            <w:r w:rsidRPr="00277C6B">
              <w:rPr>
                <w:rFonts w:ascii="Times New Roman" w:eastAsia="Times New Roman" w:hAnsi="Times New Roman" w:cs="Times New Roman"/>
                <w:sz w:val="24"/>
                <w:szCs w:val="24"/>
              </w:rPr>
              <w:t>[(GB × BK) × (Vang × LG 181)] × [(PC1 × CMS 10B) × (JL × CMS 8B)]</w:t>
            </w:r>
          </w:p>
        </w:tc>
      </w:tr>
      <w:tr w:rsidR="0014430E" w:rsidRPr="00277C6B" w14:paraId="506CAE12" w14:textId="77777777" w:rsidTr="00902A6C">
        <w:tc>
          <w:tcPr>
            <w:tcW w:w="1728" w:type="dxa"/>
            <w:hideMark/>
          </w:tcPr>
          <w:p w14:paraId="2CA33807" w14:textId="77777777" w:rsidR="0014430E" w:rsidRPr="00277C6B" w:rsidRDefault="0014430E"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b/>
                <w:bCs/>
                <w:sz w:val="24"/>
                <w:szCs w:val="24"/>
              </w:rPr>
              <w:t>D7 × D2</w:t>
            </w:r>
          </w:p>
        </w:tc>
        <w:tc>
          <w:tcPr>
            <w:tcW w:w="7848" w:type="dxa"/>
            <w:hideMark/>
          </w:tcPr>
          <w:p w14:paraId="0CA927E8" w14:textId="77777777" w:rsidR="0014430E" w:rsidRPr="00277C6B" w:rsidRDefault="0014430E" w:rsidP="00902A6C">
            <w:pPr>
              <w:spacing w:line="360" w:lineRule="auto"/>
              <w:jc w:val="both"/>
              <w:rPr>
                <w:rFonts w:ascii="Times New Roman" w:eastAsia="Times New Roman" w:hAnsi="Times New Roman" w:cs="Times New Roman"/>
                <w:sz w:val="24"/>
                <w:szCs w:val="24"/>
              </w:rPr>
            </w:pPr>
            <w:r w:rsidRPr="00277C6B">
              <w:rPr>
                <w:rFonts w:ascii="Times New Roman" w:eastAsia="Times New Roman" w:hAnsi="Times New Roman" w:cs="Times New Roman"/>
                <w:sz w:val="24"/>
                <w:szCs w:val="24"/>
              </w:rPr>
              <w:t>[(GB × CA14) × (Vang × LG 181)] × [(PC1 × CMS 10B) × (JL × CMS 8B)]</w:t>
            </w:r>
          </w:p>
        </w:tc>
      </w:tr>
    </w:tbl>
    <w:p w14:paraId="745ECA9E" w14:textId="77777777" w:rsidR="0014430E" w:rsidRPr="00277C6B" w:rsidRDefault="0014430E" w:rsidP="006A6580">
      <w:pPr>
        <w:spacing w:before="100" w:beforeAutospacing="1" w:after="100" w:afterAutospacing="1"/>
        <w:jc w:val="both"/>
        <w:rPr>
          <w:rFonts w:ascii="Times New Roman" w:eastAsia="Times New Roman" w:hAnsi="Times New Roman" w:cs="Times New Roman"/>
          <w:sz w:val="24"/>
          <w:szCs w:val="24"/>
        </w:rPr>
      </w:pPr>
      <w:r w:rsidRPr="00902A6C">
        <w:rPr>
          <w:rFonts w:ascii="Times New Roman" w:eastAsia="Times New Roman" w:hAnsi="Times New Roman" w:cs="Times New Roman"/>
          <w:b/>
          <w:bCs/>
          <w:sz w:val="24"/>
          <w:szCs w:val="24"/>
        </w:rPr>
        <w:t>Abbreviations:</w:t>
      </w:r>
      <w:r w:rsidRPr="00277C6B">
        <w:rPr>
          <w:rFonts w:ascii="Times New Roman" w:eastAsia="Times New Roman" w:hAnsi="Times New Roman" w:cs="Times New Roman"/>
          <w:sz w:val="24"/>
          <w:szCs w:val="24"/>
        </w:rPr>
        <w:t xml:space="preserve"> BD – </w:t>
      </w:r>
      <w:proofErr w:type="spellStart"/>
      <w:r w:rsidRPr="00277C6B">
        <w:rPr>
          <w:rFonts w:ascii="Times New Roman" w:eastAsia="Times New Roman" w:hAnsi="Times New Roman" w:cs="Times New Roman"/>
          <w:sz w:val="24"/>
          <w:szCs w:val="24"/>
        </w:rPr>
        <w:t>Byadgi</w:t>
      </w:r>
      <w:proofErr w:type="spellEnd"/>
      <w:r w:rsidRPr="00277C6B">
        <w:rPr>
          <w:rFonts w:ascii="Times New Roman" w:eastAsia="Times New Roman" w:hAnsi="Times New Roman" w:cs="Times New Roman"/>
          <w:sz w:val="24"/>
          <w:szCs w:val="24"/>
        </w:rPr>
        <w:t xml:space="preserve"> Dabbi; GB – </w:t>
      </w:r>
      <w:proofErr w:type="spellStart"/>
      <w:r w:rsidRPr="00277C6B">
        <w:rPr>
          <w:rFonts w:ascii="Times New Roman" w:eastAsia="Times New Roman" w:hAnsi="Times New Roman" w:cs="Times New Roman"/>
          <w:sz w:val="24"/>
          <w:szCs w:val="24"/>
        </w:rPr>
        <w:t>Gouribidanur</w:t>
      </w:r>
      <w:proofErr w:type="spellEnd"/>
      <w:r w:rsidRPr="00277C6B">
        <w:rPr>
          <w:rFonts w:ascii="Times New Roman" w:eastAsia="Times New Roman" w:hAnsi="Times New Roman" w:cs="Times New Roman"/>
          <w:sz w:val="24"/>
          <w:szCs w:val="24"/>
        </w:rPr>
        <w:t xml:space="preserve">; UA – Utkal Awa; BK – </w:t>
      </w:r>
      <w:proofErr w:type="spellStart"/>
      <w:r w:rsidRPr="00277C6B">
        <w:rPr>
          <w:rFonts w:ascii="Times New Roman" w:eastAsia="Times New Roman" w:hAnsi="Times New Roman" w:cs="Times New Roman"/>
          <w:sz w:val="24"/>
          <w:szCs w:val="24"/>
        </w:rPr>
        <w:t>Byadgi</w:t>
      </w:r>
      <w:proofErr w:type="spellEnd"/>
      <w:r w:rsidRPr="00277C6B">
        <w:rPr>
          <w:rFonts w:ascii="Times New Roman" w:eastAsia="Times New Roman" w:hAnsi="Times New Roman" w:cs="Times New Roman"/>
          <w:sz w:val="24"/>
          <w:szCs w:val="24"/>
        </w:rPr>
        <w:t xml:space="preserve"> </w:t>
      </w:r>
      <w:proofErr w:type="spellStart"/>
      <w:r w:rsidRPr="00277C6B">
        <w:rPr>
          <w:rFonts w:ascii="Times New Roman" w:eastAsia="Times New Roman" w:hAnsi="Times New Roman" w:cs="Times New Roman"/>
          <w:sz w:val="24"/>
          <w:szCs w:val="24"/>
        </w:rPr>
        <w:t>Kaddi</w:t>
      </w:r>
      <w:proofErr w:type="spellEnd"/>
      <w:r w:rsidRPr="00277C6B">
        <w:rPr>
          <w:rFonts w:ascii="Times New Roman" w:eastAsia="Times New Roman" w:hAnsi="Times New Roman" w:cs="Times New Roman"/>
          <w:sz w:val="24"/>
          <w:szCs w:val="24"/>
        </w:rPr>
        <w:t xml:space="preserve">; JL – </w:t>
      </w:r>
      <w:proofErr w:type="spellStart"/>
      <w:r w:rsidRPr="00277C6B">
        <w:rPr>
          <w:rFonts w:ascii="Times New Roman" w:eastAsia="Times New Roman" w:hAnsi="Times New Roman" w:cs="Times New Roman"/>
          <w:sz w:val="24"/>
          <w:szCs w:val="24"/>
        </w:rPr>
        <w:t>Japani</w:t>
      </w:r>
      <w:proofErr w:type="spellEnd"/>
      <w:r w:rsidRPr="00277C6B">
        <w:rPr>
          <w:rFonts w:ascii="Times New Roman" w:eastAsia="Times New Roman" w:hAnsi="Times New Roman" w:cs="Times New Roman"/>
          <w:sz w:val="24"/>
          <w:szCs w:val="24"/>
        </w:rPr>
        <w:t xml:space="preserve"> Long; PJ – Phule Jyothi; PS – Pusa Sadabahar; Vang – </w:t>
      </w:r>
      <w:proofErr w:type="spellStart"/>
      <w:r w:rsidRPr="00277C6B">
        <w:rPr>
          <w:rFonts w:ascii="Times New Roman" w:eastAsia="Times New Roman" w:hAnsi="Times New Roman" w:cs="Times New Roman"/>
          <w:sz w:val="24"/>
          <w:szCs w:val="24"/>
        </w:rPr>
        <w:t>Vangara</w:t>
      </w:r>
      <w:proofErr w:type="spellEnd"/>
      <w:r w:rsidRPr="00277C6B">
        <w:rPr>
          <w:rFonts w:ascii="Times New Roman" w:eastAsia="Times New Roman" w:hAnsi="Times New Roman" w:cs="Times New Roman"/>
          <w:sz w:val="24"/>
          <w:szCs w:val="24"/>
        </w:rPr>
        <w:t>; 6B – CMS 6B; 8B – CMS 8B; 10B – CMS 10B; PC1 – Pant C1; CA14 – CA 14; LG174 – LG 174; LG181 – LG 181.</w:t>
      </w:r>
    </w:p>
    <w:p w14:paraId="5CDC1404" w14:textId="77777777" w:rsidR="00CD526D" w:rsidRDefault="00CD526D" w:rsidP="00902A6C">
      <w:pPr>
        <w:spacing w:before="100" w:beforeAutospacing="1" w:after="100" w:afterAutospacing="1" w:line="360" w:lineRule="auto"/>
        <w:jc w:val="both"/>
        <w:outlineLvl w:val="1"/>
        <w:rPr>
          <w:rFonts w:ascii="Times New Roman" w:eastAsia="Times New Roman" w:hAnsi="Times New Roman" w:cs="Times New Roman"/>
          <w:b/>
          <w:bCs/>
          <w:sz w:val="24"/>
          <w:szCs w:val="24"/>
        </w:rPr>
      </w:pPr>
    </w:p>
    <w:p w14:paraId="739006AE" w14:textId="0945FBDD" w:rsidR="00277C6B" w:rsidRPr="00277C6B" w:rsidRDefault="00277C6B" w:rsidP="00902A6C">
      <w:pPr>
        <w:spacing w:before="100" w:beforeAutospacing="1" w:after="100" w:afterAutospacing="1" w:line="360" w:lineRule="auto"/>
        <w:jc w:val="both"/>
        <w:outlineLvl w:val="1"/>
        <w:rPr>
          <w:rFonts w:ascii="Times New Roman" w:eastAsia="Times New Roman" w:hAnsi="Times New Roman" w:cs="Times New Roman"/>
          <w:b/>
          <w:bCs/>
          <w:sz w:val="24"/>
          <w:szCs w:val="24"/>
        </w:rPr>
      </w:pPr>
      <w:r w:rsidRPr="00277C6B">
        <w:rPr>
          <w:rFonts w:ascii="Times New Roman" w:eastAsia="Times New Roman" w:hAnsi="Times New Roman" w:cs="Times New Roman"/>
          <w:b/>
          <w:bCs/>
          <w:sz w:val="24"/>
          <w:szCs w:val="24"/>
        </w:rPr>
        <w:lastRenderedPageBreak/>
        <w:t>Field evaluation</w:t>
      </w:r>
    </w:p>
    <w:p w14:paraId="775D4801" w14:textId="77777777" w:rsidR="00277C6B" w:rsidRPr="00277C6B" w:rsidRDefault="00277C6B" w:rsidP="00902A6C">
      <w:pPr>
        <w:spacing w:before="100" w:beforeAutospacing="1" w:after="100" w:afterAutospacing="1" w:line="360" w:lineRule="auto"/>
        <w:jc w:val="both"/>
        <w:rPr>
          <w:rFonts w:ascii="Times New Roman" w:eastAsia="Times New Roman" w:hAnsi="Times New Roman" w:cs="Times New Roman"/>
          <w:sz w:val="24"/>
          <w:szCs w:val="24"/>
        </w:rPr>
      </w:pPr>
      <w:r w:rsidRPr="00277C6B">
        <w:rPr>
          <w:rFonts w:ascii="Times New Roman" w:eastAsia="Times New Roman" w:hAnsi="Times New Roman" w:cs="Times New Roman"/>
          <w:sz w:val="24"/>
          <w:szCs w:val="24"/>
        </w:rPr>
        <w:t>Forty-day-old seedlings of each progeny line were transplanted separately in contiguous blocks during the 2020 rainy season at the experimental farm of the University of Agricultural Sciences, Bengaluru. The progeny rows were planted at a spacing of 75 cm between rows and 45 cm between plants. Recommended agronomic and plant protection practices were followed throughout the crop growth period to maintain a healthy crop stand.</w:t>
      </w:r>
      <w:r w:rsidR="000B5852" w:rsidRPr="00902A6C">
        <w:rPr>
          <w:rFonts w:ascii="Times New Roman" w:eastAsia="Times New Roman" w:hAnsi="Times New Roman" w:cs="Times New Roman"/>
          <w:sz w:val="24"/>
          <w:szCs w:val="24"/>
        </w:rPr>
        <w:t xml:space="preserve">  T</w:t>
      </w:r>
      <w:r w:rsidRPr="00277C6B">
        <w:rPr>
          <w:rFonts w:ascii="Times New Roman" w:eastAsia="Times New Roman" w:hAnsi="Times New Roman" w:cs="Times New Roman"/>
          <w:sz w:val="24"/>
          <w:szCs w:val="24"/>
        </w:rPr>
        <w:t>he blocks were arranged sequentially in the field to maintain the identity of the respective MP-derived populations during evaluation.</w:t>
      </w:r>
    </w:p>
    <w:p w14:paraId="50A045E0" w14:textId="77777777" w:rsidR="00277C6B" w:rsidRPr="00277C6B" w:rsidRDefault="00277C6B" w:rsidP="00902A6C">
      <w:pPr>
        <w:spacing w:before="100" w:beforeAutospacing="1" w:after="100" w:afterAutospacing="1" w:line="360" w:lineRule="auto"/>
        <w:jc w:val="both"/>
        <w:outlineLvl w:val="1"/>
        <w:rPr>
          <w:rFonts w:ascii="Times New Roman" w:eastAsia="Times New Roman" w:hAnsi="Times New Roman" w:cs="Times New Roman"/>
          <w:b/>
          <w:bCs/>
          <w:sz w:val="24"/>
          <w:szCs w:val="24"/>
        </w:rPr>
      </w:pPr>
      <w:r w:rsidRPr="00277C6B">
        <w:rPr>
          <w:rFonts w:ascii="Times New Roman" w:eastAsia="Times New Roman" w:hAnsi="Times New Roman" w:cs="Times New Roman"/>
          <w:b/>
          <w:bCs/>
          <w:sz w:val="24"/>
          <w:szCs w:val="24"/>
        </w:rPr>
        <w:t>Trait recording</w:t>
      </w:r>
    </w:p>
    <w:p w14:paraId="2FA5716D" w14:textId="77777777" w:rsidR="00277C6B" w:rsidRPr="00277C6B" w:rsidRDefault="00277C6B" w:rsidP="00902A6C">
      <w:pPr>
        <w:spacing w:before="100" w:beforeAutospacing="1" w:after="100" w:afterAutospacing="1" w:line="360" w:lineRule="auto"/>
        <w:jc w:val="both"/>
        <w:rPr>
          <w:rFonts w:ascii="Times New Roman" w:eastAsia="Times New Roman" w:hAnsi="Times New Roman" w:cs="Times New Roman"/>
          <w:bCs/>
          <w:sz w:val="24"/>
          <w:szCs w:val="24"/>
        </w:rPr>
      </w:pPr>
      <w:r w:rsidRPr="00277C6B">
        <w:rPr>
          <w:rFonts w:ascii="Times New Roman" w:eastAsia="Times New Roman" w:hAnsi="Times New Roman" w:cs="Times New Roman"/>
          <w:sz w:val="24"/>
          <w:szCs w:val="24"/>
        </w:rPr>
        <w:t>Observations were recorded on individual plants for five quantitative traits:</w:t>
      </w:r>
      <w:r w:rsidR="000B5852" w:rsidRPr="00902A6C">
        <w:rPr>
          <w:rFonts w:ascii="Times New Roman" w:eastAsia="Times New Roman" w:hAnsi="Times New Roman" w:cs="Times New Roman"/>
          <w:sz w:val="24"/>
          <w:szCs w:val="24"/>
        </w:rPr>
        <w:t xml:space="preserve"> </w:t>
      </w:r>
      <w:r w:rsidR="000B5852" w:rsidRPr="00902A6C">
        <w:rPr>
          <w:rFonts w:ascii="Times New Roman" w:eastAsia="Times New Roman" w:hAnsi="Times New Roman" w:cs="Times New Roman"/>
          <w:bCs/>
          <w:sz w:val="24"/>
          <w:szCs w:val="24"/>
        </w:rPr>
        <w:t>Average fruit weight a</w:t>
      </w:r>
      <w:r w:rsidRPr="00902A6C">
        <w:rPr>
          <w:rFonts w:ascii="Times New Roman" w:eastAsia="Times New Roman" w:hAnsi="Times New Roman" w:cs="Times New Roman"/>
          <w:bCs/>
          <w:sz w:val="24"/>
          <w:szCs w:val="24"/>
        </w:rPr>
        <w:t xml:space="preserve">verage </w:t>
      </w:r>
      <w:r w:rsidR="0014430E" w:rsidRPr="00902A6C">
        <w:rPr>
          <w:rFonts w:ascii="Times New Roman" w:eastAsia="Times New Roman" w:hAnsi="Times New Roman" w:cs="Times New Roman"/>
          <w:bCs/>
          <w:sz w:val="24"/>
          <w:szCs w:val="24"/>
        </w:rPr>
        <w:t>fruit number plant</w:t>
      </w:r>
      <w:r w:rsidR="0014430E" w:rsidRPr="00902A6C">
        <w:rPr>
          <w:rFonts w:ascii="Times New Roman" w:eastAsia="Times New Roman" w:hAnsi="Times New Roman" w:cs="Times New Roman"/>
          <w:bCs/>
          <w:sz w:val="24"/>
          <w:szCs w:val="24"/>
          <w:vertAlign w:val="superscript"/>
        </w:rPr>
        <w:t>-1</w:t>
      </w:r>
      <w:r w:rsidR="000B5852" w:rsidRPr="00902A6C">
        <w:rPr>
          <w:rFonts w:ascii="Times New Roman" w:eastAsia="Times New Roman" w:hAnsi="Times New Roman" w:cs="Times New Roman"/>
          <w:bCs/>
          <w:sz w:val="24"/>
          <w:szCs w:val="24"/>
        </w:rPr>
        <w:t>, average fruit length, a</w:t>
      </w:r>
      <w:r w:rsidRPr="00902A6C">
        <w:rPr>
          <w:rFonts w:ascii="Times New Roman" w:eastAsia="Times New Roman" w:hAnsi="Times New Roman" w:cs="Times New Roman"/>
          <w:bCs/>
          <w:sz w:val="24"/>
          <w:szCs w:val="24"/>
        </w:rPr>
        <w:t>verage fru</w:t>
      </w:r>
      <w:r w:rsidR="000B5852" w:rsidRPr="00902A6C">
        <w:rPr>
          <w:rFonts w:ascii="Times New Roman" w:eastAsia="Times New Roman" w:hAnsi="Times New Roman" w:cs="Times New Roman"/>
          <w:bCs/>
          <w:sz w:val="24"/>
          <w:szCs w:val="24"/>
        </w:rPr>
        <w:t>it width and green fruit yield per plant.</w:t>
      </w:r>
    </w:p>
    <w:p w14:paraId="78FD2E46" w14:textId="77777777" w:rsidR="00277C6B" w:rsidRPr="00277C6B" w:rsidRDefault="00277C6B" w:rsidP="00902A6C">
      <w:pPr>
        <w:spacing w:before="100" w:beforeAutospacing="1" w:after="100" w:afterAutospacing="1" w:line="360" w:lineRule="auto"/>
        <w:jc w:val="both"/>
        <w:rPr>
          <w:rFonts w:ascii="Times New Roman" w:eastAsia="Times New Roman" w:hAnsi="Times New Roman" w:cs="Times New Roman"/>
          <w:sz w:val="24"/>
          <w:szCs w:val="24"/>
        </w:rPr>
      </w:pPr>
      <w:r w:rsidRPr="00277C6B">
        <w:rPr>
          <w:rFonts w:ascii="Times New Roman" w:eastAsia="Times New Roman" w:hAnsi="Times New Roman" w:cs="Times New Roman"/>
          <w:sz w:val="24"/>
          <w:szCs w:val="24"/>
        </w:rPr>
        <w:t>Data were collected from all plants within the selected progeny lines representing the five MP-derived populations. The dataset comprised observations from D4 × D3, D4 × D2, D5 × D2, D6 × D2 and D7 × D2 populations.</w:t>
      </w:r>
    </w:p>
    <w:p w14:paraId="23E51ECE" w14:textId="77777777" w:rsidR="00277C6B" w:rsidRPr="00277C6B" w:rsidRDefault="00277C6B" w:rsidP="00902A6C">
      <w:pPr>
        <w:spacing w:before="100" w:beforeAutospacing="1" w:after="100" w:afterAutospacing="1" w:line="360" w:lineRule="auto"/>
        <w:jc w:val="both"/>
        <w:outlineLvl w:val="1"/>
        <w:rPr>
          <w:rFonts w:ascii="Times New Roman" w:eastAsia="Times New Roman" w:hAnsi="Times New Roman" w:cs="Times New Roman"/>
          <w:b/>
          <w:bCs/>
          <w:sz w:val="24"/>
          <w:szCs w:val="24"/>
        </w:rPr>
      </w:pPr>
      <w:r w:rsidRPr="00277C6B">
        <w:rPr>
          <w:rFonts w:ascii="Times New Roman" w:eastAsia="Times New Roman" w:hAnsi="Times New Roman" w:cs="Times New Roman"/>
          <w:b/>
          <w:bCs/>
          <w:sz w:val="24"/>
          <w:szCs w:val="24"/>
        </w:rPr>
        <w:t>Statistical analysis</w:t>
      </w:r>
    </w:p>
    <w:p w14:paraId="27DB838D" w14:textId="77777777" w:rsidR="00B86B62" w:rsidRPr="00902A6C" w:rsidRDefault="00277C6B" w:rsidP="00902A6C">
      <w:pPr>
        <w:spacing w:before="100" w:beforeAutospacing="1" w:after="100" w:afterAutospacing="1" w:line="360" w:lineRule="auto"/>
        <w:jc w:val="both"/>
        <w:rPr>
          <w:rFonts w:ascii="Times New Roman" w:eastAsia="Times New Roman" w:hAnsi="Times New Roman" w:cs="Times New Roman"/>
          <w:sz w:val="24"/>
          <w:szCs w:val="24"/>
        </w:rPr>
      </w:pPr>
      <w:r w:rsidRPr="00277C6B">
        <w:rPr>
          <w:rFonts w:ascii="Times New Roman" w:eastAsia="Times New Roman" w:hAnsi="Times New Roman" w:cs="Times New Roman"/>
          <w:sz w:val="24"/>
          <w:szCs w:val="24"/>
        </w:rPr>
        <w:t xml:space="preserve">Phenotypic correlation coefficients were estimated </w:t>
      </w:r>
      <w:r w:rsidR="00B86B62" w:rsidRPr="00902A6C">
        <w:rPr>
          <w:rFonts w:ascii="Times New Roman" w:hAnsi="Times New Roman" w:cs="Times New Roman"/>
          <w:sz w:val="24"/>
          <w:szCs w:val="24"/>
        </w:rPr>
        <w:t>using the following formula (Al-</w:t>
      </w:r>
      <w:proofErr w:type="spellStart"/>
      <w:r w:rsidR="00B86B62" w:rsidRPr="00902A6C">
        <w:rPr>
          <w:rFonts w:ascii="Times New Roman" w:hAnsi="Times New Roman" w:cs="Times New Roman"/>
          <w:sz w:val="24"/>
          <w:szCs w:val="24"/>
        </w:rPr>
        <w:t>Jibouri</w:t>
      </w:r>
      <w:proofErr w:type="spellEnd"/>
      <w:r w:rsidR="00B86B62" w:rsidRPr="00902A6C">
        <w:rPr>
          <w:rFonts w:ascii="Times New Roman" w:hAnsi="Times New Roman" w:cs="Times New Roman"/>
          <w:sz w:val="24"/>
          <w:szCs w:val="24"/>
        </w:rPr>
        <w:t xml:space="preserve"> </w:t>
      </w:r>
      <w:r w:rsidR="00B86B62" w:rsidRPr="00902A6C">
        <w:rPr>
          <w:rFonts w:ascii="Times New Roman" w:hAnsi="Times New Roman" w:cs="Times New Roman"/>
          <w:i/>
          <w:sz w:val="24"/>
          <w:szCs w:val="24"/>
        </w:rPr>
        <w:t>et al</w:t>
      </w:r>
      <w:r w:rsidR="00B86B62" w:rsidRPr="00902A6C">
        <w:rPr>
          <w:rFonts w:ascii="Times New Roman" w:hAnsi="Times New Roman" w:cs="Times New Roman"/>
          <w:sz w:val="24"/>
          <w:szCs w:val="24"/>
        </w:rPr>
        <w:t xml:space="preserve">., 1958) </w:t>
      </w:r>
      <w:r w:rsidRPr="00277C6B">
        <w:rPr>
          <w:rFonts w:ascii="Times New Roman" w:eastAsia="Times New Roman" w:hAnsi="Times New Roman" w:cs="Times New Roman"/>
          <w:sz w:val="24"/>
          <w:szCs w:val="24"/>
        </w:rPr>
        <w:t>separately for each of the five MP-derived populations to determine the association of individual yield-related traits w</w:t>
      </w:r>
      <w:r w:rsidR="00B86B62" w:rsidRPr="00902A6C">
        <w:rPr>
          <w:rFonts w:ascii="Times New Roman" w:eastAsia="Times New Roman" w:hAnsi="Times New Roman" w:cs="Times New Roman"/>
          <w:sz w:val="24"/>
          <w:szCs w:val="24"/>
        </w:rPr>
        <w:t>ith green fruit yield per plant</w:t>
      </w:r>
      <w:r w:rsidR="00B86B62" w:rsidRPr="00902A6C">
        <w:rPr>
          <w:rFonts w:ascii="Times New Roman" w:hAnsi="Times New Roman" w:cs="Times New Roman"/>
          <w:sz w:val="24"/>
          <w:szCs w:val="24"/>
        </w:rPr>
        <w:t xml:space="preserve">.      </w:t>
      </w:r>
    </w:p>
    <w:p w14:paraId="2B529356" w14:textId="77777777" w:rsidR="00B86B62" w:rsidRPr="00902A6C" w:rsidRDefault="00B86B62" w:rsidP="00902A6C">
      <w:pPr>
        <w:spacing w:line="360" w:lineRule="auto"/>
        <w:jc w:val="both"/>
        <w:rPr>
          <w:rFonts w:ascii="Times New Roman" w:hAnsi="Times New Roman" w:cs="Times New Roman"/>
          <w:b/>
          <w:bCs/>
          <w:sz w:val="24"/>
          <w:szCs w:val="24"/>
        </w:rPr>
      </w:pPr>
      <w:proofErr w:type="spellStart"/>
      <w:r w:rsidRPr="00902A6C">
        <w:rPr>
          <w:rFonts w:ascii="Times New Roman" w:hAnsi="Times New Roman" w:cs="Times New Roman"/>
          <w:b/>
          <w:bCs/>
          <w:sz w:val="24"/>
          <w:szCs w:val="24"/>
        </w:rPr>
        <w:t>r</w:t>
      </w:r>
      <w:r w:rsidRPr="00902A6C">
        <w:rPr>
          <w:rFonts w:ascii="Times New Roman" w:hAnsi="Times New Roman" w:cs="Times New Roman"/>
          <w:b/>
          <w:bCs/>
          <w:sz w:val="24"/>
          <w:szCs w:val="24"/>
          <w:vertAlign w:val="subscript"/>
        </w:rPr>
        <w:t>xy</w:t>
      </w:r>
      <w:proofErr w:type="spellEnd"/>
      <w:r w:rsidRPr="00902A6C">
        <w:rPr>
          <w:rFonts w:ascii="Times New Roman" w:hAnsi="Times New Roman" w:cs="Times New Roman"/>
          <w:b/>
          <w:bCs/>
          <w:sz w:val="24"/>
          <w:szCs w:val="24"/>
        </w:rPr>
        <w:t xml:space="preserve">    = </w:t>
      </w:r>
      <w:proofErr w:type="spellStart"/>
      <w:r w:rsidRPr="00902A6C">
        <w:rPr>
          <w:rFonts w:ascii="Times New Roman" w:hAnsi="Times New Roman" w:cs="Times New Roman"/>
          <w:b/>
          <w:bCs/>
          <w:sz w:val="24"/>
          <w:szCs w:val="24"/>
        </w:rPr>
        <w:t>CoV</w:t>
      </w:r>
      <w:r w:rsidRPr="00902A6C">
        <w:rPr>
          <w:rFonts w:ascii="Times New Roman" w:hAnsi="Times New Roman" w:cs="Times New Roman"/>
          <w:b/>
          <w:bCs/>
          <w:sz w:val="24"/>
          <w:szCs w:val="24"/>
          <w:vertAlign w:val="subscript"/>
        </w:rPr>
        <w:t>xy</w:t>
      </w:r>
      <w:proofErr w:type="spellEnd"/>
      <w:r w:rsidRPr="00902A6C">
        <w:rPr>
          <w:rFonts w:ascii="Times New Roman" w:hAnsi="Times New Roman" w:cs="Times New Roman"/>
          <w:b/>
          <w:bCs/>
          <w:sz w:val="24"/>
          <w:szCs w:val="24"/>
        </w:rPr>
        <w:t xml:space="preserve"> </w:t>
      </w:r>
      <m:oMath>
        <m:r>
          <m:rPr>
            <m:sty m:val="b"/>
          </m:rPr>
          <w:rPr>
            <w:rFonts w:ascii="Cambria Math" w:hAnsi="Cambria Math" w:cs="Times New Roman"/>
            <w:sz w:val="24"/>
            <w:szCs w:val="24"/>
          </w:rPr>
          <m:t>/</m:t>
        </m:r>
        <m:r>
          <m:rPr>
            <m:sty m:val="bi"/>
          </m:rPr>
          <w:rPr>
            <w:rFonts w:ascii="Cambria Math" w:eastAsiaTheme="minorEastAsia" w:hAnsi="Cambria Math" w:cs="Times New Roman"/>
            <w:sz w:val="24"/>
            <w:szCs w:val="24"/>
          </w:rPr>
          <m:t>√</m:t>
        </m:r>
      </m:oMath>
      <w:r w:rsidRPr="00902A6C">
        <w:rPr>
          <w:rFonts w:ascii="Times New Roman" w:eastAsiaTheme="minorEastAsia" w:hAnsi="Times New Roman" w:cs="Times New Roman"/>
          <w:b/>
          <w:bCs/>
          <w:sz w:val="24"/>
          <w:szCs w:val="24"/>
        </w:rPr>
        <w:t>Var</w:t>
      </w:r>
      <w:r w:rsidRPr="00902A6C">
        <w:rPr>
          <w:rFonts w:ascii="Times New Roman" w:eastAsiaTheme="minorEastAsia" w:hAnsi="Times New Roman" w:cs="Times New Roman"/>
          <w:b/>
          <w:bCs/>
          <w:sz w:val="24"/>
          <w:szCs w:val="24"/>
          <w:vertAlign w:val="subscript"/>
        </w:rPr>
        <w:t>x</w:t>
      </w:r>
      <w:r w:rsidRPr="00902A6C">
        <w:rPr>
          <w:rFonts w:ascii="Times New Roman" w:eastAsiaTheme="minorEastAsia" w:hAnsi="Times New Roman" w:cs="Times New Roman"/>
          <w:b/>
          <w:bCs/>
          <w:sz w:val="24"/>
          <w:szCs w:val="24"/>
        </w:rPr>
        <w:t xml:space="preserve"> </w:t>
      </w:r>
      <m:oMath>
        <m:r>
          <m:rPr>
            <m:sty m:val="bi"/>
          </m:rPr>
          <w:rPr>
            <w:rFonts w:ascii="Cambria Math" w:eastAsiaTheme="minorEastAsia" w:hAnsi="Cambria Math" w:cs="Times New Roman"/>
            <w:sz w:val="24"/>
            <w:szCs w:val="24"/>
          </w:rPr>
          <m:t>×√</m:t>
        </m:r>
      </m:oMath>
      <w:r w:rsidRPr="00902A6C">
        <w:rPr>
          <w:rFonts w:ascii="Times New Roman" w:eastAsiaTheme="minorEastAsia" w:hAnsi="Times New Roman" w:cs="Times New Roman"/>
          <w:b/>
          <w:bCs/>
          <w:sz w:val="24"/>
          <w:szCs w:val="24"/>
        </w:rPr>
        <w:t>Var</w:t>
      </w:r>
      <w:r w:rsidRPr="00902A6C">
        <w:rPr>
          <w:rFonts w:ascii="Times New Roman" w:eastAsiaTheme="minorEastAsia" w:hAnsi="Times New Roman" w:cs="Times New Roman"/>
          <w:b/>
          <w:bCs/>
          <w:sz w:val="24"/>
          <w:szCs w:val="24"/>
          <w:vertAlign w:val="subscript"/>
        </w:rPr>
        <w:t>y</w:t>
      </w:r>
      <w:r w:rsidRPr="00902A6C">
        <w:rPr>
          <w:rFonts w:ascii="Times New Roman" w:hAnsi="Times New Roman" w:cs="Times New Roman"/>
          <w:b/>
          <w:bCs/>
          <w:sz w:val="24"/>
          <w:szCs w:val="24"/>
        </w:rPr>
        <w:t xml:space="preserve">                             </w:t>
      </w:r>
    </w:p>
    <w:p w14:paraId="19EB1F4A" w14:textId="77777777" w:rsidR="00B86B62" w:rsidRPr="00902A6C" w:rsidRDefault="00B86B62" w:rsidP="00902A6C">
      <w:pPr>
        <w:tabs>
          <w:tab w:val="left" w:pos="2580"/>
        </w:tabs>
        <w:spacing w:after="0" w:line="360" w:lineRule="auto"/>
        <w:jc w:val="both"/>
        <w:rPr>
          <w:rFonts w:ascii="Times New Roman" w:hAnsi="Times New Roman" w:cs="Times New Roman"/>
          <w:sz w:val="24"/>
          <w:szCs w:val="24"/>
        </w:rPr>
      </w:pPr>
      <w:r w:rsidRPr="00902A6C">
        <w:rPr>
          <w:rFonts w:ascii="Times New Roman" w:hAnsi="Times New Roman" w:cs="Times New Roman"/>
          <w:sz w:val="24"/>
          <w:szCs w:val="24"/>
        </w:rPr>
        <w:t xml:space="preserve">Where,   </w:t>
      </w:r>
    </w:p>
    <w:p w14:paraId="6C1C1393" w14:textId="77777777" w:rsidR="00B86B62" w:rsidRPr="00902A6C" w:rsidRDefault="00B86B62" w:rsidP="00902A6C">
      <w:pPr>
        <w:tabs>
          <w:tab w:val="left" w:pos="1170"/>
        </w:tabs>
        <w:spacing w:after="0" w:line="360" w:lineRule="auto"/>
        <w:ind w:left="1560" w:hanging="1560"/>
        <w:jc w:val="both"/>
        <w:rPr>
          <w:rFonts w:ascii="Times New Roman" w:hAnsi="Times New Roman" w:cs="Times New Roman"/>
          <w:sz w:val="24"/>
          <w:szCs w:val="24"/>
        </w:rPr>
      </w:pPr>
      <w:r w:rsidRPr="00902A6C">
        <w:rPr>
          <w:rFonts w:ascii="Times New Roman" w:hAnsi="Times New Roman" w:cs="Times New Roman"/>
          <w:sz w:val="24"/>
          <w:szCs w:val="24"/>
        </w:rPr>
        <w:t xml:space="preserve">       </w:t>
      </w:r>
      <w:proofErr w:type="spellStart"/>
      <w:r w:rsidRPr="00902A6C">
        <w:rPr>
          <w:rFonts w:ascii="Times New Roman" w:hAnsi="Times New Roman" w:cs="Times New Roman"/>
          <w:sz w:val="24"/>
          <w:szCs w:val="24"/>
        </w:rPr>
        <w:t>r</w:t>
      </w:r>
      <w:r w:rsidRPr="00902A6C">
        <w:rPr>
          <w:rFonts w:ascii="Times New Roman" w:hAnsi="Times New Roman" w:cs="Times New Roman"/>
          <w:sz w:val="24"/>
          <w:szCs w:val="24"/>
          <w:vertAlign w:val="subscript"/>
        </w:rPr>
        <w:t>xy</w:t>
      </w:r>
      <w:proofErr w:type="spellEnd"/>
      <w:r w:rsidRPr="00902A6C">
        <w:rPr>
          <w:rFonts w:ascii="Times New Roman" w:hAnsi="Times New Roman" w:cs="Times New Roman"/>
          <w:sz w:val="24"/>
          <w:szCs w:val="24"/>
        </w:rPr>
        <w:tab/>
        <w:t>=   Phenotypic correlation coefficient between the characters x and y</w:t>
      </w:r>
    </w:p>
    <w:p w14:paraId="0C27E95D" w14:textId="77777777" w:rsidR="00B86B62" w:rsidRPr="00902A6C" w:rsidRDefault="00B86B62" w:rsidP="00902A6C">
      <w:pPr>
        <w:tabs>
          <w:tab w:val="left" w:pos="1170"/>
        </w:tabs>
        <w:spacing w:after="0" w:line="360" w:lineRule="auto"/>
        <w:jc w:val="both"/>
        <w:rPr>
          <w:rFonts w:ascii="Times New Roman" w:hAnsi="Times New Roman" w:cs="Times New Roman"/>
          <w:sz w:val="24"/>
          <w:szCs w:val="24"/>
        </w:rPr>
      </w:pPr>
      <w:r w:rsidRPr="00902A6C">
        <w:rPr>
          <w:rFonts w:ascii="Times New Roman" w:hAnsi="Times New Roman" w:cs="Times New Roman"/>
          <w:sz w:val="24"/>
          <w:szCs w:val="24"/>
        </w:rPr>
        <w:t xml:space="preserve">      </w:t>
      </w:r>
      <w:proofErr w:type="spellStart"/>
      <w:r w:rsidRPr="00902A6C">
        <w:rPr>
          <w:rFonts w:ascii="Times New Roman" w:hAnsi="Times New Roman" w:cs="Times New Roman"/>
          <w:sz w:val="24"/>
          <w:szCs w:val="24"/>
        </w:rPr>
        <w:t>CoV</w:t>
      </w:r>
      <w:r w:rsidRPr="00902A6C">
        <w:rPr>
          <w:rFonts w:ascii="Times New Roman" w:hAnsi="Times New Roman" w:cs="Times New Roman"/>
          <w:sz w:val="24"/>
          <w:szCs w:val="24"/>
          <w:vertAlign w:val="subscript"/>
        </w:rPr>
        <w:t>xy</w:t>
      </w:r>
      <w:proofErr w:type="spellEnd"/>
      <w:r w:rsidRPr="00902A6C">
        <w:rPr>
          <w:rFonts w:ascii="Times New Roman" w:hAnsi="Times New Roman" w:cs="Times New Roman"/>
          <w:sz w:val="24"/>
          <w:szCs w:val="24"/>
          <w:vertAlign w:val="subscript"/>
        </w:rPr>
        <w:t xml:space="preserve"> </w:t>
      </w:r>
      <w:r w:rsidRPr="00902A6C">
        <w:rPr>
          <w:rFonts w:ascii="Times New Roman" w:hAnsi="Times New Roman" w:cs="Times New Roman"/>
          <w:sz w:val="24"/>
          <w:szCs w:val="24"/>
        </w:rPr>
        <w:t xml:space="preserve">  =    Phenotypic covariance between characters x and y</w:t>
      </w:r>
    </w:p>
    <w:p w14:paraId="72304B1B" w14:textId="77777777" w:rsidR="00B86B62" w:rsidRPr="00902A6C" w:rsidRDefault="00B86B62" w:rsidP="00902A6C">
      <w:pPr>
        <w:tabs>
          <w:tab w:val="left" w:pos="1170"/>
        </w:tabs>
        <w:spacing w:after="0" w:line="360" w:lineRule="auto"/>
        <w:jc w:val="both"/>
        <w:rPr>
          <w:rFonts w:ascii="Times New Roman" w:hAnsi="Times New Roman" w:cs="Times New Roman"/>
          <w:sz w:val="24"/>
          <w:szCs w:val="24"/>
        </w:rPr>
      </w:pPr>
      <w:r w:rsidRPr="00902A6C">
        <w:rPr>
          <w:rFonts w:ascii="Times New Roman" w:hAnsi="Times New Roman" w:cs="Times New Roman"/>
          <w:sz w:val="24"/>
          <w:szCs w:val="24"/>
        </w:rPr>
        <w:t xml:space="preserve">      </w:t>
      </w:r>
      <w:proofErr w:type="spellStart"/>
      <w:r w:rsidRPr="00902A6C">
        <w:rPr>
          <w:rFonts w:ascii="Times New Roman" w:hAnsi="Times New Roman" w:cs="Times New Roman"/>
          <w:sz w:val="24"/>
          <w:szCs w:val="24"/>
        </w:rPr>
        <w:t>Var</w:t>
      </w:r>
      <w:r w:rsidRPr="00902A6C">
        <w:rPr>
          <w:rFonts w:ascii="Times New Roman" w:hAnsi="Times New Roman" w:cs="Times New Roman"/>
          <w:sz w:val="24"/>
          <w:szCs w:val="24"/>
          <w:vertAlign w:val="subscript"/>
        </w:rPr>
        <w:t>x</w:t>
      </w:r>
      <w:proofErr w:type="spellEnd"/>
      <w:r w:rsidRPr="00902A6C">
        <w:rPr>
          <w:rFonts w:ascii="Times New Roman" w:hAnsi="Times New Roman" w:cs="Times New Roman"/>
          <w:sz w:val="24"/>
          <w:szCs w:val="24"/>
          <w:vertAlign w:val="subscript"/>
        </w:rPr>
        <w:t xml:space="preserve">       </w:t>
      </w:r>
      <w:r w:rsidRPr="00902A6C">
        <w:rPr>
          <w:rFonts w:ascii="Times New Roman" w:hAnsi="Times New Roman" w:cs="Times New Roman"/>
          <w:sz w:val="24"/>
          <w:szCs w:val="24"/>
        </w:rPr>
        <w:t>=    Phenotypic variance of the character x</w:t>
      </w:r>
    </w:p>
    <w:p w14:paraId="41BE3F19" w14:textId="77777777" w:rsidR="00B86B62" w:rsidRPr="00902A6C" w:rsidRDefault="00B86B62" w:rsidP="00902A6C">
      <w:pPr>
        <w:spacing w:line="360" w:lineRule="auto"/>
        <w:jc w:val="both"/>
        <w:rPr>
          <w:rFonts w:ascii="Times New Roman" w:hAnsi="Times New Roman" w:cs="Times New Roman"/>
          <w:sz w:val="24"/>
          <w:szCs w:val="24"/>
        </w:rPr>
      </w:pPr>
      <w:r w:rsidRPr="00902A6C">
        <w:rPr>
          <w:rFonts w:ascii="Times New Roman" w:hAnsi="Times New Roman" w:cs="Times New Roman"/>
          <w:sz w:val="24"/>
          <w:szCs w:val="24"/>
        </w:rPr>
        <w:t xml:space="preserve">      Var</w:t>
      </w:r>
      <w:r w:rsidRPr="00902A6C">
        <w:rPr>
          <w:rFonts w:ascii="Times New Roman" w:hAnsi="Times New Roman" w:cs="Times New Roman"/>
          <w:sz w:val="24"/>
          <w:szCs w:val="24"/>
          <w:vertAlign w:val="subscript"/>
        </w:rPr>
        <w:t xml:space="preserve">y    </w:t>
      </w:r>
      <w:r w:rsidRPr="00902A6C">
        <w:rPr>
          <w:rFonts w:ascii="Times New Roman" w:hAnsi="Times New Roman" w:cs="Times New Roman"/>
          <w:sz w:val="24"/>
          <w:szCs w:val="24"/>
        </w:rPr>
        <w:t xml:space="preserve">  =     Phenotypic variance of the character y</w:t>
      </w:r>
    </w:p>
    <w:p w14:paraId="3A877853" w14:textId="77777777" w:rsidR="00277C6B" w:rsidRPr="00277C6B" w:rsidRDefault="00277C6B" w:rsidP="00902A6C">
      <w:pPr>
        <w:spacing w:before="100" w:beforeAutospacing="1" w:after="100" w:afterAutospacing="1" w:line="360" w:lineRule="auto"/>
        <w:jc w:val="both"/>
        <w:rPr>
          <w:rFonts w:ascii="Times New Roman" w:eastAsia="Times New Roman" w:hAnsi="Times New Roman" w:cs="Times New Roman"/>
          <w:sz w:val="24"/>
          <w:szCs w:val="24"/>
        </w:rPr>
      </w:pPr>
      <w:r w:rsidRPr="00277C6B">
        <w:rPr>
          <w:rFonts w:ascii="Times New Roman" w:eastAsia="Times New Roman" w:hAnsi="Times New Roman" w:cs="Times New Roman"/>
          <w:sz w:val="24"/>
          <w:szCs w:val="24"/>
        </w:rPr>
        <w:lastRenderedPageBreak/>
        <w:t xml:space="preserve"> Path coefficient analysis was subsequently performed using the </w:t>
      </w:r>
      <w:r w:rsidRPr="00902A6C">
        <w:rPr>
          <w:rFonts w:ascii="Times New Roman" w:eastAsia="Times New Roman" w:hAnsi="Times New Roman" w:cs="Times New Roman"/>
          <w:bCs/>
          <w:sz w:val="24"/>
          <w:szCs w:val="24"/>
        </w:rPr>
        <w:t>pooled dataset</w:t>
      </w:r>
      <w:r w:rsidRPr="00277C6B">
        <w:rPr>
          <w:rFonts w:ascii="Times New Roman" w:eastAsia="Times New Roman" w:hAnsi="Times New Roman" w:cs="Times New Roman"/>
          <w:sz w:val="24"/>
          <w:szCs w:val="24"/>
        </w:rPr>
        <w:t xml:space="preserve"> to partition the association of the component traits with green fruit yield into dire</w:t>
      </w:r>
      <w:r w:rsidR="00B86B62" w:rsidRPr="00902A6C">
        <w:rPr>
          <w:rFonts w:ascii="Times New Roman" w:eastAsia="Times New Roman" w:hAnsi="Times New Roman" w:cs="Times New Roman"/>
          <w:sz w:val="24"/>
          <w:szCs w:val="24"/>
        </w:rPr>
        <w:t xml:space="preserve">ct and indirect effects, </w:t>
      </w:r>
      <w:r w:rsidR="00B86B62" w:rsidRPr="00902A6C">
        <w:rPr>
          <w:rFonts w:ascii="Times New Roman" w:hAnsi="Times New Roman" w:cs="Times New Roman"/>
          <w:sz w:val="24"/>
          <w:szCs w:val="24"/>
        </w:rPr>
        <w:t xml:space="preserve">following the methodology proposed by Wright (1921) and subsequently illustrated by Dewey and Lu (1959). </w:t>
      </w:r>
      <w:r w:rsidRPr="00277C6B">
        <w:rPr>
          <w:rFonts w:ascii="Times New Roman" w:eastAsia="Times New Roman" w:hAnsi="Times New Roman" w:cs="Times New Roman"/>
          <w:sz w:val="24"/>
          <w:szCs w:val="24"/>
        </w:rPr>
        <w:t xml:space="preserve"> Green fruit yield per plant was considered the dependent variable, while average fruit weight, average </w:t>
      </w:r>
      <w:r w:rsidR="0014430E" w:rsidRPr="00902A6C">
        <w:rPr>
          <w:rFonts w:ascii="Times New Roman" w:eastAsia="Times New Roman" w:hAnsi="Times New Roman" w:cs="Times New Roman"/>
          <w:sz w:val="24"/>
          <w:szCs w:val="24"/>
        </w:rPr>
        <w:t>fruit number plant</w:t>
      </w:r>
      <w:r w:rsidR="0014430E" w:rsidRPr="00902A6C">
        <w:rPr>
          <w:rFonts w:ascii="Times New Roman" w:eastAsia="Times New Roman" w:hAnsi="Times New Roman" w:cs="Times New Roman"/>
          <w:sz w:val="24"/>
          <w:szCs w:val="24"/>
          <w:vertAlign w:val="superscript"/>
        </w:rPr>
        <w:t>-1</w:t>
      </w:r>
      <w:r w:rsidRPr="00277C6B">
        <w:rPr>
          <w:rFonts w:ascii="Times New Roman" w:eastAsia="Times New Roman" w:hAnsi="Times New Roman" w:cs="Times New Roman"/>
          <w:sz w:val="24"/>
          <w:szCs w:val="24"/>
        </w:rPr>
        <w:t>, average fruit length and average fruit width were considered component traits. The diagonal elements of the path coefficient matrix represented direct effects, while the off-diagonal elements represented indirect effects through the corresponding traits.</w:t>
      </w:r>
    </w:p>
    <w:p w14:paraId="7A1FE49C" w14:textId="77777777" w:rsidR="00277C6B" w:rsidRPr="00277C6B" w:rsidRDefault="00277C6B" w:rsidP="00902A6C">
      <w:pPr>
        <w:spacing w:before="100" w:beforeAutospacing="1" w:after="100" w:afterAutospacing="1" w:line="360" w:lineRule="auto"/>
        <w:jc w:val="both"/>
        <w:outlineLvl w:val="0"/>
        <w:rPr>
          <w:rFonts w:ascii="Times New Roman" w:eastAsia="Times New Roman" w:hAnsi="Times New Roman" w:cs="Times New Roman"/>
          <w:b/>
          <w:bCs/>
          <w:kern w:val="36"/>
          <w:sz w:val="24"/>
          <w:szCs w:val="24"/>
        </w:rPr>
      </w:pPr>
      <w:r w:rsidRPr="00277C6B">
        <w:rPr>
          <w:rFonts w:ascii="Times New Roman" w:eastAsia="Times New Roman" w:hAnsi="Times New Roman" w:cs="Times New Roman"/>
          <w:b/>
          <w:bCs/>
          <w:kern w:val="36"/>
          <w:sz w:val="24"/>
          <w:szCs w:val="24"/>
        </w:rPr>
        <w:t>3. Results and Discussion</w:t>
      </w:r>
    </w:p>
    <w:p w14:paraId="34923A6B" w14:textId="77777777" w:rsidR="00277C6B" w:rsidRPr="00277C6B" w:rsidRDefault="00277C6B" w:rsidP="00902A6C">
      <w:pPr>
        <w:spacing w:before="100" w:beforeAutospacing="1" w:after="100" w:afterAutospacing="1" w:line="360" w:lineRule="auto"/>
        <w:jc w:val="both"/>
        <w:outlineLvl w:val="1"/>
        <w:rPr>
          <w:rFonts w:ascii="Times New Roman" w:eastAsia="Times New Roman" w:hAnsi="Times New Roman" w:cs="Times New Roman"/>
          <w:b/>
          <w:bCs/>
          <w:sz w:val="24"/>
          <w:szCs w:val="24"/>
        </w:rPr>
      </w:pPr>
      <w:r w:rsidRPr="00277C6B">
        <w:rPr>
          <w:rFonts w:ascii="Times New Roman" w:eastAsia="Times New Roman" w:hAnsi="Times New Roman" w:cs="Times New Roman"/>
          <w:b/>
          <w:bCs/>
          <w:sz w:val="24"/>
          <w:szCs w:val="24"/>
        </w:rPr>
        <w:t xml:space="preserve"> Phenotypic association of yield-related traits with green fruit yield</w:t>
      </w:r>
    </w:p>
    <w:p w14:paraId="68D7FD8D" w14:textId="77777777" w:rsidR="00277C6B" w:rsidRPr="00277C6B" w:rsidRDefault="00277C6B" w:rsidP="00902A6C">
      <w:pPr>
        <w:spacing w:before="100" w:beforeAutospacing="1" w:after="100" w:afterAutospacing="1" w:line="360" w:lineRule="auto"/>
        <w:jc w:val="both"/>
        <w:rPr>
          <w:rFonts w:ascii="Times New Roman" w:eastAsia="Times New Roman" w:hAnsi="Times New Roman" w:cs="Times New Roman"/>
          <w:sz w:val="24"/>
          <w:szCs w:val="24"/>
        </w:rPr>
      </w:pPr>
      <w:r w:rsidRPr="00277C6B">
        <w:rPr>
          <w:rFonts w:ascii="Times New Roman" w:eastAsia="Times New Roman" w:hAnsi="Times New Roman" w:cs="Times New Roman"/>
          <w:sz w:val="24"/>
          <w:szCs w:val="24"/>
        </w:rPr>
        <w:t>Phenotypic correlation analysis was performed separately for each of the five superior MP-derived populations to determine the consistency of association between yield-related traits and green fruit yield. The results revealed predominantly positive associations, although the magnitude and significance of the relationships varied among traits and populations.</w:t>
      </w:r>
    </w:p>
    <w:p w14:paraId="4126EC87" w14:textId="77777777" w:rsidR="00277C6B" w:rsidRPr="00277C6B" w:rsidRDefault="0014430E" w:rsidP="00902A6C">
      <w:pPr>
        <w:spacing w:before="100" w:beforeAutospacing="1" w:after="100" w:afterAutospacing="1" w:line="360" w:lineRule="auto"/>
        <w:jc w:val="both"/>
        <w:outlineLvl w:val="2"/>
        <w:rPr>
          <w:rFonts w:ascii="Times New Roman" w:eastAsia="Times New Roman" w:hAnsi="Times New Roman" w:cs="Times New Roman"/>
          <w:b/>
          <w:bCs/>
          <w:sz w:val="24"/>
          <w:szCs w:val="24"/>
        </w:rPr>
      </w:pPr>
      <w:r w:rsidRPr="00902A6C">
        <w:rPr>
          <w:rFonts w:ascii="Times New Roman" w:eastAsia="Times New Roman" w:hAnsi="Times New Roman" w:cs="Times New Roman"/>
          <w:b/>
          <w:bCs/>
          <w:sz w:val="24"/>
          <w:szCs w:val="24"/>
        </w:rPr>
        <w:t>Table 2</w:t>
      </w:r>
      <w:r w:rsidR="00277C6B" w:rsidRPr="00277C6B">
        <w:rPr>
          <w:rFonts w:ascii="Times New Roman" w:eastAsia="Times New Roman" w:hAnsi="Times New Roman" w:cs="Times New Roman"/>
          <w:b/>
          <w:bCs/>
          <w:sz w:val="24"/>
          <w:szCs w:val="24"/>
        </w:rPr>
        <w:t xml:space="preserve">. Phenotypic correlation coefficients of yield-related traits with green fruit yield per plant in five superior MP-derived populations of </w:t>
      </w:r>
      <w:proofErr w:type="spellStart"/>
      <w:r w:rsidR="00277C6B" w:rsidRPr="00277C6B">
        <w:rPr>
          <w:rFonts w:ascii="Times New Roman" w:eastAsia="Times New Roman" w:hAnsi="Times New Roman" w:cs="Times New Roman"/>
          <w:b/>
          <w:bCs/>
          <w:sz w:val="24"/>
          <w:szCs w:val="24"/>
        </w:rPr>
        <w:t>chilli</w:t>
      </w:r>
      <w:proofErr w:type="spellEnd"/>
    </w:p>
    <w:tbl>
      <w:tblPr>
        <w:tblStyle w:val="TableGrid"/>
        <w:tblW w:w="0" w:type="auto"/>
        <w:tblLook w:val="04A0" w:firstRow="1" w:lastRow="0" w:firstColumn="1" w:lastColumn="0" w:noHBand="0" w:noVBand="1"/>
      </w:tblPr>
      <w:tblGrid>
        <w:gridCol w:w="2969"/>
        <w:gridCol w:w="1060"/>
        <w:gridCol w:w="1060"/>
        <w:gridCol w:w="1060"/>
        <w:gridCol w:w="1060"/>
        <w:gridCol w:w="1060"/>
      </w:tblGrid>
      <w:tr w:rsidR="00277C6B" w:rsidRPr="00277C6B" w14:paraId="6C7006E6" w14:textId="77777777" w:rsidTr="00277C6B">
        <w:tc>
          <w:tcPr>
            <w:tcW w:w="0" w:type="auto"/>
            <w:hideMark/>
          </w:tcPr>
          <w:p w14:paraId="0D4CDCE0" w14:textId="77777777" w:rsidR="00277C6B" w:rsidRPr="00277C6B" w:rsidRDefault="00277C6B" w:rsidP="00902A6C">
            <w:pPr>
              <w:spacing w:line="360" w:lineRule="auto"/>
              <w:jc w:val="both"/>
              <w:rPr>
                <w:rFonts w:ascii="Times New Roman" w:eastAsia="Times New Roman" w:hAnsi="Times New Roman" w:cs="Times New Roman"/>
                <w:b/>
                <w:bCs/>
                <w:sz w:val="24"/>
                <w:szCs w:val="24"/>
              </w:rPr>
            </w:pPr>
            <w:r w:rsidRPr="00277C6B">
              <w:rPr>
                <w:rFonts w:ascii="Times New Roman" w:eastAsia="Times New Roman" w:hAnsi="Times New Roman" w:cs="Times New Roman"/>
                <w:b/>
                <w:bCs/>
                <w:sz w:val="24"/>
                <w:szCs w:val="24"/>
              </w:rPr>
              <w:t>Trait</w:t>
            </w:r>
          </w:p>
        </w:tc>
        <w:tc>
          <w:tcPr>
            <w:tcW w:w="0" w:type="auto"/>
            <w:hideMark/>
          </w:tcPr>
          <w:p w14:paraId="58C22B14" w14:textId="77777777" w:rsidR="00277C6B" w:rsidRPr="00277C6B" w:rsidRDefault="00277C6B" w:rsidP="00902A6C">
            <w:pPr>
              <w:spacing w:line="360" w:lineRule="auto"/>
              <w:jc w:val="both"/>
              <w:rPr>
                <w:rFonts w:ascii="Times New Roman" w:eastAsia="Times New Roman" w:hAnsi="Times New Roman" w:cs="Times New Roman"/>
                <w:b/>
                <w:bCs/>
                <w:sz w:val="24"/>
                <w:szCs w:val="24"/>
              </w:rPr>
            </w:pPr>
            <w:r w:rsidRPr="00902A6C">
              <w:rPr>
                <w:rFonts w:ascii="Times New Roman" w:eastAsia="Times New Roman" w:hAnsi="Times New Roman" w:cs="Times New Roman"/>
                <w:b/>
                <w:bCs/>
                <w:sz w:val="24"/>
                <w:szCs w:val="24"/>
              </w:rPr>
              <w:t>D4 × D3</w:t>
            </w:r>
          </w:p>
        </w:tc>
        <w:tc>
          <w:tcPr>
            <w:tcW w:w="0" w:type="auto"/>
            <w:hideMark/>
          </w:tcPr>
          <w:p w14:paraId="2BFB96D4" w14:textId="77777777" w:rsidR="00277C6B" w:rsidRPr="00277C6B" w:rsidRDefault="00277C6B" w:rsidP="00902A6C">
            <w:pPr>
              <w:spacing w:line="360" w:lineRule="auto"/>
              <w:jc w:val="both"/>
              <w:rPr>
                <w:rFonts w:ascii="Times New Roman" w:eastAsia="Times New Roman" w:hAnsi="Times New Roman" w:cs="Times New Roman"/>
                <w:b/>
                <w:bCs/>
                <w:sz w:val="24"/>
                <w:szCs w:val="24"/>
              </w:rPr>
            </w:pPr>
            <w:r w:rsidRPr="00902A6C">
              <w:rPr>
                <w:rFonts w:ascii="Times New Roman" w:eastAsia="Times New Roman" w:hAnsi="Times New Roman" w:cs="Times New Roman"/>
                <w:b/>
                <w:bCs/>
                <w:sz w:val="24"/>
                <w:szCs w:val="24"/>
              </w:rPr>
              <w:t>D4 × D2</w:t>
            </w:r>
          </w:p>
        </w:tc>
        <w:tc>
          <w:tcPr>
            <w:tcW w:w="0" w:type="auto"/>
            <w:hideMark/>
          </w:tcPr>
          <w:p w14:paraId="6DD60074" w14:textId="77777777" w:rsidR="00277C6B" w:rsidRPr="00277C6B" w:rsidRDefault="00277C6B" w:rsidP="00902A6C">
            <w:pPr>
              <w:spacing w:line="360" w:lineRule="auto"/>
              <w:jc w:val="both"/>
              <w:rPr>
                <w:rFonts w:ascii="Times New Roman" w:eastAsia="Times New Roman" w:hAnsi="Times New Roman" w:cs="Times New Roman"/>
                <w:b/>
                <w:bCs/>
                <w:sz w:val="24"/>
                <w:szCs w:val="24"/>
              </w:rPr>
            </w:pPr>
            <w:r w:rsidRPr="00902A6C">
              <w:rPr>
                <w:rFonts w:ascii="Times New Roman" w:eastAsia="Times New Roman" w:hAnsi="Times New Roman" w:cs="Times New Roman"/>
                <w:b/>
                <w:bCs/>
                <w:sz w:val="24"/>
                <w:szCs w:val="24"/>
              </w:rPr>
              <w:t>D5 × D2</w:t>
            </w:r>
          </w:p>
        </w:tc>
        <w:tc>
          <w:tcPr>
            <w:tcW w:w="0" w:type="auto"/>
            <w:hideMark/>
          </w:tcPr>
          <w:p w14:paraId="45DC603F" w14:textId="77777777" w:rsidR="00277C6B" w:rsidRPr="00277C6B" w:rsidRDefault="00277C6B" w:rsidP="00902A6C">
            <w:pPr>
              <w:spacing w:line="360" w:lineRule="auto"/>
              <w:jc w:val="both"/>
              <w:rPr>
                <w:rFonts w:ascii="Times New Roman" w:eastAsia="Times New Roman" w:hAnsi="Times New Roman" w:cs="Times New Roman"/>
                <w:b/>
                <w:bCs/>
                <w:sz w:val="24"/>
                <w:szCs w:val="24"/>
              </w:rPr>
            </w:pPr>
            <w:r w:rsidRPr="00902A6C">
              <w:rPr>
                <w:rFonts w:ascii="Times New Roman" w:eastAsia="Times New Roman" w:hAnsi="Times New Roman" w:cs="Times New Roman"/>
                <w:b/>
                <w:bCs/>
                <w:sz w:val="24"/>
                <w:szCs w:val="24"/>
              </w:rPr>
              <w:t>D6 × D2</w:t>
            </w:r>
          </w:p>
        </w:tc>
        <w:tc>
          <w:tcPr>
            <w:tcW w:w="0" w:type="auto"/>
            <w:hideMark/>
          </w:tcPr>
          <w:p w14:paraId="32651F56" w14:textId="77777777" w:rsidR="00277C6B" w:rsidRPr="00277C6B" w:rsidRDefault="00277C6B" w:rsidP="00902A6C">
            <w:pPr>
              <w:spacing w:line="360" w:lineRule="auto"/>
              <w:jc w:val="both"/>
              <w:rPr>
                <w:rFonts w:ascii="Times New Roman" w:eastAsia="Times New Roman" w:hAnsi="Times New Roman" w:cs="Times New Roman"/>
                <w:b/>
                <w:bCs/>
                <w:sz w:val="24"/>
                <w:szCs w:val="24"/>
              </w:rPr>
            </w:pPr>
            <w:r w:rsidRPr="00902A6C">
              <w:rPr>
                <w:rFonts w:ascii="Times New Roman" w:eastAsia="Times New Roman" w:hAnsi="Times New Roman" w:cs="Times New Roman"/>
                <w:b/>
                <w:bCs/>
                <w:sz w:val="24"/>
                <w:szCs w:val="24"/>
              </w:rPr>
              <w:t>D7 × D2</w:t>
            </w:r>
          </w:p>
        </w:tc>
      </w:tr>
      <w:tr w:rsidR="00277C6B" w:rsidRPr="00277C6B" w14:paraId="2D9F650A" w14:textId="77777777" w:rsidTr="00277C6B">
        <w:tc>
          <w:tcPr>
            <w:tcW w:w="0" w:type="auto"/>
            <w:hideMark/>
          </w:tcPr>
          <w:p w14:paraId="20C58B89" w14:textId="77777777" w:rsidR="00277C6B" w:rsidRPr="00277C6B" w:rsidRDefault="00277C6B"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bCs/>
                <w:sz w:val="24"/>
                <w:szCs w:val="24"/>
              </w:rPr>
              <w:t xml:space="preserve">Average fruit weight </w:t>
            </w:r>
          </w:p>
        </w:tc>
        <w:tc>
          <w:tcPr>
            <w:tcW w:w="0" w:type="auto"/>
            <w:hideMark/>
          </w:tcPr>
          <w:p w14:paraId="5586C27D" w14:textId="77777777" w:rsidR="00277C6B" w:rsidRPr="00277C6B" w:rsidRDefault="002A0B42"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0.01</w:t>
            </w:r>
            <w:r w:rsidR="00277C6B" w:rsidRPr="00277C6B">
              <w:rPr>
                <w:rFonts w:ascii="Times New Roman" w:eastAsia="Times New Roman" w:hAnsi="Times New Roman" w:cs="Times New Roman"/>
                <w:sz w:val="24"/>
                <w:szCs w:val="24"/>
              </w:rPr>
              <w:t xml:space="preserve"> NS</w:t>
            </w:r>
          </w:p>
        </w:tc>
        <w:tc>
          <w:tcPr>
            <w:tcW w:w="0" w:type="auto"/>
            <w:hideMark/>
          </w:tcPr>
          <w:p w14:paraId="2DE00656" w14:textId="77777777" w:rsidR="00277C6B" w:rsidRPr="00277C6B" w:rsidRDefault="002A0B42"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0.08</w:t>
            </w:r>
            <w:r w:rsidR="00277C6B" w:rsidRPr="00277C6B">
              <w:rPr>
                <w:rFonts w:ascii="Times New Roman" w:eastAsia="Times New Roman" w:hAnsi="Times New Roman" w:cs="Times New Roman"/>
                <w:sz w:val="24"/>
                <w:szCs w:val="24"/>
              </w:rPr>
              <w:t xml:space="preserve"> NS</w:t>
            </w:r>
          </w:p>
        </w:tc>
        <w:tc>
          <w:tcPr>
            <w:tcW w:w="0" w:type="auto"/>
            <w:hideMark/>
          </w:tcPr>
          <w:p w14:paraId="065FCB51" w14:textId="77777777" w:rsidR="00277C6B" w:rsidRPr="00277C6B" w:rsidRDefault="002A0B42"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0.20</w:t>
            </w:r>
            <w:r w:rsidR="00277C6B" w:rsidRPr="00277C6B">
              <w:rPr>
                <w:rFonts w:ascii="Times New Roman" w:eastAsia="Times New Roman" w:hAnsi="Times New Roman" w:cs="Times New Roman"/>
                <w:sz w:val="24"/>
                <w:szCs w:val="24"/>
              </w:rPr>
              <w:t xml:space="preserve"> NS</w:t>
            </w:r>
          </w:p>
        </w:tc>
        <w:tc>
          <w:tcPr>
            <w:tcW w:w="0" w:type="auto"/>
            <w:hideMark/>
          </w:tcPr>
          <w:p w14:paraId="24078D23" w14:textId="77777777" w:rsidR="00277C6B" w:rsidRPr="00277C6B" w:rsidRDefault="002A0B42"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0.04</w:t>
            </w:r>
            <w:r w:rsidR="00277C6B" w:rsidRPr="00277C6B">
              <w:rPr>
                <w:rFonts w:ascii="Times New Roman" w:eastAsia="Times New Roman" w:hAnsi="Times New Roman" w:cs="Times New Roman"/>
                <w:sz w:val="24"/>
                <w:szCs w:val="24"/>
              </w:rPr>
              <w:t xml:space="preserve"> NS</w:t>
            </w:r>
          </w:p>
        </w:tc>
        <w:tc>
          <w:tcPr>
            <w:tcW w:w="0" w:type="auto"/>
            <w:hideMark/>
          </w:tcPr>
          <w:p w14:paraId="50BE3FB8" w14:textId="77777777" w:rsidR="00277C6B" w:rsidRPr="00277C6B" w:rsidRDefault="002A0B42"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0.15</w:t>
            </w:r>
            <w:r w:rsidR="00277C6B" w:rsidRPr="00277C6B">
              <w:rPr>
                <w:rFonts w:ascii="Times New Roman" w:eastAsia="Times New Roman" w:hAnsi="Times New Roman" w:cs="Times New Roman"/>
                <w:sz w:val="24"/>
                <w:szCs w:val="24"/>
              </w:rPr>
              <w:t xml:space="preserve"> NS</w:t>
            </w:r>
          </w:p>
        </w:tc>
      </w:tr>
      <w:tr w:rsidR="00277C6B" w:rsidRPr="00277C6B" w14:paraId="308C3AD9" w14:textId="77777777" w:rsidTr="00277C6B">
        <w:tc>
          <w:tcPr>
            <w:tcW w:w="0" w:type="auto"/>
            <w:hideMark/>
          </w:tcPr>
          <w:p w14:paraId="56F3F963" w14:textId="77777777" w:rsidR="00277C6B" w:rsidRPr="00277C6B" w:rsidRDefault="000B5852"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bCs/>
                <w:sz w:val="24"/>
                <w:szCs w:val="24"/>
              </w:rPr>
              <w:t xml:space="preserve">Average </w:t>
            </w:r>
            <w:r w:rsidR="0014430E" w:rsidRPr="00902A6C">
              <w:rPr>
                <w:rFonts w:ascii="Times New Roman" w:eastAsia="Times New Roman" w:hAnsi="Times New Roman" w:cs="Times New Roman"/>
                <w:bCs/>
                <w:sz w:val="24"/>
                <w:szCs w:val="24"/>
              </w:rPr>
              <w:t>fruit number plant</w:t>
            </w:r>
            <w:r w:rsidR="0014430E" w:rsidRPr="00902A6C">
              <w:rPr>
                <w:rFonts w:ascii="Times New Roman" w:eastAsia="Times New Roman" w:hAnsi="Times New Roman" w:cs="Times New Roman"/>
                <w:bCs/>
                <w:sz w:val="24"/>
                <w:szCs w:val="24"/>
                <w:vertAlign w:val="superscript"/>
              </w:rPr>
              <w:t>-1</w:t>
            </w:r>
            <w:r w:rsidRPr="00902A6C">
              <w:rPr>
                <w:rFonts w:ascii="Times New Roman" w:eastAsia="Times New Roman" w:hAnsi="Times New Roman" w:cs="Times New Roman"/>
                <w:bCs/>
                <w:sz w:val="24"/>
                <w:szCs w:val="24"/>
              </w:rPr>
              <w:t xml:space="preserve"> </w:t>
            </w:r>
          </w:p>
        </w:tc>
        <w:tc>
          <w:tcPr>
            <w:tcW w:w="0" w:type="auto"/>
            <w:hideMark/>
          </w:tcPr>
          <w:p w14:paraId="68B3331D" w14:textId="77777777" w:rsidR="00277C6B" w:rsidRPr="00277C6B" w:rsidRDefault="00277C6B" w:rsidP="00902A6C">
            <w:pPr>
              <w:spacing w:line="360" w:lineRule="auto"/>
              <w:jc w:val="both"/>
              <w:rPr>
                <w:rFonts w:ascii="Times New Roman" w:eastAsia="Times New Roman" w:hAnsi="Times New Roman" w:cs="Times New Roman"/>
                <w:sz w:val="24"/>
                <w:szCs w:val="24"/>
              </w:rPr>
            </w:pPr>
            <w:r w:rsidRPr="00277C6B">
              <w:rPr>
                <w:rFonts w:ascii="Times New Roman" w:eastAsia="Times New Roman" w:hAnsi="Times New Roman" w:cs="Times New Roman"/>
                <w:sz w:val="24"/>
                <w:szCs w:val="24"/>
              </w:rPr>
              <w:t>0.</w:t>
            </w:r>
            <w:r w:rsidR="002A0B42" w:rsidRPr="00902A6C">
              <w:rPr>
                <w:rFonts w:ascii="Times New Roman" w:eastAsia="Times New Roman" w:hAnsi="Times New Roman" w:cs="Times New Roman"/>
                <w:sz w:val="24"/>
                <w:szCs w:val="24"/>
              </w:rPr>
              <w:t>80</w:t>
            </w:r>
            <w:r w:rsidRPr="00277C6B">
              <w:rPr>
                <w:rFonts w:ascii="Times New Roman" w:eastAsia="Times New Roman" w:hAnsi="Times New Roman" w:cs="Times New Roman"/>
                <w:sz w:val="24"/>
                <w:szCs w:val="24"/>
              </w:rPr>
              <w:t xml:space="preserve"> **</w:t>
            </w:r>
          </w:p>
        </w:tc>
        <w:tc>
          <w:tcPr>
            <w:tcW w:w="0" w:type="auto"/>
            <w:hideMark/>
          </w:tcPr>
          <w:p w14:paraId="3DBCCBCF" w14:textId="77777777" w:rsidR="00277C6B" w:rsidRPr="00277C6B" w:rsidRDefault="002A0B42"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0.90</w:t>
            </w:r>
            <w:r w:rsidR="00277C6B" w:rsidRPr="00277C6B">
              <w:rPr>
                <w:rFonts w:ascii="Times New Roman" w:eastAsia="Times New Roman" w:hAnsi="Times New Roman" w:cs="Times New Roman"/>
                <w:sz w:val="24"/>
                <w:szCs w:val="24"/>
              </w:rPr>
              <w:t xml:space="preserve"> **</w:t>
            </w:r>
          </w:p>
        </w:tc>
        <w:tc>
          <w:tcPr>
            <w:tcW w:w="0" w:type="auto"/>
            <w:hideMark/>
          </w:tcPr>
          <w:p w14:paraId="0EE389BC" w14:textId="77777777" w:rsidR="00277C6B" w:rsidRPr="00277C6B" w:rsidRDefault="002A0B42"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0.84</w:t>
            </w:r>
            <w:r w:rsidR="00277C6B" w:rsidRPr="00277C6B">
              <w:rPr>
                <w:rFonts w:ascii="Times New Roman" w:eastAsia="Times New Roman" w:hAnsi="Times New Roman" w:cs="Times New Roman"/>
                <w:sz w:val="24"/>
                <w:szCs w:val="24"/>
              </w:rPr>
              <w:t xml:space="preserve"> **</w:t>
            </w:r>
          </w:p>
        </w:tc>
        <w:tc>
          <w:tcPr>
            <w:tcW w:w="0" w:type="auto"/>
            <w:hideMark/>
          </w:tcPr>
          <w:p w14:paraId="4A27BA5A" w14:textId="77777777" w:rsidR="00277C6B" w:rsidRPr="00277C6B" w:rsidRDefault="002A0B42"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0.90</w:t>
            </w:r>
            <w:r w:rsidR="00277C6B" w:rsidRPr="00277C6B">
              <w:rPr>
                <w:rFonts w:ascii="Times New Roman" w:eastAsia="Times New Roman" w:hAnsi="Times New Roman" w:cs="Times New Roman"/>
                <w:sz w:val="24"/>
                <w:szCs w:val="24"/>
              </w:rPr>
              <w:t xml:space="preserve"> **</w:t>
            </w:r>
          </w:p>
        </w:tc>
        <w:tc>
          <w:tcPr>
            <w:tcW w:w="0" w:type="auto"/>
            <w:hideMark/>
          </w:tcPr>
          <w:p w14:paraId="7124EC5A" w14:textId="77777777" w:rsidR="00277C6B" w:rsidRPr="00277C6B" w:rsidRDefault="002A0B42"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0.71</w:t>
            </w:r>
            <w:r w:rsidR="00277C6B" w:rsidRPr="00277C6B">
              <w:rPr>
                <w:rFonts w:ascii="Times New Roman" w:eastAsia="Times New Roman" w:hAnsi="Times New Roman" w:cs="Times New Roman"/>
                <w:sz w:val="24"/>
                <w:szCs w:val="24"/>
              </w:rPr>
              <w:t xml:space="preserve"> **</w:t>
            </w:r>
          </w:p>
        </w:tc>
      </w:tr>
      <w:tr w:rsidR="00277C6B" w:rsidRPr="00277C6B" w14:paraId="7EAF024C" w14:textId="77777777" w:rsidTr="00277C6B">
        <w:tc>
          <w:tcPr>
            <w:tcW w:w="0" w:type="auto"/>
            <w:hideMark/>
          </w:tcPr>
          <w:p w14:paraId="0EBA5DF1" w14:textId="77777777" w:rsidR="00277C6B" w:rsidRPr="00277C6B" w:rsidRDefault="000B5852"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bCs/>
                <w:sz w:val="24"/>
                <w:szCs w:val="24"/>
              </w:rPr>
              <w:t>Average fruit length</w:t>
            </w:r>
          </w:p>
        </w:tc>
        <w:tc>
          <w:tcPr>
            <w:tcW w:w="0" w:type="auto"/>
            <w:hideMark/>
          </w:tcPr>
          <w:p w14:paraId="1EB2A87D" w14:textId="77777777" w:rsidR="00277C6B" w:rsidRPr="00277C6B" w:rsidRDefault="002A0B42"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0.32</w:t>
            </w:r>
            <w:r w:rsidR="00277C6B" w:rsidRPr="00277C6B">
              <w:rPr>
                <w:rFonts w:ascii="Times New Roman" w:eastAsia="Times New Roman" w:hAnsi="Times New Roman" w:cs="Times New Roman"/>
                <w:sz w:val="24"/>
                <w:szCs w:val="24"/>
              </w:rPr>
              <w:t xml:space="preserve"> **</w:t>
            </w:r>
          </w:p>
        </w:tc>
        <w:tc>
          <w:tcPr>
            <w:tcW w:w="0" w:type="auto"/>
            <w:hideMark/>
          </w:tcPr>
          <w:p w14:paraId="46F69741" w14:textId="77777777" w:rsidR="00277C6B" w:rsidRPr="00277C6B" w:rsidRDefault="002A0B42"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0.36</w:t>
            </w:r>
            <w:r w:rsidR="00277C6B" w:rsidRPr="00277C6B">
              <w:rPr>
                <w:rFonts w:ascii="Times New Roman" w:eastAsia="Times New Roman" w:hAnsi="Times New Roman" w:cs="Times New Roman"/>
                <w:sz w:val="24"/>
                <w:szCs w:val="24"/>
              </w:rPr>
              <w:t>**</w:t>
            </w:r>
          </w:p>
        </w:tc>
        <w:tc>
          <w:tcPr>
            <w:tcW w:w="0" w:type="auto"/>
            <w:hideMark/>
          </w:tcPr>
          <w:p w14:paraId="7D157C44" w14:textId="77777777" w:rsidR="00277C6B" w:rsidRPr="00277C6B" w:rsidRDefault="002A0B42"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0.40</w:t>
            </w:r>
            <w:r w:rsidR="00277C6B" w:rsidRPr="00277C6B">
              <w:rPr>
                <w:rFonts w:ascii="Times New Roman" w:eastAsia="Times New Roman" w:hAnsi="Times New Roman" w:cs="Times New Roman"/>
                <w:sz w:val="24"/>
                <w:szCs w:val="24"/>
              </w:rPr>
              <w:t xml:space="preserve"> **</w:t>
            </w:r>
          </w:p>
        </w:tc>
        <w:tc>
          <w:tcPr>
            <w:tcW w:w="0" w:type="auto"/>
            <w:hideMark/>
          </w:tcPr>
          <w:p w14:paraId="3C4D2CDF" w14:textId="77777777" w:rsidR="00277C6B" w:rsidRPr="00277C6B" w:rsidRDefault="002A0B42"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0.22</w:t>
            </w:r>
            <w:r w:rsidR="00277C6B" w:rsidRPr="00277C6B">
              <w:rPr>
                <w:rFonts w:ascii="Times New Roman" w:eastAsia="Times New Roman" w:hAnsi="Times New Roman" w:cs="Times New Roman"/>
                <w:sz w:val="24"/>
                <w:szCs w:val="24"/>
              </w:rPr>
              <w:t xml:space="preserve"> *</w:t>
            </w:r>
          </w:p>
        </w:tc>
        <w:tc>
          <w:tcPr>
            <w:tcW w:w="0" w:type="auto"/>
            <w:hideMark/>
          </w:tcPr>
          <w:p w14:paraId="77BF3DB3" w14:textId="77777777" w:rsidR="00277C6B" w:rsidRPr="00277C6B" w:rsidRDefault="002A0B42"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0.32</w:t>
            </w:r>
            <w:r w:rsidR="00277C6B" w:rsidRPr="00277C6B">
              <w:rPr>
                <w:rFonts w:ascii="Times New Roman" w:eastAsia="Times New Roman" w:hAnsi="Times New Roman" w:cs="Times New Roman"/>
                <w:sz w:val="24"/>
                <w:szCs w:val="24"/>
              </w:rPr>
              <w:t xml:space="preserve"> **</w:t>
            </w:r>
          </w:p>
        </w:tc>
      </w:tr>
      <w:tr w:rsidR="00277C6B" w:rsidRPr="00277C6B" w14:paraId="56FD0CFF" w14:textId="77777777" w:rsidTr="00277C6B">
        <w:tc>
          <w:tcPr>
            <w:tcW w:w="0" w:type="auto"/>
            <w:hideMark/>
          </w:tcPr>
          <w:p w14:paraId="1AF80AA2" w14:textId="77777777" w:rsidR="00277C6B" w:rsidRPr="00277C6B" w:rsidRDefault="00277C6B"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bCs/>
                <w:sz w:val="24"/>
                <w:szCs w:val="24"/>
              </w:rPr>
              <w:t xml:space="preserve">Average fruit width </w:t>
            </w:r>
          </w:p>
        </w:tc>
        <w:tc>
          <w:tcPr>
            <w:tcW w:w="0" w:type="auto"/>
            <w:hideMark/>
          </w:tcPr>
          <w:p w14:paraId="38BCA76B" w14:textId="77777777" w:rsidR="00277C6B" w:rsidRPr="00277C6B" w:rsidRDefault="002A0B42"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0.07</w:t>
            </w:r>
            <w:r w:rsidR="00277C6B" w:rsidRPr="00277C6B">
              <w:rPr>
                <w:rFonts w:ascii="Times New Roman" w:eastAsia="Times New Roman" w:hAnsi="Times New Roman" w:cs="Times New Roman"/>
                <w:sz w:val="24"/>
                <w:szCs w:val="24"/>
              </w:rPr>
              <w:t xml:space="preserve"> NS</w:t>
            </w:r>
          </w:p>
        </w:tc>
        <w:tc>
          <w:tcPr>
            <w:tcW w:w="0" w:type="auto"/>
            <w:hideMark/>
          </w:tcPr>
          <w:p w14:paraId="386F810C" w14:textId="77777777" w:rsidR="00277C6B" w:rsidRPr="00277C6B" w:rsidRDefault="002A0B42"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0.25</w:t>
            </w:r>
            <w:r w:rsidR="00277C6B" w:rsidRPr="00277C6B">
              <w:rPr>
                <w:rFonts w:ascii="Times New Roman" w:eastAsia="Times New Roman" w:hAnsi="Times New Roman" w:cs="Times New Roman"/>
                <w:sz w:val="24"/>
                <w:szCs w:val="24"/>
              </w:rPr>
              <w:t>*</w:t>
            </w:r>
          </w:p>
        </w:tc>
        <w:tc>
          <w:tcPr>
            <w:tcW w:w="0" w:type="auto"/>
            <w:hideMark/>
          </w:tcPr>
          <w:p w14:paraId="28B686A6" w14:textId="77777777" w:rsidR="00277C6B" w:rsidRPr="00277C6B" w:rsidRDefault="002A0B42"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0.31</w:t>
            </w:r>
            <w:r w:rsidR="00277C6B" w:rsidRPr="00277C6B">
              <w:rPr>
                <w:rFonts w:ascii="Times New Roman" w:eastAsia="Times New Roman" w:hAnsi="Times New Roman" w:cs="Times New Roman"/>
                <w:sz w:val="24"/>
                <w:szCs w:val="24"/>
              </w:rPr>
              <w:t xml:space="preserve"> **</w:t>
            </w:r>
          </w:p>
        </w:tc>
        <w:tc>
          <w:tcPr>
            <w:tcW w:w="0" w:type="auto"/>
            <w:hideMark/>
          </w:tcPr>
          <w:p w14:paraId="7D58473F" w14:textId="77777777" w:rsidR="00277C6B" w:rsidRPr="00277C6B" w:rsidRDefault="002A0B42"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0.11</w:t>
            </w:r>
            <w:r w:rsidR="00277C6B" w:rsidRPr="00277C6B">
              <w:rPr>
                <w:rFonts w:ascii="Times New Roman" w:eastAsia="Times New Roman" w:hAnsi="Times New Roman" w:cs="Times New Roman"/>
                <w:sz w:val="24"/>
                <w:szCs w:val="24"/>
              </w:rPr>
              <w:t xml:space="preserve"> NS</w:t>
            </w:r>
          </w:p>
        </w:tc>
        <w:tc>
          <w:tcPr>
            <w:tcW w:w="0" w:type="auto"/>
            <w:hideMark/>
          </w:tcPr>
          <w:p w14:paraId="3EB23DE3" w14:textId="77777777" w:rsidR="00277C6B" w:rsidRPr="00277C6B" w:rsidRDefault="002A0B42"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0.45</w:t>
            </w:r>
            <w:r w:rsidR="00277C6B" w:rsidRPr="00277C6B">
              <w:rPr>
                <w:rFonts w:ascii="Times New Roman" w:eastAsia="Times New Roman" w:hAnsi="Times New Roman" w:cs="Times New Roman"/>
                <w:sz w:val="24"/>
                <w:szCs w:val="24"/>
              </w:rPr>
              <w:t xml:space="preserve"> **</w:t>
            </w:r>
          </w:p>
        </w:tc>
      </w:tr>
    </w:tbl>
    <w:p w14:paraId="44E8832E" w14:textId="77777777" w:rsidR="00277C6B" w:rsidRPr="00277C6B" w:rsidRDefault="00277C6B" w:rsidP="00902A6C">
      <w:pPr>
        <w:spacing w:before="100" w:beforeAutospacing="1" w:after="100" w:afterAutospacing="1"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bCs/>
          <w:sz w:val="24"/>
          <w:szCs w:val="24"/>
        </w:rPr>
        <w:t>Note:</w:t>
      </w:r>
      <w:r w:rsidRPr="00277C6B">
        <w:rPr>
          <w:rFonts w:ascii="Times New Roman" w:eastAsia="Times New Roman" w:hAnsi="Times New Roman" w:cs="Times New Roman"/>
          <w:sz w:val="24"/>
          <w:szCs w:val="24"/>
        </w:rPr>
        <w:t xml:space="preserve"> NS = non-significant; * = significant at P ≤ 0.05; ** = significant at P ≤ 0.01.</w:t>
      </w:r>
    </w:p>
    <w:p w14:paraId="26FD4ECF" w14:textId="77777777" w:rsidR="00277C6B" w:rsidRPr="00277C6B" w:rsidRDefault="00277C6B" w:rsidP="00902A6C">
      <w:pPr>
        <w:spacing w:before="100" w:beforeAutospacing="1" w:after="100" w:afterAutospacing="1" w:line="360" w:lineRule="auto"/>
        <w:jc w:val="both"/>
        <w:outlineLvl w:val="2"/>
        <w:rPr>
          <w:rFonts w:ascii="Times New Roman" w:eastAsia="Times New Roman" w:hAnsi="Times New Roman" w:cs="Times New Roman"/>
          <w:b/>
          <w:bCs/>
          <w:sz w:val="24"/>
          <w:szCs w:val="24"/>
        </w:rPr>
      </w:pPr>
      <w:r w:rsidRPr="00277C6B">
        <w:rPr>
          <w:rFonts w:ascii="Times New Roman" w:eastAsia="Times New Roman" w:hAnsi="Times New Roman" w:cs="Times New Roman"/>
          <w:b/>
          <w:bCs/>
          <w:sz w:val="24"/>
          <w:szCs w:val="24"/>
        </w:rPr>
        <w:t xml:space="preserve">Average </w:t>
      </w:r>
      <w:r w:rsidR="0014430E" w:rsidRPr="00902A6C">
        <w:rPr>
          <w:rFonts w:ascii="Times New Roman" w:eastAsia="Times New Roman" w:hAnsi="Times New Roman" w:cs="Times New Roman"/>
          <w:b/>
          <w:bCs/>
          <w:sz w:val="24"/>
          <w:szCs w:val="24"/>
        </w:rPr>
        <w:t>fruit number plant</w:t>
      </w:r>
      <w:r w:rsidR="0014430E" w:rsidRPr="00902A6C">
        <w:rPr>
          <w:rFonts w:ascii="Times New Roman" w:eastAsia="Times New Roman" w:hAnsi="Times New Roman" w:cs="Times New Roman"/>
          <w:b/>
          <w:bCs/>
          <w:sz w:val="24"/>
          <w:szCs w:val="24"/>
          <w:vertAlign w:val="superscript"/>
        </w:rPr>
        <w:t>-1</w:t>
      </w:r>
    </w:p>
    <w:p w14:paraId="5EC51F88" w14:textId="77777777" w:rsidR="00277C6B" w:rsidRDefault="00277C6B" w:rsidP="00902A6C">
      <w:pPr>
        <w:spacing w:before="100" w:beforeAutospacing="1" w:after="100" w:afterAutospacing="1" w:line="360" w:lineRule="auto"/>
        <w:jc w:val="both"/>
        <w:rPr>
          <w:rFonts w:ascii="Times New Roman" w:eastAsia="Times New Roman" w:hAnsi="Times New Roman" w:cs="Times New Roman"/>
          <w:sz w:val="24"/>
          <w:szCs w:val="24"/>
        </w:rPr>
      </w:pPr>
      <w:r w:rsidRPr="00277C6B">
        <w:rPr>
          <w:rFonts w:ascii="Times New Roman" w:eastAsia="Times New Roman" w:hAnsi="Times New Roman" w:cs="Times New Roman"/>
          <w:sz w:val="24"/>
          <w:szCs w:val="24"/>
        </w:rPr>
        <w:t xml:space="preserve">Among the traits evaluated, </w:t>
      </w:r>
      <w:r w:rsidRPr="00902A6C">
        <w:rPr>
          <w:rFonts w:ascii="Times New Roman" w:eastAsia="Times New Roman" w:hAnsi="Times New Roman" w:cs="Times New Roman"/>
          <w:bCs/>
          <w:sz w:val="24"/>
          <w:szCs w:val="24"/>
        </w:rPr>
        <w:t xml:space="preserve">average </w:t>
      </w:r>
      <w:r w:rsidR="0014430E" w:rsidRPr="00902A6C">
        <w:rPr>
          <w:rFonts w:ascii="Times New Roman" w:eastAsia="Times New Roman" w:hAnsi="Times New Roman" w:cs="Times New Roman"/>
          <w:bCs/>
          <w:sz w:val="24"/>
          <w:szCs w:val="24"/>
        </w:rPr>
        <w:t>fruit number plant</w:t>
      </w:r>
      <w:r w:rsidR="0014430E" w:rsidRPr="00902A6C">
        <w:rPr>
          <w:rFonts w:ascii="Times New Roman" w:eastAsia="Times New Roman" w:hAnsi="Times New Roman" w:cs="Times New Roman"/>
          <w:bCs/>
          <w:sz w:val="24"/>
          <w:szCs w:val="24"/>
          <w:vertAlign w:val="superscript"/>
        </w:rPr>
        <w:t>-1</w:t>
      </w:r>
      <w:r w:rsidRPr="00902A6C">
        <w:rPr>
          <w:rFonts w:ascii="Times New Roman" w:eastAsia="Times New Roman" w:hAnsi="Times New Roman" w:cs="Times New Roman"/>
          <w:bCs/>
          <w:sz w:val="24"/>
          <w:szCs w:val="24"/>
        </w:rPr>
        <w:t xml:space="preserve"> exhibited the strongest and most consistent positive association with green fruit yield across all five MP-derived populations</w:t>
      </w:r>
      <w:r w:rsidRPr="00277C6B">
        <w:rPr>
          <w:rFonts w:ascii="Times New Roman" w:eastAsia="Times New Roman" w:hAnsi="Times New Roman" w:cs="Times New Roman"/>
          <w:sz w:val="24"/>
          <w:szCs w:val="24"/>
        </w:rPr>
        <w:t>. The correlation coefficient ranged from 0.7</w:t>
      </w:r>
      <w:r w:rsidR="002A0B42" w:rsidRPr="00902A6C">
        <w:rPr>
          <w:rFonts w:ascii="Times New Roman" w:eastAsia="Times New Roman" w:hAnsi="Times New Roman" w:cs="Times New Roman"/>
          <w:sz w:val="24"/>
          <w:szCs w:val="24"/>
        </w:rPr>
        <w:t>1</w:t>
      </w:r>
      <w:r w:rsidRPr="00277C6B">
        <w:rPr>
          <w:rFonts w:ascii="Times New Roman" w:eastAsia="Times New Roman" w:hAnsi="Times New Roman" w:cs="Times New Roman"/>
          <w:sz w:val="24"/>
          <w:szCs w:val="24"/>
        </w:rPr>
        <w:t xml:space="preserve"> in D7 × D2 to 0.90 in D4 × D2.</w:t>
      </w:r>
      <w:r w:rsidR="002A0B42" w:rsidRPr="00902A6C">
        <w:rPr>
          <w:rFonts w:ascii="Times New Roman" w:eastAsia="Times New Roman" w:hAnsi="Times New Roman" w:cs="Times New Roman"/>
          <w:sz w:val="24"/>
          <w:szCs w:val="24"/>
        </w:rPr>
        <w:t xml:space="preserve"> </w:t>
      </w:r>
      <w:r w:rsidRPr="00277C6B">
        <w:rPr>
          <w:rFonts w:ascii="Times New Roman" w:eastAsia="Times New Roman" w:hAnsi="Times New Roman" w:cs="Times New Roman"/>
          <w:sz w:val="24"/>
          <w:szCs w:val="24"/>
        </w:rPr>
        <w:t xml:space="preserve">Thus, despite </w:t>
      </w:r>
      <w:r w:rsidRPr="00277C6B">
        <w:rPr>
          <w:rFonts w:ascii="Times New Roman" w:eastAsia="Times New Roman" w:hAnsi="Times New Roman" w:cs="Times New Roman"/>
          <w:sz w:val="24"/>
          <w:szCs w:val="24"/>
        </w:rPr>
        <w:lastRenderedPageBreak/>
        <w:t xml:space="preserve">differences in population background, </w:t>
      </w:r>
      <w:r w:rsidR="0014430E" w:rsidRPr="00902A6C">
        <w:rPr>
          <w:rFonts w:ascii="Times New Roman" w:eastAsia="Times New Roman" w:hAnsi="Times New Roman" w:cs="Times New Roman"/>
          <w:sz w:val="24"/>
          <w:szCs w:val="24"/>
        </w:rPr>
        <w:t>fruit number plant</w:t>
      </w:r>
      <w:r w:rsidR="0014430E" w:rsidRPr="00902A6C">
        <w:rPr>
          <w:rFonts w:ascii="Times New Roman" w:eastAsia="Times New Roman" w:hAnsi="Times New Roman" w:cs="Times New Roman"/>
          <w:sz w:val="24"/>
          <w:szCs w:val="24"/>
          <w:vertAlign w:val="superscript"/>
        </w:rPr>
        <w:t>-1</w:t>
      </w:r>
      <w:r w:rsidRPr="00277C6B">
        <w:rPr>
          <w:rFonts w:ascii="Times New Roman" w:eastAsia="Times New Roman" w:hAnsi="Times New Roman" w:cs="Times New Roman"/>
          <w:sz w:val="24"/>
          <w:szCs w:val="24"/>
        </w:rPr>
        <w:t xml:space="preserve"> consistently exhibited a strong positive association with green fruit yield.</w:t>
      </w:r>
      <w:r w:rsidR="002A0B42" w:rsidRPr="00902A6C">
        <w:rPr>
          <w:rFonts w:ascii="Times New Roman" w:eastAsia="Times New Roman" w:hAnsi="Times New Roman" w:cs="Times New Roman"/>
          <w:sz w:val="24"/>
          <w:szCs w:val="24"/>
        </w:rPr>
        <w:t xml:space="preserve"> </w:t>
      </w:r>
      <w:r w:rsidRPr="00277C6B">
        <w:rPr>
          <w:rFonts w:ascii="Times New Roman" w:eastAsia="Times New Roman" w:hAnsi="Times New Roman" w:cs="Times New Roman"/>
          <w:sz w:val="24"/>
          <w:szCs w:val="24"/>
        </w:rPr>
        <w:t xml:space="preserve">The consistency of this relationship across all five populations suggests that </w:t>
      </w:r>
      <w:r w:rsidR="0014430E" w:rsidRPr="00902A6C">
        <w:rPr>
          <w:rFonts w:ascii="Times New Roman" w:eastAsia="Times New Roman" w:hAnsi="Times New Roman" w:cs="Times New Roman"/>
          <w:sz w:val="24"/>
          <w:szCs w:val="24"/>
        </w:rPr>
        <w:t>fruit number plant</w:t>
      </w:r>
      <w:r w:rsidR="0014430E" w:rsidRPr="00902A6C">
        <w:rPr>
          <w:rFonts w:ascii="Times New Roman" w:eastAsia="Times New Roman" w:hAnsi="Times New Roman" w:cs="Times New Roman"/>
          <w:sz w:val="24"/>
          <w:szCs w:val="24"/>
          <w:vertAlign w:val="superscript"/>
        </w:rPr>
        <w:t>-1</w:t>
      </w:r>
      <w:r w:rsidRPr="00277C6B">
        <w:rPr>
          <w:rFonts w:ascii="Times New Roman" w:eastAsia="Times New Roman" w:hAnsi="Times New Roman" w:cs="Times New Roman"/>
          <w:sz w:val="24"/>
          <w:szCs w:val="24"/>
        </w:rPr>
        <w:t xml:space="preserve"> is an important yield-associated trait in the elite selections evaluated. Since green fruit yield is determined by the cumulative production of fruits per plant, an increase in </w:t>
      </w:r>
      <w:r w:rsidR="0014430E" w:rsidRPr="00902A6C">
        <w:rPr>
          <w:rFonts w:ascii="Times New Roman" w:eastAsia="Times New Roman" w:hAnsi="Times New Roman" w:cs="Times New Roman"/>
          <w:sz w:val="24"/>
          <w:szCs w:val="24"/>
        </w:rPr>
        <w:t>fruit number plant</w:t>
      </w:r>
      <w:r w:rsidR="0014430E" w:rsidRPr="00902A6C">
        <w:rPr>
          <w:rFonts w:ascii="Times New Roman" w:eastAsia="Times New Roman" w:hAnsi="Times New Roman" w:cs="Times New Roman"/>
          <w:sz w:val="24"/>
          <w:szCs w:val="24"/>
          <w:vertAlign w:val="superscript"/>
        </w:rPr>
        <w:t>-1</w:t>
      </w:r>
      <w:r w:rsidRPr="00277C6B">
        <w:rPr>
          <w:rFonts w:ascii="Times New Roman" w:eastAsia="Times New Roman" w:hAnsi="Times New Roman" w:cs="Times New Roman"/>
          <w:sz w:val="24"/>
          <w:szCs w:val="24"/>
        </w:rPr>
        <w:t xml:space="preserve"> can be expected to contribute substantially to total plant yield.</w:t>
      </w:r>
      <w:r w:rsidR="00750C93" w:rsidRPr="00902A6C">
        <w:rPr>
          <w:rFonts w:ascii="Times New Roman" w:eastAsia="Times New Roman" w:hAnsi="Times New Roman" w:cs="Times New Roman"/>
          <w:sz w:val="24"/>
          <w:szCs w:val="24"/>
        </w:rPr>
        <w:t xml:space="preserve"> These </w:t>
      </w:r>
      <w:r w:rsidR="005768EE">
        <w:rPr>
          <w:rFonts w:ascii="Times New Roman" w:eastAsia="Times New Roman" w:hAnsi="Times New Roman" w:cs="Times New Roman"/>
          <w:sz w:val="24"/>
          <w:szCs w:val="24"/>
        </w:rPr>
        <w:t>observatio</w:t>
      </w:r>
      <w:r w:rsidR="00750C93" w:rsidRPr="00902A6C">
        <w:rPr>
          <w:rFonts w:ascii="Times New Roman" w:eastAsia="Times New Roman" w:hAnsi="Times New Roman" w:cs="Times New Roman"/>
          <w:sz w:val="24"/>
          <w:szCs w:val="24"/>
        </w:rPr>
        <w:t xml:space="preserve">ns were in accordance with </w:t>
      </w:r>
      <w:proofErr w:type="spellStart"/>
      <w:r w:rsidR="006A6580" w:rsidRPr="00902A6C">
        <w:rPr>
          <w:rFonts w:ascii="Times New Roman" w:eastAsia="Times New Roman" w:hAnsi="Times New Roman" w:cs="Times New Roman"/>
          <w:sz w:val="24"/>
          <w:szCs w:val="24"/>
        </w:rPr>
        <w:t>Sreelathakumary</w:t>
      </w:r>
      <w:proofErr w:type="spellEnd"/>
      <w:r w:rsidR="006A6580" w:rsidRPr="00902A6C">
        <w:rPr>
          <w:rFonts w:ascii="Times New Roman" w:eastAsia="Times New Roman" w:hAnsi="Times New Roman" w:cs="Times New Roman"/>
          <w:sz w:val="24"/>
          <w:szCs w:val="24"/>
        </w:rPr>
        <w:t xml:space="preserve"> and Rajamony, 2002</w:t>
      </w:r>
      <w:r w:rsidR="006A6580">
        <w:rPr>
          <w:rFonts w:ascii="Times New Roman" w:eastAsia="Times New Roman" w:hAnsi="Times New Roman" w:cs="Times New Roman"/>
          <w:sz w:val="24"/>
          <w:szCs w:val="24"/>
        </w:rPr>
        <w:t xml:space="preserve">; </w:t>
      </w:r>
      <w:r w:rsidR="006A6580" w:rsidRPr="00902A6C">
        <w:rPr>
          <w:rFonts w:ascii="Times New Roman" w:eastAsia="Times New Roman" w:hAnsi="Times New Roman" w:cs="Times New Roman"/>
          <w:sz w:val="24"/>
          <w:szCs w:val="24"/>
        </w:rPr>
        <w:t>Gupta et al., 2009;</w:t>
      </w:r>
      <w:r w:rsidR="006A6580">
        <w:rPr>
          <w:rFonts w:ascii="Times New Roman" w:eastAsia="Times New Roman" w:hAnsi="Times New Roman" w:cs="Times New Roman"/>
          <w:sz w:val="24"/>
          <w:szCs w:val="24"/>
        </w:rPr>
        <w:t xml:space="preserve"> </w:t>
      </w:r>
      <w:r w:rsidR="006A6580" w:rsidRPr="00902A6C">
        <w:rPr>
          <w:rFonts w:ascii="Times New Roman" w:eastAsia="Times New Roman" w:hAnsi="Times New Roman" w:cs="Times New Roman"/>
          <w:sz w:val="24"/>
          <w:szCs w:val="24"/>
        </w:rPr>
        <w:t>Sarkar et al., 2009; Singh et al., 2009</w:t>
      </w:r>
      <w:r w:rsidR="006A6580">
        <w:rPr>
          <w:rFonts w:ascii="Times New Roman" w:eastAsia="Times New Roman" w:hAnsi="Times New Roman" w:cs="Times New Roman"/>
          <w:sz w:val="24"/>
          <w:szCs w:val="24"/>
        </w:rPr>
        <w:t>;</w:t>
      </w:r>
      <w:r w:rsidR="006A6580" w:rsidRPr="00902A6C">
        <w:rPr>
          <w:rFonts w:ascii="Times New Roman" w:eastAsia="Times New Roman" w:hAnsi="Times New Roman" w:cs="Times New Roman"/>
          <w:sz w:val="24"/>
          <w:szCs w:val="24"/>
        </w:rPr>
        <w:t xml:space="preserve"> Datta and Jana, 2010; </w:t>
      </w:r>
      <w:proofErr w:type="spellStart"/>
      <w:r w:rsidR="006A6580" w:rsidRPr="00902A6C">
        <w:rPr>
          <w:rFonts w:ascii="Times New Roman" w:eastAsia="Times New Roman" w:hAnsi="Times New Roman" w:cs="Times New Roman"/>
          <w:sz w:val="24"/>
          <w:szCs w:val="24"/>
        </w:rPr>
        <w:t>Baseerath</w:t>
      </w:r>
      <w:proofErr w:type="spellEnd"/>
      <w:r w:rsidR="006A6580" w:rsidRPr="00902A6C">
        <w:rPr>
          <w:rFonts w:ascii="Times New Roman" w:eastAsia="Times New Roman" w:hAnsi="Times New Roman" w:cs="Times New Roman"/>
          <w:sz w:val="24"/>
          <w:szCs w:val="24"/>
        </w:rPr>
        <w:t xml:space="preserve"> et al., 2013; </w:t>
      </w:r>
      <w:proofErr w:type="spellStart"/>
      <w:r w:rsidR="006A6580" w:rsidRPr="00902A6C">
        <w:rPr>
          <w:rFonts w:ascii="Times New Roman" w:eastAsia="Times New Roman" w:hAnsi="Times New Roman" w:cs="Times New Roman"/>
          <w:sz w:val="24"/>
          <w:szCs w:val="24"/>
        </w:rPr>
        <w:t>Bijalwan</w:t>
      </w:r>
      <w:proofErr w:type="spellEnd"/>
      <w:r w:rsidR="006A6580" w:rsidRPr="00902A6C">
        <w:rPr>
          <w:rFonts w:ascii="Times New Roman" w:eastAsia="Times New Roman" w:hAnsi="Times New Roman" w:cs="Times New Roman"/>
          <w:sz w:val="24"/>
          <w:szCs w:val="24"/>
        </w:rPr>
        <w:t xml:space="preserve"> and Mishra, 2013; Pradeep et al., 2014;</w:t>
      </w:r>
      <w:r w:rsidR="006A6580">
        <w:rPr>
          <w:rFonts w:ascii="Times New Roman" w:eastAsia="Times New Roman" w:hAnsi="Times New Roman" w:cs="Times New Roman"/>
          <w:sz w:val="24"/>
          <w:szCs w:val="24"/>
        </w:rPr>
        <w:t xml:space="preserve"> </w:t>
      </w:r>
      <w:r w:rsidR="006A6580" w:rsidRPr="00902A6C">
        <w:rPr>
          <w:rFonts w:ascii="Times New Roman" w:eastAsia="Times New Roman" w:hAnsi="Times New Roman" w:cs="Times New Roman"/>
          <w:sz w:val="24"/>
          <w:szCs w:val="24"/>
        </w:rPr>
        <w:t xml:space="preserve">; Vijaya et al., 2014; ; </w:t>
      </w:r>
      <w:proofErr w:type="spellStart"/>
      <w:r w:rsidR="006A6580" w:rsidRPr="00902A6C">
        <w:rPr>
          <w:rFonts w:ascii="Times New Roman" w:eastAsia="Times New Roman" w:hAnsi="Times New Roman" w:cs="Times New Roman"/>
          <w:sz w:val="24"/>
          <w:szCs w:val="24"/>
        </w:rPr>
        <w:t>Dixitha</w:t>
      </w:r>
      <w:proofErr w:type="spellEnd"/>
      <w:r w:rsidR="006A6580" w:rsidRPr="00902A6C">
        <w:rPr>
          <w:rFonts w:ascii="Times New Roman" w:eastAsia="Times New Roman" w:hAnsi="Times New Roman" w:cs="Times New Roman"/>
          <w:sz w:val="24"/>
          <w:szCs w:val="24"/>
        </w:rPr>
        <w:t xml:space="preserve"> et al., 2015</w:t>
      </w:r>
      <w:r w:rsidR="006A6580">
        <w:rPr>
          <w:rFonts w:ascii="Times New Roman" w:eastAsia="Times New Roman" w:hAnsi="Times New Roman" w:cs="Times New Roman"/>
          <w:sz w:val="24"/>
          <w:szCs w:val="24"/>
        </w:rPr>
        <w:t xml:space="preserve">; </w:t>
      </w:r>
      <w:r w:rsidR="00750C93" w:rsidRPr="00902A6C">
        <w:rPr>
          <w:rFonts w:ascii="Times New Roman" w:eastAsia="Times New Roman" w:hAnsi="Times New Roman" w:cs="Times New Roman"/>
          <w:sz w:val="24"/>
          <w:szCs w:val="24"/>
        </w:rPr>
        <w:t>Bundela et al., 2018</w:t>
      </w:r>
      <w:r w:rsidR="006A6580" w:rsidRPr="006A6580">
        <w:rPr>
          <w:rFonts w:ascii="Times New Roman" w:eastAsia="Times New Roman" w:hAnsi="Times New Roman" w:cs="Times New Roman"/>
          <w:sz w:val="24"/>
          <w:szCs w:val="24"/>
        </w:rPr>
        <w:t xml:space="preserve"> </w:t>
      </w:r>
      <w:r w:rsidR="006A6580" w:rsidRPr="00902A6C">
        <w:rPr>
          <w:rFonts w:ascii="Times New Roman" w:eastAsia="Times New Roman" w:hAnsi="Times New Roman" w:cs="Times New Roman"/>
          <w:sz w:val="24"/>
          <w:szCs w:val="24"/>
        </w:rPr>
        <w:t>and</w:t>
      </w:r>
      <w:r w:rsidR="00750C93" w:rsidRPr="00902A6C">
        <w:rPr>
          <w:rFonts w:ascii="Times New Roman" w:eastAsia="Times New Roman" w:hAnsi="Times New Roman" w:cs="Times New Roman"/>
          <w:sz w:val="24"/>
          <w:szCs w:val="24"/>
        </w:rPr>
        <w:t xml:space="preserve"> Shwetha et al., 2018</w:t>
      </w:r>
      <w:r w:rsidR="00C6400A" w:rsidRPr="00902A6C">
        <w:rPr>
          <w:rFonts w:ascii="Times New Roman" w:eastAsia="Times New Roman" w:hAnsi="Times New Roman" w:cs="Times New Roman"/>
          <w:sz w:val="24"/>
          <w:szCs w:val="24"/>
        </w:rPr>
        <w:t>.</w:t>
      </w:r>
    </w:p>
    <w:p w14:paraId="4B57976C" w14:textId="77777777" w:rsidR="00277C6B" w:rsidRPr="00277C6B" w:rsidRDefault="00277C6B" w:rsidP="00902A6C">
      <w:pPr>
        <w:spacing w:before="100" w:beforeAutospacing="1" w:after="100" w:afterAutospacing="1" w:line="360" w:lineRule="auto"/>
        <w:jc w:val="both"/>
        <w:outlineLvl w:val="2"/>
        <w:rPr>
          <w:rFonts w:ascii="Times New Roman" w:eastAsia="Times New Roman" w:hAnsi="Times New Roman" w:cs="Times New Roman"/>
          <w:b/>
          <w:bCs/>
          <w:sz w:val="24"/>
          <w:szCs w:val="24"/>
        </w:rPr>
      </w:pPr>
      <w:r w:rsidRPr="00277C6B">
        <w:rPr>
          <w:rFonts w:ascii="Times New Roman" w:eastAsia="Times New Roman" w:hAnsi="Times New Roman" w:cs="Times New Roman"/>
          <w:b/>
          <w:bCs/>
          <w:sz w:val="24"/>
          <w:szCs w:val="24"/>
        </w:rPr>
        <w:t>Average fruit length</w:t>
      </w:r>
    </w:p>
    <w:p w14:paraId="7A58DD1A" w14:textId="77777777" w:rsidR="008C6B5E" w:rsidRPr="00277C6B" w:rsidRDefault="00277C6B" w:rsidP="00902A6C">
      <w:pPr>
        <w:spacing w:before="100" w:beforeAutospacing="1" w:after="100" w:afterAutospacing="1" w:line="360" w:lineRule="auto"/>
        <w:jc w:val="both"/>
        <w:rPr>
          <w:rFonts w:ascii="Times New Roman" w:eastAsia="Times New Roman" w:hAnsi="Times New Roman" w:cs="Times New Roman"/>
          <w:sz w:val="24"/>
          <w:szCs w:val="24"/>
        </w:rPr>
      </w:pPr>
      <w:r w:rsidRPr="00277C6B">
        <w:rPr>
          <w:rFonts w:ascii="Times New Roman" w:eastAsia="Times New Roman" w:hAnsi="Times New Roman" w:cs="Times New Roman"/>
          <w:sz w:val="24"/>
          <w:szCs w:val="24"/>
        </w:rPr>
        <w:t>Average fruit length showed a positive association with green fruit yield in all five populations. The correlati</w:t>
      </w:r>
      <w:r w:rsidR="00A75E3D" w:rsidRPr="00902A6C">
        <w:rPr>
          <w:rFonts w:ascii="Times New Roman" w:eastAsia="Times New Roman" w:hAnsi="Times New Roman" w:cs="Times New Roman"/>
          <w:sz w:val="24"/>
          <w:szCs w:val="24"/>
        </w:rPr>
        <w:t>on coefficients ranged from 0.22</w:t>
      </w:r>
      <w:r w:rsidRPr="00277C6B">
        <w:rPr>
          <w:rFonts w:ascii="Times New Roman" w:eastAsia="Times New Roman" w:hAnsi="Times New Roman" w:cs="Times New Roman"/>
          <w:sz w:val="24"/>
          <w:szCs w:val="24"/>
        </w:rPr>
        <w:t xml:space="preserve"> in D6 × D2 to 0.</w:t>
      </w:r>
      <w:r w:rsidR="00A75E3D" w:rsidRPr="00902A6C">
        <w:rPr>
          <w:rFonts w:ascii="Times New Roman" w:eastAsia="Times New Roman" w:hAnsi="Times New Roman" w:cs="Times New Roman"/>
          <w:sz w:val="24"/>
          <w:szCs w:val="24"/>
        </w:rPr>
        <w:t>40</w:t>
      </w:r>
      <w:r w:rsidRPr="00277C6B">
        <w:rPr>
          <w:rFonts w:ascii="Times New Roman" w:eastAsia="Times New Roman" w:hAnsi="Times New Roman" w:cs="Times New Roman"/>
          <w:sz w:val="24"/>
          <w:szCs w:val="24"/>
        </w:rPr>
        <w:t xml:space="preserve"> in D5 × D2.</w:t>
      </w:r>
      <w:r w:rsidR="00A75E3D" w:rsidRPr="00902A6C">
        <w:rPr>
          <w:rFonts w:ascii="Times New Roman" w:eastAsia="Times New Roman" w:hAnsi="Times New Roman" w:cs="Times New Roman"/>
          <w:sz w:val="24"/>
          <w:szCs w:val="24"/>
        </w:rPr>
        <w:t xml:space="preserve"> </w:t>
      </w:r>
      <w:r w:rsidRPr="00277C6B">
        <w:rPr>
          <w:rFonts w:ascii="Times New Roman" w:eastAsia="Times New Roman" w:hAnsi="Times New Roman" w:cs="Times New Roman"/>
          <w:sz w:val="24"/>
          <w:szCs w:val="24"/>
        </w:rPr>
        <w:t xml:space="preserve">The positive relationship indicates that fruit length contributes to variation in green fruit yield; however, the magnitude of the correlation was consistently lower than </w:t>
      </w:r>
      <w:r w:rsidR="00A75E3D" w:rsidRPr="00902A6C">
        <w:rPr>
          <w:rFonts w:ascii="Times New Roman" w:eastAsia="Times New Roman" w:hAnsi="Times New Roman" w:cs="Times New Roman"/>
          <w:sz w:val="24"/>
          <w:szCs w:val="24"/>
        </w:rPr>
        <w:t xml:space="preserve">that observed for </w:t>
      </w:r>
      <w:r w:rsidR="0014430E" w:rsidRPr="00902A6C">
        <w:rPr>
          <w:rFonts w:ascii="Times New Roman" w:eastAsia="Times New Roman" w:hAnsi="Times New Roman" w:cs="Times New Roman"/>
          <w:sz w:val="24"/>
          <w:szCs w:val="24"/>
        </w:rPr>
        <w:t>fruit number plant</w:t>
      </w:r>
      <w:r w:rsidR="0014430E" w:rsidRPr="00902A6C">
        <w:rPr>
          <w:rFonts w:ascii="Times New Roman" w:eastAsia="Times New Roman" w:hAnsi="Times New Roman" w:cs="Times New Roman"/>
          <w:sz w:val="24"/>
          <w:szCs w:val="24"/>
          <w:vertAlign w:val="superscript"/>
        </w:rPr>
        <w:t>-1</w:t>
      </w:r>
      <w:r w:rsidR="00A75E3D" w:rsidRPr="00902A6C">
        <w:rPr>
          <w:rFonts w:ascii="Times New Roman" w:eastAsia="Times New Roman" w:hAnsi="Times New Roman" w:cs="Times New Roman"/>
          <w:sz w:val="24"/>
          <w:szCs w:val="24"/>
        </w:rPr>
        <w:t>.</w:t>
      </w:r>
      <w:r w:rsidR="00750C93" w:rsidRPr="00902A6C">
        <w:rPr>
          <w:rFonts w:ascii="Times New Roman" w:eastAsia="Times New Roman" w:hAnsi="Times New Roman" w:cs="Times New Roman"/>
          <w:sz w:val="24"/>
          <w:szCs w:val="24"/>
        </w:rPr>
        <w:t>These findings were similar to the findings of Amit et al., 2014; Shwetha et al., 2018; Vijaya et al.</w:t>
      </w:r>
      <w:r w:rsidR="008C6B5E">
        <w:rPr>
          <w:rFonts w:ascii="Times New Roman" w:eastAsia="Times New Roman" w:hAnsi="Times New Roman" w:cs="Times New Roman"/>
          <w:sz w:val="24"/>
          <w:szCs w:val="24"/>
        </w:rPr>
        <w:t xml:space="preserve">, 2014; </w:t>
      </w:r>
      <w:proofErr w:type="spellStart"/>
      <w:r w:rsidR="00750C93" w:rsidRPr="00902A6C">
        <w:rPr>
          <w:rFonts w:ascii="Times New Roman" w:eastAsia="Times New Roman" w:hAnsi="Times New Roman" w:cs="Times New Roman"/>
          <w:sz w:val="24"/>
          <w:szCs w:val="24"/>
        </w:rPr>
        <w:t>Baseerath</w:t>
      </w:r>
      <w:proofErr w:type="spellEnd"/>
      <w:r w:rsidR="00750C93" w:rsidRPr="00902A6C">
        <w:rPr>
          <w:rFonts w:ascii="Times New Roman" w:eastAsia="Times New Roman" w:hAnsi="Times New Roman" w:cs="Times New Roman"/>
          <w:sz w:val="24"/>
          <w:szCs w:val="24"/>
        </w:rPr>
        <w:t xml:space="preserve"> et al.,</w:t>
      </w:r>
      <w:r w:rsidR="008C6B5E">
        <w:rPr>
          <w:rFonts w:ascii="Times New Roman" w:eastAsia="Times New Roman" w:hAnsi="Times New Roman" w:cs="Times New Roman"/>
          <w:sz w:val="24"/>
          <w:szCs w:val="24"/>
        </w:rPr>
        <w:t xml:space="preserve"> </w:t>
      </w:r>
      <w:r w:rsidR="00750C93" w:rsidRPr="00902A6C">
        <w:rPr>
          <w:rFonts w:ascii="Times New Roman" w:eastAsia="Times New Roman" w:hAnsi="Times New Roman" w:cs="Times New Roman"/>
          <w:sz w:val="24"/>
          <w:szCs w:val="24"/>
        </w:rPr>
        <w:t xml:space="preserve">2013; </w:t>
      </w:r>
      <w:proofErr w:type="spellStart"/>
      <w:r w:rsidR="00750C93" w:rsidRPr="00902A6C">
        <w:rPr>
          <w:rFonts w:ascii="Times New Roman" w:eastAsia="Times New Roman" w:hAnsi="Times New Roman" w:cs="Times New Roman"/>
          <w:sz w:val="24"/>
          <w:szCs w:val="24"/>
        </w:rPr>
        <w:t>Bijalwan</w:t>
      </w:r>
      <w:proofErr w:type="spellEnd"/>
      <w:r w:rsidR="00750C93" w:rsidRPr="00902A6C">
        <w:rPr>
          <w:rFonts w:ascii="Times New Roman" w:eastAsia="Times New Roman" w:hAnsi="Times New Roman" w:cs="Times New Roman"/>
          <w:sz w:val="24"/>
          <w:szCs w:val="24"/>
        </w:rPr>
        <w:t xml:space="preserve"> and Mishra, 2013; Gupta et al., 2009 and </w:t>
      </w:r>
      <w:proofErr w:type="spellStart"/>
      <w:r w:rsidR="00750C93" w:rsidRPr="00902A6C">
        <w:rPr>
          <w:rFonts w:ascii="Times New Roman" w:eastAsia="Times New Roman" w:hAnsi="Times New Roman" w:cs="Times New Roman"/>
          <w:sz w:val="24"/>
          <w:szCs w:val="24"/>
        </w:rPr>
        <w:t>Sreelathakumary</w:t>
      </w:r>
      <w:proofErr w:type="spellEnd"/>
      <w:r w:rsidR="00750C93" w:rsidRPr="00902A6C">
        <w:rPr>
          <w:rFonts w:ascii="Times New Roman" w:eastAsia="Times New Roman" w:hAnsi="Times New Roman" w:cs="Times New Roman"/>
          <w:sz w:val="24"/>
          <w:szCs w:val="24"/>
        </w:rPr>
        <w:t xml:space="preserve"> and Rajamony, 2002.</w:t>
      </w:r>
    </w:p>
    <w:p w14:paraId="3E272A9A" w14:textId="77777777" w:rsidR="00277C6B" w:rsidRPr="00277C6B" w:rsidRDefault="00277C6B" w:rsidP="00902A6C">
      <w:pPr>
        <w:spacing w:before="100" w:beforeAutospacing="1" w:after="100" w:afterAutospacing="1" w:line="360" w:lineRule="auto"/>
        <w:jc w:val="both"/>
        <w:outlineLvl w:val="2"/>
        <w:rPr>
          <w:rFonts w:ascii="Times New Roman" w:eastAsia="Times New Roman" w:hAnsi="Times New Roman" w:cs="Times New Roman"/>
          <w:b/>
          <w:bCs/>
          <w:sz w:val="24"/>
          <w:szCs w:val="24"/>
        </w:rPr>
      </w:pPr>
      <w:r w:rsidRPr="00277C6B">
        <w:rPr>
          <w:rFonts w:ascii="Times New Roman" w:eastAsia="Times New Roman" w:hAnsi="Times New Roman" w:cs="Times New Roman"/>
          <w:b/>
          <w:bCs/>
          <w:sz w:val="24"/>
          <w:szCs w:val="24"/>
        </w:rPr>
        <w:t>Average fruit width</w:t>
      </w:r>
    </w:p>
    <w:p w14:paraId="7F9A2F08" w14:textId="77777777" w:rsidR="00277C6B" w:rsidRPr="00277C6B" w:rsidRDefault="00277C6B" w:rsidP="00902A6C">
      <w:pPr>
        <w:spacing w:before="100" w:beforeAutospacing="1" w:after="100" w:afterAutospacing="1" w:line="360" w:lineRule="auto"/>
        <w:jc w:val="both"/>
        <w:rPr>
          <w:rFonts w:ascii="Times New Roman" w:eastAsia="Times New Roman" w:hAnsi="Times New Roman" w:cs="Times New Roman"/>
          <w:sz w:val="24"/>
          <w:szCs w:val="24"/>
        </w:rPr>
      </w:pPr>
      <w:r w:rsidRPr="00277C6B">
        <w:rPr>
          <w:rFonts w:ascii="Times New Roman" w:eastAsia="Times New Roman" w:hAnsi="Times New Roman" w:cs="Times New Roman"/>
          <w:sz w:val="24"/>
          <w:szCs w:val="24"/>
        </w:rPr>
        <w:t>The association of average fruit width with green fruit yield varied among the five populations. The strongest positive association was observed in D7 × D2 (r = 0.4</w:t>
      </w:r>
      <w:r w:rsidR="00A75E3D" w:rsidRPr="00902A6C">
        <w:rPr>
          <w:rFonts w:ascii="Times New Roman" w:eastAsia="Times New Roman" w:hAnsi="Times New Roman" w:cs="Times New Roman"/>
          <w:sz w:val="24"/>
          <w:szCs w:val="24"/>
        </w:rPr>
        <w:t>5</w:t>
      </w:r>
      <w:r w:rsidRPr="00277C6B">
        <w:rPr>
          <w:rFonts w:ascii="Times New Roman" w:eastAsia="Times New Roman" w:hAnsi="Times New Roman" w:cs="Times New Roman"/>
          <w:sz w:val="24"/>
          <w:szCs w:val="24"/>
        </w:rPr>
        <w:t>), followed by D5 × D2 (r = 0.31) and D4 × D2 (r = 0.25). These associations were significant.</w:t>
      </w:r>
      <w:r w:rsidR="00A75E3D" w:rsidRPr="00902A6C">
        <w:rPr>
          <w:rFonts w:ascii="Times New Roman" w:eastAsia="Times New Roman" w:hAnsi="Times New Roman" w:cs="Times New Roman"/>
          <w:sz w:val="24"/>
          <w:szCs w:val="24"/>
        </w:rPr>
        <w:t xml:space="preserve"> </w:t>
      </w:r>
      <w:r w:rsidRPr="00277C6B">
        <w:rPr>
          <w:rFonts w:ascii="Times New Roman" w:eastAsia="Times New Roman" w:hAnsi="Times New Roman" w:cs="Times New Roman"/>
          <w:sz w:val="24"/>
          <w:szCs w:val="24"/>
        </w:rPr>
        <w:t>The population-specific nature of the association suggests that the contribution of fruit width to green fruit yield may depend on the genetic background of the population.</w:t>
      </w:r>
      <w:r w:rsidR="00A75E3D" w:rsidRPr="00902A6C">
        <w:rPr>
          <w:rFonts w:ascii="Times New Roman" w:eastAsia="Times New Roman" w:hAnsi="Times New Roman" w:cs="Times New Roman"/>
          <w:sz w:val="24"/>
          <w:szCs w:val="24"/>
        </w:rPr>
        <w:t xml:space="preserve"> </w:t>
      </w:r>
      <w:r w:rsidRPr="00277C6B">
        <w:rPr>
          <w:rFonts w:ascii="Times New Roman" w:eastAsia="Times New Roman" w:hAnsi="Times New Roman" w:cs="Times New Roman"/>
          <w:sz w:val="24"/>
          <w:szCs w:val="24"/>
        </w:rPr>
        <w:t>The relatively strong association observed in D7 × D2 indicates that fruit width may have greater importance as a complementary selection criterion in this particular population.</w:t>
      </w:r>
      <w:r w:rsidR="00A06D19" w:rsidRPr="00902A6C">
        <w:rPr>
          <w:rFonts w:ascii="Times New Roman" w:eastAsia="Times New Roman" w:hAnsi="Times New Roman" w:cs="Times New Roman"/>
          <w:sz w:val="24"/>
          <w:szCs w:val="24"/>
        </w:rPr>
        <w:t xml:space="preserve"> These observations were similar to the findings of </w:t>
      </w:r>
      <w:r w:rsidR="00A712AE" w:rsidRPr="00902A6C">
        <w:rPr>
          <w:rFonts w:ascii="Times New Roman" w:eastAsia="Times New Roman" w:hAnsi="Times New Roman" w:cs="Times New Roman"/>
          <w:sz w:val="24"/>
          <w:szCs w:val="24"/>
        </w:rPr>
        <w:t xml:space="preserve">Singh </w:t>
      </w:r>
      <w:r w:rsidR="00A06D19" w:rsidRPr="00902A6C">
        <w:rPr>
          <w:rFonts w:ascii="Times New Roman" w:eastAsia="Times New Roman" w:hAnsi="Times New Roman" w:cs="Times New Roman"/>
          <w:sz w:val="24"/>
          <w:szCs w:val="24"/>
        </w:rPr>
        <w:t>et al., 2024</w:t>
      </w:r>
      <w:r w:rsidR="00A06D19" w:rsidRPr="00277C6B">
        <w:rPr>
          <w:rFonts w:ascii="Times New Roman" w:eastAsia="Times New Roman" w:hAnsi="Times New Roman" w:cs="Times New Roman"/>
          <w:sz w:val="24"/>
          <w:szCs w:val="24"/>
        </w:rPr>
        <w:t>.</w:t>
      </w:r>
    </w:p>
    <w:p w14:paraId="590B44FC" w14:textId="77777777" w:rsidR="00277C6B" w:rsidRPr="00277C6B" w:rsidRDefault="00277C6B" w:rsidP="00902A6C">
      <w:pPr>
        <w:spacing w:before="100" w:beforeAutospacing="1" w:after="100" w:afterAutospacing="1" w:line="360" w:lineRule="auto"/>
        <w:jc w:val="both"/>
        <w:outlineLvl w:val="2"/>
        <w:rPr>
          <w:rFonts w:ascii="Times New Roman" w:eastAsia="Times New Roman" w:hAnsi="Times New Roman" w:cs="Times New Roman"/>
          <w:b/>
          <w:bCs/>
          <w:sz w:val="24"/>
          <w:szCs w:val="24"/>
        </w:rPr>
      </w:pPr>
      <w:r w:rsidRPr="00277C6B">
        <w:rPr>
          <w:rFonts w:ascii="Times New Roman" w:eastAsia="Times New Roman" w:hAnsi="Times New Roman" w:cs="Times New Roman"/>
          <w:b/>
          <w:bCs/>
          <w:sz w:val="24"/>
          <w:szCs w:val="24"/>
        </w:rPr>
        <w:t>Average fruit weight</w:t>
      </w:r>
    </w:p>
    <w:p w14:paraId="206253C9" w14:textId="77777777" w:rsidR="00277C6B" w:rsidRPr="00277C6B" w:rsidRDefault="00277C6B" w:rsidP="00902A6C">
      <w:pPr>
        <w:spacing w:before="100" w:beforeAutospacing="1" w:after="100" w:afterAutospacing="1" w:line="360" w:lineRule="auto"/>
        <w:jc w:val="both"/>
        <w:rPr>
          <w:rFonts w:ascii="Times New Roman" w:eastAsia="Times New Roman" w:hAnsi="Times New Roman" w:cs="Times New Roman"/>
          <w:sz w:val="24"/>
          <w:szCs w:val="24"/>
        </w:rPr>
      </w:pPr>
      <w:r w:rsidRPr="00277C6B">
        <w:rPr>
          <w:rFonts w:ascii="Times New Roman" w:eastAsia="Times New Roman" w:hAnsi="Times New Roman" w:cs="Times New Roman"/>
          <w:sz w:val="24"/>
          <w:szCs w:val="24"/>
        </w:rPr>
        <w:lastRenderedPageBreak/>
        <w:t>Average fruit weight exhibited relatively weak associations with green fruit yield across all five populations. The correlation coefficients ranged from 0.01 in D4 × D3 to 0.20 in D5 × D2, and the associations were non-significant.</w:t>
      </w:r>
      <w:r w:rsidR="00B10A21" w:rsidRPr="00902A6C">
        <w:rPr>
          <w:rFonts w:ascii="Times New Roman" w:eastAsia="Times New Roman" w:hAnsi="Times New Roman" w:cs="Times New Roman"/>
          <w:sz w:val="24"/>
          <w:szCs w:val="24"/>
        </w:rPr>
        <w:t xml:space="preserve"> </w:t>
      </w:r>
      <w:r w:rsidRPr="00277C6B">
        <w:rPr>
          <w:rFonts w:ascii="Times New Roman" w:eastAsia="Times New Roman" w:hAnsi="Times New Roman" w:cs="Times New Roman"/>
          <w:sz w:val="24"/>
          <w:szCs w:val="24"/>
        </w:rPr>
        <w:t xml:space="preserve">The weak relationship suggests that variation in individual fruit weight alone did not account for a substantial proportion of the variation in green fruit yield among the elite selections. </w:t>
      </w:r>
      <w:r w:rsidR="00C6400A" w:rsidRPr="00902A6C">
        <w:rPr>
          <w:rFonts w:ascii="Times New Roman" w:hAnsi="Times New Roman" w:cs="Times New Roman"/>
          <w:sz w:val="24"/>
          <w:szCs w:val="24"/>
        </w:rPr>
        <w:t xml:space="preserve">This finding differs from some earlier reports in </w:t>
      </w:r>
      <w:proofErr w:type="spellStart"/>
      <w:r w:rsidR="00C6400A" w:rsidRPr="00902A6C">
        <w:rPr>
          <w:rFonts w:ascii="Times New Roman" w:hAnsi="Times New Roman" w:cs="Times New Roman"/>
          <w:sz w:val="24"/>
          <w:szCs w:val="24"/>
        </w:rPr>
        <w:t>chilli</w:t>
      </w:r>
      <w:proofErr w:type="spellEnd"/>
      <w:r w:rsidR="00C6400A" w:rsidRPr="00902A6C">
        <w:rPr>
          <w:rFonts w:ascii="Times New Roman" w:hAnsi="Times New Roman" w:cs="Times New Roman"/>
          <w:sz w:val="24"/>
          <w:szCs w:val="24"/>
        </w:rPr>
        <w:t xml:space="preserve">, where average fruit weight showed significant positive associations on fruit yield, indicating that the relative contribution of fruit size to yield may vary among genetic backgrounds and populations (Chakrabarty et al., 2017). </w:t>
      </w:r>
    </w:p>
    <w:p w14:paraId="7735107F" w14:textId="77777777" w:rsidR="00277C6B" w:rsidRPr="00277C6B" w:rsidRDefault="00277C6B" w:rsidP="00902A6C">
      <w:pPr>
        <w:spacing w:before="100" w:beforeAutospacing="1" w:after="100" w:afterAutospacing="1" w:line="360" w:lineRule="auto"/>
        <w:jc w:val="both"/>
        <w:outlineLvl w:val="0"/>
        <w:rPr>
          <w:rFonts w:ascii="Times New Roman" w:eastAsia="Times New Roman" w:hAnsi="Times New Roman" w:cs="Times New Roman"/>
          <w:b/>
          <w:bCs/>
          <w:kern w:val="36"/>
          <w:sz w:val="24"/>
          <w:szCs w:val="24"/>
        </w:rPr>
      </w:pPr>
      <w:r w:rsidRPr="00277C6B">
        <w:rPr>
          <w:rFonts w:ascii="Times New Roman" w:eastAsia="Times New Roman" w:hAnsi="Times New Roman" w:cs="Times New Roman"/>
          <w:b/>
          <w:bCs/>
          <w:kern w:val="36"/>
          <w:sz w:val="24"/>
          <w:szCs w:val="24"/>
        </w:rPr>
        <w:t>Pooled path coefficient analysis</w:t>
      </w:r>
    </w:p>
    <w:p w14:paraId="49C6C71B" w14:textId="77777777" w:rsidR="00277C6B" w:rsidRDefault="00277C6B" w:rsidP="00902A6C">
      <w:pPr>
        <w:spacing w:before="100" w:beforeAutospacing="1" w:after="100" w:afterAutospacing="1" w:line="360" w:lineRule="auto"/>
        <w:jc w:val="both"/>
        <w:rPr>
          <w:rFonts w:ascii="Times New Roman" w:eastAsia="Times New Roman" w:hAnsi="Times New Roman" w:cs="Times New Roman"/>
          <w:sz w:val="24"/>
          <w:szCs w:val="24"/>
        </w:rPr>
      </w:pPr>
      <w:r w:rsidRPr="00277C6B">
        <w:rPr>
          <w:rFonts w:ascii="Times New Roman" w:eastAsia="Times New Roman" w:hAnsi="Times New Roman" w:cs="Times New Roman"/>
          <w:sz w:val="24"/>
          <w:szCs w:val="24"/>
        </w:rPr>
        <w:t xml:space="preserve">Population-wise correlation analysis identified </w:t>
      </w:r>
      <w:r w:rsidR="0014430E" w:rsidRPr="00902A6C">
        <w:rPr>
          <w:rFonts w:ascii="Times New Roman" w:eastAsia="Times New Roman" w:hAnsi="Times New Roman" w:cs="Times New Roman"/>
          <w:sz w:val="24"/>
          <w:szCs w:val="24"/>
        </w:rPr>
        <w:t>fruit number plant</w:t>
      </w:r>
      <w:r w:rsidR="0014430E" w:rsidRPr="00902A6C">
        <w:rPr>
          <w:rFonts w:ascii="Times New Roman" w:eastAsia="Times New Roman" w:hAnsi="Times New Roman" w:cs="Times New Roman"/>
          <w:sz w:val="24"/>
          <w:szCs w:val="24"/>
          <w:vertAlign w:val="superscript"/>
        </w:rPr>
        <w:t>-1</w:t>
      </w:r>
      <w:r w:rsidRPr="00277C6B">
        <w:rPr>
          <w:rFonts w:ascii="Times New Roman" w:eastAsia="Times New Roman" w:hAnsi="Times New Roman" w:cs="Times New Roman"/>
          <w:sz w:val="24"/>
          <w:szCs w:val="24"/>
        </w:rPr>
        <w:t xml:space="preserve"> as the most consistently associated trait with green fruit yield. To further determine whether the observed associations resulted from direct contributions or relationships mediated through other traits, path coefficient analysis was conducted using the pooled dataset.</w:t>
      </w:r>
    </w:p>
    <w:p w14:paraId="69D13118" w14:textId="77777777" w:rsidR="00D145DA" w:rsidRPr="00277C6B" w:rsidRDefault="00D145DA" w:rsidP="00902A6C">
      <w:pPr>
        <w:spacing w:before="100" w:beforeAutospacing="1" w:after="100" w:afterAutospacing="1" w:line="360" w:lineRule="auto"/>
        <w:jc w:val="both"/>
        <w:rPr>
          <w:rFonts w:ascii="Times New Roman" w:eastAsia="Times New Roman" w:hAnsi="Times New Roman" w:cs="Times New Roman"/>
          <w:sz w:val="24"/>
          <w:szCs w:val="24"/>
        </w:rPr>
      </w:pPr>
      <w:r w:rsidRPr="00277C6B">
        <w:rPr>
          <w:rFonts w:ascii="Times New Roman" w:eastAsia="Times New Roman" w:hAnsi="Times New Roman" w:cs="Times New Roman"/>
          <w:sz w:val="24"/>
          <w:szCs w:val="24"/>
        </w:rPr>
        <w:t xml:space="preserve">The path analysis revealed considerable differences in the magnitude of direct effects among the component traits. </w:t>
      </w:r>
      <w:r w:rsidRPr="00902A6C">
        <w:rPr>
          <w:rFonts w:ascii="Times New Roman" w:eastAsia="Times New Roman" w:hAnsi="Times New Roman" w:cs="Times New Roman"/>
          <w:bCs/>
          <w:sz w:val="24"/>
          <w:szCs w:val="24"/>
        </w:rPr>
        <w:t>Average fruit number plant</w:t>
      </w:r>
      <w:r w:rsidRPr="00902A6C">
        <w:rPr>
          <w:rFonts w:ascii="Times New Roman" w:eastAsia="Times New Roman" w:hAnsi="Times New Roman" w:cs="Times New Roman"/>
          <w:bCs/>
          <w:sz w:val="24"/>
          <w:szCs w:val="24"/>
          <w:vertAlign w:val="superscript"/>
        </w:rPr>
        <w:t>-1</w:t>
      </w:r>
      <w:r w:rsidRPr="00902A6C">
        <w:rPr>
          <w:rFonts w:ascii="Times New Roman" w:eastAsia="Times New Roman" w:hAnsi="Times New Roman" w:cs="Times New Roman"/>
          <w:bCs/>
          <w:sz w:val="24"/>
          <w:szCs w:val="24"/>
        </w:rPr>
        <w:t xml:space="preserve"> recorded the highest positive direct effect (0.78)</w:t>
      </w:r>
      <w:r w:rsidRPr="00277C6B">
        <w:rPr>
          <w:rFonts w:ascii="Times New Roman" w:eastAsia="Times New Roman" w:hAnsi="Times New Roman" w:cs="Times New Roman"/>
          <w:sz w:val="24"/>
          <w:szCs w:val="24"/>
        </w:rPr>
        <w:t>, followed by average fruit width (0.2</w:t>
      </w:r>
      <w:r w:rsidRPr="00902A6C">
        <w:rPr>
          <w:rFonts w:ascii="Times New Roman" w:eastAsia="Times New Roman" w:hAnsi="Times New Roman" w:cs="Times New Roman"/>
          <w:sz w:val="24"/>
          <w:szCs w:val="24"/>
        </w:rPr>
        <w:t>5</w:t>
      </w:r>
      <w:r w:rsidRPr="00277C6B">
        <w:rPr>
          <w:rFonts w:ascii="Times New Roman" w:eastAsia="Times New Roman" w:hAnsi="Times New Roman" w:cs="Times New Roman"/>
          <w:sz w:val="24"/>
          <w:szCs w:val="24"/>
        </w:rPr>
        <w:t>) and average fruit weight (0.1</w:t>
      </w:r>
      <w:r w:rsidRPr="00902A6C">
        <w:rPr>
          <w:rFonts w:ascii="Times New Roman" w:eastAsia="Times New Roman" w:hAnsi="Times New Roman" w:cs="Times New Roman"/>
          <w:sz w:val="24"/>
          <w:szCs w:val="24"/>
        </w:rPr>
        <w:t>2</w:t>
      </w:r>
      <w:r w:rsidRPr="00277C6B">
        <w:rPr>
          <w:rFonts w:ascii="Times New Roman" w:eastAsia="Times New Roman" w:hAnsi="Times New Roman" w:cs="Times New Roman"/>
          <w:sz w:val="24"/>
          <w:szCs w:val="24"/>
        </w:rPr>
        <w:t>). Average fruit length exhibited a comparatively small</w:t>
      </w:r>
      <w:r w:rsidRPr="00902A6C">
        <w:rPr>
          <w:rFonts w:ascii="Times New Roman" w:eastAsia="Times New Roman" w:hAnsi="Times New Roman" w:cs="Times New Roman"/>
          <w:sz w:val="24"/>
          <w:szCs w:val="24"/>
        </w:rPr>
        <w:t xml:space="preserve"> positive direct effect of 0.04</w:t>
      </w:r>
      <w:r w:rsidRPr="00277C6B">
        <w:rPr>
          <w:rFonts w:ascii="Times New Roman" w:eastAsia="Times New Roman" w:hAnsi="Times New Roman" w:cs="Times New Roman"/>
          <w:sz w:val="24"/>
          <w:szCs w:val="24"/>
        </w:rPr>
        <w:t>.</w:t>
      </w:r>
      <w:r w:rsidR="00CC2C55">
        <w:rPr>
          <w:rFonts w:ascii="Times New Roman" w:eastAsia="Times New Roman" w:hAnsi="Times New Roman" w:cs="Times New Roman"/>
          <w:sz w:val="24"/>
          <w:szCs w:val="24"/>
        </w:rPr>
        <w:t xml:space="preserve"> (Janaki et al., 2018; </w:t>
      </w:r>
      <w:r w:rsidRPr="00902A6C">
        <w:rPr>
          <w:rFonts w:ascii="Times New Roman" w:eastAsia="Times New Roman" w:hAnsi="Times New Roman" w:cs="Times New Roman"/>
          <w:sz w:val="24"/>
          <w:szCs w:val="24"/>
        </w:rPr>
        <w:t>Chetan</w:t>
      </w:r>
      <w:r>
        <w:rPr>
          <w:rFonts w:ascii="Times New Roman" w:eastAsia="Times New Roman" w:hAnsi="Times New Roman" w:cs="Times New Roman"/>
          <w:sz w:val="24"/>
          <w:szCs w:val="24"/>
        </w:rPr>
        <w:t xml:space="preserve"> </w:t>
      </w:r>
      <w:r w:rsidRPr="00902A6C">
        <w:rPr>
          <w:rFonts w:ascii="Times New Roman" w:eastAsia="Times New Roman" w:hAnsi="Times New Roman" w:cs="Times New Roman"/>
          <w:sz w:val="24"/>
          <w:szCs w:val="24"/>
        </w:rPr>
        <w:t>et al., 2019; Rana et al</w:t>
      </w:r>
      <w:r w:rsidR="00CC2C55">
        <w:rPr>
          <w:rFonts w:ascii="Times New Roman" w:eastAsia="Times New Roman" w:hAnsi="Times New Roman" w:cs="Times New Roman"/>
          <w:sz w:val="24"/>
          <w:szCs w:val="24"/>
        </w:rPr>
        <w:t>.</w:t>
      </w:r>
      <w:r w:rsidRPr="00902A6C">
        <w:rPr>
          <w:rFonts w:ascii="Times New Roman" w:eastAsia="Times New Roman" w:hAnsi="Times New Roman" w:cs="Times New Roman"/>
          <w:sz w:val="24"/>
          <w:szCs w:val="24"/>
        </w:rPr>
        <w:t>, 2015)</w:t>
      </w:r>
      <w:r>
        <w:rPr>
          <w:rFonts w:ascii="Times New Roman" w:eastAsia="Times New Roman" w:hAnsi="Times New Roman" w:cs="Times New Roman"/>
          <w:sz w:val="24"/>
          <w:szCs w:val="24"/>
        </w:rPr>
        <w:t>.</w:t>
      </w:r>
    </w:p>
    <w:p w14:paraId="19556134" w14:textId="77777777" w:rsidR="00277C6B" w:rsidRPr="00277C6B" w:rsidRDefault="0014430E" w:rsidP="00902A6C">
      <w:pPr>
        <w:spacing w:before="100" w:beforeAutospacing="1" w:after="100" w:afterAutospacing="1" w:line="360" w:lineRule="auto"/>
        <w:jc w:val="both"/>
        <w:outlineLvl w:val="2"/>
        <w:rPr>
          <w:rFonts w:ascii="Times New Roman" w:eastAsia="Times New Roman" w:hAnsi="Times New Roman" w:cs="Times New Roman"/>
          <w:b/>
          <w:bCs/>
          <w:sz w:val="24"/>
          <w:szCs w:val="24"/>
        </w:rPr>
      </w:pPr>
      <w:r w:rsidRPr="00902A6C">
        <w:rPr>
          <w:rFonts w:ascii="Times New Roman" w:eastAsia="Times New Roman" w:hAnsi="Times New Roman" w:cs="Times New Roman"/>
          <w:b/>
          <w:bCs/>
          <w:sz w:val="24"/>
          <w:szCs w:val="24"/>
        </w:rPr>
        <w:t>Table 3</w:t>
      </w:r>
      <w:r w:rsidR="00277C6B" w:rsidRPr="00277C6B">
        <w:rPr>
          <w:rFonts w:ascii="Times New Roman" w:eastAsia="Times New Roman" w:hAnsi="Times New Roman" w:cs="Times New Roman"/>
          <w:b/>
          <w:bCs/>
          <w:sz w:val="24"/>
          <w:szCs w:val="24"/>
        </w:rPr>
        <w:t xml:space="preserve">. Phenotypic path coefficient analysis showing direct and indirect effects of yield-related traits on green fruit yield per plant in </w:t>
      </w:r>
      <w:proofErr w:type="spellStart"/>
      <w:r w:rsidR="00277C6B" w:rsidRPr="00277C6B">
        <w:rPr>
          <w:rFonts w:ascii="Times New Roman" w:eastAsia="Times New Roman" w:hAnsi="Times New Roman" w:cs="Times New Roman"/>
          <w:b/>
          <w:bCs/>
          <w:sz w:val="24"/>
          <w:szCs w:val="24"/>
        </w:rPr>
        <w:t>chilli</w:t>
      </w:r>
      <w:proofErr w:type="spellEnd"/>
    </w:p>
    <w:tbl>
      <w:tblPr>
        <w:tblStyle w:val="TableGrid"/>
        <w:tblW w:w="0" w:type="auto"/>
        <w:tblLook w:val="04A0" w:firstRow="1" w:lastRow="0" w:firstColumn="1" w:lastColumn="0" w:noHBand="0" w:noVBand="1"/>
      </w:tblPr>
      <w:tblGrid>
        <w:gridCol w:w="2448"/>
        <w:gridCol w:w="1057"/>
        <w:gridCol w:w="1957"/>
        <w:gridCol w:w="1279"/>
        <w:gridCol w:w="1220"/>
        <w:gridCol w:w="1615"/>
      </w:tblGrid>
      <w:tr w:rsidR="00B10A21" w:rsidRPr="00902A6C" w14:paraId="1ECB7E5A" w14:textId="77777777" w:rsidTr="00B10A21">
        <w:tc>
          <w:tcPr>
            <w:tcW w:w="2448" w:type="dxa"/>
            <w:hideMark/>
          </w:tcPr>
          <w:p w14:paraId="7B7EC88D" w14:textId="77777777" w:rsidR="00277C6B" w:rsidRPr="00277C6B" w:rsidRDefault="00277C6B" w:rsidP="00902A6C">
            <w:pPr>
              <w:spacing w:line="360" w:lineRule="auto"/>
              <w:jc w:val="both"/>
              <w:rPr>
                <w:rFonts w:ascii="Times New Roman" w:eastAsia="Times New Roman" w:hAnsi="Times New Roman" w:cs="Times New Roman"/>
                <w:b/>
                <w:bCs/>
                <w:sz w:val="24"/>
                <w:szCs w:val="24"/>
              </w:rPr>
            </w:pPr>
            <w:r w:rsidRPr="00277C6B">
              <w:rPr>
                <w:rFonts w:ascii="Times New Roman" w:eastAsia="Times New Roman" w:hAnsi="Times New Roman" w:cs="Times New Roman"/>
                <w:b/>
                <w:bCs/>
                <w:sz w:val="24"/>
                <w:szCs w:val="24"/>
              </w:rPr>
              <w:t>Trait</w:t>
            </w:r>
          </w:p>
        </w:tc>
        <w:tc>
          <w:tcPr>
            <w:tcW w:w="1057" w:type="dxa"/>
            <w:hideMark/>
          </w:tcPr>
          <w:p w14:paraId="49E0C00F" w14:textId="77777777" w:rsidR="00277C6B" w:rsidRPr="00277C6B" w:rsidRDefault="00277C6B" w:rsidP="00902A6C">
            <w:pPr>
              <w:spacing w:line="360" w:lineRule="auto"/>
              <w:jc w:val="both"/>
              <w:rPr>
                <w:rFonts w:ascii="Times New Roman" w:eastAsia="Times New Roman" w:hAnsi="Times New Roman" w:cs="Times New Roman"/>
                <w:b/>
                <w:bCs/>
                <w:sz w:val="24"/>
                <w:szCs w:val="24"/>
              </w:rPr>
            </w:pPr>
            <w:r w:rsidRPr="00277C6B">
              <w:rPr>
                <w:rFonts w:ascii="Times New Roman" w:eastAsia="Times New Roman" w:hAnsi="Times New Roman" w:cs="Times New Roman"/>
                <w:b/>
                <w:bCs/>
                <w:sz w:val="24"/>
                <w:szCs w:val="24"/>
              </w:rPr>
              <w:t>Fruit weight</w:t>
            </w:r>
          </w:p>
        </w:tc>
        <w:tc>
          <w:tcPr>
            <w:tcW w:w="0" w:type="auto"/>
            <w:hideMark/>
          </w:tcPr>
          <w:p w14:paraId="4E34DC96" w14:textId="77777777" w:rsidR="00277C6B" w:rsidRPr="00277C6B" w:rsidRDefault="0014430E" w:rsidP="00902A6C">
            <w:pPr>
              <w:spacing w:line="360" w:lineRule="auto"/>
              <w:jc w:val="both"/>
              <w:rPr>
                <w:rFonts w:ascii="Times New Roman" w:eastAsia="Times New Roman" w:hAnsi="Times New Roman" w:cs="Times New Roman"/>
                <w:b/>
                <w:bCs/>
                <w:sz w:val="24"/>
                <w:szCs w:val="24"/>
              </w:rPr>
            </w:pPr>
            <w:r w:rsidRPr="00902A6C">
              <w:rPr>
                <w:rFonts w:ascii="Times New Roman" w:eastAsia="Times New Roman" w:hAnsi="Times New Roman" w:cs="Times New Roman"/>
                <w:b/>
                <w:bCs/>
                <w:sz w:val="24"/>
                <w:szCs w:val="24"/>
              </w:rPr>
              <w:t>Fruit number plant</w:t>
            </w:r>
            <w:r w:rsidRPr="00902A6C">
              <w:rPr>
                <w:rFonts w:ascii="Times New Roman" w:eastAsia="Times New Roman" w:hAnsi="Times New Roman" w:cs="Times New Roman"/>
                <w:b/>
                <w:bCs/>
                <w:sz w:val="24"/>
                <w:szCs w:val="24"/>
                <w:vertAlign w:val="superscript"/>
              </w:rPr>
              <w:t>-1</w:t>
            </w:r>
          </w:p>
        </w:tc>
        <w:tc>
          <w:tcPr>
            <w:tcW w:w="0" w:type="auto"/>
            <w:hideMark/>
          </w:tcPr>
          <w:p w14:paraId="5CFF37DD" w14:textId="77777777" w:rsidR="00277C6B" w:rsidRPr="00277C6B" w:rsidRDefault="00277C6B" w:rsidP="00902A6C">
            <w:pPr>
              <w:spacing w:line="360" w:lineRule="auto"/>
              <w:jc w:val="both"/>
              <w:rPr>
                <w:rFonts w:ascii="Times New Roman" w:eastAsia="Times New Roman" w:hAnsi="Times New Roman" w:cs="Times New Roman"/>
                <w:b/>
                <w:bCs/>
                <w:sz w:val="24"/>
                <w:szCs w:val="24"/>
              </w:rPr>
            </w:pPr>
            <w:r w:rsidRPr="00277C6B">
              <w:rPr>
                <w:rFonts w:ascii="Times New Roman" w:eastAsia="Times New Roman" w:hAnsi="Times New Roman" w:cs="Times New Roman"/>
                <w:b/>
                <w:bCs/>
                <w:sz w:val="24"/>
                <w:szCs w:val="24"/>
              </w:rPr>
              <w:t>Fruit length</w:t>
            </w:r>
          </w:p>
        </w:tc>
        <w:tc>
          <w:tcPr>
            <w:tcW w:w="0" w:type="auto"/>
            <w:hideMark/>
          </w:tcPr>
          <w:p w14:paraId="460EFD2A" w14:textId="77777777" w:rsidR="00277C6B" w:rsidRPr="00277C6B" w:rsidRDefault="00277C6B" w:rsidP="00902A6C">
            <w:pPr>
              <w:spacing w:line="360" w:lineRule="auto"/>
              <w:jc w:val="both"/>
              <w:rPr>
                <w:rFonts w:ascii="Times New Roman" w:eastAsia="Times New Roman" w:hAnsi="Times New Roman" w:cs="Times New Roman"/>
                <w:b/>
                <w:bCs/>
                <w:sz w:val="24"/>
                <w:szCs w:val="24"/>
              </w:rPr>
            </w:pPr>
            <w:r w:rsidRPr="00277C6B">
              <w:rPr>
                <w:rFonts w:ascii="Times New Roman" w:eastAsia="Times New Roman" w:hAnsi="Times New Roman" w:cs="Times New Roman"/>
                <w:b/>
                <w:bCs/>
                <w:sz w:val="24"/>
                <w:szCs w:val="24"/>
              </w:rPr>
              <w:t>Fruit width</w:t>
            </w:r>
          </w:p>
        </w:tc>
        <w:tc>
          <w:tcPr>
            <w:tcW w:w="0" w:type="auto"/>
            <w:hideMark/>
          </w:tcPr>
          <w:p w14:paraId="481312F8" w14:textId="77777777" w:rsidR="00277C6B" w:rsidRPr="00277C6B" w:rsidRDefault="00277C6B" w:rsidP="00902A6C">
            <w:pPr>
              <w:spacing w:line="360" w:lineRule="auto"/>
              <w:jc w:val="both"/>
              <w:rPr>
                <w:rFonts w:ascii="Times New Roman" w:eastAsia="Times New Roman" w:hAnsi="Times New Roman" w:cs="Times New Roman"/>
                <w:b/>
                <w:bCs/>
                <w:sz w:val="24"/>
                <w:szCs w:val="24"/>
              </w:rPr>
            </w:pPr>
            <w:r w:rsidRPr="00277C6B">
              <w:rPr>
                <w:rFonts w:ascii="Times New Roman" w:eastAsia="Times New Roman" w:hAnsi="Times New Roman" w:cs="Times New Roman"/>
                <w:b/>
                <w:bCs/>
                <w:sz w:val="24"/>
                <w:szCs w:val="24"/>
              </w:rPr>
              <w:t>Green fruit yield</w:t>
            </w:r>
          </w:p>
        </w:tc>
      </w:tr>
      <w:tr w:rsidR="00B10A21" w:rsidRPr="00902A6C" w14:paraId="79D3EA5F" w14:textId="77777777" w:rsidTr="00B10A21">
        <w:tc>
          <w:tcPr>
            <w:tcW w:w="2448" w:type="dxa"/>
            <w:hideMark/>
          </w:tcPr>
          <w:p w14:paraId="7FBAF664" w14:textId="77777777" w:rsidR="00B10A21" w:rsidRPr="00277C6B" w:rsidRDefault="00B10A21"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bCs/>
                <w:sz w:val="24"/>
                <w:szCs w:val="24"/>
              </w:rPr>
              <w:t xml:space="preserve">Average fruit weight </w:t>
            </w:r>
          </w:p>
        </w:tc>
        <w:tc>
          <w:tcPr>
            <w:tcW w:w="1057" w:type="dxa"/>
            <w:hideMark/>
          </w:tcPr>
          <w:p w14:paraId="428B6745" w14:textId="77777777" w:rsidR="00B10A21" w:rsidRPr="00277C6B" w:rsidRDefault="00B10A21"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b/>
                <w:bCs/>
                <w:sz w:val="24"/>
                <w:szCs w:val="24"/>
              </w:rPr>
              <w:t>0.12</w:t>
            </w:r>
          </w:p>
        </w:tc>
        <w:tc>
          <w:tcPr>
            <w:tcW w:w="0" w:type="auto"/>
            <w:hideMark/>
          </w:tcPr>
          <w:p w14:paraId="79058F2A" w14:textId="77777777" w:rsidR="00B10A21" w:rsidRPr="00277C6B" w:rsidRDefault="00B10A21"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-0.003</w:t>
            </w:r>
          </w:p>
        </w:tc>
        <w:tc>
          <w:tcPr>
            <w:tcW w:w="0" w:type="auto"/>
            <w:hideMark/>
          </w:tcPr>
          <w:p w14:paraId="65523AF0" w14:textId="77777777" w:rsidR="00B10A21" w:rsidRPr="00277C6B" w:rsidRDefault="00B10A21"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-0.0002</w:t>
            </w:r>
          </w:p>
        </w:tc>
        <w:tc>
          <w:tcPr>
            <w:tcW w:w="0" w:type="auto"/>
            <w:hideMark/>
          </w:tcPr>
          <w:p w14:paraId="1EABEC9F" w14:textId="77777777" w:rsidR="00B10A21" w:rsidRPr="00277C6B" w:rsidRDefault="00B10A21"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0.11</w:t>
            </w:r>
          </w:p>
        </w:tc>
        <w:tc>
          <w:tcPr>
            <w:tcW w:w="0" w:type="auto"/>
            <w:hideMark/>
          </w:tcPr>
          <w:p w14:paraId="44A144A9" w14:textId="77777777" w:rsidR="00B10A21" w:rsidRPr="00277C6B" w:rsidRDefault="00B10A21"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b/>
                <w:bCs/>
                <w:sz w:val="24"/>
                <w:szCs w:val="24"/>
              </w:rPr>
              <w:t>0.23</w:t>
            </w:r>
          </w:p>
        </w:tc>
      </w:tr>
      <w:tr w:rsidR="00B10A21" w:rsidRPr="00902A6C" w14:paraId="3A4B93F2" w14:textId="77777777" w:rsidTr="00B10A21">
        <w:tc>
          <w:tcPr>
            <w:tcW w:w="2448" w:type="dxa"/>
            <w:hideMark/>
          </w:tcPr>
          <w:p w14:paraId="51D33CB1" w14:textId="77777777" w:rsidR="00B10A21" w:rsidRPr="00277C6B" w:rsidRDefault="00B10A21"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bCs/>
                <w:sz w:val="24"/>
                <w:szCs w:val="24"/>
              </w:rPr>
              <w:t xml:space="preserve">Average </w:t>
            </w:r>
            <w:r w:rsidR="0014430E" w:rsidRPr="00902A6C">
              <w:rPr>
                <w:rFonts w:ascii="Times New Roman" w:eastAsia="Times New Roman" w:hAnsi="Times New Roman" w:cs="Times New Roman"/>
                <w:bCs/>
                <w:sz w:val="24"/>
                <w:szCs w:val="24"/>
              </w:rPr>
              <w:t>fruit number plant</w:t>
            </w:r>
            <w:r w:rsidR="0014430E" w:rsidRPr="00902A6C">
              <w:rPr>
                <w:rFonts w:ascii="Times New Roman" w:eastAsia="Times New Roman" w:hAnsi="Times New Roman" w:cs="Times New Roman"/>
                <w:bCs/>
                <w:sz w:val="24"/>
                <w:szCs w:val="24"/>
                <w:vertAlign w:val="superscript"/>
              </w:rPr>
              <w:t>-1</w:t>
            </w:r>
            <w:r w:rsidRPr="00902A6C">
              <w:rPr>
                <w:rFonts w:ascii="Times New Roman" w:eastAsia="Times New Roman" w:hAnsi="Times New Roman" w:cs="Times New Roman"/>
                <w:bCs/>
                <w:sz w:val="24"/>
                <w:szCs w:val="24"/>
              </w:rPr>
              <w:t xml:space="preserve"> </w:t>
            </w:r>
          </w:p>
        </w:tc>
        <w:tc>
          <w:tcPr>
            <w:tcW w:w="1057" w:type="dxa"/>
            <w:hideMark/>
          </w:tcPr>
          <w:p w14:paraId="2FCC27A5" w14:textId="77777777" w:rsidR="00B10A21" w:rsidRPr="00277C6B" w:rsidRDefault="00B10A21"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-0.001</w:t>
            </w:r>
          </w:p>
        </w:tc>
        <w:tc>
          <w:tcPr>
            <w:tcW w:w="0" w:type="auto"/>
            <w:hideMark/>
          </w:tcPr>
          <w:p w14:paraId="4619BA82" w14:textId="77777777" w:rsidR="00B10A21" w:rsidRPr="00277C6B" w:rsidRDefault="00B10A21"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b/>
                <w:bCs/>
                <w:sz w:val="24"/>
                <w:szCs w:val="24"/>
              </w:rPr>
              <w:t>0.78</w:t>
            </w:r>
          </w:p>
        </w:tc>
        <w:tc>
          <w:tcPr>
            <w:tcW w:w="0" w:type="auto"/>
            <w:hideMark/>
          </w:tcPr>
          <w:p w14:paraId="6414F7B3" w14:textId="77777777" w:rsidR="00B10A21" w:rsidRPr="00277C6B" w:rsidRDefault="00B10A21"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0.006</w:t>
            </w:r>
          </w:p>
        </w:tc>
        <w:tc>
          <w:tcPr>
            <w:tcW w:w="0" w:type="auto"/>
            <w:hideMark/>
          </w:tcPr>
          <w:p w14:paraId="136F6C24" w14:textId="77777777" w:rsidR="00B10A21" w:rsidRPr="00277C6B" w:rsidRDefault="00B10A21"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-0.01</w:t>
            </w:r>
          </w:p>
        </w:tc>
        <w:tc>
          <w:tcPr>
            <w:tcW w:w="0" w:type="auto"/>
            <w:hideMark/>
          </w:tcPr>
          <w:p w14:paraId="349459F3" w14:textId="77777777" w:rsidR="00B10A21" w:rsidRPr="00277C6B" w:rsidRDefault="00B10A21"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b/>
                <w:bCs/>
                <w:sz w:val="24"/>
                <w:szCs w:val="24"/>
              </w:rPr>
              <w:t>0.77</w:t>
            </w:r>
          </w:p>
        </w:tc>
      </w:tr>
      <w:tr w:rsidR="00B10A21" w:rsidRPr="00902A6C" w14:paraId="0CADB661" w14:textId="77777777" w:rsidTr="00B10A21">
        <w:tc>
          <w:tcPr>
            <w:tcW w:w="2448" w:type="dxa"/>
            <w:hideMark/>
          </w:tcPr>
          <w:p w14:paraId="00778E7F" w14:textId="77777777" w:rsidR="00B10A21" w:rsidRPr="00277C6B" w:rsidRDefault="00B10A21"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bCs/>
                <w:sz w:val="24"/>
                <w:szCs w:val="24"/>
              </w:rPr>
              <w:t>Average fruit length</w:t>
            </w:r>
          </w:p>
        </w:tc>
        <w:tc>
          <w:tcPr>
            <w:tcW w:w="1057" w:type="dxa"/>
            <w:hideMark/>
          </w:tcPr>
          <w:p w14:paraId="05A260FA" w14:textId="77777777" w:rsidR="00B10A21" w:rsidRPr="00277C6B" w:rsidRDefault="00B10A21"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-0.001</w:t>
            </w:r>
          </w:p>
        </w:tc>
        <w:tc>
          <w:tcPr>
            <w:tcW w:w="0" w:type="auto"/>
            <w:hideMark/>
          </w:tcPr>
          <w:p w14:paraId="416F0B32" w14:textId="77777777" w:rsidR="00B10A21" w:rsidRPr="00277C6B" w:rsidRDefault="00B10A21"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0.13</w:t>
            </w:r>
          </w:p>
        </w:tc>
        <w:tc>
          <w:tcPr>
            <w:tcW w:w="0" w:type="auto"/>
            <w:hideMark/>
          </w:tcPr>
          <w:p w14:paraId="5C0D613A" w14:textId="77777777" w:rsidR="00B10A21" w:rsidRPr="00277C6B" w:rsidRDefault="00B10A21"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b/>
                <w:bCs/>
                <w:sz w:val="24"/>
                <w:szCs w:val="24"/>
              </w:rPr>
              <w:t>0.04</w:t>
            </w:r>
          </w:p>
        </w:tc>
        <w:tc>
          <w:tcPr>
            <w:tcW w:w="0" w:type="auto"/>
            <w:hideMark/>
          </w:tcPr>
          <w:p w14:paraId="0857C36B" w14:textId="77777777" w:rsidR="00B10A21" w:rsidRPr="00277C6B" w:rsidRDefault="00B10A21"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-0.01</w:t>
            </w:r>
          </w:p>
        </w:tc>
        <w:tc>
          <w:tcPr>
            <w:tcW w:w="0" w:type="auto"/>
            <w:hideMark/>
          </w:tcPr>
          <w:p w14:paraId="29F08F14" w14:textId="77777777" w:rsidR="00B10A21" w:rsidRPr="00277C6B" w:rsidRDefault="00B10A21"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b/>
                <w:bCs/>
                <w:sz w:val="24"/>
                <w:szCs w:val="24"/>
              </w:rPr>
              <w:t>0.16</w:t>
            </w:r>
          </w:p>
        </w:tc>
      </w:tr>
      <w:tr w:rsidR="00B10A21" w:rsidRPr="00902A6C" w14:paraId="68DF443B" w14:textId="77777777" w:rsidTr="00B10A21">
        <w:tc>
          <w:tcPr>
            <w:tcW w:w="2448" w:type="dxa"/>
            <w:hideMark/>
          </w:tcPr>
          <w:p w14:paraId="7F3A5EFB" w14:textId="77777777" w:rsidR="00B10A21" w:rsidRPr="00277C6B" w:rsidRDefault="00B10A21"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bCs/>
                <w:sz w:val="24"/>
                <w:szCs w:val="24"/>
              </w:rPr>
              <w:t xml:space="preserve">Average fruit width </w:t>
            </w:r>
          </w:p>
        </w:tc>
        <w:tc>
          <w:tcPr>
            <w:tcW w:w="1057" w:type="dxa"/>
            <w:hideMark/>
          </w:tcPr>
          <w:p w14:paraId="7D5AC8C7" w14:textId="77777777" w:rsidR="00B10A21" w:rsidRPr="00277C6B" w:rsidRDefault="00B10A21"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0.05</w:t>
            </w:r>
          </w:p>
        </w:tc>
        <w:tc>
          <w:tcPr>
            <w:tcW w:w="0" w:type="auto"/>
            <w:hideMark/>
          </w:tcPr>
          <w:p w14:paraId="1ED57567" w14:textId="77777777" w:rsidR="00B10A21" w:rsidRPr="00277C6B" w:rsidRDefault="00B10A21"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-0.04</w:t>
            </w:r>
          </w:p>
        </w:tc>
        <w:tc>
          <w:tcPr>
            <w:tcW w:w="0" w:type="auto"/>
            <w:hideMark/>
          </w:tcPr>
          <w:p w14:paraId="7E05B4AD" w14:textId="77777777" w:rsidR="00B10A21" w:rsidRPr="00277C6B" w:rsidRDefault="00B10A21"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-0.001</w:t>
            </w:r>
          </w:p>
        </w:tc>
        <w:tc>
          <w:tcPr>
            <w:tcW w:w="0" w:type="auto"/>
            <w:hideMark/>
          </w:tcPr>
          <w:p w14:paraId="3BF13CE5" w14:textId="77777777" w:rsidR="00B10A21" w:rsidRPr="00277C6B" w:rsidRDefault="00B10A21"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b/>
                <w:bCs/>
                <w:sz w:val="24"/>
                <w:szCs w:val="24"/>
              </w:rPr>
              <w:t>0.25</w:t>
            </w:r>
          </w:p>
        </w:tc>
        <w:tc>
          <w:tcPr>
            <w:tcW w:w="0" w:type="auto"/>
            <w:hideMark/>
          </w:tcPr>
          <w:p w14:paraId="30B9F456" w14:textId="77777777" w:rsidR="00B10A21" w:rsidRPr="00277C6B" w:rsidRDefault="00B10A21"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b/>
                <w:bCs/>
                <w:sz w:val="24"/>
                <w:szCs w:val="24"/>
              </w:rPr>
              <w:t>0.26</w:t>
            </w:r>
          </w:p>
        </w:tc>
      </w:tr>
    </w:tbl>
    <w:p w14:paraId="58498617" w14:textId="77777777" w:rsidR="00277C6B" w:rsidRPr="00277C6B" w:rsidRDefault="00277C6B" w:rsidP="00902A6C">
      <w:pPr>
        <w:spacing w:before="100" w:beforeAutospacing="1" w:after="100" w:afterAutospacing="1" w:line="360" w:lineRule="auto"/>
        <w:jc w:val="both"/>
        <w:rPr>
          <w:rFonts w:ascii="Times New Roman" w:eastAsia="Times New Roman" w:hAnsi="Times New Roman" w:cs="Times New Roman"/>
          <w:sz w:val="24"/>
          <w:szCs w:val="24"/>
        </w:rPr>
      </w:pPr>
      <w:r w:rsidRPr="00277C6B">
        <w:rPr>
          <w:rFonts w:ascii="Times New Roman" w:eastAsia="Times New Roman" w:hAnsi="Times New Roman" w:cs="Times New Roman"/>
          <w:sz w:val="24"/>
          <w:szCs w:val="24"/>
        </w:rPr>
        <w:lastRenderedPageBreak/>
        <w:t xml:space="preserve">The high direct effect of </w:t>
      </w:r>
      <w:r w:rsidR="0014430E" w:rsidRPr="00902A6C">
        <w:rPr>
          <w:rFonts w:ascii="Times New Roman" w:eastAsia="Times New Roman" w:hAnsi="Times New Roman" w:cs="Times New Roman"/>
          <w:sz w:val="24"/>
          <w:szCs w:val="24"/>
        </w:rPr>
        <w:t>fruit number plant</w:t>
      </w:r>
      <w:r w:rsidR="0014430E" w:rsidRPr="00902A6C">
        <w:rPr>
          <w:rFonts w:ascii="Times New Roman" w:eastAsia="Times New Roman" w:hAnsi="Times New Roman" w:cs="Times New Roman"/>
          <w:sz w:val="24"/>
          <w:szCs w:val="24"/>
          <w:vertAlign w:val="superscript"/>
        </w:rPr>
        <w:t>-1</w:t>
      </w:r>
      <w:r w:rsidRPr="00277C6B">
        <w:rPr>
          <w:rFonts w:ascii="Times New Roman" w:eastAsia="Times New Roman" w:hAnsi="Times New Roman" w:cs="Times New Roman"/>
          <w:sz w:val="24"/>
          <w:szCs w:val="24"/>
        </w:rPr>
        <w:t xml:space="preserve"> was accompanied by a strong positive correlation with green fruit yield (r = 0.77). This indicates that the strong association between </w:t>
      </w:r>
      <w:r w:rsidR="0014430E" w:rsidRPr="00902A6C">
        <w:rPr>
          <w:rFonts w:ascii="Times New Roman" w:eastAsia="Times New Roman" w:hAnsi="Times New Roman" w:cs="Times New Roman"/>
          <w:sz w:val="24"/>
          <w:szCs w:val="24"/>
        </w:rPr>
        <w:t>fruit number plant</w:t>
      </w:r>
      <w:r w:rsidR="0014430E" w:rsidRPr="00902A6C">
        <w:rPr>
          <w:rFonts w:ascii="Times New Roman" w:eastAsia="Times New Roman" w:hAnsi="Times New Roman" w:cs="Times New Roman"/>
          <w:sz w:val="24"/>
          <w:szCs w:val="24"/>
          <w:vertAlign w:val="superscript"/>
        </w:rPr>
        <w:t>-1</w:t>
      </w:r>
      <w:r w:rsidRPr="00277C6B">
        <w:rPr>
          <w:rFonts w:ascii="Times New Roman" w:eastAsia="Times New Roman" w:hAnsi="Times New Roman" w:cs="Times New Roman"/>
          <w:sz w:val="24"/>
          <w:szCs w:val="24"/>
        </w:rPr>
        <w:t xml:space="preserve"> and green fruit yield was predominantly attributable to its direct contribution rather than being mediated through other component traits. The indirect effects of </w:t>
      </w:r>
      <w:r w:rsidR="0014430E" w:rsidRPr="00902A6C">
        <w:rPr>
          <w:rFonts w:ascii="Times New Roman" w:eastAsia="Times New Roman" w:hAnsi="Times New Roman" w:cs="Times New Roman"/>
          <w:sz w:val="24"/>
          <w:szCs w:val="24"/>
        </w:rPr>
        <w:t>fruit number plant</w:t>
      </w:r>
      <w:r w:rsidR="0014430E" w:rsidRPr="00902A6C">
        <w:rPr>
          <w:rFonts w:ascii="Times New Roman" w:eastAsia="Times New Roman" w:hAnsi="Times New Roman" w:cs="Times New Roman"/>
          <w:sz w:val="24"/>
          <w:szCs w:val="24"/>
          <w:vertAlign w:val="superscript"/>
        </w:rPr>
        <w:t>-1</w:t>
      </w:r>
      <w:r w:rsidRPr="00277C6B">
        <w:rPr>
          <w:rFonts w:ascii="Times New Roman" w:eastAsia="Times New Roman" w:hAnsi="Times New Roman" w:cs="Times New Roman"/>
          <w:sz w:val="24"/>
          <w:szCs w:val="24"/>
        </w:rPr>
        <w:t xml:space="preserve"> through fruit weight, fruit length and fruit width were relatively small, further supporting its importance as a direct yield component.</w:t>
      </w:r>
    </w:p>
    <w:p w14:paraId="17AA0776" w14:textId="77777777" w:rsidR="00277C6B" w:rsidRPr="00277C6B" w:rsidRDefault="00277C6B" w:rsidP="00902A6C">
      <w:pPr>
        <w:spacing w:before="100" w:beforeAutospacing="1" w:after="100" w:afterAutospacing="1" w:line="360" w:lineRule="auto"/>
        <w:jc w:val="both"/>
        <w:rPr>
          <w:rFonts w:ascii="Times New Roman" w:eastAsia="Times New Roman" w:hAnsi="Times New Roman" w:cs="Times New Roman"/>
          <w:sz w:val="24"/>
          <w:szCs w:val="24"/>
        </w:rPr>
      </w:pPr>
      <w:r w:rsidRPr="00277C6B">
        <w:rPr>
          <w:rFonts w:ascii="Times New Roman" w:eastAsia="Times New Roman" w:hAnsi="Times New Roman" w:cs="Times New Roman"/>
          <w:sz w:val="24"/>
          <w:szCs w:val="24"/>
        </w:rPr>
        <w:t>Average fruit width showed a positive direct effect of 0.2</w:t>
      </w:r>
      <w:r w:rsidR="005E571B" w:rsidRPr="00902A6C">
        <w:rPr>
          <w:rFonts w:ascii="Times New Roman" w:eastAsia="Times New Roman" w:hAnsi="Times New Roman" w:cs="Times New Roman"/>
          <w:sz w:val="24"/>
          <w:szCs w:val="24"/>
        </w:rPr>
        <w:t>5</w:t>
      </w:r>
      <w:r w:rsidRPr="00277C6B">
        <w:rPr>
          <w:rFonts w:ascii="Times New Roman" w:eastAsia="Times New Roman" w:hAnsi="Times New Roman" w:cs="Times New Roman"/>
          <w:sz w:val="24"/>
          <w:szCs w:val="24"/>
        </w:rPr>
        <w:t xml:space="preserve"> and a positive correlation with green fruit yield (r = 0.2</w:t>
      </w:r>
      <w:r w:rsidR="005E571B" w:rsidRPr="00902A6C">
        <w:rPr>
          <w:rFonts w:ascii="Times New Roman" w:eastAsia="Times New Roman" w:hAnsi="Times New Roman" w:cs="Times New Roman"/>
          <w:sz w:val="24"/>
          <w:szCs w:val="24"/>
        </w:rPr>
        <w:t>6</w:t>
      </w:r>
      <w:r w:rsidRPr="00277C6B">
        <w:rPr>
          <w:rFonts w:ascii="Times New Roman" w:eastAsia="Times New Roman" w:hAnsi="Times New Roman" w:cs="Times New Roman"/>
          <w:sz w:val="24"/>
          <w:szCs w:val="24"/>
        </w:rPr>
        <w:t xml:space="preserve">). Its indirect effect through fruit weight was positive (0.05), whereas its indirect effects through </w:t>
      </w:r>
      <w:r w:rsidR="0014430E" w:rsidRPr="00902A6C">
        <w:rPr>
          <w:rFonts w:ascii="Times New Roman" w:eastAsia="Times New Roman" w:hAnsi="Times New Roman" w:cs="Times New Roman"/>
          <w:sz w:val="24"/>
          <w:szCs w:val="24"/>
        </w:rPr>
        <w:t>fruit number plant</w:t>
      </w:r>
      <w:r w:rsidR="0014430E" w:rsidRPr="00902A6C">
        <w:rPr>
          <w:rFonts w:ascii="Times New Roman" w:eastAsia="Times New Roman" w:hAnsi="Times New Roman" w:cs="Times New Roman"/>
          <w:sz w:val="24"/>
          <w:szCs w:val="24"/>
          <w:vertAlign w:val="superscript"/>
        </w:rPr>
        <w:t>-1</w:t>
      </w:r>
      <w:r w:rsidRPr="00277C6B">
        <w:rPr>
          <w:rFonts w:ascii="Times New Roman" w:eastAsia="Times New Roman" w:hAnsi="Times New Roman" w:cs="Times New Roman"/>
          <w:sz w:val="24"/>
          <w:szCs w:val="24"/>
        </w:rPr>
        <w:t xml:space="preserve"> (-0.04) and fruit length (-0.001) were relatively small and negative. Thus, the overall positive association of fruit width with yield was primarily supported by its direct effect.</w:t>
      </w:r>
    </w:p>
    <w:p w14:paraId="70ECEAF1" w14:textId="77777777" w:rsidR="00277C6B" w:rsidRPr="00277C6B" w:rsidRDefault="00277C6B" w:rsidP="00902A6C">
      <w:pPr>
        <w:spacing w:before="100" w:beforeAutospacing="1" w:after="100" w:afterAutospacing="1" w:line="360" w:lineRule="auto"/>
        <w:jc w:val="both"/>
        <w:rPr>
          <w:rFonts w:ascii="Times New Roman" w:eastAsia="Times New Roman" w:hAnsi="Times New Roman" w:cs="Times New Roman"/>
          <w:sz w:val="24"/>
          <w:szCs w:val="24"/>
        </w:rPr>
      </w:pPr>
      <w:r w:rsidRPr="00277C6B">
        <w:rPr>
          <w:rFonts w:ascii="Times New Roman" w:eastAsia="Times New Roman" w:hAnsi="Times New Roman" w:cs="Times New Roman"/>
          <w:sz w:val="24"/>
          <w:szCs w:val="24"/>
        </w:rPr>
        <w:t>Average fruit weight recorded a positive direct effect of 0.1</w:t>
      </w:r>
      <w:r w:rsidR="005E571B" w:rsidRPr="00902A6C">
        <w:rPr>
          <w:rFonts w:ascii="Times New Roman" w:eastAsia="Times New Roman" w:hAnsi="Times New Roman" w:cs="Times New Roman"/>
          <w:sz w:val="24"/>
          <w:szCs w:val="24"/>
        </w:rPr>
        <w:t>2</w:t>
      </w:r>
      <w:r w:rsidRPr="00277C6B">
        <w:rPr>
          <w:rFonts w:ascii="Times New Roman" w:eastAsia="Times New Roman" w:hAnsi="Times New Roman" w:cs="Times New Roman"/>
          <w:sz w:val="24"/>
          <w:szCs w:val="24"/>
        </w:rPr>
        <w:t xml:space="preserve">. Its overall correlation with green fruit yield was 0.23, which was partly supported by a positive indirect effect through fruit width (0.11). The indirect effects through </w:t>
      </w:r>
      <w:r w:rsidR="0014430E" w:rsidRPr="00902A6C">
        <w:rPr>
          <w:rFonts w:ascii="Times New Roman" w:eastAsia="Times New Roman" w:hAnsi="Times New Roman" w:cs="Times New Roman"/>
          <w:sz w:val="24"/>
          <w:szCs w:val="24"/>
        </w:rPr>
        <w:t>fruit number plant</w:t>
      </w:r>
      <w:r w:rsidR="0014430E" w:rsidRPr="00902A6C">
        <w:rPr>
          <w:rFonts w:ascii="Times New Roman" w:eastAsia="Times New Roman" w:hAnsi="Times New Roman" w:cs="Times New Roman"/>
          <w:sz w:val="24"/>
          <w:szCs w:val="24"/>
          <w:vertAlign w:val="superscript"/>
        </w:rPr>
        <w:t>-1</w:t>
      </w:r>
      <w:r w:rsidRPr="00277C6B">
        <w:rPr>
          <w:rFonts w:ascii="Times New Roman" w:eastAsia="Times New Roman" w:hAnsi="Times New Roman" w:cs="Times New Roman"/>
          <w:sz w:val="24"/>
          <w:szCs w:val="24"/>
        </w:rPr>
        <w:t xml:space="preserve"> and fruit length were negligible and negative.</w:t>
      </w:r>
    </w:p>
    <w:p w14:paraId="4BFE1EC7" w14:textId="77777777" w:rsidR="00277C6B" w:rsidRPr="00277C6B" w:rsidRDefault="00277C6B" w:rsidP="00902A6C">
      <w:pPr>
        <w:spacing w:before="100" w:beforeAutospacing="1" w:after="100" w:afterAutospacing="1" w:line="360" w:lineRule="auto"/>
        <w:jc w:val="both"/>
        <w:rPr>
          <w:rFonts w:ascii="Times New Roman" w:eastAsia="Times New Roman" w:hAnsi="Times New Roman" w:cs="Times New Roman"/>
          <w:sz w:val="24"/>
          <w:szCs w:val="24"/>
        </w:rPr>
      </w:pPr>
      <w:r w:rsidRPr="00277C6B">
        <w:rPr>
          <w:rFonts w:ascii="Times New Roman" w:eastAsia="Times New Roman" w:hAnsi="Times New Roman" w:cs="Times New Roman"/>
          <w:sz w:val="24"/>
          <w:szCs w:val="24"/>
        </w:rPr>
        <w:t>Average fruit length recorded the lowest direct effect (0.0</w:t>
      </w:r>
      <w:r w:rsidR="005E571B" w:rsidRPr="00902A6C">
        <w:rPr>
          <w:rFonts w:ascii="Times New Roman" w:eastAsia="Times New Roman" w:hAnsi="Times New Roman" w:cs="Times New Roman"/>
          <w:sz w:val="24"/>
          <w:szCs w:val="24"/>
        </w:rPr>
        <w:t>4</w:t>
      </w:r>
      <w:r w:rsidRPr="00277C6B">
        <w:rPr>
          <w:rFonts w:ascii="Times New Roman" w:eastAsia="Times New Roman" w:hAnsi="Times New Roman" w:cs="Times New Roman"/>
          <w:sz w:val="24"/>
          <w:szCs w:val="24"/>
        </w:rPr>
        <w:t xml:space="preserve">), despite showing a positive correlation with green fruit yield (r = 0.16). Its positive indirect effect through </w:t>
      </w:r>
      <w:r w:rsidR="0014430E" w:rsidRPr="00902A6C">
        <w:rPr>
          <w:rFonts w:ascii="Times New Roman" w:eastAsia="Times New Roman" w:hAnsi="Times New Roman" w:cs="Times New Roman"/>
          <w:sz w:val="24"/>
          <w:szCs w:val="24"/>
        </w:rPr>
        <w:t>fruit number plant</w:t>
      </w:r>
      <w:r w:rsidR="0014430E" w:rsidRPr="00902A6C">
        <w:rPr>
          <w:rFonts w:ascii="Times New Roman" w:eastAsia="Times New Roman" w:hAnsi="Times New Roman" w:cs="Times New Roman"/>
          <w:sz w:val="24"/>
          <w:szCs w:val="24"/>
          <w:vertAlign w:val="superscript"/>
        </w:rPr>
        <w:t>-1</w:t>
      </w:r>
      <w:r w:rsidRPr="00277C6B">
        <w:rPr>
          <w:rFonts w:ascii="Times New Roman" w:eastAsia="Times New Roman" w:hAnsi="Times New Roman" w:cs="Times New Roman"/>
          <w:sz w:val="24"/>
          <w:szCs w:val="24"/>
        </w:rPr>
        <w:t xml:space="preserve"> (0.13) was considerably greater than its direct effect. This indicates that the association of fruit length with green fruit yield was largely mediated through its relationship with </w:t>
      </w:r>
      <w:r w:rsidR="0014430E" w:rsidRPr="00902A6C">
        <w:rPr>
          <w:rFonts w:ascii="Times New Roman" w:eastAsia="Times New Roman" w:hAnsi="Times New Roman" w:cs="Times New Roman"/>
          <w:sz w:val="24"/>
          <w:szCs w:val="24"/>
        </w:rPr>
        <w:t>fruit number plant</w:t>
      </w:r>
      <w:r w:rsidR="0014430E" w:rsidRPr="00902A6C">
        <w:rPr>
          <w:rFonts w:ascii="Times New Roman" w:eastAsia="Times New Roman" w:hAnsi="Times New Roman" w:cs="Times New Roman"/>
          <w:sz w:val="24"/>
          <w:szCs w:val="24"/>
          <w:vertAlign w:val="superscript"/>
        </w:rPr>
        <w:t>-1</w:t>
      </w:r>
      <w:r w:rsidRPr="00277C6B">
        <w:rPr>
          <w:rFonts w:ascii="Times New Roman" w:eastAsia="Times New Roman" w:hAnsi="Times New Roman" w:cs="Times New Roman"/>
          <w:sz w:val="24"/>
          <w:szCs w:val="24"/>
        </w:rPr>
        <w:t>.</w:t>
      </w:r>
    </w:p>
    <w:p w14:paraId="6EEFA29D" w14:textId="77777777" w:rsidR="00277C6B" w:rsidRPr="00902A6C" w:rsidRDefault="00277C6B" w:rsidP="00902A6C">
      <w:pPr>
        <w:spacing w:before="100" w:beforeAutospacing="1" w:after="100" w:afterAutospacing="1" w:line="360" w:lineRule="auto"/>
        <w:jc w:val="both"/>
        <w:outlineLvl w:val="0"/>
        <w:rPr>
          <w:rFonts w:ascii="Times New Roman" w:eastAsia="Times New Roman" w:hAnsi="Times New Roman" w:cs="Times New Roman"/>
          <w:b/>
          <w:bCs/>
          <w:kern w:val="36"/>
          <w:sz w:val="24"/>
          <w:szCs w:val="24"/>
        </w:rPr>
      </w:pPr>
      <w:r w:rsidRPr="00277C6B">
        <w:rPr>
          <w:rFonts w:ascii="Times New Roman" w:eastAsia="Times New Roman" w:hAnsi="Times New Roman" w:cs="Times New Roman"/>
          <w:b/>
          <w:bCs/>
          <w:kern w:val="36"/>
          <w:sz w:val="24"/>
          <w:szCs w:val="24"/>
        </w:rPr>
        <w:t>Conclusion</w:t>
      </w:r>
    </w:p>
    <w:p w14:paraId="7A3E5792" w14:textId="77777777" w:rsidR="0014430E" w:rsidRDefault="0014430E" w:rsidP="00902A6C">
      <w:pPr>
        <w:spacing w:before="100" w:beforeAutospacing="1" w:after="100" w:afterAutospacing="1" w:line="360" w:lineRule="auto"/>
        <w:jc w:val="both"/>
        <w:outlineLvl w:val="0"/>
        <w:rPr>
          <w:rFonts w:ascii="Times New Roman" w:hAnsi="Times New Roman" w:cs="Times New Roman"/>
          <w:sz w:val="24"/>
          <w:szCs w:val="24"/>
        </w:rPr>
      </w:pPr>
      <w:r w:rsidRPr="00277C6B">
        <w:rPr>
          <w:rFonts w:ascii="Times New Roman" w:eastAsia="Times New Roman" w:hAnsi="Times New Roman" w:cs="Times New Roman"/>
          <w:sz w:val="24"/>
          <w:szCs w:val="24"/>
        </w:rPr>
        <w:t xml:space="preserve">Population-wise correlation analysis revealed that </w:t>
      </w:r>
      <w:r w:rsidRPr="00902A6C">
        <w:rPr>
          <w:rFonts w:ascii="Times New Roman" w:eastAsia="Times New Roman" w:hAnsi="Times New Roman" w:cs="Times New Roman"/>
          <w:sz w:val="24"/>
          <w:szCs w:val="24"/>
        </w:rPr>
        <w:t xml:space="preserve">average </w:t>
      </w:r>
      <w:r w:rsidRPr="00902A6C">
        <w:rPr>
          <w:rFonts w:ascii="Times New Roman" w:hAnsi="Times New Roman" w:cs="Times New Roman"/>
          <w:sz w:val="24"/>
          <w:szCs w:val="24"/>
        </w:rPr>
        <w:t>fruit number plant</w:t>
      </w:r>
      <w:r w:rsidRPr="00902A6C">
        <w:rPr>
          <w:rFonts w:ascii="Times New Roman" w:hAnsi="Times New Roman" w:cs="Times New Roman"/>
          <w:sz w:val="24"/>
          <w:szCs w:val="24"/>
          <w:vertAlign w:val="superscript"/>
        </w:rPr>
        <w:t>-1</w:t>
      </w:r>
      <w:r w:rsidRPr="00902A6C">
        <w:rPr>
          <w:rFonts w:ascii="Times New Roman" w:hAnsi="Times New Roman" w:cs="Times New Roman"/>
          <w:sz w:val="24"/>
          <w:szCs w:val="24"/>
        </w:rPr>
        <w:t xml:space="preserve"> exhibited a strong and consistent positive association with green fruit yield across all five superior MP-derived populations and recorded the highest direct effect in path analysis. Therefore, </w:t>
      </w:r>
      <w:r w:rsidRPr="00902A6C">
        <w:rPr>
          <w:rStyle w:val="Strong"/>
          <w:rFonts w:ascii="Times New Roman" w:hAnsi="Times New Roman" w:cs="Times New Roman"/>
          <w:b w:val="0"/>
          <w:sz w:val="24"/>
          <w:szCs w:val="24"/>
        </w:rPr>
        <w:t>fruit number plant</w:t>
      </w:r>
      <w:r w:rsidRPr="00902A6C">
        <w:rPr>
          <w:rStyle w:val="Strong"/>
          <w:rFonts w:ascii="Times New Roman" w:hAnsi="Times New Roman" w:cs="Times New Roman"/>
          <w:b w:val="0"/>
          <w:sz w:val="24"/>
          <w:szCs w:val="24"/>
          <w:vertAlign w:val="superscript"/>
        </w:rPr>
        <w:t>-1</w:t>
      </w:r>
      <w:r w:rsidRPr="00902A6C">
        <w:rPr>
          <w:rStyle w:val="Strong"/>
          <w:rFonts w:ascii="Times New Roman" w:hAnsi="Times New Roman" w:cs="Times New Roman"/>
          <w:b w:val="0"/>
          <w:sz w:val="24"/>
          <w:szCs w:val="24"/>
        </w:rPr>
        <w:t xml:space="preserve"> can be considered an important selection criterion for improving green fruit yield in </w:t>
      </w:r>
      <w:proofErr w:type="spellStart"/>
      <w:r w:rsidRPr="00902A6C">
        <w:rPr>
          <w:rStyle w:val="Strong"/>
          <w:rFonts w:ascii="Times New Roman" w:hAnsi="Times New Roman" w:cs="Times New Roman"/>
          <w:b w:val="0"/>
          <w:sz w:val="24"/>
          <w:szCs w:val="24"/>
        </w:rPr>
        <w:t>chilli</w:t>
      </w:r>
      <w:proofErr w:type="spellEnd"/>
      <w:r w:rsidRPr="00902A6C">
        <w:rPr>
          <w:rFonts w:ascii="Times New Roman" w:hAnsi="Times New Roman" w:cs="Times New Roman"/>
          <w:sz w:val="24"/>
          <w:szCs w:val="24"/>
        </w:rPr>
        <w:t>.</w:t>
      </w:r>
    </w:p>
    <w:p w14:paraId="404E6AE1" w14:textId="77777777" w:rsidR="00CD526D" w:rsidRDefault="00CD526D" w:rsidP="0011755E">
      <w:pPr>
        <w:spacing w:after="0" w:line="240" w:lineRule="auto"/>
        <w:rPr>
          <w:rFonts w:ascii="Times New Roman" w:hAnsi="Times New Roman" w:cs="Times New Roman"/>
          <w:b/>
        </w:rPr>
      </w:pPr>
    </w:p>
    <w:p w14:paraId="5D97AFBB" w14:textId="77777777" w:rsidR="00CD526D" w:rsidRDefault="00CD526D" w:rsidP="0011755E">
      <w:pPr>
        <w:spacing w:after="0" w:line="240" w:lineRule="auto"/>
        <w:rPr>
          <w:rFonts w:ascii="Times New Roman" w:hAnsi="Times New Roman" w:cs="Times New Roman"/>
          <w:b/>
        </w:rPr>
      </w:pPr>
    </w:p>
    <w:p w14:paraId="15826F6C" w14:textId="77777777" w:rsidR="00CD526D" w:rsidRDefault="00CD526D" w:rsidP="0011755E">
      <w:pPr>
        <w:spacing w:after="0" w:line="240" w:lineRule="auto"/>
        <w:rPr>
          <w:rFonts w:ascii="Times New Roman" w:hAnsi="Times New Roman" w:cs="Times New Roman"/>
          <w:b/>
        </w:rPr>
      </w:pPr>
    </w:p>
    <w:p w14:paraId="186AC58F" w14:textId="1F3D80C9" w:rsidR="0011755E" w:rsidRDefault="0011755E" w:rsidP="0011755E">
      <w:pPr>
        <w:spacing w:after="0" w:line="240" w:lineRule="auto"/>
        <w:rPr>
          <w:rFonts w:ascii="Times New Roman" w:hAnsi="Times New Roman" w:cs="Times New Roman"/>
          <w:b/>
        </w:rPr>
      </w:pPr>
      <w:r w:rsidRPr="000839CE">
        <w:rPr>
          <w:rFonts w:ascii="Times New Roman" w:hAnsi="Times New Roman" w:cs="Times New Roman"/>
          <w:b/>
        </w:rPr>
        <w:lastRenderedPageBreak/>
        <w:t>Declaration of AI Use</w:t>
      </w:r>
    </w:p>
    <w:p w14:paraId="5329B2B9" w14:textId="77777777" w:rsidR="0011755E" w:rsidRDefault="0011755E" w:rsidP="0011755E">
      <w:pPr>
        <w:spacing w:after="0" w:line="240" w:lineRule="auto"/>
        <w:rPr>
          <w:rFonts w:ascii="Times New Roman" w:hAnsi="Times New Roman" w:cs="Times New Roman"/>
          <w:b/>
        </w:rPr>
      </w:pPr>
    </w:p>
    <w:p w14:paraId="01BA50C2" w14:textId="77777777" w:rsidR="0011755E" w:rsidRDefault="0011755E" w:rsidP="0011755E">
      <w:pPr>
        <w:spacing w:after="0" w:line="240" w:lineRule="auto"/>
        <w:rPr>
          <w:rFonts w:ascii="Times New Roman" w:hAnsi="Times New Roman" w:cs="Times New Roman"/>
          <w:b/>
        </w:rPr>
      </w:pPr>
    </w:p>
    <w:p w14:paraId="63B8C504" w14:textId="77777777" w:rsidR="0011755E" w:rsidRDefault="0011755E" w:rsidP="0011755E">
      <w:pPr>
        <w:spacing w:after="0" w:line="240" w:lineRule="auto"/>
        <w:rPr>
          <w:rFonts w:ascii="Times New Roman" w:hAnsi="Times New Roman" w:cs="Times New Roman"/>
          <w:b/>
        </w:rPr>
      </w:pPr>
    </w:p>
    <w:p w14:paraId="426B208B" w14:textId="77777777" w:rsidR="0011755E" w:rsidRPr="002D08AC" w:rsidRDefault="0011755E" w:rsidP="0011755E">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28FF9B0" w14:textId="77777777" w:rsidR="0011755E" w:rsidRPr="00902A6C" w:rsidRDefault="0011755E" w:rsidP="00902A6C">
      <w:pPr>
        <w:spacing w:before="100" w:beforeAutospacing="1" w:after="100" w:afterAutospacing="1" w:line="360" w:lineRule="auto"/>
        <w:jc w:val="both"/>
        <w:outlineLvl w:val="0"/>
        <w:rPr>
          <w:rFonts w:ascii="Times New Roman" w:hAnsi="Times New Roman" w:cs="Times New Roman"/>
          <w:sz w:val="24"/>
          <w:szCs w:val="24"/>
        </w:rPr>
      </w:pPr>
    </w:p>
    <w:p w14:paraId="44B263AA" w14:textId="77777777" w:rsidR="002D428D" w:rsidRPr="00902A6C" w:rsidRDefault="002D428D" w:rsidP="00902A6C">
      <w:pPr>
        <w:spacing w:before="100" w:beforeAutospacing="1" w:after="100" w:afterAutospacing="1" w:line="360" w:lineRule="auto"/>
        <w:jc w:val="both"/>
        <w:outlineLvl w:val="0"/>
        <w:rPr>
          <w:rFonts w:ascii="Times New Roman" w:hAnsi="Times New Roman" w:cs="Times New Roman"/>
          <w:b/>
          <w:sz w:val="24"/>
          <w:szCs w:val="24"/>
        </w:rPr>
      </w:pPr>
      <w:r w:rsidRPr="00902A6C">
        <w:rPr>
          <w:rFonts w:ascii="Times New Roman" w:hAnsi="Times New Roman" w:cs="Times New Roman"/>
          <w:b/>
          <w:sz w:val="24"/>
          <w:szCs w:val="24"/>
        </w:rPr>
        <w:t>References</w:t>
      </w:r>
    </w:p>
    <w:p w14:paraId="0AA652B1" w14:textId="77777777" w:rsidR="0048624F" w:rsidRDefault="0048624F" w:rsidP="0048624F">
      <w:pPr>
        <w:pStyle w:val="NormalWeb"/>
        <w:numPr>
          <w:ilvl w:val="0"/>
          <w:numId w:val="9"/>
        </w:numPr>
        <w:spacing w:line="360" w:lineRule="auto"/>
        <w:jc w:val="both"/>
      </w:pPr>
      <w:r>
        <w:t xml:space="preserve">Ali, M. M., Khalid, N. I., Wondi, M. H., Haris, N. I. N., &amp; Azman, P. N. M. A. (2025). Exploring the nutritional values, volatile compounds, health benefits, and potential food products of </w:t>
      </w:r>
      <w:proofErr w:type="spellStart"/>
      <w:r>
        <w:t>chilli</w:t>
      </w:r>
      <w:proofErr w:type="spellEnd"/>
      <w:r>
        <w:t xml:space="preserve"> (</w:t>
      </w:r>
      <w:r>
        <w:rPr>
          <w:rStyle w:val="Emphasis"/>
        </w:rPr>
        <w:t>Capsicum annuum</w:t>
      </w:r>
      <w:r>
        <w:t xml:space="preserve">): A comprehensive review. </w:t>
      </w:r>
      <w:r>
        <w:rPr>
          <w:rStyle w:val="Emphasis"/>
        </w:rPr>
        <w:t>Food Chemistry</w:t>
      </w:r>
      <w:r>
        <w:t xml:space="preserve">, 490, 145091. </w:t>
      </w:r>
      <w:hyperlink r:id="rId7" w:history="1">
        <w:r>
          <w:rPr>
            <w:rStyle w:val="Hyperlink"/>
          </w:rPr>
          <w:t>https://doi.org/10.1016/j.foodchem.2025.145091</w:t>
        </w:r>
      </w:hyperlink>
    </w:p>
    <w:p w14:paraId="29BF134A" w14:textId="77777777" w:rsidR="0048624F" w:rsidRDefault="0048624F" w:rsidP="0048624F">
      <w:pPr>
        <w:pStyle w:val="NormalWeb"/>
        <w:numPr>
          <w:ilvl w:val="0"/>
          <w:numId w:val="9"/>
        </w:numPr>
        <w:spacing w:line="360" w:lineRule="auto"/>
        <w:jc w:val="both"/>
      </w:pPr>
      <w:r>
        <w:t>Al-</w:t>
      </w:r>
      <w:proofErr w:type="spellStart"/>
      <w:r>
        <w:t>Jibouri</w:t>
      </w:r>
      <w:proofErr w:type="spellEnd"/>
      <w:r>
        <w:t xml:space="preserve">, H. A., Miller, P. A., &amp; Robinson, H. F. (1958). Genotypic and environmental variances and covariances in an upland cotton cross of interspecific origin. </w:t>
      </w:r>
      <w:r>
        <w:rPr>
          <w:rStyle w:val="Emphasis"/>
        </w:rPr>
        <w:t>Agronomy Journal</w:t>
      </w:r>
      <w:r>
        <w:t>, 50(10), 633–636.</w:t>
      </w:r>
    </w:p>
    <w:p w14:paraId="2253C032" w14:textId="77777777" w:rsidR="0048624F" w:rsidRDefault="0048624F" w:rsidP="0048624F">
      <w:pPr>
        <w:pStyle w:val="NormalWeb"/>
        <w:numPr>
          <w:ilvl w:val="0"/>
          <w:numId w:val="9"/>
        </w:numPr>
        <w:spacing w:line="360" w:lineRule="auto"/>
        <w:jc w:val="both"/>
      </w:pPr>
      <w:r>
        <w:t xml:space="preserve">Amit, V., Warshamana, I. K., &amp; Meenu, G. (2014). Genetic correlation and path coefficient studies on yield and biochemical traits in </w:t>
      </w:r>
      <w:proofErr w:type="spellStart"/>
      <w:r>
        <w:t>chilli</w:t>
      </w:r>
      <w:proofErr w:type="spellEnd"/>
      <w:r>
        <w:t xml:space="preserve"> (</w:t>
      </w:r>
      <w:r>
        <w:rPr>
          <w:rStyle w:val="Emphasis"/>
        </w:rPr>
        <w:t>Capsicum annuum</w:t>
      </w:r>
      <w:r>
        <w:t xml:space="preserve"> L.). </w:t>
      </w:r>
      <w:r>
        <w:rPr>
          <w:rStyle w:val="Emphasis"/>
        </w:rPr>
        <w:t>International Journal of Farm Sciences</w:t>
      </w:r>
      <w:r>
        <w:t>, 4(2), 70–75.</w:t>
      </w:r>
    </w:p>
    <w:p w14:paraId="02010E7E" w14:textId="77777777" w:rsidR="0048624F" w:rsidRDefault="0048624F" w:rsidP="0048624F">
      <w:pPr>
        <w:pStyle w:val="NormalWeb"/>
        <w:numPr>
          <w:ilvl w:val="0"/>
          <w:numId w:val="9"/>
        </w:numPr>
        <w:spacing w:line="360" w:lineRule="auto"/>
        <w:jc w:val="both"/>
      </w:pPr>
      <w:r>
        <w:t xml:space="preserve">Balakrishnan, S., Harinarayanan, U. N. D., &amp; Arjunan, S. (2026). Morpho-molecular diversity analysis of </w:t>
      </w:r>
      <w:proofErr w:type="spellStart"/>
      <w:r>
        <w:t>chilli</w:t>
      </w:r>
      <w:proofErr w:type="spellEnd"/>
      <w:r>
        <w:t xml:space="preserve"> (</w:t>
      </w:r>
      <w:r>
        <w:rPr>
          <w:rStyle w:val="Emphasis"/>
        </w:rPr>
        <w:t>Capsicum</w:t>
      </w:r>
      <w:r>
        <w:t xml:space="preserve"> sp.) genotypes using quantitative traits and SSR markers. </w:t>
      </w:r>
      <w:r>
        <w:rPr>
          <w:rStyle w:val="Emphasis"/>
        </w:rPr>
        <w:t>Discover Plants</w:t>
      </w:r>
      <w:r>
        <w:t xml:space="preserve">, 3, 115. </w:t>
      </w:r>
      <w:hyperlink r:id="rId8" w:history="1">
        <w:r>
          <w:rPr>
            <w:rStyle w:val="Hyperlink"/>
          </w:rPr>
          <w:t>https://doi.org/10.1007/s44372-026-00546-8</w:t>
        </w:r>
      </w:hyperlink>
    </w:p>
    <w:p w14:paraId="7D95A075" w14:textId="77777777" w:rsidR="0048624F" w:rsidRDefault="0048624F" w:rsidP="0048624F">
      <w:pPr>
        <w:pStyle w:val="NormalWeb"/>
        <w:numPr>
          <w:ilvl w:val="0"/>
          <w:numId w:val="9"/>
        </w:numPr>
        <w:spacing w:line="360" w:lineRule="auto"/>
        <w:jc w:val="both"/>
      </w:pPr>
      <w:proofErr w:type="spellStart"/>
      <w:r>
        <w:t>Baseerat</w:t>
      </w:r>
      <w:proofErr w:type="spellEnd"/>
      <w:r>
        <w:t>, A., Khan, S. H., Mushtaq, F., Hussain, K., &amp; Nabi, A. (2013). Variability and correlation studies in sweet pepper (</w:t>
      </w:r>
      <w:r>
        <w:rPr>
          <w:rStyle w:val="Emphasis"/>
        </w:rPr>
        <w:t>Capsicum annuum</w:t>
      </w:r>
      <w:r>
        <w:t xml:space="preserve"> L.). </w:t>
      </w:r>
      <w:r>
        <w:rPr>
          <w:rStyle w:val="Emphasis"/>
        </w:rPr>
        <w:t>Progressive Horticulture</w:t>
      </w:r>
      <w:r>
        <w:t>, 45(1), 209–213.</w:t>
      </w:r>
    </w:p>
    <w:p w14:paraId="70399A8B" w14:textId="77777777" w:rsidR="0048624F" w:rsidRDefault="0048624F" w:rsidP="0048624F">
      <w:pPr>
        <w:pStyle w:val="NormalWeb"/>
        <w:numPr>
          <w:ilvl w:val="0"/>
          <w:numId w:val="9"/>
        </w:numPr>
        <w:spacing w:line="360" w:lineRule="auto"/>
        <w:jc w:val="both"/>
      </w:pPr>
      <w:proofErr w:type="spellStart"/>
      <w:r>
        <w:t>Bijalwan</w:t>
      </w:r>
      <w:proofErr w:type="spellEnd"/>
      <w:r>
        <w:t xml:space="preserve">, P., &amp; Mishra, A. C. (2013). Correlation and path coefficient analysis in </w:t>
      </w:r>
      <w:proofErr w:type="spellStart"/>
      <w:r>
        <w:t>chilli</w:t>
      </w:r>
      <w:proofErr w:type="spellEnd"/>
      <w:r>
        <w:t xml:space="preserve"> (</w:t>
      </w:r>
      <w:r>
        <w:rPr>
          <w:rStyle w:val="Emphasis"/>
        </w:rPr>
        <w:t>Capsicum annuum</w:t>
      </w:r>
      <w:r>
        <w:t xml:space="preserve"> L.) for yield and yield attributing traits. </w:t>
      </w:r>
      <w:r>
        <w:rPr>
          <w:rStyle w:val="Emphasis"/>
        </w:rPr>
        <w:t>International Journal of Scientific Research</w:t>
      </w:r>
      <w:r>
        <w:t>, 5(3), 1589–1592.</w:t>
      </w:r>
    </w:p>
    <w:p w14:paraId="6CEAC8F2" w14:textId="77777777" w:rsidR="0048624F" w:rsidRDefault="0048624F" w:rsidP="0048624F">
      <w:pPr>
        <w:pStyle w:val="NormalWeb"/>
        <w:numPr>
          <w:ilvl w:val="0"/>
          <w:numId w:val="9"/>
        </w:numPr>
        <w:spacing w:line="360" w:lineRule="auto"/>
        <w:jc w:val="both"/>
      </w:pPr>
      <w:r>
        <w:t xml:space="preserve">Bundela, M., Pant, S. C., Huri, M., &amp; Singh, K. (2018). Correlation and path coefficient analysis in </w:t>
      </w:r>
      <w:proofErr w:type="spellStart"/>
      <w:r>
        <w:t>chilli</w:t>
      </w:r>
      <w:proofErr w:type="spellEnd"/>
      <w:r>
        <w:t xml:space="preserve"> (</w:t>
      </w:r>
      <w:r>
        <w:rPr>
          <w:rStyle w:val="Emphasis"/>
        </w:rPr>
        <w:t>Capsicum annuum</w:t>
      </w:r>
      <w:r>
        <w:t xml:space="preserve"> L.) for yield and yield attributing traits. </w:t>
      </w:r>
      <w:r>
        <w:rPr>
          <w:rStyle w:val="Emphasis"/>
        </w:rPr>
        <w:lastRenderedPageBreak/>
        <w:t>International Journal of Current Microbiology and Applied Sciences</w:t>
      </w:r>
      <w:r>
        <w:t xml:space="preserve">, 7, 77–82. </w:t>
      </w:r>
      <w:hyperlink r:id="rId9" w:history="1">
        <w:r>
          <w:rPr>
            <w:rStyle w:val="Hyperlink"/>
          </w:rPr>
          <w:t>https://doi.org/10.20546/ijcmas.2018.711.011</w:t>
        </w:r>
      </w:hyperlink>
    </w:p>
    <w:p w14:paraId="062BCEE6" w14:textId="77777777" w:rsidR="0048624F" w:rsidRDefault="0048624F" w:rsidP="0048624F">
      <w:pPr>
        <w:pStyle w:val="NormalWeb"/>
        <w:numPr>
          <w:ilvl w:val="0"/>
          <w:numId w:val="9"/>
        </w:numPr>
        <w:spacing w:line="360" w:lineRule="auto"/>
        <w:jc w:val="both"/>
      </w:pPr>
      <w:r>
        <w:t>Chakrabarty, S., et al. (2017). Selection criteria for improving yield in chili (</w:t>
      </w:r>
      <w:r>
        <w:rPr>
          <w:rStyle w:val="Emphasis"/>
        </w:rPr>
        <w:t>Capsicum annuum</w:t>
      </w:r>
      <w:r>
        <w:t xml:space="preserve">). </w:t>
      </w:r>
      <w:r>
        <w:rPr>
          <w:rStyle w:val="Emphasis"/>
        </w:rPr>
        <w:t>Advances in Agriculture</w:t>
      </w:r>
      <w:r>
        <w:t>, 2017, 5437870.</w:t>
      </w:r>
    </w:p>
    <w:p w14:paraId="59ACFF15" w14:textId="77777777" w:rsidR="0048624F" w:rsidRDefault="0048624F" w:rsidP="0048624F">
      <w:pPr>
        <w:pStyle w:val="NormalWeb"/>
        <w:numPr>
          <w:ilvl w:val="0"/>
          <w:numId w:val="9"/>
        </w:numPr>
        <w:spacing w:line="360" w:lineRule="auto"/>
        <w:jc w:val="both"/>
      </w:pPr>
      <w:r>
        <w:t xml:space="preserve">Chethan Kumar, S., Sahu, G. S., &amp; Kamble, C. (2019). Character association and path co-efficient analysis studies on yield and yield attributing characters in </w:t>
      </w:r>
      <w:proofErr w:type="spellStart"/>
      <w:r>
        <w:t>chilli</w:t>
      </w:r>
      <w:proofErr w:type="spellEnd"/>
      <w:r>
        <w:t xml:space="preserve"> (</w:t>
      </w:r>
      <w:r>
        <w:rPr>
          <w:rStyle w:val="Emphasis"/>
        </w:rPr>
        <w:t>Capsicum annuum</w:t>
      </w:r>
      <w:r>
        <w:t xml:space="preserve"> L.) germplasm. </w:t>
      </w:r>
      <w:r>
        <w:rPr>
          <w:rStyle w:val="Emphasis"/>
        </w:rPr>
        <w:t>International Journal of Current Microbiology and Applied Sciences</w:t>
      </w:r>
      <w:r>
        <w:t>, 8(4), 1051–1058.</w:t>
      </w:r>
    </w:p>
    <w:p w14:paraId="5CC2A4F0" w14:textId="77777777" w:rsidR="0048624F" w:rsidRDefault="0048624F" w:rsidP="0048624F">
      <w:pPr>
        <w:pStyle w:val="NormalWeb"/>
        <w:numPr>
          <w:ilvl w:val="0"/>
          <w:numId w:val="9"/>
        </w:numPr>
        <w:spacing w:line="360" w:lineRule="auto"/>
        <w:jc w:val="both"/>
      </w:pPr>
      <w:r>
        <w:t xml:space="preserve">Datta, S., &amp; Jana, J. C. (2010). Genetic variability, heritability and correlation in </w:t>
      </w:r>
      <w:proofErr w:type="spellStart"/>
      <w:r>
        <w:t>chilli</w:t>
      </w:r>
      <w:proofErr w:type="spellEnd"/>
      <w:r>
        <w:t xml:space="preserve"> genotypes under Terai zone of West Bengal. </w:t>
      </w:r>
      <w:r>
        <w:rPr>
          <w:rStyle w:val="Emphasis"/>
        </w:rPr>
        <w:t>SAARC Journal of Agriculture</w:t>
      </w:r>
      <w:r>
        <w:t>, 8(1), 33–45.</w:t>
      </w:r>
    </w:p>
    <w:p w14:paraId="323E8300" w14:textId="77777777" w:rsidR="0048624F" w:rsidRDefault="0048624F" w:rsidP="0048624F">
      <w:pPr>
        <w:pStyle w:val="NormalWeb"/>
        <w:numPr>
          <w:ilvl w:val="0"/>
          <w:numId w:val="9"/>
        </w:numPr>
        <w:spacing w:line="360" w:lineRule="auto"/>
        <w:jc w:val="both"/>
      </w:pPr>
      <w:r>
        <w:t xml:space="preserve">Deepika, D. D., Sharma, V. P., Mehta, G., Mehta, H., Pandey, C. D., Gaikwad, A. B., Mangal, M., Srivastava, A., Singh, A. K., Bharti, H., Abhishek, G. J., </w:t>
      </w:r>
      <w:proofErr w:type="spellStart"/>
      <w:r>
        <w:t>Madival</w:t>
      </w:r>
      <w:proofErr w:type="spellEnd"/>
      <w:r>
        <w:t xml:space="preserve">, S. D., </w:t>
      </w:r>
      <w:proofErr w:type="spellStart"/>
      <w:r>
        <w:t>Danakumar</w:t>
      </w:r>
      <w:proofErr w:type="spellEnd"/>
      <w:r>
        <w:t xml:space="preserve">, T., Gautam, R. K., Rana, J. C., Singh, G. P., &amp; Sharma, V. K. (2026). Dissecting the genetic diversity of </w:t>
      </w:r>
      <w:proofErr w:type="spellStart"/>
      <w:r>
        <w:t>chilli</w:t>
      </w:r>
      <w:proofErr w:type="spellEnd"/>
      <w:r>
        <w:t xml:space="preserve"> (</w:t>
      </w:r>
      <w:r>
        <w:rPr>
          <w:rStyle w:val="Emphasis"/>
        </w:rPr>
        <w:t>Capsicum annuum</w:t>
      </w:r>
      <w:r>
        <w:t xml:space="preserve"> L.): A germplasm-wide analysis of </w:t>
      </w:r>
      <w:proofErr w:type="spellStart"/>
      <w:r>
        <w:t>agro</w:t>
      </w:r>
      <w:proofErr w:type="spellEnd"/>
      <w:r>
        <w:t xml:space="preserve">-morphological traits. </w:t>
      </w:r>
      <w:r>
        <w:rPr>
          <w:rStyle w:val="Emphasis"/>
        </w:rPr>
        <w:t>Crop Breeding, Genetics and Genomics</w:t>
      </w:r>
      <w:r>
        <w:t>, 8(1), e260003.</w:t>
      </w:r>
    </w:p>
    <w:p w14:paraId="23345B7D" w14:textId="77777777" w:rsidR="0048624F" w:rsidRDefault="0048624F" w:rsidP="0048624F">
      <w:pPr>
        <w:pStyle w:val="NormalWeb"/>
        <w:numPr>
          <w:ilvl w:val="0"/>
          <w:numId w:val="9"/>
        </w:numPr>
        <w:spacing w:line="360" w:lineRule="auto"/>
        <w:jc w:val="both"/>
      </w:pPr>
      <w:r>
        <w:t xml:space="preserve">Dewey, D. R., &amp; Lu, K. H. (1959). A correlation and path-coefficient analysis of components of crested wheatgrass seed production. </w:t>
      </w:r>
      <w:r>
        <w:rPr>
          <w:rStyle w:val="Emphasis"/>
        </w:rPr>
        <w:t>Agronomy Journal</w:t>
      </w:r>
      <w:r>
        <w:t>, 51(9), 515–518.</w:t>
      </w:r>
    </w:p>
    <w:p w14:paraId="2AA67EA3" w14:textId="77777777" w:rsidR="0048624F" w:rsidRDefault="0048624F" w:rsidP="0048624F">
      <w:pPr>
        <w:pStyle w:val="NormalWeb"/>
        <w:numPr>
          <w:ilvl w:val="0"/>
          <w:numId w:val="9"/>
        </w:numPr>
        <w:spacing w:line="360" w:lineRule="auto"/>
        <w:jc w:val="both"/>
      </w:pPr>
      <w:r>
        <w:t xml:space="preserve">Dixita, P., Patel, B. R., Patel, J. R., &amp; </w:t>
      </w:r>
      <w:proofErr w:type="spellStart"/>
      <w:r>
        <w:t>Kuchhadiya</w:t>
      </w:r>
      <w:proofErr w:type="spellEnd"/>
      <w:r>
        <w:t xml:space="preserve">, G. V. (2015). Genetic variability and character association studies for green fruit yield and quality component traits in </w:t>
      </w:r>
      <w:proofErr w:type="spellStart"/>
      <w:r>
        <w:t>chilli</w:t>
      </w:r>
      <w:proofErr w:type="spellEnd"/>
      <w:r>
        <w:t xml:space="preserve"> (</w:t>
      </w:r>
      <w:r>
        <w:rPr>
          <w:rStyle w:val="Emphasis"/>
        </w:rPr>
        <w:t>Capsicum annuum</w:t>
      </w:r>
      <w:r>
        <w:t xml:space="preserve"> var. </w:t>
      </w:r>
      <w:r>
        <w:rPr>
          <w:rStyle w:val="Emphasis"/>
        </w:rPr>
        <w:t>longum</w:t>
      </w:r>
      <w:r>
        <w:t xml:space="preserve">). </w:t>
      </w:r>
      <w:r>
        <w:rPr>
          <w:rStyle w:val="Emphasis"/>
        </w:rPr>
        <w:t>Electronic Journal of Plant Breeding</w:t>
      </w:r>
      <w:r>
        <w:t>, 6(2), 472–478.</w:t>
      </w:r>
    </w:p>
    <w:p w14:paraId="5054FDD8" w14:textId="77777777" w:rsidR="0048624F" w:rsidRDefault="0048624F" w:rsidP="0048624F">
      <w:pPr>
        <w:pStyle w:val="NormalWeb"/>
        <w:numPr>
          <w:ilvl w:val="0"/>
          <w:numId w:val="9"/>
        </w:numPr>
        <w:spacing w:line="360" w:lineRule="auto"/>
        <w:jc w:val="both"/>
      </w:pPr>
      <w:r>
        <w:t xml:space="preserve">Gupta, A. M., Singh, D., &amp; Kumar, A. (2009). Genetic variability, genetic advance and correlation in </w:t>
      </w:r>
      <w:proofErr w:type="spellStart"/>
      <w:r>
        <w:t>chilli</w:t>
      </w:r>
      <w:proofErr w:type="spellEnd"/>
      <w:r>
        <w:t xml:space="preserve">. </w:t>
      </w:r>
      <w:r>
        <w:rPr>
          <w:rStyle w:val="Emphasis"/>
        </w:rPr>
        <w:t>Indian Journal of Agricultural Sciences</w:t>
      </w:r>
      <w:r>
        <w:t>, 79, 221–223.</w:t>
      </w:r>
    </w:p>
    <w:p w14:paraId="679B1E02" w14:textId="77777777" w:rsidR="0048624F" w:rsidRDefault="0048624F" w:rsidP="0048624F">
      <w:pPr>
        <w:pStyle w:val="NormalWeb"/>
        <w:numPr>
          <w:ilvl w:val="0"/>
          <w:numId w:val="9"/>
        </w:numPr>
        <w:spacing w:line="360" w:lineRule="auto"/>
        <w:jc w:val="both"/>
      </w:pPr>
      <w:r>
        <w:t xml:space="preserve">Janaki, M., Venkata Ramana, C., Naram Naidu, L., Dilip Babu, J., </w:t>
      </w:r>
      <w:proofErr w:type="spellStart"/>
      <w:r>
        <w:t>Koteswara</w:t>
      </w:r>
      <w:proofErr w:type="spellEnd"/>
      <w:r>
        <w:t xml:space="preserve"> Rao, K., &amp; Uma Krishna, K. (2018). Character association and path co-efficient analysis studies on yield and yield attributing characters in </w:t>
      </w:r>
      <w:proofErr w:type="spellStart"/>
      <w:r>
        <w:t>chilli</w:t>
      </w:r>
      <w:proofErr w:type="spellEnd"/>
      <w:r>
        <w:t xml:space="preserve"> (</w:t>
      </w:r>
      <w:r>
        <w:rPr>
          <w:rStyle w:val="Emphasis"/>
        </w:rPr>
        <w:t>Capsicum annuum</w:t>
      </w:r>
      <w:r>
        <w:t xml:space="preserve"> L.). </w:t>
      </w:r>
      <w:r>
        <w:rPr>
          <w:rStyle w:val="Emphasis"/>
        </w:rPr>
        <w:t>Electronic Journal of Plant Breeding</w:t>
      </w:r>
      <w:r>
        <w:t>, 9(2), 558–563.</w:t>
      </w:r>
    </w:p>
    <w:p w14:paraId="44DB2B10" w14:textId="77777777" w:rsidR="0048624F" w:rsidRDefault="0048624F" w:rsidP="0048624F">
      <w:pPr>
        <w:pStyle w:val="NormalWeb"/>
        <w:numPr>
          <w:ilvl w:val="0"/>
          <w:numId w:val="9"/>
        </w:numPr>
        <w:spacing w:line="360" w:lineRule="auto"/>
        <w:jc w:val="both"/>
      </w:pPr>
      <w:r>
        <w:t xml:space="preserve">Karim, K. M. R., Rafii, M. Y., Misran, A. B., Ismail, M. F. B., Harun, A. R., Khan, M. M. H., &amp; Chowdhury, M. F. N. (2021). Current and prospective strategies in the varietal improvement of </w:t>
      </w:r>
      <w:proofErr w:type="spellStart"/>
      <w:r>
        <w:t>chilli</w:t>
      </w:r>
      <w:proofErr w:type="spellEnd"/>
      <w:r>
        <w:t xml:space="preserve"> (</w:t>
      </w:r>
      <w:r>
        <w:rPr>
          <w:rStyle w:val="Emphasis"/>
        </w:rPr>
        <w:t>Capsicum annuum</w:t>
      </w:r>
      <w:r>
        <w:t xml:space="preserve"> L.), specially heterosis breeding. </w:t>
      </w:r>
      <w:r>
        <w:rPr>
          <w:rStyle w:val="Emphasis"/>
        </w:rPr>
        <w:t>Agronomy</w:t>
      </w:r>
      <w:r>
        <w:t xml:space="preserve">, 11(11), 2217. </w:t>
      </w:r>
      <w:hyperlink r:id="rId10" w:history="1">
        <w:r>
          <w:rPr>
            <w:rStyle w:val="Hyperlink"/>
          </w:rPr>
          <w:t>https://doi.org/10.3390/agronomy11112217</w:t>
        </w:r>
      </w:hyperlink>
    </w:p>
    <w:p w14:paraId="270FD3B7" w14:textId="77777777" w:rsidR="0048624F" w:rsidRDefault="0048624F" w:rsidP="0048624F">
      <w:pPr>
        <w:pStyle w:val="NormalWeb"/>
        <w:numPr>
          <w:ilvl w:val="0"/>
          <w:numId w:val="9"/>
        </w:numPr>
        <w:spacing w:line="360" w:lineRule="auto"/>
        <w:jc w:val="both"/>
      </w:pPr>
      <w:r>
        <w:lastRenderedPageBreak/>
        <w:t xml:space="preserve">Komala, M., Lakshmi, K. S., &amp; Madhavi, N. (2023). Recent advances in crop improvement of </w:t>
      </w:r>
      <w:proofErr w:type="spellStart"/>
      <w:r>
        <w:t>chilli</w:t>
      </w:r>
      <w:proofErr w:type="spellEnd"/>
      <w:r>
        <w:t xml:space="preserve"> (</w:t>
      </w:r>
      <w:r>
        <w:rPr>
          <w:rStyle w:val="Emphasis"/>
        </w:rPr>
        <w:t>Capsicum annuum</w:t>
      </w:r>
      <w:r>
        <w:t xml:space="preserve"> L.) for high fruit yield and quality. </w:t>
      </w:r>
      <w:r>
        <w:rPr>
          <w:rStyle w:val="Emphasis"/>
        </w:rPr>
        <w:t>Journal of Experimental Agriculture International</w:t>
      </w:r>
      <w:r>
        <w:t>, 45(8), 21–29.</w:t>
      </w:r>
    </w:p>
    <w:p w14:paraId="2539D139" w14:textId="77777777" w:rsidR="0048624F" w:rsidRDefault="0048624F" w:rsidP="0048624F">
      <w:pPr>
        <w:pStyle w:val="NormalWeb"/>
        <w:numPr>
          <w:ilvl w:val="0"/>
          <w:numId w:val="9"/>
        </w:numPr>
        <w:spacing w:line="360" w:lineRule="auto"/>
        <w:jc w:val="both"/>
      </w:pPr>
      <w:r>
        <w:t xml:space="preserve">Madhavi Reddy, K., et al. (2024). </w:t>
      </w:r>
      <w:proofErr w:type="spellStart"/>
      <w:r>
        <w:t>Chillies</w:t>
      </w:r>
      <w:proofErr w:type="spellEnd"/>
      <w:r>
        <w:t xml:space="preserve"> and capsicums in India. In P. N. Ravindran, K. Sivaraman, S. </w:t>
      </w:r>
      <w:proofErr w:type="spellStart"/>
      <w:r>
        <w:t>Devasahayam</w:t>
      </w:r>
      <w:proofErr w:type="spellEnd"/>
      <w:r>
        <w:t xml:space="preserve">, &amp; K. N. Babu (Eds.), </w:t>
      </w:r>
      <w:r>
        <w:rPr>
          <w:rStyle w:val="Emphasis"/>
        </w:rPr>
        <w:t>Handbook of spices in India: 75 years of research and development</w:t>
      </w:r>
      <w:r>
        <w:t xml:space="preserve">. Springer. </w:t>
      </w:r>
      <w:hyperlink r:id="rId11" w:history="1">
        <w:r>
          <w:rPr>
            <w:rStyle w:val="Hyperlink"/>
          </w:rPr>
          <w:t>https://doi.org/10.1007/978-981-19-3728-6_28</w:t>
        </w:r>
      </w:hyperlink>
    </w:p>
    <w:p w14:paraId="361C44F6" w14:textId="77777777" w:rsidR="0048624F" w:rsidRDefault="0048624F" w:rsidP="0048624F">
      <w:pPr>
        <w:pStyle w:val="NormalWeb"/>
        <w:numPr>
          <w:ilvl w:val="0"/>
          <w:numId w:val="9"/>
        </w:numPr>
        <w:spacing w:line="360" w:lineRule="auto"/>
        <w:jc w:val="both"/>
      </w:pPr>
      <w:r>
        <w:t xml:space="preserve">Pradeep, K., Amit, K., &amp; Ishtiyaq, A. (2014). Correlation and path coefficient analysis in yield contributing characters in </w:t>
      </w:r>
      <w:proofErr w:type="spellStart"/>
      <w:r>
        <w:t>chilli</w:t>
      </w:r>
      <w:proofErr w:type="spellEnd"/>
      <w:r>
        <w:t xml:space="preserve"> (</w:t>
      </w:r>
      <w:r>
        <w:rPr>
          <w:rStyle w:val="Emphasis"/>
        </w:rPr>
        <w:t>Capsicum annuum</w:t>
      </w:r>
      <w:r>
        <w:t xml:space="preserve"> L.). </w:t>
      </w:r>
      <w:r>
        <w:rPr>
          <w:rStyle w:val="Emphasis"/>
        </w:rPr>
        <w:t>International Journal of Farm Sciences</w:t>
      </w:r>
      <w:r>
        <w:t>, 4(4), 104–111.</w:t>
      </w:r>
    </w:p>
    <w:p w14:paraId="758E4F41" w14:textId="77777777" w:rsidR="0048624F" w:rsidRDefault="0048624F" w:rsidP="0048624F">
      <w:pPr>
        <w:pStyle w:val="NormalWeb"/>
        <w:numPr>
          <w:ilvl w:val="0"/>
          <w:numId w:val="9"/>
        </w:numPr>
        <w:spacing w:line="360" w:lineRule="auto"/>
        <w:jc w:val="both"/>
      </w:pPr>
      <w:r>
        <w:t xml:space="preserve">Rana, M., Sharma, R., Sharma, P., Kumar, S., Kumar, D., &amp; Dogra, R. K. (2015). Correlation and path-coefficient analysis for yield and its contributing traits in capsicum, </w:t>
      </w:r>
      <w:r>
        <w:rPr>
          <w:rStyle w:val="Emphasis"/>
        </w:rPr>
        <w:t>Capsicum annuum</w:t>
      </w:r>
      <w:r>
        <w:t xml:space="preserve"> L. </w:t>
      </w:r>
      <w:r>
        <w:rPr>
          <w:rStyle w:val="Emphasis"/>
        </w:rPr>
        <w:t>International Journal of Farm Sciences</w:t>
      </w:r>
      <w:r>
        <w:t>, 5(2), 66–73.</w:t>
      </w:r>
    </w:p>
    <w:p w14:paraId="6F837229" w14:textId="77777777" w:rsidR="0048624F" w:rsidRDefault="0048624F" w:rsidP="0048624F">
      <w:pPr>
        <w:pStyle w:val="NormalWeb"/>
        <w:numPr>
          <w:ilvl w:val="0"/>
          <w:numId w:val="9"/>
        </w:numPr>
        <w:spacing w:line="360" w:lineRule="auto"/>
        <w:jc w:val="both"/>
      </w:pPr>
      <w:r>
        <w:t xml:space="preserve">Sarkar, S., Murmu, D., Chattopadhyay, A., &amp; Hazra, P. (2009). Genetic variability, correlation and path analysis of some morphological characters in </w:t>
      </w:r>
      <w:proofErr w:type="spellStart"/>
      <w:r>
        <w:t>chilli</w:t>
      </w:r>
      <w:proofErr w:type="spellEnd"/>
      <w:r>
        <w:t xml:space="preserve">. </w:t>
      </w:r>
      <w:r>
        <w:rPr>
          <w:rStyle w:val="Emphasis"/>
        </w:rPr>
        <w:t>Journal of Crop and Weed</w:t>
      </w:r>
      <w:r>
        <w:t>, 5(1), 157–161.</w:t>
      </w:r>
    </w:p>
    <w:p w14:paraId="20BF9159" w14:textId="77777777" w:rsidR="0048624F" w:rsidRDefault="0048624F" w:rsidP="0048624F">
      <w:pPr>
        <w:pStyle w:val="NormalWeb"/>
        <w:numPr>
          <w:ilvl w:val="0"/>
          <w:numId w:val="9"/>
        </w:numPr>
        <w:spacing w:line="360" w:lineRule="auto"/>
        <w:jc w:val="both"/>
      </w:pPr>
      <w:r>
        <w:t xml:space="preserve">Shweta, </w:t>
      </w:r>
      <w:proofErr w:type="spellStart"/>
      <w:r>
        <w:t>Basavarajappa</w:t>
      </w:r>
      <w:proofErr w:type="spellEnd"/>
      <w:r>
        <w:t xml:space="preserve">, H. R., Satish, D., </w:t>
      </w:r>
      <w:proofErr w:type="spellStart"/>
      <w:r>
        <w:t>Jagadeesha</w:t>
      </w:r>
      <w:proofErr w:type="spellEnd"/>
      <w:r>
        <w:t xml:space="preserve">, R. C., </w:t>
      </w:r>
      <w:proofErr w:type="spellStart"/>
      <w:r>
        <w:t>Hanachinmani</w:t>
      </w:r>
      <w:proofErr w:type="spellEnd"/>
      <w:r>
        <w:t xml:space="preserve">, C. N., &amp; </w:t>
      </w:r>
      <w:proofErr w:type="spellStart"/>
      <w:r>
        <w:t>Dileepkumar</w:t>
      </w:r>
      <w:proofErr w:type="spellEnd"/>
      <w:r>
        <w:t xml:space="preserve">, A. M. (2018). Genetic correlation and path coefficient analysis in </w:t>
      </w:r>
      <w:proofErr w:type="spellStart"/>
      <w:r>
        <w:t>chilli</w:t>
      </w:r>
      <w:proofErr w:type="spellEnd"/>
      <w:r>
        <w:t xml:space="preserve"> (</w:t>
      </w:r>
      <w:r>
        <w:rPr>
          <w:rStyle w:val="Emphasis"/>
        </w:rPr>
        <w:t>Capsicum annuum</w:t>
      </w:r>
      <w:r>
        <w:t xml:space="preserve"> L.) genotypes for growth and yield contributing traits. </w:t>
      </w:r>
      <w:r>
        <w:rPr>
          <w:rStyle w:val="Emphasis"/>
        </w:rPr>
        <w:t>Journal of Pharmacognosy and Phytochemistry</w:t>
      </w:r>
      <w:r>
        <w:t>, 7(2), 1312–1315.</w:t>
      </w:r>
    </w:p>
    <w:p w14:paraId="7037BFF2" w14:textId="77777777" w:rsidR="0048624F" w:rsidRDefault="0048624F" w:rsidP="0048624F">
      <w:pPr>
        <w:pStyle w:val="NormalWeb"/>
        <w:numPr>
          <w:ilvl w:val="0"/>
          <w:numId w:val="9"/>
        </w:numPr>
        <w:spacing w:line="360" w:lineRule="auto"/>
        <w:jc w:val="both"/>
      </w:pPr>
      <w:r>
        <w:t xml:space="preserve">Siddu, C. B., </w:t>
      </w:r>
      <w:proofErr w:type="spellStart"/>
      <w:r>
        <w:t>Channabasava</w:t>
      </w:r>
      <w:proofErr w:type="spellEnd"/>
      <w:r>
        <w:t xml:space="preserve">, Ganesh, P., Susmitha, B., Kalpana, M. P., Rao, A. M., et al. (2025). Breeding potential of multi-parent derived populations in </w:t>
      </w:r>
      <w:proofErr w:type="spellStart"/>
      <w:r>
        <w:t>chilli</w:t>
      </w:r>
      <w:proofErr w:type="spellEnd"/>
      <w:r>
        <w:t xml:space="preserve"> (</w:t>
      </w:r>
      <w:r>
        <w:rPr>
          <w:rStyle w:val="Emphasis"/>
        </w:rPr>
        <w:t>Capsicum annuum</w:t>
      </w:r>
      <w:r>
        <w:t xml:space="preserve"> L.). </w:t>
      </w:r>
      <w:r>
        <w:rPr>
          <w:rStyle w:val="Emphasis"/>
        </w:rPr>
        <w:t>Journal of Horticultural Sciences</w:t>
      </w:r>
      <w:r>
        <w:t xml:space="preserve">, 20(2). </w:t>
      </w:r>
      <w:hyperlink r:id="rId12" w:history="1">
        <w:r>
          <w:rPr>
            <w:rStyle w:val="Hyperlink"/>
          </w:rPr>
          <w:t>https://doi.org/10.24154/jhs.v20i2.3365</w:t>
        </w:r>
      </w:hyperlink>
    </w:p>
    <w:p w14:paraId="25CBA518" w14:textId="77777777" w:rsidR="0048624F" w:rsidRDefault="0048624F" w:rsidP="0048624F">
      <w:pPr>
        <w:pStyle w:val="NormalWeb"/>
        <w:numPr>
          <w:ilvl w:val="0"/>
          <w:numId w:val="9"/>
        </w:numPr>
        <w:spacing w:line="360" w:lineRule="auto"/>
        <w:jc w:val="both"/>
      </w:pPr>
      <w:r>
        <w:t xml:space="preserve">Singh, Y., Sharma, M., &amp; Sharma, A. (2009). Genetic variation, association of characters, and their direct and indirect contributions for improvement in </w:t>
      </w:r>
      <w:proofErr w:type="spellStart"/>
      <w:r>
        <w:t>chilli</w:t>
      </w:r>
      <w:proofErr w:type="spellEnd"/>
      <w:r>
        <w:t xml:space="preserve"> peppers. </w:t>
      </w:r>
      <w:r>
        <w:rPr>
          <w:rStyle w:val="Emphasis"/>
        </w:rPr>
        <w:t>International Journal of Vegetable Science</w:t>
      </w:r>
      <w:r>
        <w:t>, 15, 340–368.</w:t>
      </w:r>
    </w:p>
    <w:p w14:paraId="10895F11" w14:textId="77777777" w:rsidR="0048624F" w:rsidRDefault="0048624F" w:rsidP="0048624F">
      <w:pPr>
        <w:pStyle w:val="NormalWeb"/>
        <w:numPr>
          <w:ilvl w:val="0"/>
          <w:numId w:val="9"/>
        </w:numPr>
        <w:spacing w:line="360" w:lineRule="auto"/>
        <w:jc w:val="both"/>
      </w:pPr>
      <w:r>
        <w:t xml:space="preserve">Singh, R., Jindal, S. K., &amp; Patel, S. A. H. (2024). Exploring pickled </w:t>
      </w:r>
      <w:proofErr w:type="spellStart"/>
      <w:r>
        <w:t>chilli</w:t>
      </w:r>
      <w:proofErr w:type="spellEnd"/>
      <w:r>
        <w:t xml:space="preserve"> genotypes through evaluation of variability parameters, character association studies and genetic divergence. </w:t>
      </w:r>
      <w:r>
        <w:rPr>
          <w:rStyle w:val="Emphasis"/>
        </w:rPr>
        <w:t xml:space="preserve">Scientia </w:t>
      </w:r>
      <w:proofErr w:type="spellStart"/>
      <w:r>
        <w:rPr>
          <w:rStyle w:val="Emphasis"/>
        </w:rPr>
        <w:t>Horticulturae</w:t>
      </w:r>
      <w:proofErr w:type="spellEnd"/>
      <w:r>
        <w:t xml:space="preserve">, 329, 113018. </w:t>
      </w:r>
      <w:hyperlink r:id="rId13" w:history="1">
        <w:r>
          <w:rPr>
            <w:rStyle w:val="Hyperlink"/>
          </w:rPr>
          <w:t>https://doi.org/10.1016/j.scienta.2024.113018</w:t>
        </w:r>
      </w:hyperlink>
    </w:p>
    <w:p w14:paraId="0110BE63" w14:textId="77777777" w:rsidR="0048624F" w:rsidRDefault="0048624F" w:rsidP="0048624F">
      <w:pPr>
        <w:pStyle w:val="NormalWeb"/>
        <w:numPr>
          <w:ilvl w:val="0"/>
          <w:numId w:val="9"/>
        </w:numPr>
        <w:spacing w:line="360" w:lineRule="auto"/>
        <w:jc w:val="both"/>
      </w:pPr>
      <w:proofErr w:type="spellStart"/>
      <w:r>
        <w:lastRenderedPageBreak/>
        <w:t>Sreelathakumary</w:t>
      </w:r>
      <w:proofErr w:type="spellEnd"/>
      <w:r>
        <w:t xml:space="preserve">, I., &amp; </w:t>
      </w:r>
      <w:proofErr w:type="spellStart"/>
      <w:r>
        <w:t>Rajamony</w:t>
      </w:r>
      <w:proofErr w:type="spellEnd"/>
      <w:r>
        <w:t xml:space="preserve">, L. (2002). Variability, heritability and correlation studies in </w:t>
      </w:r>
      <w:proofErr w:type="spellStart"/>
      <w:r>
        <w:t>chilli</w:t>
      </w:r>
      <w:proofErr w:type="spellEnd"/>
      <w:r>
        <w:t xml:space="preserve"> (</w:t>
      </w:r>
      <w:r>
        <w:rPr>
          <w:rStyle w:val="Emphasis"/>
        </w:rPr>
        <w:t>Capsicum</w:t>
      </w:r>
      <w:r>
        <w:t xml:space="preserve"> spp.) under shade. </w:t>
      </w:r>
      <w:r>
        <w:rPr>
          <w:rStyle w:val="Emphasis"/>
        </w:rPr>
        <w:t>Indian Journal of Horticulture</w:t>
      </w:r>
      <w:r>
        <w:t>, 59(1), 77–83.</w:t>
      </w:r>
    </w:p>
    <w:p w14:paraId="7A6479B5" w14:textId="77777777" w:rsidR="0048624F" w:rsidRDefault="0048624F" w:rsidP="0048624F">
      <w:pPr>
        <w:pStyle w:val="NormalWeb"/>
        <w:numPr>
          <w:ilvl w:val="0"/>
          <w:numId w:val="9"/>
        </w:numPr>
        <w:spacing w:line="360" w:lineRule="auto"/>
        <w:jc w:val="both"/>
      </w:pPr>
      <w:r>
        <w:t xml:space="preserve">Tilahun, T., </w:t>
      </w:r>
      <w:proofErr w:type="spellStart"/>
      <w:r>
        <w:t>Bezie</w:t>
      </w:r>
      <w:proofErr w:type="spellEnd"/>
      <w:r>
        <w:t xml:space="preserve">, Y., Petros, Y., </w:t>
      </w:r>
      <w:proofErr w:type="spellStart"/>
      <w:r>
        <w:t>Dessalegn</w:t>
      </w:r>
      <w:proofErr w:type="spellEnd"/>
      <w:r>
        <w:t>, Y., &amp; Taye, M. (2022). Correlation and path coefficient analysis of green pod yield and yield attributing traits of chili (</w:t>
      </w:r>
      <w:r>
        <w:rPr>
          <w:rStyle w:val="Emphasis"/>
        </w:rPr>
        <w:t>Capsicum annuum</w:t>
      </w:r>
      <w:r>
        <w:t xml:space="preserve"> L.) genotypes in Ethiopia. </w:t>
      </w:r>
      <w:r>
        <w:rPr>
          <w:rStyle w:val="Emphasis"/>
        </w:rPr>
        <w:t>All Life</w:t>
      </w:r>
      <w:r>
        <w:t xml:space="preserve">, 15(1), 203–210. </w:t>
      </w:r>
      <w:hyperlink r:id="rId14" w:history="1">
        <w:r>
          <w:rPr>
            <w:rStyle w:val="Hyperlink"/>
          </w:rPr>
          <w:t>https://doi.org/10.1080/26895293.2022.2037472</w:t>
        </w:r>
      </w:hyperlink>
    </w:p>
    <w:p w14:paraId="7B9E193A" w14:textId="77777777" w:rsidR="0048624F" w:rsidRDefault="0048624F" w:rsidP="0048624F">
      <w:pPr>
        <w:pStyle w:val="NormalWeb"/>
        <w:numPr>
          <w:ilvl w:val="0"/>
          <w:numId w:val="9"/>
        </w:numPr>
        <w:spacing w:line="360" w:lineRule="auto"/>
        <w:jc w:val="both"/>
      </w:pPr>
      <w:r>
        <w:t xml:space="preserve">Usman, M. G., Rafii, M. Y., Martini, M. Y., Oladosu, Y., &amp; </w:t>
      </w:r>
      <w:proofErr w:type="spellStart"/>
      <w:r>
        <w:t>Kashiani</w:t>
      </w:r>
      <w:proofErr w:type="spellEnd"/>
      <w:r>
        <w:t xml:space="preserve">, P. (2017). Genotypic character relationship and phenotypic path coefficient analysis in chili pepper genotypes grown under tropical condition. </w:t>
      </w:r>
      <w:r>
        <w:rPr>
          <w:rStyle w:val="Emphasis"/>
        </w:rPr>
        <w:t>Journal of the Science of Food and Agriculture</w:t>
      </w:r>
      <w:r>
        <w:t xml:space="preserve">, 97(4), 1164–1171. </w:t>
      </w:r>
      <w:hyperlink r:id="rId15" w:history="1">
        <w:r>
          <w:rPr>
            <w:rStyle w:val="Hyperlink"/>
          </w:rPr>
          <w:t>https://doi.org/10.1002/jsfa.7843</w:t>
        </w:r>
      </w:hyperlink>
    </w:p>
    <w:p w14:paraId="7B3AB0D7" w14:textId="77777777" w:rsidR="0048624F" w:rsidRDefault="0048624F" w:rsidP="0048624F">
      <w:pPr>
        <w:pStyle w:val="NormalWeb"/>
        <w:numPr>
          <w:ilvl w:val="0"/>
          <w:numId w:val="9"/>
        </w:numPr>
        <w:spacing w:line="360" w:lineRule="auto"/>
        <w:jc w:val="both"/>
      </w:pPr>
      <w:r>
        <w:t xml:space="preserve">Vijaya, H. M., Gowda, A. P. M., &amp; Nehru, S. D. (2014). Genetic variability, correlation coefficient and path analysis in </w:t>
      </w:r>
      <w:proofErr w:type="spellStart"/>
      <w:r>
        <w:t>chilli</w:t>
      </w:r>
      <w:proofErr w:type="spellEnd"/>
      <w:r>
        <w:t xml:space="preserve"> (</w:t>
      </w:r>
      <w:r>
        <w:rPr>
          <w:rStyle w:val="Emphasis"/>
        </w:rPr>
        <w:t>Capsicum annuum</w:t>
      </w:r>
      <w:r>
        <w:t xml:space="preserve"> L.) genotypes. </w:t>
      </w:r>
      <w:r>
        <w:rPr>
          <w:rStyle w:val="Emphasis"/>
        </w:rPr>
        <w:t>Research on Crops</w:t>
      </w:r>
      <w:r>
        <w:t>, 15(3), 175–178.</w:t>
      </w:r>
    </w:p>
    <w:p w14:paraId="159F222B" w14:textId="77777777" w:rsidR="0048624F" w:rsidRDefault="0048624F" w:rsidP="0048624F">
      <w:pPr>
        <w:pStyle w:val="NormalWeb"/>
        <w:numPr>
          <w:ilvl w:val="0"/>
          <w:numId w:val="9"/>
        </w:numPr>
        <w:spacing w:line="360" w:lineRule="auto"/>
        <w:jc w:val="both"/>
      </w:pPr>
      <w:r>
        <w:t xml:space="preserve">Wright, S. (1921). Correlation and causation. </w:t>
      </w:r>
      <w:r>
        <w:rPr>
          <w:rStyle w:val="Emphasis"/>
        </w:rPr>
        <w:t>Journal of Agricultural Research</w:t>
      </w:r>
      <w:r>
        <w:t>, 20, 557–585.</w:t>
      </w:r>
    </w:p>
    <w:p w14:paraId="14EE7B0E" w14:textId="77777777" w:rsidR="008C6B5E" w:rsidRPr="00902A6C" w:rsidRDefault="008C6B5E" w:rsidP="008C6B5E">
      <w:pPr>
        <w:pStyle w:val="NormalWeb"/>
        <w:spacing w:line="360" w:lineRule="auto"/>
        <w:ind w:left="720"/>
        <w:jc w:val="both"/>
      </w:pPr>
    </w:p>
    <w:p w14:paraId="1BF37ABD" w14:textId="77777777" w:rsidR="00B86B62" w:rsidRPr="00902A6C" w:rsidRDefault="00B86B62" w:rsidP="00902A6C">
      <w:pPr>
        <w:spacing w:line="360" w:lineRule="auto"/>
        <w:jc w:val="both"/>
        <w:rPr>
          <w:rFonts w:ascii="Times New Roman" w:hAnsi="Times New Roman" w:cs="Times New Roman"/>
          <w:sz w:val="24"/>
          <w:szCs w:val="24"/>
        </w:rPr>
      </w:pPr>
    </w:p>
    <w:sectPr w:rsidR="00B86B62" w:rsidRPr="00902A6C">
      <w:headerReference w:type="even" r:id="rId16"/>
      <w:headerReference w:type="default" r:id="rId17"/>
      <w:footerReference w:type="even" r:id="rId18"/>
      <w:footerReference w:type="default" r:id="rId19"/>
      <w:headerReference w:type="first" r:id="rId20"/>
      <w:footerReference w:type="firs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3AD0B1" w14:textId="77777777" w:rsidR="00F364F9" w:rsidRDefault="00F364F9" w:rsidP="00CD526D">
      <w:pPr>
        <w:spacing w:after="0" w:line="240" w:lineRule="auto"/>
      </w:pPr>
      <w:r>
        <w:separator/>
      </w:r>
    </w:p>
  </w:endnote>
  <w:endnote w:type="continuationSeparator" w:id="0">
    <w:p w14:paraId="1E2646C1" w14:textId="77777777" w:rsidR="00F364F9" w:rsidRDefault="00F364F9" w:rsidP="00CD52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D4D68" w14:textId="77777777" w:rsidR="00CD526D" w:rsidRDefault="00CD52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44709" w14:textId="77777777" w:rsidR="00CD526D" w:rsidRDefault="00CD526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53E9F" w14:textId="77777777" w:rsidR="00CD526D" w:rsidRDefault="00CD52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320051" w14:textId="77777777" w:rsidR="00F364F9" w:rsidRDefault="00F364F9" w:rsidP="00CD526D">
      <w:pPr>
        <w:spacing w:after="0" w:line="240" w:lineRule="auto"/>
      </w:pPr>
      <w:r>
        <w:separator/>
      </w:r>
    </w:p>
  </w:footnote>
  <w:footnote w:type="continuationSeparator" w:id="0">
    <w:p w14:paraId="40CC6AEA" w14:textId="77777777" w:rsidR="00F364F9" w:rsidRDefault="00F364F9" w:rsidP="00CD52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7EE6D" w14:textId="4601D48D" w:rsidR="00CD526D" w:rsidRDefault="00CD526D">
    <w:pPr>
      <w:pStyle w:val="Header"/>
    </w:pPr>
    <w:r>
      <w:rPr>
        <w:noProof/>
      </w:rPr>
      <w:pict w14:anchorId="7918C31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164360"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40FF5" w14:textId="7DE367A3" w:rsidR="00CD526D" w:rsidRDefault="00CD526D">
    <w:pPr>
      <w:pStyle w:val="Header"/>
    </w:pPr>
    <w:r>
      <w:rPr>
        <w:noProof/>
      </w:rPr>
      <w:pict w14:anchorId="1948189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164361"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D76A3" w14:textId="1BDAE87B" w:rsidR="00CD526D" w:rsidRDefault="00CD526D">
    <w:pPr>
      <w:pStyle w:val="Header"/>
    </w:pPr>
    <w:r>
      <w:rPr>
        <w:noProof/>
      </w:rPr>
      <w:pict w14:anchorId="1E757A2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164359"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7B7B3D"/>
    <w:multiLevelType w:val="hybridMultilevel"/>
    <w:tmpl w:val="62AE0C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E549E6"/>
    <w:multiLevelType w:val="multilevel"/>
    <w:tmpl w:val="92565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9B63A6"/>
    <w:multiLevelType w:val="multilevel"/>
    <w:tmpl w:val="490E20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83A2704"/>
    <w:multiLevelType w:val="multilevel"/>
    <w:tmpl w:val="07EA0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BE37978"/>
    <w:multiLevelType w:val="multilevel"/>
    <w:tmpl w:val="490E20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F052702"/>
    <w:multiLevelType w:val="multilevel"/>
    <w:tmpl w:val="4E9E81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4CC6510"/>
    <w:multiLevelType w:val="multilevel"/>
    <w:tmpl w:val="DE0E8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BE66291"/>
    <w:multiLevelType w:val="multilevel"/>
    <w:tmpl w:val="38F68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65A5D33"/>
    <w:multiLevelType w:val="hybridMultilevel"/>
    <w:tmpl w:val="1D7CA140"/>
    <w:lvl w:ilvl="0" w:tplc="C340E15C">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48624965">
    <w:abstractNumId w:val="3"/>
  </w:num>
  <w:num w:numId="2" w16cid:durableId="1088768959">
    <w:abstractNumId w:val="6"/>
  </w:num>
  <w:num w:numId="3" w16cid:durableId="1724596614">
    <w:abstractNumId w:val="1"/>
  </w:num>
  <w:num w:numId="4" w16cid:durableId="305819749">
    <w:abstractNumId w:val="7"/>
  </w:num>
  <w:num w:numId="5" w16cid:durableId="1518933319">
    <w:abstractNumId w:val="2"/>
  </w:num>
  <w:num w:numId="6" w16cid:durableId="1502044269">
    <w:abstractNumId w:val="8"/>
  </w:num>
  <w:num w:numId="7" w16cid:durableId="950866538">
    <w:abstractNumId w:val="0"/>
  </w:num>
  <w:num w:numId="8" w16cid:durableId="783772256">
    <w:abstractNumId w:val="4"/>
  </w:num>
  <w:num w:numId="9" w16cid:durableId="4730656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4756D"/>
    <w:rsid w:val="00011176"/>
    <w:rsid w:val="00052FBE"/>
    <w:rsid w:val="000601F3"/>
    <w:rsid w:val="000B5852"/>
    <w:rsid w:val="0011755E"/>
    <w:rsid w:val="0013352F"/>
    <w:rsid w:val="0014430E"/>
    <w:rsid w:val="00232114"/>
    <w:rsid w:val="00257D50"/>
    <w:rsid w:val="00277C6B"/>
    <w:rsid w:val="002A0B42"/>
    <w:rsid w:val="002D428D"/>
    <w:rsid w:val="00405056"/>
    <w:rsid w:val="0048624F"/>
    <w:rsid w:val="005768EE"/>
    <w:rsid w:val="005E571B"/>
    <w:rsid w:val="00660D40"/>
    <w:rsid w:val="00661684"/>
    <w:rsid w:val="006A6580"/>
    <w:rsid w:val="0074756D"/>
    <w:rsid w:val="00750C93"/>
    <w:rsid w:val="007B61CE"/>
    <w:rsid w:val="0085310C"/>
    <w:rsid w:val="00875168"/>
    <w:rsid w:val="008C6B5E"/>
    <w:rsid w:val="00902A6C"/>
    <w:rsid w:val="00A06D19"/>
    <w:rsid w:val="00A712AE"/>
    <w:rsid w:val="00A75E3D"/>
    <w:rsid w:val="00B10A21"/>
    <w:rsid w:val="00B86B62"/>
    <w:rsid w:val="00BF6DD4"/>
    <w:rsid w:val="00C26F21"/>
    <w:rsid w:val="00C6400A"/>
    <w:rsid w:val="00C93ACA"/>
    <w:rsid w:val="00CC2C55"/>
    <w:rsid w:val="00CD526D"/>
    <w:rsid w:val="00D145DA"/>
    <w:rsid w:val="00E03FD4"/>
    <w:rsid w:val="00EC4E92"/>
    <w:rsid w:val="00F364F9"/>
    <w:rsid w:val="00FC56F9"/>
    <w:rsid w:val="00FD0C04"/>
    <w:rsid w:val="00FF70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EAD79B"/>
  <w15:docId w15:val="{6026F127-736D-436F-9939-4E46F347C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77C6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277C6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277C6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4756D"/>
    <w:rPr>
      <w:b/>
      <w:bCs/>
    </w:rPr>
  </w:style>
  <w:style w:type="paragraph" w:customStyle="1" w:styleId="isselectedend">
    <w:name w:val="isselectedend"/>
    <w:basedOn w:val="Normal"/>
    <w:rsid w:val="0074756D"/>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7475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77C6B"/>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277C6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277C6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77C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77C6B"/>
    <w:rPr>
      <w:i/>
      <w:iCs/>
    </w:rPr>
  </w:style>
  <w:style w:type="character" w:styleId="Hyperlink">
    <w:name w:val="Hyperlink"/>
    <w:basedOn w:val="DefaultParagraphFont"/>
    <w:uiPriority w:val="99"/>
    <w:unhideWhenUsed/>
    <w:rsid w:val="002D428D"/>
    <w:rPr>
      <w:color w:val="0000FF"/>
      <w:u w:val="single"/>
    </w:rPr>
  </w:style>
  <w:style w:type="paragraph" w:styleId="BalloonText">
    <w:name w:val="Balloon Text"/>
    <w:basedOn w:val="Normal"/>
    <w:link w:val="BalloonTextChar"/>
    <w:uiPriority w:val="99"/>
    <w:semiHidden/>
    <w:unhideWhenUsed/>
    <w:rsid w:val="00B86B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6B62"/>
    <w:rPr>
      <w:rFonts w:ascii="Tahoma" w:hAnsi="Tahoma" w:cs="Tahoma"/>
      <w:sz w:val="16"/>
      <w:szCs w:val="16"/>
    </w:rPr>
  </w:style>
  <w:style w:type="paragraph" w:customStyle="1" w:styleId="pdq2pgselectionanchorcontainer">
    <w:name w:val="pdq2pg_selectionanchorcontainer"/>
    <w:basedOn w:val="Normal"/>
    <w:rsid w:val="00A712AE"/>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405056"/>
    <w:rPr>
      <w:color w:val="605E5C"/>
      <w:shd w:val="clear" w:color="auto" w:fill="E1DFDD"/>
    </w:rPr>
  </w:style>
  <w:style w:type="paragraph" w:styleId="Header">
    <w:name w:val="header"/>
    <w:basedOn w:val="Normal"/>
    <w:link w:val="HeaderChar"/>
    <w:uiPriority w:val="99"/>
    <w:unhideWhenUsed/>
    <w:rsid w:val="00CD52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526D"/>
  </w:style>
  <w:style w:type="paragraph" w:styleId="Footer">
    <w:name w:val="footer"/>
    <w:basedOn w:val="Normal"/>
    <w:link w:val="FooterChar"/>
    <w:uiPriority w:val="99"/>
    <w:unhideWhenUsed/>
    <w:rsid w:val="00CD526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52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239439">
      <w:bodyDiv w:val="1"/>
      <w:marLeft w:val="0"/>
      <w:marRight w:val="0"/>
      <w:marTop w:val="0"/>
      <w:marBottom w:val="0"/>
      <w:divBdr>
        <w:top w:val="none" w:sz="0" w:space="0" w:color="auto"/>
        <w:left w:val="none" w:sz="0" w:space="0" w:color="auto"/>
        <w:bottom w:val="none" w:sz="0" w:space="0" w:color="auto"/>
        <w:right w:val="none" w:sz="0" w:space="0" w:color="auto"/>
      </w:divBdr>
      <w:divsChild>
        <w:div w:id="782191465">
          <w:marLeft w:val="0"/>
          <w:marRight w:val="0"/>
          <w:marTop w:val="150"/>
          <w:marBottom w:val="300"/>
          <w:divBdr>
            <w:top w:val="none" w:sz="0" w:space="0" w:color="auto"/>
            <w:left w:val="none" w:sz="0" w:space="0" w:color="auto"/>
            <w:bottom w:val="none" w:sz="0" w:space="0" w:color="auto"/>
            <w:right w:val="none" w:sz="0" w:space="0" w:color="auto"/>
          </w:divBdr>
        </w:div>
        <w:div w:id="694356082">
          <w:marLeft w:val="0"/>
          <w:marRight w:val="0"/>
          <w:marTop w:val="0"/>
          <w:marBottom w:val="0"/>
          <w:divBdr>
            <w:top w:val="none" w:sz="0" w:space="0" w:color="auto"/>
            <w:left w:val="none" w:sz="0" w:space="0" w:color="auto"/>
            <w:bottom w:val="none" w:sz="0" w:space="0" w:color="auto"/>
            <w:right w:val="none" w:sz="0" w:space="0" w:color="auto"/>
          </w:divBdr>
        </w:div>
      </w:divsChild>
    </w:div>
    <w:div w:id="704528225">
      <w:bodyDiv w:val="1"/>
      <w:marLeft w:val="0"/>
      <w:marRight w:val="0"/>
      <w:marTop w:val="0"/>
      <w:marBottom w:val="0"/>
      <w:divBdr>
        <w:top w:val="none" w:sz="0" w:space="0" w:color="auto"/>
        <w:left w:val="none" w:sz="0" w:space="0" w:color="auto"/>
        <w:bottom w:val="none" w:sz="0" w:space="0" w:color="auto"/>
        <w:right w:val="none" w:sz="0" w:space="0" w:color="auto"/>
      </w:divBdr>
    </w:div>
    <w:div w:id="879514316">
      <w:bodyDiv w:val="1"/>
      <w:marLeft w:val="0"/>
      <w:marRight w:val="0"/>
      <w:marTop w:val="0"/>
      <w:marBottom w:val="0"/>
      <w:divBdr>
        <w:top w:val="none" w:sz="0" w:space="0" w:color="auto"/>
        <w:left w:val="none" w:sz="0" w:space="0" w:color="auto"/>
        <w:bottom w:val="none" w:sz="0" w:space="0" w:color="auto"/>
        <w:right w:val="none" w:sz="0" w:space="0" w:color="auto"/>
      </w:divBdr>
    </w:div>
    <w:div w:id="1481385177">
      <w:bodyDiv w:val="1"/>
      <w:marLeft w:val="0"/>
      <w:marRight w:val="0"/>
      <w:marTop w:val="0"/>
      <w:marBottom w:val="0"/>
      <w:divBdr>
        <w:top w:val="none" w:sz="0" w:space="0" w:color="auto"/>
        <w:left w:val="none" w:sz="0" w:space="0" w:color="auto"/>
        <w:bottom w:val="none" w:sz="0" w:space="0" w:color="auto"/>
        <w:right w:val="none" w:sz="0" w:space="0" w:color="auto"/>
      </w:divBdr>
      <w:divsChild>
        <w:div w:id="594094363">
          <w:marLeft w:val="0"/>
          <w:marRight w:val="0"/>
          <w:marTop w:val="0"/>
          <w:marBottom w:val="75"/>
          <w:divBdr>
            <w:top w:val="none" w:sz="0" w:space="0" w:color="auto"/>
            <w:left w:val="none" w:sz="0" w:space="0" w:color="auto"/>
            <w:bottom w:val="none" w:sz="0" w:space="0" w:color="auto"/>
            <w:right w:val="none" w:sz="0" w:space="0" w:color="auto"/>
          </w:divBdr>
        </w:div>
        <w:div w:id="367144573">
          <w:marLeft w:val="0"/>
          <w:marRight w:val="0"/>
          <w:marTop w:val="0"/>
          <w:marBottom w:val="75"/>
          <w:divBdr>
            <w:top w:val="none" w:sz="0" w:space="0" w:color="auto"/>
            <w:left w:val="none" w:sz="0" w:space="0" w:color="auto"/>
            <w:bottom w:val="none" w:sz="0" w:space="0" w:color="auto"/>
            <w:right w:val="none" w:sz="0" w:space="0" w:color="auto"/>
          </w:divBdr>
        </w:div>
        <w:div w:id="317803959">
          <w:marLeft w:val="0"/>
          <w:marRight w:val="0"/>
          <w:marTop w:val="150"/>
          <w:marBottom w:val="150"/>
          <w:divBdr>
            <w:top w:val="none" w:sz="0" w:space="0" w:color="auto"/>
            <w:left w:val="none" w:sz="0" w:space="0" w:color="auto"/>
            <w:bottom w:val="none" w:sz="0" w:space="0" w:color="auto"/>
            <w:right w:val="none" w:sz="0" w:space="0" w:color="auto"/>
          </w:divBdr>
        </w:div>
        <w:div w:id="260652956">
          <w:marLeft w:val="-300"/>
          <w:marRight w:val="0"/>
          <w:marTop w:val="0"/>
          <w:marBottom w:val="150"/>
          <w:divBdr>
            <w:top w:val="none" w:sz="0" w:space="0" w:color="auto"/>
            <w:left w:val="none" w:sz="0" w:space="0" w:color="auto"/>
            <w:bottom w:val="none" w:sz="0" w:space="0" w:color="auto"/>
            <w:right w:val="none" w:sz="0" w:space="0" w:color="auto"/>
          </w:divBdr>
          <w:divsChild>
            <w:div w:id="99032419">
              <w:marLeft w:val="0"/>
              <w:marRight w:val="0"/>
              <w:marTop w:val="0"/>
              <w:marBottom w:val="0"/>
              <w:divBdr>
                <w:top w:val="none" w:sz="0" w:space="0" w:color="auto"/>
                <w:left w:val="none" w:sz="0" w:space="0" w:color="auto"/>
                <w:bottom w:val="none" w:sz="0" w:space="0" w:color="auto"/>
                <w:right w:val="none" w:sz="0" w:space="0" w:color="auto"/>
              </w:divBdr>
              <w:divsChild>
                <w:div w:id="59835312">
                  <w:marLeft w:val="0"/>
                  <w:marRight w:val="0"/>
                  <w:marTop w:val="0"/>
                  <w:marBottom w:val="0"/>
                  <w:divBdr>
                    <w:top w:val="none" w:sz="0" w:space="0" w:color="auto"/>
                    <w:left w:val="none" w:sz="0" w:space="0" w:color="auto"/>
                    <w:bottom w:val="none" w:sz="0" w:space="0" w:color="auto"/>
                    <w:right w:val="none" w:sz="0" w:space="0" w:color="auto"/>
                  </w:divBdr>
                  <w:divsChild>
                    <w:div w:id="816608484">
                      <w:marLeft w:val="0"/>
                      <w:marRight w:val="0"/>
                      <w:marTop w:val="0"/>
                      <w:marBottom w:val="0"/>
                      <w:divBdr>
                        <w:top w:val="none" w:sz="0" w:space="0" w:color="auto"/>
                        <w:left w:val="none" w:sz="0" w:space="0" w:color="auto"/>
                        <w:bottom w:val="none" w:sz="0" w:space="0" w:color="auto"/>
                        <w:right w:val="none" w:sz="0" w:space="0" w:color="auto"/>
                      </w:divBdr>
                      <w:divsChild>
                        <w:div w:id="742987899">
                          <w:marLeft w:val="-150"/>
                          <w:marRight w:val="0"/>
                          <w:marTop w:val="0"/>
                          <w:marBottom w:val="0"/>
                          <w:divBdr>
                            <w:top w:val="none" w:sz="0" w:space="0" w:color="auto"/>
                            <w:left w:val="none" w:sz="0" w:space="0" w:color="auto"/>
                            <w:bottom w:val="none" w:sz="0" w:space="0" w:color="auto"/>
                            <w:right w:val="none" w:sz="0" w:space="0" w:color="auto"/>
                          </w:divBdr>
                          <w:divsChild>
                            <w:div w:id="923538174">
                              <w:marLeft w:val="0"/>
                              <w:marRight w:val="0"/>
                              <w:marTop w:val="0"/>
                              <w:marBottom w:val="0"/>
                              <w:divBdr>
                                <w:top w:val="none" w:sz="0" w:space="0" w:color="auto"/>
                                <w:left w:val="none" w:sz="0" w:space="0" w:color="auto"/>
                                <w:bottom w:val="none" w:sz="0" w:space="0" w:color="auto"/>
                                <w:right w:val="none" w:sz="0" w:space="0" w:color="auto"/>
                              </w:divBdr>
                              <w:divsChild>
                                <w:div w:id="1847791348">
                                  <w:marLeft w:val="0"/>
                                  <w:marRight w:val="0"/>
                                  <w:marTop w:val="0"/>
                                  <w:marBottom w:val="0"/>
                                  <w:divBdr>
                                    <w:top w:val="none" w:sz="0" w:space="0" w:color="auto"/>
                                    <w:left w:val="none" w:sz="0" w:space="0" w:color="auto"/>
                                    <w:bottom w:val="none" w:sz="0" w:space="0" w:color="auto"/>
                                    <w:right w:val="none" w:sz="0" w:space="0" w:color="auto"/>
                                  </w:divBdr>
                                  <w:divsChild>
                                    <w:div w:id="654651602">
                                      <w:marLeft w:val="0"/>
                                      <w:marRight w:val="0"/>
                                      <w:marTop w:val="0"/>
                                      <w:marBottom w:val="0"/>
                                      <w:divBdr>
                                        <w:top w:val="none" w:sz="0" w:space="0" w:color="auto"/>
                                        <w:left w:val="none" w:sz="0" w:space="0" w:color="auto"/>
                                        <w:bottom w:val="none" w:sz="0" w:space="0" w:color="auto"/>
                                        <w:right w:val="none" w:sz="0" w:space="0" w:color="auto"/>
                                      </w:divBdr>
                                      <w:divsChild>
                                        <w:div w:id="435640147">
                                          <w:marLeft w:val="0"/>
                                          <w:marRight w:val="0"/>
                                          <w:marTop w:val="0"/>
                                          <w:marBottom w:val="0"/>
                                          <w:divBdr>
                                            <w:top w:val="none" w:sz="0" w:space="0" w:color="auto"/>
                                            <w:left w:val="none" w:sz="0" w:space="0" w:color="auto"/>
                                            <w:bottom w:val="none" w:sz="0" w:space="0" w:color="auto"/>
                                            <w:right w:val="none" w:sz="0" w:space="0" w:color="auto"/>
                                          </w:divBdr>
                                          <w:divsChild>
                                            <w:div w:id="1712605036">
                                              <w:marLeft w:val="0"/>
                                              <w:marRight w:val="0"/>
                                              <w:marTop w:val="0"/>
                                              <w:marBottom w:val="0"/>
                                              <w:divBdr>
                                                <w:top w:val="none" w:sz="0" w:space="0" w:color="auto"/>
                                                <w:left w:val="none" w:sz="0" w:space="0" w:color="auto"/>
                                                <w:bottom w:val="none" w:sz="0" w:space="0" w:color="auto"/>
                                                <w:right w:val="none" w:sz="0" w:space="0" w:color="auto"/>
                                              </w:divBdr>
                                              <w:divsChild>
                                                <w:div w:id="2035113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795375">
              <w:marLeft w:val="0"/>
              <w:marRight w:val="0"/>
              <w:marTop w:val="0"/>
              <w:marBottom w:val="0"/>
              <w:divBdr>
                <w:top w:val="none" w:sz="0" w:space="0" w:color="auto"/>
                <w:left w:val="none" w:sz="0" w:space="0" w:color="auto"/>
                <w:bottom w:val="none" w:sz="0" w:space="0" w:color="auto"/>
                <w:right w:val="none" w:sz="0" w:space="0" w:color="auto"/>
              </w:divBdr>
              <w:divsChild>
                <w:div w:id="185215614">
                  <w:marLeft w:val="0"/>
                  <w:marRight w:val="0"/>
                  <w:marTop w:val="0"/>
                  <w:marBottom w:val="0"/>
                  <w:divBdr>
                    <w:top w:val="none" w:sz="0" w:space="0" w:color="auto"/>
                    <w:left w:val="none" w:sz="0" w:space="0" w:color="auto"/>
                    <w:bottom w:val="none" w:sz="0" w:space="0" w:color="auto"/>
                    <w:right w:val="none" w:sz="0" w:space="0" w:color="auto"/>
                  </w:divBdr>
                  <w:divsChild>
                    <w:div w:id="657998689">
                      <w:marLeft w:val="0"/>
                      <w:marRight w:val="0"/>
                      <w:marTop w:val="0"/>
                      <w:marBottom w:val="0"/>
                      <w:divBdr>
                        <w:top w:val="none" w:sz="0" w:space="0" w:color="auto"/>
                        <w:left w:val="none" w:sz="0" w:space="0" w:color="auto"/>
                        <w:bottom w:val="none" w:sz="0" w:space="0" w:color="auto"/>
                        <w:right w:val="none" w:sz="0" w:space="0" w:color="auto"/>
                      </w:divBdr>
                      <w:divsChild>
                        <w:div w:id="618754681">
                          <w:marLeft w:val="0"/>
                          <w:marRight w:val="0"/>
                          <w:marTop w:val="0"/>
                          <w:marBottom w:val="0"/>
                          <w:divBdr>
                            <w:top w:val="none" w:sz="0" w:space="0" w:color="auto"/>
                            <w:left w:val="none" w:sz="0" w:space="0" w:color="auto"/>
                            <w:bottom w:val="none" w:sz="0" w:space="0" w:color="auto"/>
                            <w:right w:val="none" w:sz="0" w:space="0" w:color="auto"/>
                          </w:divBdr>
                          <w:divsChild>
                            <w:div w:id="1595165509">
                              <w:marLeft w:val="-150"/>
                              <w:marRight w:val="0"/>
                              <w:marTop w:val="0"/>
                              <w:marBottom w:val="0"/>
                              <w:divBdr>
                                <w:top w:val="none" w:sz="0" w:space="0" w:color="auto"/>
                                <w:left w:val="none" w:sz="0" w:space="0" w:color="auto"/>
                                <w:bottom w:val="none" w:sz="0" w:space="0" w:color="auto"/>
                                <w:right w:val="none" w:sz="0" w:space="0" w:color="auto"/>
                              </w:divBdr>
                              <w:divsChild>
                                <w:div w:id="361518288">
                                  <w:marLeft w:val="0"/>
                                  <w:marRight w:val="0"/>
                                  <w:marTop w:val="0"/>
                                  <w:marBottom w:val="0"/>
                                  <w:divBdr>
                                    <w:top w:val="none" w:sz="0" w:space="0" w:color="auto"/>
                                    <w:left w:val="none" w:sz="0" w:space="0" w:color="auto"/>
                                    <w:bottom w:val="none" w:sz="0" w:space="0" w:color="auto"/>
                                    <w:right w:val="none" w:sz="0" w:space="0" w:color="auto"/>
                                  </w:divBdr>
                                  <w:divsChild>
                                    <w:div w:id="1112935922">
                                      <w:marLeft w:val="0"/>
                                      <w:marRight w:val="0"/>
                                      <w:marTop w:val="0"/>
                                      <w:marBottom w:val="0"/>
                                      <w:divBdr>
                                        <w:top w:val="none" w:sz="0" w:space="0" w:color="auto"/>
                                        <w:left w:val="none" w:sz="0" w:space="0" w:color="auto"/>
                                        <w:bottom w:val="none" w:sz="0" w:space="0" w:color="auto"/>
                                        <w:right w:val="none" w:sz="0" w:space="0" w:color="auto"/>
                                      </w:divBdr>
                                      <w:divsChild>
                                        <w:div w:id="1496846399">
                                          <w:marLeft w:val="0"/>
                                          <w:marRight w:val="0"/>
                                          <w:marTop w:val="0"/>
                                          <w:marBottom w:val="0"/>
                                          <w:divBdr>
                                            <w:top w:val="none" w:sz="0" w:space="0" w:color="auto"/>
                                            <w:left w:val="none" w:sz="0" w:space="0" w:color="auto"/>
                                            <w:bottom w:val="none" w:sz="0" w:space="0" w:color="auto"/>
                                            <w:right w:val="none" w:sz="0" w:space="0" w:color="auto"/>
                                          </w:divBdr>
                                          <w:divsChild>
                                            <w:div w:id="1623341232">
                                              <w:marLeft w:val="0"/>
                                              <w:marRight w:val="0"/>
                                              <w:marTop w:val="0"/>
                                              <w:marBottom w:val="0"/>
                                              <w:divBdr>
                                                <w:top w:val="none" w:sz="0" w:space="0" w:color="auto"/>
                                                <w:left w:val="none" w:sz="0" w:space="0" w:color="auto"/>
                                                <w:bottom w:val="none" w:sz="0" w:space="0" w:color="auto"/>
                                                <w:right w:val="none" w:sz="0" w:space="0" w:color="auto"/>
                                              </w:divBdr>
                                              <w:divsChild>
                                                <w:div w:id="809057857">
                                                  <w:marLeft w:val="0"/>
                                                  <w:marRight w:val="0"/>
                                                  <w:marTop w:val="0"/>
                                                  <w:marBottom w:val="0"/>
                                                  <w:divBdr>
                                                    <w:top w:val="none" w:sz="0" w:space="0" w:color="auto"/>
                                                    <w:left w:val="none" w:sz="0" w:space="0" w:color="auto"/>
                                                    <w:bottom w:val="none" w:sz="0" w:space="0" w:color="auto"/>
                                                    <w:right w:val="none" w:sz="0" w:space="0" w:color="auto"/>
                                                  </w:divBdr>
                                                  <w:divsChild>
                                                    <w:div w:id="1624729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02559893">
              <w:marLeft w:val="0"/>
              <w:marRight w:val="0"/>
              <w:marTop w:val="0"/>
              <w:marBottom w:val="0"/>
              <w:divBdr>
                <w:top w:val="none" w:sz="0" w:space="0" w:color="auto"/>
                <w:left w:val="none" w:sz="0" w:space="0" w:color="auto"/>
                <w:bottom w:val="none" w:sz="0" w:space="0" w:color="auto"/>
                <w:right w:val="none" w:sz="0" w:space="0" w:color="auto"/>
              </w:divBdr>
              <w:divsChild>
                <w:div w:id="1008488661">
                  <w:marLeft w:val="0"/>
                  <w:marRight w:val="0"/>
                  <w:marTop w:val="0"/>
                  <w:marBottom w:val="0"/>
                  <w:divBdr>
                    <w:top w:val="none" w:sz="0" w:space="0" w:color="auto"/>
                    <w:left w:val="none" w:sz="0" w:space="0" w:color="auto"/>
                    <w:bottom w:val="none" w:sz="0" w:space="0" w:color="auto"/>
                    <w:right w:val="none" w:sz="0" w:space="0" w:color="auto"/>
                  </w:divBdr>
                  <w:divsChild>
                    <w:div w:id="294068508">
                      <w:marLeft w:val="0"/>
                      <w:marRight w:val="0"/>
                      <w:marTop w:val="0"/>
                      <w:marBottom w:val="0"/>
                      <w:divBdr>
                        <w:top w:val="none" w:sz="0" w:space="0" w:color="auto"/>
                        <w:left w:val="none" w:sz="0" w:space="0" w:color="auto"/>
                        <w:bottom w:val="none" w:sz="0" w:space="0" w:color="auto"/>
                        <w:right w:val="none" w:sz="0" w:space="0" w:color="auto"/>
                      </w:divBdr>
                      <w:divsChild>
                        <w:div w:id="747927361">
                          <w:marLeft w:val="0"/>
                          <w:marRight w:val="0"/>
                          <w:marTop w:val="0"/>
                          <w:marBottom w:val="0"/>
                          <w:divBdr>
                            <w:top w:val="none" w:sz="0" w:space="0" w:color="auto"/>
                            <w:left w:val="none" w:sz="0" w:space="0" w:color="auto"/>
                            <w:bottom w:val="none" w:sz="0" w:space="0" w:color="auto"/>
                            <w:right w:val="none" w:sz="0" w:space="0" w:color="auto"/>
                          </w:divBdr>
                          <w:divsChild>
                            <w:div w:id="699552855">
                              <w:marLeft w:val="-150"/>
                              <w:marRight w:val="0"/>
                              <w:marTop w:val="0"/>
                              <w:marBottom w:val="0"/>
                              <w:divBdr>
                                <w:top w:val="none" w:sz="0" w:space="0" w:color="auto"/>
                                <w:left w:val="none" w:sz="0" w:space="0" w:color="auto"/>
                                <w:bottom w:val="none" w:sz="0" w:space="0" w:color="auto"/>
                                <w:right w:val="none" w:sz="0" w:space="0" w:color="auto"/>
                              </w:divBdr>
                              <w:divsChild>
                                <w:div w:id="808983812">
                                  <w:marLeft w:val="0"/>
                                  <w:marRight w:val="0"/>
                                  <w:marTop w:val="0"/>
                                  <w:marBottom w:val="0"/>
                                  <w:divBdr>
                                    <w:top w:val="none" w:sz="0" w:space="0" w:color="auto"/>
                                    <w:left w:val="none" w:sz="0" w:space="0" w:color="auto"/>
                                    <w:bottom w:val="none" w:sz="0" w:space="0" w:color="auto"/>
                                    <w:right w:val="none" w:sz="0" w:space="0" w:color="auto"/>
                                  </w:divBdr>
                                  <w:divsChild>
                                    <w:div w:id="993460238">
                                      <w:marLeft w:val="0"/>
                                      <w:marRight w:val="0"/>
                                      <w:marTop w:val="0"/>
                                      <w:marBottom w:val="0"/>
                                      <w:divBdr>
                                        <w:top w:val="none" w:sz="0" w:space="0" w:color="auto"/>
                                        <w:left w:val="none" w:sz="0" w:space="0" w:color="auto"/>
                                        <w:bottom w:val="none" w:sz="0" w:space="0" w:color="auto"/>
                                        <w:right w:val="none" w:sz="0" w:space="0" w:color="auto"/>
                                      </w:divBdr>
                                      <w:divsChild>
                                        <w:div w:id="1809126049">
                                          <w:marLeft w:val="0"/>
                                          <w:marRight w:val="0"/>
                                          <w:marTop w:val="0"/>
                                          <w:marBottom w:val="0"/>
                                          <w:divBdr>
                                            <w:top w:val="none" w:sz="0" w:space="0" w:color="auto"/>
                                            <w:left w:val="none" w:sz="0" w:space="0" w:color="auto"/>
                                            <w:bottom w:val="none" w:sz="0" w:space="0" w:color="auto"/>
                                            <w:right w:val="none" w:sz="0" w:space="0" w:color="auto"/>
                                          </w:divBdr>
                                          <w:divsChild>
                                            <w:div w:id="134758314">
                                              <w:marLeft w:val="0"/>
                                              <w:marRight w:val="0"/>
                                              <w:marTop w:val="0"/>
                                              <w:marBottom w:val="0"/>
                                              <w:divBdr>
                                                <w:top w:val="none" w:sz="0" w:space="0" w:color="auto"/>
                                                <w:left w:val="none" w:sz="0" w:space="0" w:color="auto"/>
                                                <w:bottom w:val="none" w:sz="0" w:space="0" w:color="auto"/>
                                                <w:right w:val="none" w:sz="0" w:space="0" w:color="auto"/>
                                              </w:divBdr>
                                              <w:divsChild>
                                                <w:div w:id="797380616">
                                                  <w:marLeft w:val="0"/>
                                                  <w:marRight w:val="0"/>
                                                  <w:marTop w:val="0"/>
                                                  <w:marBottom w:val="0"/>
                                                  <w:divBdr>
                                                    <w:top w:val="none" w:sz="0" w:space="0" w:color="auto"/>
                                                    <w:left w:val="none" w:sz="0" w:space="0" w:color="auto"/>
                                                    <w:bottom w:val="none" w:sz="0" w:space="0" w:color="auto"/>
                                                    <w:right w:val="none" w:sz="0" w:space="0" w:color="auto"/>
                                                  </w:divBdr>
                                                  <w:divsChild>
                                                    <w:div w:id="2061634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38348711">
      <w:bodyDiv w:val="1"/>
      <w:marLeft w:val="0"/>
      <w:marRight w:val="0"/>
      <w:marTop w:val="0"/>
      <w:marBottom w:val="0"/>
      <w:divBdr>
        <w:top w:val="none" w:sz="0" w:space="0" w:color="auto"/>
        <w:left w:val="none" w:sz="0" w:space="0" w:color="auto"/>
        <w:bottom w:val="none" w:sz="0" w:space="0" w:color="auto"/>
        <w:right w:val="none" w:sz="0" w:space="0" w:color="auto"/>
      </w:divBdr>
    </w:div>
    <w:div w:id="1791389615">
      <w:bodyDiv w:val="1"/>
      <w:marLeft w:val="0"/>
      <w:marRight w:val="0"/>
      <w:marTop w:val="0"/>
      <w:marBottom w:val="0"/>
      <w:divBdr>
        <w:top w:val="none" w:sz="0" w:space="0" w:color="auto"/>
        <w:left w:val="none" w:sz="0" w:space="0" w:color="auto"/>
        <w:bottom w:val="none" w:sz="0" w:space="0" w:color="auto"/>
        <w:right w:val="none" w:sz="0" w:space="0" w:color="auto"/>
      </w:divBdr>
    </w:div>
    <w:div w:id="1792626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7/s44372-026-00546-8" TargetMode="External"/><Relationship Id="rId13" Type="http://schemas.openxmlformats.org/officeDocument/2006/relationships/hyperlink" Target="https://doi.org/10.1016/j.scienta.2024.113018"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hyperlink" Target="https://doi.org/10.1016/j.foodchem.2025.145091" TargetMode="External"/><Relationship Id="rId12" Type="http://schemas.openxmlformats.org/officeDocument/2006/relationships/hyperlink" Target="https://doi.org/10.24154/jhs.v20i2.3365"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07/978-981-19-3728-6_28" TargetMode="External"/><Relationship Id="rId5" Type="http://schemas.openxmlformats.org/officeDocument/2006/relationships/footnotes" Target="footnotes.xml"/><Relationship Id="rId15" Type="http://schemas.openxmlformats.org/officeDocument/2006/relationships/hyperlink" Target="https://doi.org/10.1002/jsfa.7843" TargetMode="External"/><Relationship Id="rId23" Type="http://schemas.openxmlformats.org/officeDocument/2006/relationships/theme" Target="theme/theme1.xml"/><Relationship Id="rId10" Type="http://schemas.openxmlformats.org/officeDocument/2006/relationships/hyperlink" Target="https://doi.org/10.3390/agronomy11112217"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doi.org/10.20546/ijcmas.2018.711.011" TargetMode="External"/><Relationship Id="rId14" Type="http://schemas.openxmlformats.org/officeDocument/2006/relationships/hyperlink" Target="https://doi.org/10.1080/26895293.2022.2037472"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514</TotalTime>
  <Pages>12</Pages>
  <Words>3649</Words>
  <Characters>20801</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Bhargavi</dc:creator>
  <cp:lastModifiedBy>SDI 1166</cp:lastModifiedBy>
  <cp:revision>24</cp:revision>
  <dcterms:created xsi:type="dcterms:W3CDTF">2026-08-22T05:52:00Z</dcterms:created>
  <dcterms:modified xsi:type="dcterms:W3CDTF">2026-08-27T09:37:00Z</dcterms:modified>
</cp:coreProperties>
</file>