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A4690" w14:textId="77777777" w:rsidR="00FE7132" w:rsidRDefault="0024072B">
      <w:pPr>
        <w:spacing w:after="240" w:line="300" w:lineRule="auto"/>
        <w:jc w:val="center"/>
      </w:pPr>
      <w:r>
        <w:rPr>
          <w:b/>
          <w:bCs/>
          <w:sz w:val="30"/>
          <w:szCs w:val="30"/>
        </w:rPr>
        <w:t>Bacterial Antibiotic Resistance as a Global Public Health Threat: Drivers, Mechanisms, Priority Pathogens and Control Strategies. A Narrative Review</w:t>
      </w:r>
    </w:p>
    <w:p w14:paraId="5B1F286E" w14:textId="39F82BBF" w:rsidR="00FE7132" w:rsidRDefault="0024072B">
      <w:pPr>
        <w:pStyle w:val="Heading1"/>
        <w:spacing w:before="280" w:after="140"/>
        <w:rPr>
          <w:b/>
          <w:bCs/>
          <w:color w:val="000000"/>
          <w:sz w:val="26"/>
          <w:szCs w:val="26"/>
        </w:rPr>
      </w:pPr>
      <w:r>
        <w:rPr>
          <w:b/>
          <w:bCs/>
          <w:color w:val="000000"/>
          <w:sz w:val="26"/>
          <w:szCs w:val="26"/>
        </w:rPr>
        <w:t>ABSTRACT</w:t>
      </w:r>
    </w:p>
    <w:p w14:paraId="27A7A520" w14:textId="77777777" w:rsidR="0024072B" w:rsidRDefault="0024072B" w:rsidP="0024072B">
      <w:pPr>
        <w:pStyle w:val="NormalWeb"/>
      </w:pPr>
      <w:r>
        <w:rPr>
          <w:rStyle w:val="Strong"/>
        </w:rPr>
        <w:t>Background:</w:t>
      </w:r>
      <w:r>
        <w:t xml:space="preserve"> Bacterial antibiotic resistance is a growing global public health threat that reduces the effectiveness of treatment for common infections and increases the risks associated with surgery, cancer therapy, intensive care, and other medical interventions. Its emergence and spread are driven by antimicrobial selection pressure, bacterial adaptation, inappropriate antibiotic use, and transmission across human, animal, and environmental settings.</w:t>
      </w:r>
    </w:p>
    <w:p w14:paraId="657680CF" w14:textId="77777777" w:rsidR="0024072B" w:rsidRDefault="0024072B" w:rsidP="0024072B">
      <w:pPr>
        <w:pStyle w:val="NormalWeb"/>
      </w:pPr>
      <w:r>
        <w:rPr>
          <w:rStyle w:val="Strong"/>
        </w:rPr>
        <w:t>Aim:</w:t>
      </w:r>
      <w:r>
        <w:t xml:space="preserve"> This narrative review examines the major drivers and mechanisms of bacterial antibiotic resistance, </w:t>
      </w:r>
      <w:proofErr w:type="spellStart"/>
      <w:r>
        <w:t>summarises</w:t>
      </w:r>
      <w:proofErr w:type="spellEnd"/>
      <w:r>
        <w:t xml:space="preserve"> resistance among clinically important pathogens, evaluates its public health consequences, and appraises current prevention and control strategies, with attention to low- and middle-income countries.</w:t>
      </w:r>
    </w:p>
    <w:p w14:paraId="0E386A48" w14:textId="77777777" w:rsidR="0024072B" w:rsidRDefault="0024072B" w:rsidP="0024072B">
      <w:pPr>
        <w:pStyle w:val="NormalWeb"/>
      </w:pPr>
      <w:r>
        <w:rPr>
          <w:rStyle w:val="Strong"/>
        </w:rPr>
        <w:t>Methods:</w:t>
      </w:r>
      <w:r>
        <w:t xml:space="preserve"> A structured, non-systematic literature search was conducted in June 2026 using Consensus, PubMed, Scopus, and Semantic Scholar, together with general web searches and the websites of the World Health Organization and US Centers for Disease Control and Prevention. Priority was given to peer-reviewed studies, surveillance reports, and major reviews published from 2020 onward, while older seminal studies were retained where relevant.</w:t>
      </w:r>
    </w:p>
    <w:p w14:paraId="255200E8" w14:textId="77777777" w:rsidR="0024072B" w:rsidRDefault="0024072B" w:rsidP="0024072B">
      <w:pPr>
        <w:pStyle w:val="NormalWeb"/>
      </w:pPr>
      <w:r>
        <w:rPr>
          <w:rStyle w:val="Strong"/>
        </w:rPr>
        <w:t>Results:</w:t>
      </w:r>
      <w:r>
        <w:t xml:space="preserve"> Approximately one in six laboratory-confirmed bacterial infections worldwide was resistant to treatment in 2023, while resistance increased in more than 40% of monitored pathogen-antibiotic combinations between 2018 and 2023. Resistance develops through enzymatic inactivation, target modification, reduced permeability, efflux, target bypass, mutation, and horizontal gene transfer. Carbapenem-resistant Gram-negative organisms, rifampicin-resistant </w:t>
      </w:r>
      <w:r>
        <w:rPr>
          <w:rStyle w:val="Emphasis"/>
        </w:rPr>
        <w:t>Mycobacterium tuberculosis</w:t>
      </w:r>
      <w:r>
        <w:t xml:space="preserve">, and methicillin-resistant </w:t>
      </w:r>
      <w:r>
        <w:rPr>
          <w:rStyle w:val="Emphasis"/>
        </w:rPr>
        <w:t>Staphylococcus aureus</w:t>
      </w:r>
      <w:r>
        <w:t xml:space="preserve"> remain major clinical and public health concerns.</w:t>
      </w:r>
    </w:p>
    <w:p w14:paraId="55F99953" w14:textId="77777777" w:rsidR="0024072B" w:rsidRDefault="0024072B" w:rsidP="0024072B">
      <w:pPr>
        <w:pStyle w:val="NormalWeb"/>
      </w:pPr>
      <w:r>
        <w:rPr>
          <w:rStyle w:val="Strong"/>
        </w:rPr>
        <w:t>Conclusion:</w:t>
      </w:r>
      <w:r>
        <w:t xml:space="preserve"> Bacterial antibiotic resistance is sustained by bacterial evolution and human-driven selection pressure, with the heaviest burden occurring where diagnostic, surveillance, and infection-control capacity are weakest. Containment requires coordinated antimicrobial stewardship, infection prevention and control, water and sanitation, vaccination, improved diagnostics, surveillance, responsible antibiotic use across sectors, and continued therapeutic innovation.</w:t>
      </w:r>
    </w:p>
    <w:p w14:paraId="637BE535" w14:textId="77777777" w:rsidR="0024072B" w:rsidRDefault="0024072B" w:rsidP="0024072B">
      <w:pPr>
        <w:pStyle w:val="NormalWeb"/>
      </w:pPr>
      <w:r>
        <w:rPr>
          <w:rStyle w:val="Strong"/>
        </w:rPr>
        <w:t>Keywords:</w:t>
      </w:r>
      <w:r>
        <w:t xml:space="preserve"> Antibiotic resistance; antimicrobial resistance; multidrug resistance; antimicrobial stewardship; bacterial pathogens; One Health; low- and middle-income countries; public health.</w:t>
      </w:r>
    </w:p>
    <w:p w14:paraId="00B30DAA" w14:textId="77777777" w:rsidR="0024072B" w:rsidRDefault="0024072B">
      <w:pPr>
        <w:pStyle w:val="Heading1"/>
        <w:spacing w:before="280" w:after="140"/>
      </w:pPr>
    </w:p>
    <w:p w14:paraId="5F149E9C" w14:textId="77777777" w:rsidR="00CC7431" w:rsidRDefault="00CC7431" w:rsidP="00CC7431">
      <w:pPr>
        <w:pStyle w:val="Heading1"/>
        <w:spacing w:before="280" w:after="140"/>
        <w:ind w:left="720"/>
        <w:rPr>
          <w:b/>
          <w:bCs/>
          <w:color w:val="000000"/>
          <w:sz w:val="26"/>
          <w:szCs w:val="26"/>
        </w:rPr>
      </w:pPr>
    </w:p>
    <w:p w14:paraId="02B6A7DB" w14:textId="4E8BAA64" w:rsidR="008A233D" w:rsidRPr="008A233D" w:rsidRDefault="0024072B" w:rsidP="008A233D">
      <w:pPr>
        <w:pStyle w:val="Heading1"/>
        <w:numPr>
          <w:ilvl w:val="0"/>
          <w:numId w:val="2"/>
        </w:numPr>
        <w:spacing w:before="280" w:after="140"/>
        <w:rPr>
          <w:b/>
          <w:bCs/>
          <w:color w:val="000000"/>
          <w:sz w:val="26"/>
          <w:szCs w:val="26"/>
        </w:rPr>
      </w:pPr>
      <w:r>
        <w:rPr>
          <w:b/>
          <w:bCs/>
          <w:color w:val="000000"/>
          <w:sz w:val="26"/>
          <w:szCs w:val="26"/>
        </w:rPr>
        <w:lastRenderedPageBreak/>
        <w:t>Introduction</w:t>
      </w:r>
    </w:p>
    <w:p w14:paraId="7EB5C5E0" w14:textId="291B7474" w:rsidR="008A233D" w:rsidRDefault="008A233D">
      <w:pPr>
        <w:spacing w:after="160"/>
        <w:jc w:val="both"/>
      </w:pPr>
      <w:r>
        <w:t xml:space="preserve">Modern medicine depends on antibiotics in ways that extend far beyond the treatment of bacterial infections. Their effectiveness supports many areas of healthcare in which preventing or controlling infection is essential, particularly when patients are critically ill or have weakened immune </w:t>
      </w:r>
      <w:proofErr w:type="spellStart"/>
      <w:r>
        <w:t>defences</w:t>
      </w:r>
      <w:proofErr w:type="spellEnd"/>
      <w:r>
        <w:t xml:space="preserve"> (</w:t>
      </w:r>
      <w:proofErr w:type="spellStart"/>
      <w:r>
        <w:t>Prestinaci</w:t>
      </w:r>
      <w:proofErr w:type="spellEnd"/>
      <w:r>
        <w:t xml:space="preserve"> et al., 2015). Major surgical procedures, for example, frequently depend on effective antibiotic prophylaxis to reduce the risk of postoperative bacterial infections (</w:t>
      </w:r>
      <w:proofErr w:type="spellStart"/>
      <w:r>
        <w:t>Teillant</w:t>
      </w:r>
      <w:proofErr w:type="spellEnd"/>
      <w:r>
        <w:t xml:space="preserve"> et al., 2015). Cancer chemotherapy also increases susceptibility to infection through treatment-related immunosuppression, making effective antibiotics important for the management of infectious complications (</w:t>
      </w:r>
      <w:proofErr w:type="spellStart"/>
      <w:r>
        <w:t>Teillant</w:t>
      </w:r>
      <w:proofErr w:type="spellEnd"/>
      <w:r>
        <w:t xml:space="preserve"> et al., 2015). Similar concerns arise in organ transplantation and other forms of intensive clinical care, where infection can significantly complicate treatment and recovery (</w:t>
      </w:r>
      <w:proofErr w:type="spellStart"/>
      <w:r>
        <w:t>Prestinaci</w:t>
      </w:r>
      <w:proofErr w:type="spellEnd"/>
      <w:r>
        <w:t xml:space="preserve"> et al., 2015). As bacterial resistance reduces the effectiveness of available antibiotics, its consequences therefore extend beyond difficult-to-treat infections and increasingly threaten the safety of other areas of modern medical care.</w:t>
      </w:r>
    </w:p>
    <w:p w14:paraId="119D9F92" w14:textId="77777777" w:rsidR="00CA0F25" w:rsidRDefault="00CA0F25" w:rsidP="00CA0F25">
      <w:pPr>
        <w:pStyle w:val="NormalWeb"/>
      </w:pPr>
      <w:r>
        <w:t>The scale of the problem has become increasingly clear. In 2019, bacterial antimicrobial resistance was estimated to be associated with 4.95 million deaths worldwide, including 1.27 million deaths directly attributable to resistance (Antimicrobial Resistance Collaborators, 2022). More recent modelling covering the period from 1990 to 2021 estimated 4.71 million associated deaths and 1.14 million attributable deaths in 2021, with projections rising to 8.22 million associated deaths and 1.91 million attributable deaths annually by 2050 under a reference scenario (GBD 2021 Antimicrobial Resistance Collaborators, 2024). Although these figures are based on modelling rather than direct counts and are accompanied by substantial uncertainty, they consistently show that bacterial resistance already represents a major global health burden and could become considerably more severe in the coming decades.</w:t>
      </w:r>
    </w:p>
    <w:p w14:paraId="66FF64C6" w14:textId="7EFC36F2" w:rsidR="00CA0F25" w:rsidRDefault="00CA0F25" w:rsidP="00CA0F25">
      <w:pPr>
        <w:pStyle w:val="NormalWeb"/>
      </w:pPr>
      <w:r>
        <w:t>The burden, however, is not distributed evenly across the world. Some of the highest age-</w:t>
      </w:r>
      <w:proofErr w:type="spellStart"/>
      <w:r>
        <w:t>standardised</w:t>
      </w:r>
      <w:proofErr w:type="spellEnd"/>
      <w:r>
        <w:t xml:space="preserve"> mortality rates attributable to resistance have been reported in western sub-Saharan Africa (Antimicrobial Resistance Collaborators, 2022). Across the WHO African region, an estimated 1.05 million deaths were associated with bacterial resistance in 2019, while approximately 250,000 deaths were directly attributable to it (Antimicrobial Resistance Collaborators, 2024). This unequal distribution is particularly concerning because many of the countries carrying a substantial share of the burden also face limitations in laboratory capacity, surveillance, infection prevention, and access to effective alternative treatments, making resistant infections more difficult to detect, manage, and contain.</w:t>
      </w:r>
    </w:p>
    <w:p w14:paraId="59819933" w14:textId="77777777" w:rsidR="00CA0F25" w:rsidRDefault="00CA0F25" w:rsidP="00CA0F25">
      <w:pPr>
        <w:pStyle w:val="NormalWeb"/>
      </w:pPr>
      <w:r>
        <w:t xml:space="preserve">Resistance continues to evolve because many of the conditions that </w:t>
      </w:r>
      <w:proofErr w:type="spellStart"/>
      <w:r>
        <w:t>favour</w:t>
      </w:r>
      <w:proofErr w:type="spellEnd"/>
      <w:r>
        <w:t xml:space="preserve"> its emergence and spread remain firmly in place. Antibiotics are still used extensively, and often inappropriately, across human medicine, food-animal production, and aquaculture, while resistance determinants circulate through environmental and commensal bacterial populations that can exchange genetic material with pathogens. At the same time, the development of new therapeutic options has not kept pace with the ability of bacteria to adapt. For this reason, antibiotic resistance is better understood as a continuing evolutionary process sustained by persistent human-driven selection pressure, rather than as a succession of isolated resistance events.</w:t>
      </w:r>
    </w:p>
    <w:p w14:paraId="5BDF305D" w14:textId="77777777" w:rsidR="00CA0F25" w:rsidRDefault="00CA0F25" w:rsidP="00CA0F25">
      <w:pPr>
        <w:pStyle w:val="NormalWeb"/>
      </w:pPr>
      <w:r>
        <w:t xml:space="preserve">Recent developments have also changed the scientific and policy landscape surrounding bacterial resistance. In 2024, the World Health Organization revised its Bacterial Priority Pathogens List, </w:t>
      </w:r>
      <w:r>
        <w:lastRenderedPageBreak/>
        <w:t>reshaping the priorities for research, drug development, and public health action (WHO, 2024a). This was followed in 2025 by the first global surveillance report to present resistance prevalence estimates across 22 antibiotics, providing a broader picture of the extent and distribution of resistance worldwide (WHO, 2025a). The policy response has also intensified, with the United Nations General Assembly adopting a political declaration in September 2024 that committed member states to reducing deaths associated with bacterial resistance by 10% by 2030 (WHO, 2024b). During the same period, modelling provided new estimates of how much of the burden in low- and middle-income countries could potentially be prevented using interventions that are already available (</w:t>
      </w:r>
      <w:proofErr w:type="spellStart"/>
      <w:r>
        <w:t>Lewnard</w:t>
      </w:r>
      <w:proofErr w:type="spellEnd"/>
      <w:r>
        <w:t xml:space="preserve"> et al., 2024). Together, these developments provide a strong basis for revisiting the evidence and reassessing current approaches to prevention and control.</w:t>
      </w:r>
    </w:p>
    <w:p w14:paraId="1C4F3CC6" w14:textId="77777777" w:rsidR="00CA0F25" w:rsidRDefault="00CA0F25" w:rsidP="00CA0F25">
      <w:pPr>
        <w:pStyle w:val="NormalWeb"/>
      </w:pPr>
      <w:r>
        <w:t xml:space="preserve">Against this background, this narrative review examines the major drivers and mechanisms of bacterial antibiotic resistance, </w:t>
      </w:r>
      <w:proofErr w:type="spellStart"/>
      <w:r>
        <w:t>summarises</w:t>
      </w:r>
      <w:proofErr w:type="spellEnd"/>
      <w:r>
        <w:t xml:space="preserve"> resistance among clinically important bacterial pathogens, evaluates its public health implications, and discusses established and emerging strategies for prevention and control.</w:t>
      </w:r>
    </w:p>
    <w:p w14:paraId="2CD4DF32" w14:textId="77777777" w:rsidR="00CA0F25" w:rsidRDefault="00CA0F25" w:rsidP="00CA0F25">
      <w:pPr>
        <w:pStyle w:val="NormalWeb"/>
      </w:pPr>
    </w:p>
    <w:p w14:paraId="1D4F411D" w14:textId="77777777" w:rsidR="00CA0F25" w:rsidRDefault="00CA0F25">
      <w:pPr>
        <w:spacing w:after="160"/>
        <w:jc w:val="both"/>
      </w:pPr>
    </w:p>
    <w:p w14:paraId="27CDC7F2" w14:textId="77777777" w:rsidR="00FE7132" w:rsidRDefault="0024072B">
      <w:pPr>
        <w:pStyle w:val="Heading1"/>
        <w:spacing w:before="280" w:after="140"/>
      </w:pPr>
      <w:r>
        <w:rPr>
          <w:b/>
          <w:bCs/>
          <w:color w:val="000000"/>
          <w:sz w:val="26"/>
          <w:szCs w:val="26"/>
        </w:rPr>
        <w:t>2. Review Methodology</w:t>
      </w:r>
    </w:p>
    <w:p w14:paraId="6B10AE30" w14:textId="77777777" w:rsidR="00FE7132" w:rsidRDefault="0024072B">
      <w:pPr>
        <w:spacing w:after="160"/>
        <w:jc w:val="both"/>
      </w:pPr>
      <w:r>
        <w:rPr>
          <w:color w:val="000000"/>
        </w:rPr>
        <w:t xml:space="preserve">The literature search was conducted in June 2026 using three families of sources. The first was the Consensus academic search platform, which indexes Semantic Scholar, PubMed, Scopus and </w:t>
      </w:r>
      <w:proofErr w:type="spellStart"/>
      <w:r>
        <w:rPr>
          <w:color w:val="000000"/>
        </w:rPr>
        <w:t>arXiv</w:t>
      </w:r>
      <w:proofErr w:type="spellEnd"/>
      <w:r>
        <w:rPr>
          <w:color w:val="000000"/>
        </w:rPr>
        <w:t>. The second was general web search directed at institutional and publisher sources to confirm bibliographic details and retrieve grey literature. The third was direct consultation of the websites of the World Health Organization and the United States Centers for Disease Control and Prevention for surveillance reports, priority pathogen lists and policy documents.</w:t>
      </w:r>
    </w:p>
    <w:p w14:paraId="79F76683" w14:textId="77777777" w:rsidR="00FE7132" w:rsidRDefault="0024072B">
      <w:pPr>
        <w:spacing w:after="160"/>
        <w:jc w:val="both"/>
      </w:pPr>
      <w:r>
        <w:rPr>
          <w:color w:val="000000"/>
        </w:rPr>
        <w:t>Principal search terms, used alone and in combination, included: antibiotic resistance; antimicrobial resistance; global burden; mechanisms of resistance; horizontal gene transfer; mobile genetic elements; priority pathogens; antimicrobial stewardship; antibiotic consumption; veterinary antimicrobial use; vaccines and antimicrobial resistance; antibacterial pipeline; bacteriophage therapy; antimicrobial peptides; and low- and middle-income countries. Searches were restricted to English-language publications.</w:t>
      </w:r>
    </w:p>
    <w:p w14:paraId="2324B231" w14:textId="7ABF50B5" w:rsidR="00FE7132" w:rsidRDefault="0024072B">
      <w:pPr>
        <w:spacing w:after="160"/>
        <w:jc w:val="both"/>
      </w:pPr>
      <w:r>
        <w:rPr>
          <w:color w:val="000000"/>
        </w:rPr>
        <w:t xml:space="preserve">Publications from 2020 onward were </w:t>
      </w:r>
      <w:proofErr w:type="spellStart"/>
      <w:r>
        <w:rPr>
          <w:color w:val="000000"/>
        </w:rPr>
        <w:t>prioritised</w:t>
      </w:r>
      <w:proofErr w:type="spellEnd"/>
      <w:r>
        <w:rPr>
          <w:color w:val="000000"/>
        </w:rPr>
        <w:t>, with a preference for systematic reviews, meta-analyses, large surveillance and burden studies, and authoritative institutional reports. Pre-2020 sources were retained only where they described a seminal discovery, remained the standard reference for an established mechanism, or documented an event of continuing epidemiological significance. Sources were excluded where the claim in question had been superseded by more recent evidence, where the publication was a narrative commentary adding no primary data, or where bibliographic details could not be confirmed against the published record.</w:t>
      </w:r>
    </w:p>
    <w:p w14:paraId="51D4CC5B" w14:textId="77777777" w:rsidR="00FE7132" w:rsidRDefault="0024072B">
      <w:pPr>
        <w:spacing w:after="160"/>
        <w:jc w:val="both"/>
      </w:pPr>
      <w:r>
        <w:rPr>
          <w:color w:val="000000"/>
        </w:rPr>
        <w:t>Because source selection in a narrative review is not exhaustive and reflects the judgement of the author, the synthesis presented here should be read as an interpretive overview and not as an unbiased estimate of all available evidence. This limitation is revisited in Section 10.</w:t>
      </w:r>
    </w:p>
    <w:p w14:paraId="6BB08EA1" w14:textId="77777777" w:rsidR="00FE7132" w:rsidRDefault="0024072B">
      <w:pPr>
        <w:pStyle w:val="Heading1"/>
        <w:spacing w:before="280" w:after="140"/>
      </w:pPr>
      <w:r>
        <w:rPr>
          <w:b/>
          <w:bCs/>
          <w:color w:val="000000"/>
          <w:sz w:val="26"/>
          <w:szCs w:val="26"/>
        </w:rPr>
        <w:lastRenderedPageBreak/>
        <w:t>3. Origins and Evolution of Antibiotic Resistance</w:t>
      </w:r>
    </w:p>
    <w:p w14:paraId="720CD613" w14:textId="77777777" w:rsidR="00CA0F25" w:rsidRDefault="00CA0F25" w:rsidP="00CA0F25">
      <w:pPr>
        <w:pStyle w:val="NormalWeb"/>
      </w:pPr>
      <w:r>
        <w:t xml:space="preserve">Resistance did not begin with the clinical use of antibiotics. Genes capable of conferring resistance are ancient and widely distributed in environmental bacterial communities, where antibiotics and related compounds have long functioned as </w:t>
      </w:r>
      <w:proofErr w:type="spellStart"/>
      <w:r>
        <w:t>signalling</w:t>
      </w:r>
      <w:proofErr w:type="spellEnd"/>
      <w:r>
        <w:t xml:space="preserve"> molecules and competitive agents (Davies &amp; Davies, 2010). The modern clinical problem emerged when the widespread therapeutic use of antibiotics created intense and sustained selective pressure, allowing bacteria already carrying resistance traits to survive, multiply, and spread.</w:t>
      </w:r>
    </w:p>
    <w:p w14:paraId="717D9527" w14:textId="77777777" w:rsidR="00CA0F25" w:rsidRDefault="00CA0F25" w:rsidP="00CA0F25">
      <w:pPr>
        <w:pStyle w:val="NormalWeb"/>
      </w:pPr>
      <w:r>
        <w:t xml:space="preserve">Understanding this process requires a clear distinction between intrinsic and acquired resistance. Intrinsic resistance is a natural structural or physiological characteristic of a bacterial species, such as the low outer-membrane permeability of </w:t>
      </w:r>
      <w:r>
        <w:rPr>
          <w:rStyle w:val="Emphasis"/>
        </w:rPr>
        <w:t>Pseudomonas aeruginosa</w:t>
      </w:r>
      <w:r>
        <w:t>, the constitutive activity of efflux systems in many Gram-negative organisms, or the absence of a particular drug target. These characteristics explain why some bacteria are naturally unaffected by certain antibiotics and do not depend on previous antibiotic exposure. Acquired resistance develops differently, emerging within a previously susceptible bacterial population through chromosomal mutations or the acquisition of foreign resistance determinants. Because this form of resistance can be influenced by antibiotic use, transmission, and infection-control practices, it is particularly important in clinical settings.</w:t>
      </w:r>
    </w:p>
    <w:p w14:paraId="79CFFBEA" w14:textId="77777777" w:rsidR="00CA0F25" w:rsidRDefault="00CA0F25" w:rsidP="00CA0F25">
      <w:pPr>
        <w:pStyle w:val="NormalWeb"/>
      </w:pPr>
      <w:r>
        <w:t>History shows how quickly this process can unfold. Penicillinase was identified even before penicillin entered widespread therapeutic use, while resistance to sulfonamides emerged within only a few years of their introduction. Similar patterns have followed the introduction of subsequent antibiotic classes, as resistant strains have emerged and spread under continued antimicrobial pressure. This recurring pattern also explains why simply replacing ineffective antibiotics with new ones cannot provide a lasting solution, because doing so changes the drug under selection without removing the biological and ecological conditions that continue to generate resistance.</w:t>
      </w:r>
    </w:p>
    <w:p w14:paraId="71D1DC42" w14:textId="2D3D4D88" w:rsidR="00FE7132" w:rsidRDefault="0024072B">
      <w:pPr>
        <w:spacing w:after="160"/>
        <w:jc w:val="both"/>
      </w:pPr>
      <w:r>
        <w:rPr>
          <w:color w:val="000000"/>
        </w:rPr>
        <w:t>.</w:t>
      </w:r>
    </w:p>
    <w:p w14:paraId="1AFBB4AF" w14:textId="3B003EDD" w:rsidR="00FE7132" w:rsidRDefault="0024072B">
      <w:pPr>
        <w:spacing w:after="160"/>
        <w:jc w:val="both"/>
        <w:rPr>
          <w:color w:val="000000"/>
        </w:rPr>
      </w:pPr>
      <w:r>
        <w:rPr>
          <w:color w:val="000000"/>
        </w:rPr>
        <w:t xml:space="preserve">Figure 1 </w:t>
      </w:r>
      <w:proofErr w:type="spellStart"/>
      <w:r>
        <w:rPr>
          <w:color w:val="000000"/>
        </w:rPr>
        <w:t>summarises</w:t>
      </w:r>
      <w:proofErr w:type="spellEnd"/>
      <w:r>
        <w:rPr>
          <w:color w:val="000000"/>
        </w:rPr>
        <w:t xml:space="preserve"> how antibiotic selection pressure, the generation and acquisition of resistance, and onward transmission combine to produce the public health burden, and indicates the stage at which each of the control strategies discussed in Section 8 acts.</w:t>
      </w:r>
    </w:p>
    <w:p w14:paraId="13786BB2" w14:textId="579E1747" w:rsidR="00CA0F25" w:rsidRPr="00CA0F25" w:rsidRDefault="00CA0F25">
      <w:pPr>
        <w:spacing w:after="160"/>
        <w:jc w:val="both"/>
        <w:rPr>
          <w:b/>
          <w:bCs/>
        </w:rPr>
      </w:pPr>
      <w:r w:rsidRPr="00CA0F25">
        <w:rPr>
          <w:b/>
          <w:bCs/>
          <w:color w:val="000000"/>
        </w:rPr>
        <w:t xml:space="preserve">FIGURE 1: </w:t>
      </w:r>
      <w:r w:rsidRPr="00CA0F25">
        <w:rPr>
          <w:b/>
          <w:bCs/>
        </w:rPr>
        <w:t xml:space="preserve"> Pathways Driving the Emergence and Spread of Bacterial Antibiotic Resistance and Key Intervention Points</w:t>
      </w:r>
    </w:p>
    <w:p w14:paraId="454F55D8" w14:textId="692CCD5C" w:rsidR="00FE7132" w:rsidRDefault="00B30B5E">
      <w:pPr>
        <w:spacing w:before="200" w:after="80"/>
        <w:jc w:val="center"/>
      </w:pPr>
      <w:r>
        <w:rPr>
          <w:noProof/>
        </w:rPr>
        <w:lastRenderedPageBreak/>
        <w:drawing>
          <wp:inline distT="0" distB="0" distL="0" distR="0" wp14:anchorId="76CF3103" wp14:editId="4BFAE5E0">
            <wp:extent cx="6543675" cy="4514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6543675" cy="4514850"/>
                    </a:xfrm>
                    <a:prstGeom prst="rect">
                      <a:avLst/>
                    </a:prstGeom>
                  </pic:spPr>
                </pic:pic>
              </a:graphicData>
            </a:graphic>
          </wp:inline>
        </w:drawing>
      </w:r>
    </w:p>
    <w:p w14:paraId="1EC8DD50" w14:textId="77777777" w:rsidR="00CA0F25" w:rsidRDefault="00CA0F25">
      <w:pPr>
        <w:pStyle w:val="Heading1"/>
        <w:spacing w:before="280" w:after="140"/>
        <w:rPr>
          <w:b/>
          <w:bCs/>
          <w:color w:val="000000"/>
          <w:sz w:val="26"/>
          <w:szCs w:val="26"/>
        </w:rPr>
      </w:pPr>
    </w:p>
    <w:p w14:paraId="79AD170E" w14:textId="77777777" w:rsidR="00CA0F25" w:rsidRDefault="00CA0F25">
      <w:pPr>
        <w:pStyle w:val="Heading1"/>
        <w:spacing w:before="280" w:after="140"/>
        <w:rPr>
          <w:b/>
          <w:bCs/>
          <w:color w:val="000000"/>
          <w:sz w:val="26"/>
          <w:szCs w:val="26"/>
        </w:rPr>
      </w:pPr>
    </w:p>
    <w:p w14:paraId="2AC9FA02" w14:textId="77777777" w:rsidR="00CA0F25" w:rsidRDefault="00CA0F25">
      <w:pPr>
        <w:pStyle w:val="Heading1"/>
        <w:spacing w:before="280" w:after="140"/>
        <w:rPr>
          <w:b/>
          <w:bCs/>
          <w:color w:val="000000"/>
          <w:sz w:val="26"/>
          <w:szCs w:val="26"/>
        </w:rPr>
      </w:pPr>
    </w:p>
    <w:p w14:paraId="1CFCE686" w14:textId="77777777" w:rsidR="00CA0F25" w:rsidRDefault="00CA0F25">
      <w:pPr>
        <w:pStyle w:val="Heading1"/>
        <w:spacing w:before="280" w:after="140"/>
        <w:rPr>
          <w:b/>
          <w:bCs/>
          <w:color w:val="000000"/>
          <w:sz w:val="26"/>
          <w:szCs w:val="26"/>
        </w:rPr>
      </w:pPr>
    </w:p>
    <w:p w14:paraId="1B3F4216" w14:textId="2188ED1B" w:rsidR="00FE7132" w:rsidRDefault="0024072B">
      <w:pPr>
        <w:pStyle w:val="Heading1"/>
        <w:spacing w:before="280" w:after="140"/>
      </w:pPr>
      <w:r>
        <w:rPr>
          <w:b/>
          <w:bCs/>
          <w:color w:val="000000"/>
          <w:sz w:val="26"/>
          <w:szCs w:val="26"/>
        </w:rPr>
        <w:t>4. Major Drivers of Antibiotic Resistance</w:t>
      </w:r>
    </w:p>
    <w:p w14:paraId="64D705D4" w14:textId="1EBAC9C9" w:rsidR="00FE7132" w:rsidRDefault="0024072B">
      <w:pPr>
        <w:pStyle w:val="Heading2"/>
        <w:spacing w:before="280" w:after="140"/>
        <w:rPr>
          <w:b/>
          <w:bCs/>
          <w:color w:val="000000"/>
          <w:sz w:val="24"/>
          <w:szCs w:val="24"/>
        </w:rPr>
      </w:pPr>
      <w:r>
        <w:rPr>
          <w:b/>
          <w:bCs/>
          <w:color w:val="000000"/>
          <w:sz w:val="24"/>
          <w:szCs w:val="24"/>
        </w:rPr>
        <w:t>4.1 Human antibiotic consumption and inappropriate prescribing</w:t>
      </w:r>
    </w:p>
    <w:p w14:paraId="1C8528C5" w14:textId="77777777" w:rsidR="00F96467" w:rsidRDefault="00F96467" w:rsidP="00F96467">
      <w:pPr>
        <w:pStyle w:val="Heading3"/>
      </w:pPr>
      <w:r>
        <w:rPr>
          <w:rStyle w:val="Strong"/>
          <w:b w:val="0"/>
          <w:bCs w:val="0"/>
        </w:rPr>
        <w:t>4. Major Drivers of Antibiotic Resistance</w:t>
      </w:r>
    </w:p>
    <w:p w14:paraId="3B79C28B" w14:textId="77777777" w:rsidR="00F96467" w:rsidRDefault="00F96467" w:rsidP="00F96467">
      <w:pPr>
        <w:pStyle w:val="Heading4"/>
      </w:pPr>
      <w:r>
        <w:rPr>
          <w:rStyle w:val="Strong"/>
          <w:b w:val="0"/>
          <w:bCs w:val="0"/>
        </w:rPr>
        <w:t>4.1 Human Antibiotic Consumption and Inappropriate Prescribing</w:t>
      </w:r>
    </w:p>
    <w:p w14:paraId="49291215" w14:textId="77777777" w:rsidR="00F96467" w:rsidRDefault="00F96467" w:rsidP="00F96467">
      <w:pPr>
        <w:pStyle w:val="NormalWeb"/>
      </w:pPr>
      <w:r>
        <w:t xml:space="preserve">Antibiotic use in humans creates one of the most immediate selective pressures </w:t>
      </w:r>
      <w:proofErr w:type="spellStart"/>
      <w:r>
        <w:t>favouring</w:t>
      </w:r>
      <w:proofErr w:type="spellEnd"/>
      <w:r>
        <w:t xml:space="preserve"> the emergence and persistence of resistant bacteria. Global consumption has continued to rise, with estimates from 67 reporting countries showing a 16.3% increase between 2016 and 2023, from 29.5 billion to 34.3 billion defined daily doses (Klein et al., 2024). Over the same period, the consumption rate increased by 10.6% to 15.2 defined daily doses per 1,000 inhabitants per day, </w:t>
      </w:r>
      <w:r>
        <w:lastRenderedPageBreak/>
        <w:t>with some of the largest increases occurring in lower-middle- and upper-middle-income countries. If current trends continue, global antibiotic consumption is projected to reach 75.1 billion defined daily doses by 2030 (Klein et al., 2024). Although antibiotic use declined during the COVID-19 pandemic, particularly in high-income countries, subsequent increases have been more pronounced in middle-income settings.</w:t>
      </w:r>
    </w:p>
    <w:p w14:paraId="47A78353" w14:textId="77777777" w:rsidR="00F96467" w:rsidRDefault="00F96467" w:rsidP="00F96467">
      <w:pPr>
        <w:pStyle w:val="NormalWeb"/>
      </w:pPr>
      <w:r>
        <w:t>Rising consumption, however, does not necessarily mean that all antibiotic use is inappropriate. Antibiotics remain essential for treating bacterial infections, and inadequate access to effective treatment continues to contribute to preventable illness and death, particularly in low-resource settings. The challenge is therefore not simply to reduce antibiotic use, but to ensure that antibiotics are prescribed only when needed and that the most appropriate agent, dose, and duration are selected. In many settings, limited access to microbiological diagnostics means that treatment must begin before the causative organism and its susceptibility pattern are known, increasing reliance on empirical and broad-spectrum therapy.</w:t>
      </w:r>
    </w:p>
    <w:p w14:paraId="0065DCE0" w14:textId="77777777" w:rsidR="00F96467" w:rsidRDefault="00F96467" w:rsidP="00F96467">
      <w:pPr>
        <w:pStyle w:val="NormalWeb"/>
      </w:pPr>
      <w:r>
        <w:t>This distinction between access and excess is important because antibiotic resistance can be worsened both by unnecessary exposure and by poorly targeted treatment. Current international targets consequently focus not only on the overall quantity of antibiotics consumed but also on the types of antibiotics being used. The 2024 global commitments on antimicrobial resistance include a target for at least 70% of antibiotics used for human health globally to come from the WHO Access group, which contains agents generally recommended as first- or second-line treatments because of their effectiveness and comparatively lower potential for driving resistance (WHO, 2024b). The goal is therefore not indiscriminate restriction, but more appropriate use that preserves antibiotic effectiveness while ensuring that patients who genuinely need these medicines can still obtain them.</w:t>
      </w:r>
    </w:p>
    <w:p w14:paraId="7EDBE128" w14:textId="77777777" w:rsidR="00F96467" w:rsidRDefault="00F96467">
      <w:pPr>
        <w:pStyle w:val="Heading2"/>
        <w:spacing w:before="280" w:after="140"/>
      </w:pPr>
    </w:p>
    <w:p w14:paraId="1F5D8C67" w14:textId="389B731D" w:rsidR="00FE7132" w:rsidRDefault="0024072B">
      <w:pPr>
        <w:pStyle w:val="Heading2"/>
        <w:spacing w:before="280" w:after="140"/>
        <w:rPr>
          <w:b/>
          <w:bCs/>
          <w:color w:val="000000"/>
          <w:sz w:val="24"/>
          <w:szCs w:val="24"/>
        </w:rPr>
      </w:pPr>
      <w:r>
        <w:rPr>
          <w:b/>
          <w:bCs/>
          <w:color w:val="000000"/>
          <w:sz w:val="24"/>
          <w:szCs w:val="24"/>
        </w:rPr>
        <w:t xml:space="preserve">4.2 </w:t>
      </w:r>
      <w:proofErr w:type="gramStart"/>
      <w:r>
        <w:rPr>
          <w:b/>
          <w:bCs/>
          <w:color w:val="000000"/>
          <w:sz w:val="24"/>
          <w:szCs w:val="24"/>
        </w:rPr>
        <w:t>Non-prescription</w:t>
      </w:r>
      <w:proofErr w:type="gramEnd"/>
      <w:r>
        <w:rPr>
          <w:b/>
          <w:bCs/>
          <w:color w:val="000000"/>
          <w:sz w:val="24"/>
          <w:szCs w:val="24"/>
        </w:rPr>
        <w:t xml:space="preserve"> access and self-medication</w:t>
      </w:r>
    </w:p>
    <w:p w14:paraId="6CA089E3" w14:textId="77777777" w:rsidR="00F96467" w:rsidRDefault="00F96467" w:rsidP="00F96467">
      <w:pPr>
        <w:pStyle w:val="Heading3"/>
      </w:pPr>
      <w:r>
        <w:rPr>
          <w:rStyle w:val="Strong"/>
          <w:b w:val="0"/>
          <w:bCs w:val="0"/>
        </w:rPr>
        <w:t>4.2 Non-prescription Access and Self-medication</w:t>
      </w:r>
    </w:p>
    <w:p w14:paraId="65D6C95E" w14:textId="77777777" w:rsidR="00F96467" w:rsidRDefault="00F96467" w:rsidP="00F96467">
      <w:pPr>
        <w:pStyle w:val="NormalWeb"/>
      </w:pPr>
      <w:r>
        <w:t>When antibiotics can be obtained without a prescription, their use often occurs without clinical assessment, diagnostic testing, or professional guidance. A recent systematic review and meta-analysis estimated that 43.0% of adults globally had engaged in antibiotic self-medication, with the highest subgroup estimate of 55.2% reported in sub-Saharan Africa (Gashaw et al., 2025). The problem also extends to children in low- and middle-income countries, where the pooled prevalence of non-prescription antibiotic use has been estimated at 38.9% (Zewdie et al., 2024). These patterns create opportunities for unnecessary treatment, incorrect drug selection, inappropriate dosing, and incomplete courses, all of which can increase selective pressure on bacterial populations.</w:t>
      </w:r>
    </w:p>
    <w:p w14:paraId="7BF7F762" w14:textId="77777777" w:rsidR="00F96467" w:rsidRDefault="00F96467" w:rsidP="00F96467">
      <w:pPr>
        <w:pStyle w:val="NormalWeb"/>
      </w:pPr>
      <w:r>
        <w:t xml:space="preserve">Self-medication, however, is not driven by lack of knowledge alone. Evidence from qualitative studies suggests that people often turn to non-prescription antibiotics because formal healthcare is difficult, expensive, or slow to access. Consultation costs, travel distance, long waiting times, previous experience with similar symptoms, and the ready availability of antibiotics from retail outlets can all make direct purchase appear to be the most practical option (Cabral et al., 2024). </w:t>
      </w:r>
      <w:r>
        <w:lastRenderedPageBreak/>
        <w:t>This means that efforts to reduce non-prescription antibiotic use cannot rely on public education alone. More effective policies must also address the conditions that encourage self-medication by improving access to affordable, timely, and responsive clinical care while strengthening regulation of antibiotic sales.</w:t>
      </w:r>
    </w:p>
    <w:p w14:paraId="3E9BFF12" w14:textId="77777777" w:rsidR="00F96467" w:rsidRDefault="00F96467">
      <w:pPr>
        <w:pStyle w:val="Heading2"/>
        <w:spacing w:before="280" w:after="140"/>
      </w:pPr>
    </w:p>
    <w:p w14:paraId="3F3ABE73" w14:textId="77777777" w:rsidR="00FE7132" w:rsidRDefault="0024072B">
      <w:pPr>
        <w:pStyle w:val="Heading2"/>
        <w:spacing w:before="280" w:after="140"/>
      </w:pPr>
      <w:r>
        <w:rPr>
          <w:b/>
          <w:bCs/>
          <w:color w:val="000000"/>
          <w:sz w:val="24"/>
          <w:szCs w:val="24"/>
        </w:rPr>
        <w:t>4.3 Agricultural and veterinary use</w:t>
      </w:r>
    </w:p>
    <w:p w14:paraId="2893E87F" w14:textId="77777777" w:rsidR="00F96467" w:rsidRDefault="00F96467" w:rsidP="00F96467">
      <w:pPr>
        <w:pStyle w:val="Heading3"/>
      </w:pPr>
      <w:r>
        <w:rPr>
          <w:rStyle w:val="Strong"/>
          <w:b w:val="0"/>
          <w:bCs w:val="0"/>
        </w:rPr>
        <w:t>4.3 Antimicrobial Use in Food-Producing Animals</w:t>
      </w:r>
    </w:p>
    <w:p w14:paraId="4D4B125F" w14:textId="77777777" w:rsidR="00F96467" w:rsidRDefault="00F96467" w:rsidP="00F96467">
      <w:pPr>
        <w:pStyle w:val="NormalWeb"/>
      </w:pPr>
      <w:r>
        <w:t xml:space="preserve">Antimicrobial use in food-producing animals remains an important part of the wider resistance problem. Global use was estimated at 99,502 </w:t>
      </w:r>
      <w:proofErr w:type="spellStart"/>
      <w:r>
        <w:t>tonnes</w:t>
      </w:r>
      <w:proofErr w:type="spellEnd"/>
      <w:r>
        <w:t xml:space="preserve"> in 2020 and is projected to increase by 8.0% to 107,472 </w:t>
      </w:r>
      <w:proofErr w:type="spellStart"/>
      <w:r>
        <w:t>tonnes</w:t>
      </w:r>
      <w:proofErr w:type="spellEnd"/>
      <w:r>
        <w:t xml:space="preserve"> by 2030, with the largest concentrations of use occurring in Asia (Mulchandani et al., 2023). Rising resistance has also been documented in animal populations. Across low- and middle-income countries, the proportion of antimicrobials for which resistance exceeded 50% increased from 0.15 to 0.41 in chickens between 2000 and 2018, while the corresponding proportion in pigs rose from 0.13 to 0.34 (Van Boeckel et al., 2019).</w:t>
      </w:r>
    </w:p>
    <w:p w14:paraId="540CB63B" w14:textId="77777777" w:rsidR="00F96467" w:rsidRDefault="00F96467" w:rsidP="00F96467">
      <w:pPr>
        <w:pStyle w:val="NormalWeb"/>
      </w:pPr>
      <w:r>
        <w:t>The relationship between antimicrobial use in animals and resistance in human infections, however, is more complex than a simple one-way pathway. Country-level ecological evidence has identified significant associations in both directions, with antimicrobial consumption in animals associated with resistance among WHO critical-priority human pathogens and human antimicrobial consumption associated with resistance in animal populations (</w:t>
      </w:r>
      <w:proofErr w:type="spellStart"/>
      <w:r>
        <w:t>Allel</w:t>
      </w:r>
      <w:proofErr w:type="spellEnd"/>
      <w:r>
        <w:t xml:space="preserve"> et al., 2023). These findings support the interconnectedness of antimicrobial use across human and animal systems, but ecological studies cannot establish the direction of transmission or demonstrate causation at the individual level.</w:t>
      </w:r>
    </w:p>
    <w:p w14:paraId="06B7C89C" w14:textId="77777777" w:rsidR="00F96467" w:rsidRDefault="00F96467" w:rsidP="00F96467">
      <w:pPr>
        <w:pStyle w:val="NormalWeb"/>
      </w:pPr>
      <w:r>
        <w:t xml:space="preserve">Genomic studies further suggest that the extent of exchange between human and animal bacterial populations differs according to the organism and resistance mechanism involved. The link is particularly clear for colistin resistance, where the emergence of the plasmid-mediated </w:t>
      </w:r>
      <w:r>
        <w:rPr>
          <w:rStyle w:val="Emphasis"/>
        </w:rPr>
        <w:t>mcr-1</w:t>
      </w:r>
      <w:r>
        <w:t xml:space="preserve"> gene demonstrated how resistance selected in food-producing animals could enter bacterial populations affecting humans (Liu et al., 2016). Its subsequent detection across multiple countries and bacterial hosts further illustrated the capacity of mobile resistance determinants to move across ecological and geographical boundaries (Wang et al., 2018). The contribution of animal antimicrobial use to human resistance should therefore be understood as pathogen- and mechanism-specific rather than assumed to be identical for every resistant organism.</w:t>
      </w:r>
    </w:p>
    <w:p w14:paraId="32530589" w14:textId="34D2CC49" w:rsidR="00FE7132" w:rsidRDefault="0024072B">
      <w:pPr>
        <w:spacing w:after="160"/>
        <w:jc w:val="both"/>
      </w:pPr>
      <w:r>
        <w:rPr>
          <w:color w:val="000000"/>
        </w:rPr>
        <w:t>.</w:t>
      </w:r>
    </w:p>
    <w:p w14:paraId="36082EB7" w14:textId="77777777" w:rsidR="00FE7132" w:rsidRDefault="0024072B">
      <w:pPr>
        <w:pStyle w:val="Heading2"/>
        <w:spacing w:before="280" w:after="140"/>
      </w:pPr>
      <w:r>
        <w:rPr>
          <w:b/>
          <w:bCs/>
          <w:color w:val="000000"/>
          <w:sz w:val="24"/>
          <w:szCs w:val="24"/>
        </w:rPr>
        <w:t>4.4 Diagnostic and surveillance limitations</w:t>
      </w:r>
    </w:p>
    <w:p w14:paraId="72F4E311" w14:textId="77777777" w:rsidR="00FE7132" w:rsidRDefault="0024072B">
      <w:pPr>
        <w:spacing w:after="160"/>
        <w:jc w:val="both"/>
      </w:pPr>
      <w:r>
        <w:rPr>
          <w:color w:val="000000"/>
        </w:rPr>
        <w:t xml:space="preserve">Resistance cannot be managed where it is not measured, and the geography of surveillance inverts the geography of burden. Data were reported to GLASS by 104 countries for 2023 (WHO, 2025a), yet resistance is more common, and worsening, where health systems lack the capacity to diagnose or treat bacterial infections (WHO, 2025c). Part of this pattern is likely to reflect selection bias, </w:t>
      </w:r>
      <w:r>
        <w:rPr>
          <w:color w:val="000000"/>
        </w:rPr>
        <w:lastRenderedPageBreak/>
        <w:t>since limited laboratory capacity means that mainly the most severe or refractory infections are cultured. Part of it reflects genuine vulnerability.</w:t>
      </w:r>
    </w:p>
    <w:p w14:paraId="37B7F30B" w14:textId="77777777" w:rsidR="00FE7132" w:rsidRDefault="0024072B">
      <w:pPr>
        <w:spacing w:after="160"/>
        <w:jc w:val="both"/>
      </w:pPr>
      <w:r>
        <w:rPr>
          <w:color w:val="000000"/>
        </w:rPr>
        <w:t>Limited diagnostics also drive resistance directly. Without timely culture and susceptibility testing, prescribing has to be empirical and broad, and broad-spectrum empirical therapy is the kind of selection most likely to produce multidrug resistance. Analysis of data from 205 laboratories across 14 African countries found that only 22.9% of culture records were positive with susceptibility results available, reflecting limited routine testing capacity across the region (</w:t>
      </w:r>
      <w:proofErr w:type="spellStart"/>
      <w:r>
        <w:rPr>
          <w:color w:val="000000"/>
        </w:rPr>
        <w:t>Osena</w:t>
      </w:r>
      <w:proofErr w:type="spellEnd"/>
      <w:r>
        <w:rPr>
          <w:color w:val="000000"/>
        </w:rPr>
        <w:t xml:space="preserve"> et al., 2025).</w:t>
      </w:r>
    </w:p>
    <w:p w14:paraId="26F3CE2E" w14:textId="77777777" w:rsidR="00FE7132" w:rsidRDefault="0024072B">
      <w:pPr>
        <w:pStyle w:val="Heading2"/>
        <w:spacing w:before="280" w:after="140"/>
      </w:pPr>
      <w:r>
        <w:rPr>
          <w:b/>
          <w:bCs/>
          <w:color w:val="000000"/>
          <w:sz w:val="24"/>
          <w:szCs w:val="24"/>
        </w:rPr>
        <w:t>4.5 Transmission and infection prevention and control</w:t>
      </w:r>
    </w:p>
    <w:p w14:paraId="723984BD" w14:textId="77777777" w:rsidR="00FE7132" w:rsidRDefault="0024072B">
      <w:pPr>
        <w:spacing w:after="160"/>
        <w:jc w:val="both"/>
      </w:pPr>
      <w:r>
        <w:rPr>
          <w:color w:val="000000"/>
        </w:rPr>
        <w:t xml:space="preserve">New resistance genes emerge rarely, while resistant organisms spread all the time, and the two processes call for different interventions. Once a resistant clone is established, the principal determinant of its clinical impact is transmission, governed by hand hygiene, environmental cleaning, device management, isolation capacity, staffing ratios and the availability of water and sanitation in health facilities. The two approaches do not always contribute equally. In England, the national decline in </w:t>
      </w:r>
      <w:r>
        <w:rPr>
          <w:i/>
          <w:iCs/>
          <w:color w:val="000000"/>
        </w:rPr>
        <w:t>Clostridioides difficile</w:t>
      </w:r>
      <w:r>
        <w:rPr>
          <w:color w:val="000000"/>
        </w:rPr>
        <w:t xml:space="preserve"> infection was driven mainly by restricting fluoroquinolone prescribing, which eliminated fluoroquinolone-resistant lineages, and less by general infection-control measures (Dingle et al., 2017).</w:t>
      </w:r>
    </w:p>
    <w:p w14:paraId="23A6322F" w14:textId="479CC23A" w:rsidR="00FE7132" w:rsidRDefault="0024072B">
      <w:pPr>
        <w:pStyle w:val="Heading2"/>
        <w:spacing w:before="280" w:after="140"/>
        <w:rPr>
          <w:b/>
          <w:bCs/>
          <w:color w:val="000000"/>
          <w:sz w:val="24"/>
          <w:szCs w:val="24"/>
        </w:rPr>
      </w:pPr>
      <w:r>
        <w:rPr>
          <w:b/>
          <w:bCs/>
          <w:color w:val="000000"/>
          <w:sz w:val="24"/>
          <w:szCs w:val="24"/>
        </w:rPr>
        <w:t>4.6 The environmental dimension</w:t>
      </w:r>
    </w:p>
    <w:p w14:paraId="6AA315DE" w14:textId="77777777" w:rsidR="00F96467" w:rsidRDefault="00F96467" w:rsidP="00F96467">
      <w:pPr>
        <w:pStyle w:val="Heading3"/>
      </w:pPr>
      <w:r>
        <w:rPr>
          <w:rStyle w:val="Strong"/>
          <w:b w:val="0"/>
          <w:bCs w:val="0"/>
        </w:rPr>
        <w:t>4.4 Environmental Reservoirs and Transmission Pathways</w:t>
      </w:r>
    </w:p>
    <w:p w14:paraId="0D8ADA77" w14:textId="77777777" w:rsidR="00F96467" w:rsidRDefault="00F96467" w:rsidP="00F96467">
      <w:pPr>
        <w:pStyle w:val="NormalWeb"/>
      </w:pPr>
      <w:r>
        <w:t xml:space="preserve">The environment contributes to antibiotic resistance in several different ways, and these roles should be distinguished rather than treated as a single process. It can serve as a reservoir from which resistance genes are first </w:t>
      </w:r>
      <w:proofErr w:type="spellStart"/>
      <w:r>
        <w:t>mobilised</w:t>
      </w:r>
      <w:proofErr w:type="spellEnd"/>
      <w:r>
        <w:t xml:space="preserve"> into clinically important pathogens, provide routes through which resistant organisms and genes are transmitted, and reflect the resistance patterns already present in surrounding human and animal populations (Larsson &amp; Flach, 2022). Of these roles, the initial </w:t>
      </w:r>
      <w:proofErr w:type="spellStart"/>
      <w:r>
        <w:t>mobilisation</w:t>
      </w:r>
      <w:proofErr w:type="spellEnd"/>
      <w:r>
        <w:t xml:space="preserve"> of resistance genes is relatively uncommon, but potentially far-reaching because a single successful </w:t>
      </w:r>
      <w:proofErr w:type="spellStart"/>
      <w:r>
        <w:t>mobilisation</w:t>
      </w:r>
      <w:proofErr w:type="spellEnd"/>
      <w:r>
        <w:t xml:space="preserve"> event can allow a resistance determinant to spread across bacterial species and geographical regions.</w:t>
      </w:r>
    </w:p>
    <w:p w14:paraId="22EBC187" w14:textId="77777777" w:rsidR="00F96467" w:rsidRDefault="00F96467" w:rsidP="00F96467">
      <w:pPr>
        <w:pStyle w:val="NormalWeb"/>
      </w:pPr>
      <w:r>
        <w:t xml:space="preserve">Wastewater systems are particularly important within this environmental network because they bring together antibiotics, resistant bacteria, resistance genes, and mobile genetic elements in the same setting. Wastewater and environments affected by wastewater have been identified as locations where bacterial species carrying resistance determinants and the genetic elements capable of </w:t>
      </w:r>
      <w:proofErr w:type="spellStart"/>
      <w:r>
        <w:t>mobilising</w:t>
      </w:r>
      <w:proofErr w:type="spellEnd"/>
      <w:r>
        <w:t xml:space="preserve"> them frequently coexist, creating </w:t>
      </w:r>
      <w:proofErr w:type="spellStart"/>
      <w:r>
        <w:t>favourable</w:t>
      </w:r>
      <w:proofErr w:type="spellEnd"/>
      <w:r>
        <w:t xml:space="preserve"> conditions for the emergence and transfer of mobile resistance genes (Berglund et al., 2023). Although the contribution of individual environmental exposures to clinical resistance may vary, these settings provide an important link between environmental reservoirs and the wider circulation of antibiotic resistance.</w:t>
      </w:r>
    </w:p>
    <w:p w14:paraId="63D3FA31" w14:textId="77777777" w:rsidR="00F96467" w:rsidRDefault="00F96467">
      <w:pPr>
        <w:pStyle w:val="Heading2"/>
        <w:spacing w:before="280" w:after="140"/>
      </w:pPr>
    </w:p>
    <w:p w14:paraId="61AF0F70" w14:textId="77777777" w:rsidR="00FE7132" w:rsidRDefault="0024072B">
      <w:pPr>
        <w:pStyle w:val="Heading2"/>
        <w:spacing w:before="280" w:after="140"/>
      </w:pPr>
      <w:r>
        <w:rPr>
          <w:b/>
          <w:bCs/>
          <w:color w:val="000000"/>
          <w:sz w:val="24"/>
          <w:szCs w:val="24"/>
        </w:rPr>
        <w:t>4.7 Pipeline and access failures</w:t>
      </w:r>
    </w:p>
    <w:p w14:paraId="13F037D9" w14:textId="77777777" w:rsidR="00FE7132" w:rsidRDefault="0024072B">
      <w:pPr>
        <w:spacing w:after="160"/>
        <w:jc w:val="both"/>
      </w:pPr>
      <w:r>
        <w:rPr>
          <w:color w:val="000000"/>
        </w:rPr>
        <w:lastRenderedPageBreak/>
        <w:t>The clinical antibacterial pipeline consists largely of derivatives of established antibiotic classes, with little genuinely new chemistry (</w:t>
      </w:r>
      <w:proofErr w:type="spellStart"/>
      <w:r>
        <w:rPr>
          <w:color w:val="000000"/>
        </w:rPr>
        <w:t>Theuretzbacher</w:t>
      </w:r>
      <w:proofErr w:type="spellEnd"/>
      <w:r>
        <w:rPr>
          <w:color w:val="000000"/>
        </w:rPr>
        <w:t xml:space="preserve"> et al., 2025). Analysis of the WHO clinical pipeline against the 2024 priority pathogen list confirms that important gaps remain (Melchiorri et al., 2025). The constraint is only partly scientific. The economics of antibacterial development are structurally </w:t>
      </w:r>
      <w:proofErr w:type="spellStart"/>
      <w:r>
        <w:rPr>
          <w:color w:val="000000"/>
        </w:rPr>
        <w:t>unfavourable</w:t>
      </w:r>
      <w:proofErr w:type="spellEnd"/>
      <w:r>
        <w:rPr>
          <w:color w:val="000000"/>
        </w:rPr>
        <w:t>, since a successful new agent is appropriately reserved for restricted use, which is incompatible with volume-based revenue recovery.</w:t>
      </w:r>
    </w:p>
    <w:p w14:paraId="019B327D" w14:textId="77777777" w:rsidR="00FE7132" w:rsidRDefault="0024072B">
      <w:pPr>
        <w:spacing w:after="160"/>
        <w:jc w:val="both"/>
      </w:pPr>
      <w:r>
        <w:rPr>
          <w:color w:val="000000"/>
        </w:rPr>
        <w:t>Access is the part of this problem that receives less attention. Existing agents may be unavailable, unaffordable or of poor quality in the very settings with the highest burden of resistant infection. Discussions of the pipeline that focus only on discovery therefore miss half of the problem.</w:t>
      </w:r>
    </w:p>
    <w:p w14:paraId="39EC90CB" w14:textId="77777777" w:rsidR="00FE7132" w:rsidRDefault="0024072B">
      <w:pPr>
        <w:pStyle w:val="Heading1"/>
        <w:spacing w:before="280" w:after="140"/>
      </w:pPr>
      <w:r>
        <w:rPr>
          <w:b/>
          <w:bCs/>
          <w:color w:val="000000"/>
          <w:sz w:val="26"/>
          <w:szCs w:val="26"/>
        </w:rPr>
        <w:t>5. Mechanisms of Antibiotic Resistance</w:t>
      </w:r>
    </w:p>
    <w:p w14:paraId="437B9C1B" w14:textId="5C122FC5" w:rsidR="00FE7132" w:rsidRDefault="0024072B">
      <w:pPr>
        <w:spacing w:after="160"/>
        <w:jc w:val="both"/>
      </w:pPr>
      <w:r>
        <w:rPr>
          <w:color w:val="000000"/>
        </w:rPr>
        <w:t xml:space="preserve">Bacteria resist antibiotics through a limited repertoire of biochemical strategies, deployed in combination and encoded either chromosomally or on mobile elements. Contemporary understanding </w:t>
      </w:r>
      <w:proofErr w:type="spellStart"/>
      <w:r>
        <w:rPr>
          <w:color w:val="000000"/>
        </w:rPr>
        <w:t>emphasises</w:t>
      </w:r>
      <w:proofErr w:type="spellEnd"/>
      <w:r>
        <w:rPr>
          <w:color w:val="000000"/>
        </w:rPr>
        <w:t xml:space="preserve"> that these mechanisms interact</w:t>
      </w:r>
      <w:r w:rsidR="00E6296F">
        <w:rPr>
          <w:color w:val="000000"/>
        </w:rPr>
        <w:t>. E</w:t>
      </w:r>
      <w:r>
        <w:rPr>
          <w:color w:val="000000"/>
        </w:rPr>
        <w:t>fflux and permeability changes lower intracellular drug concentration to levels at which enzymatic or target-based mechanisms become sufficient for clinical resistance, so that the phenotype observed in a clinical isolate is typically multifactorial (Darby et al., 2023).</w:t>
      </w:r>
    </w:p>
    <w:p w14:paraId="78208D60" w14:textId="77777777" w:rsidR="00FE7132" w:rsidRDefault="0024072B">
      <w:pPr>
        <w:pStyle w:val="Heading2"/>
        <w:spacing w:before="280" w:after="140"/>
      </w:pPr>
      <w:r>
        <w:rPr>
          <w:b/>
          <w:bCs/>
          <w:color w:val="000000"/>
          <w:sz w:val="24"/>
          <w:szCs w:val="24"/>
        </w:rPr>
        <w:t>5.1 Enzymatic inactivation</w:t>
      </w:r>
    </w:p>
    <w:p w14:paraId="13DC865A" w14:textId="0DC5583D" w:rsidR="00FE7132" w:rsidRDefault="0024072B">
      <w:pPr>
        <w:spacing w:after="160"/>
        <w:jc w:val="both"/>
      </w:pPr>
      <w:r>
        <w:rPr>
          <w:color w:val="000000"/>
        </w:rPr>
        <w:t xml:space="preserve">The most clinically significant enzymatic mechanism is hydrolysis of the beta-lactam ring by beta-lactamases, which abolishes the ability of the drug to acylate its penicillin-binding protein target. Beta-lactamases are structurally and functionally diverse, encompassing plasmid-mediated extended-spectrum enzymes, </w:t>
      </w:r>
      <w:proofErr w:type="spellStart"/>
      <w:r>
        <w:rPr>
          <w:color w:val="000000"/>
        </w:rPr>
        <w:t>AmpC</w:t>
      </w:r>
      <w:proofErr w:type="spellEnd"/>
      <w:r>
        <w:rPr>
          <w:color w:val="000000"/>
        </w:rPr>
        <w:t xml:space="preserve"> cephalosporinases and </w:t>
      </w:r>
      <w:proofErr w:type="spellStart"/>
      <w:r>
        <w:rPr>
          <w:color w:val="000000"/>
        </w:rPr>
        <w:t>carbapenemases</w:t>
      </w:r>
      <w:proofErr w:type="spellEnd"/>
      <w:r>
        <w:rPr>
          <w:color w:val="000000"/>
        </w:rPr>
        <w:t>, with marked geographic structuring</w:t>
      </w:r>
      <w:r w:rsidR="00E6296F">
        <w:rPr>
          <w:color w:val="000000"/>
        </w:rPr>
        <w:t>.</w:t>
      </w:r>
      <w:r>
        <w:rPr>
          <w:color w:val="000000"/>
        </w:rPr>
        <w:t xml:space="preserve"> CTX-M enzymes are the dominant extended-spectrum beta-lactamases worldwide, KPC serine </w:t>
      </w:r>
      <w:proofErr w:type="spellStart"/>
      <w:r>
        <w:rPr>
          <w:color w:val="000000"/>
        </w:rPr>
        <w:t>carbapenemases</w:t>
      </w:r>
      <w:proofErr w:type="spellEnd"/>
      <w:r>
        <w:rPr>
          <w:color w:val="000000"/>
        </w:rPr>
        <w:t xml:space="preserve"> predominate in the Americas, the Mediterranean and China, and NDM </w:t>
      </w:r>
      <w:proofErr w:type="spellStart"/>
      <w:r>
        <w:rPr>
          <w:color w:val="000000"/>
        </w:rPr>
        <w:t>metallo</w:t>
      </w:r>
      <w:proofErr w:type="spellEnd"/>
      <w:r>
        <w:rPr>
          <w:color w:val="000000"/>
        </w:rPr>
        <w:t>-beta-lactamases in the Indian subcontinent and eastern Europe (Bush &amp; Bradford, 2020).</w:t>
      </w:r>
    </w:p>
    <w:p w14:paraId="0E1AE285" w14:textId="77777777" w:rsidR="00FE7132" w:rsidRDefault="0024072B">
      <w:pPr>
        <w:spacing w:after="160"/>
        <w:jc w:val="both"/>
      </w:pPr>
      <w:r>
        <w:rPr>
          <w:color w:val="000000"/>
        </w:rPr>
        <w:t>Some enzymes modify the drug chemically instead of destroying it. Aminoglycoside-modifying enzymes acetylate, phosphorylate or adenylate the antibiotic, reducing its ribosomal binding affinity. This distinction is worth preserving, since modification and hydrolysis are mechanistically different and are inhibited by different countermeasures.</w:t>
      </w:r>
    </w:p>
    <w:p w14:paraId="3870C828" w14:textId="77777777" w:rsidR="00FE7132" w:rsidRDefault="0024072B">
      <w:pPr>
        <w:pStyle w:val="Heading2"/>
        <w:spacing w:before="280" w:after="140"/>
      </w:pPr>
      <w:r>
        <w:rPr>
          <w:b/>
          <w:bCs/>
          <w:color w:val="000000"/>
          <w:sz w:val="24"/>
          <w:szCs w:val="24"/>
        </w:rPr>
        <w:t>5.2 Target modification</w:t>
      </w:r>
    </w:p>
    <w:p w14:paraId="59BB7714" w14:textId="77777777" w:rsidR="00FE7132" w:rsidRDefault="0024072B">
      <w:pPr>
        <w:spacing w:after="160"/>
        <w:jc w:val="both"/>
      </w:pPr>
      <w:r>
        <w:rPr>
          <w:color w:val="000000"/>
        </w:rPr>
        <w:t xml:space="preserve">Alteration of the drug binding site is the dominant mechanism for several classes. Methylation of the 23S ribosomal RNA component of the 50S subunit, mediated by </w:t>
      </w:r>
      <w:r>
        <w:rPr>
          <w:i/>
          <w:iCs/>
          <w:color w:val="000000"/>
        </w:rPr>
        <w:t>erm</w:t>
      </w:r>
      <w:r>
        <w:rPr>
          <w:color w:val="000000"/>
        </w:rPr>
        <w:t xml:space="preserve"> genes, confers resistance to macrolides, </w:t>
      </w:r>
      <w:proofErr w:type="spellStart"/>
      <w:r>
        <w:rPr>
          <w:color w:val="000000"/>
        </w:rPr>
        <w:t>lincosamides</w:t>
      </w:r>
      <w:proofErr w:type="spellEnd"/>
      <w:r>
        <w:rPr>
          <w:color w:val="000000"/>
        </w:rPr>
        <w:t xml:space="preserve"> and streptogramin B simultaneously. Mutations in the genes encoding penicillin-binding proteins reduce beta-lactam affinity in </w:t>
      </w:r>
      <w:r>
        <w:rPr>
          <w:i/>
          <w:iCs/>
          <w:color w:val="000000"/>
        </w:rPr>
        <w:t>Streptococcus pneumoniae</w:t>
      </w:r>
      <w:r>
        <w:rPr>
          <w:color w:val="000000"/>
        </w:rPr>
        <w:t xml:space="preserve"> and </w:t>
      </w:r>
      <w:r>
        <w:rPr>
          <w:i/>
          <w:iCs/>
          <w:color w:val="000000"/>
        </w:rPr>
        <w:t>Neisseria gonorrhoeae</w:t>
      </w:r>
      <w:r>
        <w:rPr>
          <w:color w:val="000000"/>
        </w:rPr>
        <w:t xml:space="preserve">. In </w:t>
      </w:r>
      <w:r>
        <w:rPr>
          <w:i/>
          <w:iCs/>
          <w:color w:val="000000"/>
        </w:rPr>
        <w:t>Mycobacterium tuberculosis</w:t>
      </w:r>
      <w:r>
        <w:rPr>
          <w:color w:val="000000"/>
        </w:rPr>
        <w:t xml:space="preserve">, mutations in </w:t>
      </w:r>
      <w:proofErr w:type="spellStart"/>
      <w:r>
        <w:rPr>
          <w:i/>
          <w:iCs/>
          <w:color w:val="000000"/>
        </w:rPr>
        <w:t>rpoB</w:t>
      </w:r>
      <w:proofErr w:type="spellEnd"/>
      <w:r>
        <w:rPr>
          <w:color w:val="000000"/>
        </w:rPr>
        <w:t xml:space="preserve"> alter the beta subunit of RNA polymerase and confer rifampicin resistance, with the majority clustering within an 81 base-pair resistance-determining region (Zaw et al., 2018).</w:t>
      </w:r>
    </w:p>
    <w:p w14:paraId="07D41E39" w14:textId="77777777" w:rsidR="00FE7132" w:rsidRDefault="0024072B">
      <w:pPr>
        <w:pStyle w:val="Heading2"/>
        <w:spacing w:before="280" w:after="140"/>
      </w:pPr>
      <w:r>
        <w:rPr>
          <w:b/>
          <w:bCs/>
          <w:color w:val="000000"/>
          <w:sz w:val="24"/>
          <w:szCs w:val="24"/>
        </w:rPr>
        <w:t>5.3 Reduced permeability</w:t>
      </w:r>
    </w:p>
    <w:p w14:paraId="6F983005" w14:textId="77777777" w:rsidR="00FE7132" w:rsidRDefault="0024072B">
      <w:pPr>
        <w:spacing w:after="160"/>
        <w:jc w:val="both"/>
      </w:pPr>
      <w:r>
        <w:rPr>
          <w:color w:val="000000"/>
        </w:rPr>
        <w:lastRenderedPageBreak/>
        <w:t xml:space="preserve">The Gram-negative outer membrane, with its lipopolysaccharide outer leaflet, is a formidable barrier, and hydrophilic antibiotics cross it largely through porin channels. Loss or downregulation of specific porins reduces drug entry and is a recurrent contributor to carbapenem resistance in </w:t>
      </w:r>
      <w:proofErr w:type="spellStart"/>
      <w:r>
        <w:rPr>
          <w:color w:val="000000"/>
        </w:rPr>
        <w:t>Enterobacterales</w:t>
      </w:r>
      <w:proofErr w:type="spellEnd"/>
      <w:r>
        <w:rPr>
          <w:color w:val="000000"/>
        </w:rPr>
        <w:t>, particularly when combined with a beta-lactamase of otherwise modest hydrolytic activity. Permeability changes rarely produce high-level resistance on their own, so they are easily overlooked when a beta-lactamase has been identified and assumed to explain the whole phenotype.</w:t>
      </w:r>
    </w:p>
    <w:p w14:paraId="3C771C50" w14:textId="77777777" w:rsidR="00FE7132" w:rsidRDefault="0024072B">
      <w:pPr>
        <w:pStyle w:val="Heading2"/>
        <w:spacing w:before="280" w:after="140"/>
      </w:pPr>
      <w:r>
        <w:rPr>
          <w:b/>
          <w:bCs/>
          <w:color w:val="000000"/>
          <w:sz w:val="24"/>
          <w:szCs w:val="24"/>
        </w:rPr>
        <w:t>5.4 Efflux</w:t>
      </w:r>
    </w:p>
    <w:p w14:paraId="40860380" w14:textId="77777777" w:rsidR="00FE7132" w:rsidRDefault="0024072B">
      <w:pPr>
        <w:spacing w:after="160"/>
        <w:jc w:val="both"/>
      </w:pPr>
      <w:r>
        <w:rPr>
          <w:color w:val="000000"/>
        </w:rPr>
        <w:t>Efflux pumps export antibiotics from the cell before they reach an inhibitory intracellular concentration. Many are chromosomally encoded, broad in substrate range and serve physiological functions unrelated to antibiotics. As a result, overexpression usually produces a multidrug phenotype affecting structurally unrelated agents. Efflux is also a mechanism of tolerance that provides the window within which higher-level resistance mutations can be selected.</w:t>
      </w:r>
    </w:p>
    <w:p w14:paraId="7041288D" w14:textId="77777777" w:rsidR="00FE7132" w:rsidRDefault="0024072B">
      <w:pPr>
        <w:pStyle w:val="Heading2"/>
        <w:spacing w:before="280" w:after="140"/>
      </w:pPr>
      <w:r>
        <w:rPr>
          <w:b/>
          <w:bCs/>
          <w:color w:val="000000"/>
          <w:sz w:val="24"/>
          <w:szCs w:val="24"/>
        </w:rPr>
        <w:t>5.5 Target bypass and target protection</w:t>
      </w:r>
    </w:p>
    <w:p w14:paraId="0EBDAE60" w14:textId="1BE48269" w:rsidR="00FE7132" w:rsidRDefault="0024072B">
      <w:pPr>
        <w:spacing w:after="160"/>
        <w:jc w:val="both"/>
      </w:pPr>
      <w:r>
        <w:rPr>
          <w:color w:val="000000"/>
        </w:rPr>
        <w:t xml:space="preserve">Bacteria can also acquire an alternative target that does the same job but is not inhibited by the drug. Methicillin resistance in </w:t>
      </w:r>
      <w:r>
        <w:rPr>
          <w:i/>
          <w:iCs/>
          <w:color w:val="000000"/>
        </w:rPr>
        <w:t>Staphylococcus aureus</w:t>
      </w:r>
      <w:r>
        <w:rPr>
          <w:color w:val="000000"/>
        </w:rPr>
        <w:t xml:space="preserve"> is the canonical example</w:t>
      </w:r>
      <w:r w:rsidR="00E6296F">
        <w:rPr>
          <w:color w:val="000000"/>
        </w:rPr>
        <w:t xml:space="preserve">. </w:t>
      </w:r>
      <w:r>
        <w:rPr>
          <w:color w:val="000000"/>
        </w:rPr>
        <w:t xml:space="preserve"> </w:t>
      </w:r>
      <w:r w:rsidR="00E6296F">
        <w:rPr>
          <w:color w:val="000000"/>
        </w:rPr>
        <w:t>A</w:t>
      </w:r>
      <w:r>
        <w:rPr>
          <w:color w:val="000000"/>
        </w:rPr>
        <w:t xml:space="preserve">cquisition of the </w:t>
      </w:r>
      <w:proofErr w:type="spellStart"/>
      <w:r>
        <w:rPr>
          <w:i/>
          <w:iCs/>
          <w:color w:val="000000"/>
        </w:rPr>
        <w:t>mecA</w:t>
      </w:r>
      <w:proofErr w:type="spellEnd"/>
      <w:r>
        <w:rPr>
          <w:color w:val="000000"/>
        </w:rPr>
        <w:t xml:space="preserve"> gene on a staphylococcal cassette chromosome element provides penicillin-binding protein 2a, which retains transpeptidase activity in the presence of beta-lactam concentrations that inhibit the native proteins (Turner et al., 2019). Vancomycin resistance in enterococci operates on the same principle at the level of the substrate, with </w:t>
      </w:r>
      <w:r>
        <w:rPr>
          <w:i/>
          <w:iCs/>
          <w:color w:val="000000"/>
        </w:rPr>
        <w:t>van</w:t>
      </w:r>
      <w:r>
        <w:rPr>
          <w:color w:val="000000"/>
        </w:rPr>
        <w:t xml:space="preserve"> gene clusters </w:t>
      </w:r>
      <w:proofErr w:type="spellStart"/>
      <w:r>
        <w:rPr>
          <w:color w:val="000000"/>
        </w:rPr>
        <w:t>remodelling</w:t>
      </w:r>
      <w:proofErr w:type="spellEnd"/>
      <w:r>
        <w:rPr>
          <w:color w:val="000000"/>
        </w:rPr>
        <w:t xml:space="preserve"> the peptidoglycan precursor terminus from D-alanyl-D-alanine to D-alanyl-D-lactate or D-alanyl-D-serine, for which glycopeptides have markedly lower affinity (</w:t>
      </w:r>
      <w:proofErr w:type="spellStart"/>
      <w:r>
        <w:rPr>
          <w:color w:val="000000"/>
        </w:rPr>
        <w:t>Stogios</w:t>
      </w:r>
      <w:proofErr w:type="spellEnd"/>
      <w:r>
        <w:rPr>
          <w:color w:val="000000"/>
        </w:rPr>
        <w:t xml:space="preserve"> &amp; Savchenko, 2020).</w:t>
      </w:r>
    </w:p>
    <w:p w14:paraId="1DD743D0" w14:textId="77777777" w:rsidR="00FE7132" w:rsidRDefault="0024072B">
      <w:pPr>
        <w:pStyle w:val="Heading2"/>
        <w:spacing w:before="280" w:after="140"/>
      </w:pPr>
      <w:r>
        <w:rPr>
          <w:b/>
          <w:bCs/>
          <w:color w:val="000000"/>
          <w:sz w:val="24"/>
          <w:szCs w:val="24"/>
        </w:rPr>
        <w:t>5.6 Mutational resistance</w:t>
      </w:r>
    </w:p>
    <w:p w14:paraId="6651391C" w14:textId="77777777" w:rsidR="00FE7132" w:rsidRDefault="0024072B">
      <w:pPr>
        <w:spacing w:after="160"/>
        <w:jc w:val="both"/>
      </w:pPr>
      <w:r>
        <w:rPr>
          <w:color w:val="000000"/>
        </w:rPr>
        <w:t xml:space="preserve">Chromosomal point mutation generates resistance without any acquisition of foreign DNA and is the principal route for agents whose targets are essential single-copy genes. Fluoroquinolone resistance arises through the accumulation of amino acid substitutions in the </w:t>
      </w:r>
      <w:proofErr w:type="spellStart"/>
      <w:r>
        <w:rPr>
          <w:i/>
          <w:iCs/>
          <w:color w:val="000000"/>
        </w:rPr>
        <w:t>gyrA</w:t>
      </w:r>
      <w:proofErr w:type="spellEnd"/>
      <w:r>
        <w:rPr>
          <w:color w:val="000000"/>
        </w:rPr>
        <w:t xml:space="preserve"> and </w:t>
      </w:r>
      <w:proofErr w:type="spellStart"/>
      <w:r>
        <w:rPr>
          <w:i/>
          <w:iCs/>
          <w:color w:val="000000"/>
        </w:rPr>
        <w:t>gyrB</w:t>
      </w:r>
      <w:proofErr w:type="spellEnd"/>
      <w:r>
        <w:rPr>
          <w:color w:val="000000"/>
        </w:rPr>
        <w:t xml:space="preserve"> subunits of DNA gyrase and the </w:t>
      </w:r>
      <w:proofErr w:type="spellStart"/>
      <w:r>
        <w:rPr>
          <w:i/>
          <w:iCs/>
          <w:color w:val="000000"/>
        </w:rPr>
        <w:t>parC</w:t>
      </w:r>
      <w:proofErr w:type="spellEnd"/>
      <w:r>
        <w:rPr>
          <w:color w:val="000000"/>
        </w:rPr>
        <w:t xml:space="preserve"> and </w:t>
      </w:r>
      <w:proofErr w:type="spellStart"/>
      <w:r>
        <w:rPr>
          <w:i/>
          <w:iCs/>
          <w:color w:val="000000"/>
        </w:rPr>
        <w:t>parE</w:t>
      </w:r>
      <w:proofErr w:type="spellEnd"/>
      <w:r>
        <w:rPr>
          <w:color w:val="000000"/>
        </w:rPr>
        <w:t xml:space="preserve"> subunits of topoisomerase IV, with the primary target differing between Gram-negative and Gram-positive organisms and between individual quinolones. In </w:t>
      </w:r>
      <w:r>
        <w:rPr>
          <w:i/>
          <w:iCs/>
          <w:color w:val="000000"/>
        </w:rPr>
        <w:t>M. tuberculosis</w:t>
      </w:r>
      <w:r>
        <w:rPr>
          <w:color w:val="000000"/>
        </w:rPr>
        <w:t>, essentially all clinically relevant resistance is mutational, which is the pharmacological basis for multi-drug regimens and the reason monotherapy is contraindicated (Farhat et al., 2024).</w:t>
      </w:r>
    </w:p>
    <w:p w14:paraId="5508CA00" w14:textId="77777777" w:rsidR="00FE7132" w:rsidRDefault="0024072B">
      <w:pPr>
        <w:pStyle w:val="Heading2"/>
        <w:spacing w:before="280" w:after="140"/>
      </w:pPr>
      <w:r>
        <w:rPr>
          <w:b/>
          <w:bCs/>
          <w:color w:val="000000"/>
          <w:sz w:val="24"/>
          <w:szCs w:val="24"/>
        </w:rPr>
        <w:t>5.7 Horizontal gene transfer and mobile genetic elements</w:t>
      </w:r>
    </w:p>
    <w:p w14:paraId="4D3A523E" w14:textId="77777777" w:rsidR="00FE7132" w:rsidRDefault="0024072B">
      <w:pPr>
        <w:spacing w:after="160"/>
        <w:jc w:val="both"/>
      </w:pPr>
      <w:r>
        <w:rPr>
          <w:color w:val="000000"/>
        </w:rPr>
        <w:t xml:space="preserve">Horizontal gene transfer allows resistance to move between unrelated organisms, and it is this property that converts a local event into a global problem. Transformation, transduction and conjugation all contribute, with conjugation generally regarded as the most consequential for the dissemination of resistance genes (von Wintersdorff et al., 2016). The relevant reservoir is not confined to clinical pathogens: commensal and environmental bacteria, together with mobile elements and bacteriophages, constitute a </w:t>
      </w:r>
      <w:proofErr w:type="spellStart"/>
      <w:r>
        <w:rPr>
          <w:color w:val="000000"/>
        </w:rPr>
        <w:t>resistome</w:t>
      </w:r>
      <w:proofErr w:type="spellEnd"/>
      <w:r>
        <w:rPr>
          <w:color w:val="000000"/>
        </w:rPr>
        <w:t xml:space="preserve"> from which pathogens can recruit determinants.</w:t>
      </w:r>
    </w:p>
    <w:p w14:paraId="5171F21C" w14:textId="77777777" w:rsidR="00FE7132" w:rsidRDefault="0024072B">
      <w:pPr>
        <w:spacing w:after="160"/>
        <w:jc w:val="both"/>
      </w:pPr>
      <w:r>
        <w:rPr>
          <w:color w:val="000000"/>
        </w:rPr>
        <w:lastRenderedPageBreak/>
        <w:t xml:space="preserve">The elements that mediate this movement operate at different scales and are frequently nested within one another. Insertion sequences and transposons relocate genes within and between DNA molecules; </w:t>
      </w:r>
      <w:proofErr w:type="spellStart"/>
      <w:r>
        <w:rPr>
          <w:color w:val="000000"/>
        </w:rPr>
        <w:t>integrons</w:t>
      </w:r>
      <w:proofErr w:type="spellEnd"/>
      <w:r>
        <w:rPr>
          <w:color w:val="000000"/>
        </w:rPr>
        <w:t xml:space="preserve"> capture and express gene cassettes at a site-specific recombination locus, accumulating multiple cassettes in tandem; and plasmids and integrative conjugative elements transfer the whole assembly between cells (Partridge et al., 2018). The clinical significance of this architecture is that it packages resistance to several unrelated antibiotic classes into a single transferable unit, so that exposure to any one agent can co-select for the entire package. This is the mechanistic basis for multidrug resistance, and it explains why resistance to a withdrawn antibiotic frequently persists long after use has ceased.</w:t>
      </w:r>
    </w:p>
    <w:p w14:paraId="1B61F0FE" w14:textId="77777777" w:rsidR="00FE7132" w:rsidRDefault="0024072B">
      <w:pPr>
        <w:spacing w:after="160"/>
        <w:jc w:val="both"/>
      </w:pPr>
      <w:r>
        <w:rPr>
          <w:color w:val="000000"/>
        </w:rPr>
        <w:t xml:space="preserve">The trajectory of the </w:t>
      </w:r>
      <w:r>
        <w:rPr>
          <w:i/>
          <w:iCs/>
          <w:color w:val="000000"/>
        </w:rPr>
        <w:t>mcr-1</w:t>
      </w:r>
      <w:r>
        <w:rPr>
          <w:color w:val="000000"/>
        </w:rPr>
        <w:t xml:space="preserve"> colistin resistance gene illustrates the process. First reported in 2015 in </w:t>
      </w:r>
      <w:r>
        <w:rPr>
          <w:i/>
          <w:iCs/>
          <w:color w:val="000000"/>
        </w:rPr>
        <w:t>Escherichia coli</w:t>
      </w:r>
      <w:r>
        <w:rPr>
          <w:color w:val="000000"/>
        </w:rPr>
        <w:t xml:space="preserve"> from Chinese food animals, it was the first transferable polymyxin resistance determinant (Liu et al., 2016); phylogenetic analysis subsequently established that all circulating </w:t>
      </w:r>
      <w:r>
        <w:rPr>
          <w:i/>
          <w:iCs/>
          <w:color w:val="000000"/>
        </w:rPr>
        <w:t>mcr-1</w:t>
      </w:r>
      <w:r>
        <w:rPr>
          <w:color w:val="000000"/>
        </w:rPr>
        <w:t xml:space="preserve"> elements descend from a single </w:t>
      </w:r>
      <w:proofErr w:type="spellStart"/>
      <w:r>
        <w:rPr>
          <w:color w:val="000000"/>
        </w:rPr>
        <w:t>mobilisation</w:t>
      </w:r>
      <w:proofErr w:type="spellEnd"/>
      <w:r>
        <w:rPr>
          <w:color w:val="000000"/>
        </w:rPr>
        <w:t xml:space="preserve"> event by an ISApl1 transposon in the mid-2000s, followed by rapid global expansion (Wang et al., 2018). A single rare event, followed by dissemination through conjugative plasmids, compromised an agent of last resort worldwide within a decade.</w:t>
      </w:r>
    </w:p>
    <w:p w14:paraId="17670B6E" w14:textId="77777777" w:rsidR="00FE7132" w:rsidRDefault="0024072B">
      <w:pPr>
        <w:spacing w:before="240" w:after="100"/>
      </w:pPr>
      <w:r>
        <w:rPr>
          <w:sz w:val="22"/>
          <w:szCs w:val="22"/>
        </w:rPr>
        <w:t>Table 1. Major mechanisms of bacterial antibiotic resistance, with representative genetic determinants, affected antibiotic classes and clinical examples.</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1700"/>
        <w:gridCol w:w="2600"/>
        <w:gridCol w:w="2100"/>
        <w:gridCol w:w="1900"/>
        <w:gridCol w:w="2000"/>
      </w:tblGrid>
      <w:tr w:rsidR="00FE7132" w14:paraId="2B4A06CE" w14:textId="77777777">
        <w:trPr>
          <w:tblHeader/>
        </w:trPr>
        <w:tc>
          <w:tcPr>
            <w:tcW w:w="1700" w:type="dxa"/>
            <w:shd w:val="clear" w:color="auto" w:fill="E8E8E8"/>
            <w:tcMar>
              <w:top w:w="60" w:type="dxa"/>
              <w:left w:w="80" w:type="dxa"/>
              <w:bottom w:w="60" w:type="dxa"/>
              <w:right w:w="80" w:type="dxa"/>
            </w:tcMar>
          </w:tcPr>
          <w:p w14:paraId="672E358E" w14:textId="77777777" w:rsidR="00FE7132" w:rsidRDefault="0024072B">
            <w:r>
              <w:rPr>
                <w:b/>
                <w:bCs/>
                <w:sz w:val="20"/>
                <w:szCs w:val="20"/>
              </w:rPr>
              <w:t>Mechanism</w:t>
            </w:r>
          </w:p>
        </w:tc>
        <w:tc>
          <w:tcPr>
            <w:tcW w:w="2600" w:type="dxa"/>
            <w:shd w:val="clear" w:color="auto" w:fill="E8E8E8"/>
            <w:tcMar>
              <w:top w:w="60" w:type="dxa"/>
              <w:left w:w="80" w:type="dxa"/>
              <w:bottom w:w="60" w:type="dxa"/>
              <w:right w:w="80" w:type="dxa"/>
            </w:tcMar>
          </w:tcPr>
          <w:p w14:paraId="72C96412" w14:textId="77777777" w:rsidR="00FE7132" w:rsidRDefault="0024072B">
            <w:r>
              <w:rPr>
                <w:b/>
                <w:bCs/>
                <w:sz w:val="20"/>
                <w:szCs w:val="20"/>
              </w:rPr>
              <w:t>How it works</w:t>
            </w:r>
          </w:p>
        </w:tc>
        <w:tc>
          <w:tcPr>
            <w:tcW w:w="2100" w:type="dxa"/>
            <w:shd w:val="clear" w:color="auto" w:fill="E8E8E8"/>
            <w:tcMar>
              <w:top w:w="60" w:type="dxa"/>
              <w:left w:w="80" w:type="dxa"/>
              <w:bottom w:w="60" w:type="dxa"/>
              <w:right w:w="80" w:type="dxa"/>
            </w:tcMar>
          </w:tcPr>
          <w:p w14:paraId="3310FE6D" w14:textId="77777777" w:rsidR="00FE7132" w:rsidRDefault="0024072B">
            <w:r>
              <w:rPr>
                <w:b/>
                <w:bCs/>
                <w:sz w:val="20"/>
                <w:szCs w:val="20"/>
              </w:rPr>
              <w:t>Representative genes or factors</w:t>
            </w:r>
          </w:p>
        </w:tc>
        <w:tc>
          <w:tcPr>
            <w:tcW w:w="1900" w:type="dxa"/>
            <w:shd w:val="clear" w:color="auto" w:fill="E8E8E8"/>
            <w:tcMar>
              <w:top w:w="60" w:type="dxa"/>
              <w:left w:w="80" w:type="dxa"/>
              <w:bottom w:w="60" w:type="dxa"/>
              <w:right w:w="80" w:type="dxa"/>
            </w:tcMar>
          </w:tcPr>
          <w:p w14:paraId="2DFD670D" w14:textId="77777777" w:rsidR="00FE7132" w:rsidRDefault="0024072B">
            <w:r>
              <w:rPr>
                <w:b/>
                <w:bCs/>
                <w:sz w:val="20"/>
                <w:szCs w:val="20"/>
              </w:rPr>
              <w:t>Antibiotic classes affected</w:t>
            </w:r>
          </w:p>
        </w:tc>
        <w:tc>
          <w:tcPr>
            <w:tcW w:w="2000" w:type="dxa"/>
            <w:shd w:val="clear" w:color="auto" w:fill="E8E8E8"/>
            <w:tcMar>
              <w:top w:w="60" w:type="dxa"/>
              <w:left w:w="80" w:type="dxa"/>
              <w:bottom w:w="60" w:type="dxa"/>
              <w:right w:w="80" w:type="dxa"/>
            </w:tcMar>
          </w:tcPr>
          <w:p w14:paraId="6D673430" w14:textId="77777777" w:rsidR="00FE7132" w:rsidRDefault="0024072B">
            <w:r>
              <w:rPr>
                <w:b/>
                <w:bCs/>
                <w:sz w:val="20"/>
                <w:szCs w:val="20"/>
              </w:rPr>
              <w:t>Representative bacterial examples</w:t>
            </w:r>
          </w:p>
        </w:tc>
      </w:tr>
      <w:tr w:rsidR="00FE7132" w14:paraId="1C37C954" w14:textId="77777777">
        <w:tc>
          <w:tcPr>
            <w:tcW w:w="1700" w:type="dxa"/>
            <w:tcMar>
              <w:top w:w="60" w:type="dxa"/>
              <w:left w:w="80" w:type="dxa"/>
              <w:bottom w:w="60" w:type="dxa"/>
              <w:right w:w="80" w:type="dxa"/>
            </w:tcMar>
          </w:tcPr>
          <w:p w14:paraId="51F3DFEE" w14:textId="77777777" w:rsidR="00FE7132" w:rsidRDefault="0024072B">
            <w:r>
              <w:rPr>
                <w:sz w:val="20"/>
                <w:szCs w:val="20"/>
              </w:rPr>
              <w:t>Enzymatic hydrolysis</w:t>
            </w:r>
          </w:p>
        </w:tc>
        <w:tc>
          <w:tcPr>
            <w:tcW w:w="2600" w:type="dxa"/>
            <w:tcMar>
              <w:top w:w="60" w:type="dxa"/>
              <w:left w:w="80" w:type="dxa"/>
              <w:bottom w:w="60" w:type="dxa"/>
              <w:right w:w="80" w:type="dxa"/>
            </w:tcMar>
          </w:tcPr>
          <w:p w14:paraId="13E29829" w14:textId="77777777" w:rsidR="00FE7132" w:rsidRDefault="0024072B">
            <w:r>
              <w:rPr>
                <w:sz w:val="20"/>
                <w:szCs w:val="20"/>
              </w:rPr>
              <w:t>Cleaves the beta-lactam ring, preventing acylation of penicillin-binding proteins</w:t>
            </w:r>
          </w:p>
        </w:tc>
        <w:tc>
          <w:tcPr>
            <w:tcW w:w="2100" w:type="dxa"/>
            <w:tcMar>
              <w:top w:w="60" w:type="dxa"/>
              <w:left w:w="80" w:type="dxa"/>
              <w:bottom w:w="60" w:type="dxa"/>
              <w:right w:w="80" w:type="dxa"/>
            </w:tcMar>
          </w:tcPr>
          <w:p w14:paraId="76F4298B" w14:textId="77777777" w:rsidR="00FE7132" w:rsidRDefault="0024072B">
            <w:proofErr w:type="spellStart"/>
            <w:r>
              <w:rPr>
                <w:sz w:val="20"/>
                <w:szCs w:val="20"/>
              </w:rPr>
              <w:t>blaCTX</w:t>
            </w:r>
            <w:proofErr w:type="spellEnd"/>
            <w:r>
              <w:rPr>
                <w:sz w:val="20"/>
                <w:szCs w:val="20"/>
              </w:rPr>
              <w:t xml:space="preserve">-M, </w:t>
            </w:r>
            <w:proofErr w:type="spellStart"/>
            <w:r>
              <w:rPr>
                <w:sz w:val="20"/>
                <w:szCs w:val="20"/>
              </w:rPr>
              <w:t>blaKPC</w:t>
            </w:r>
            <w:proofErr w:type="spellEnd"/>
            <w:r>
              <w:rPr>
                <w:sz w:val="20"/>
                <w:szCs w:val="20"/>
              </w:rPr>
              <w:t xml:space="preserve">, </w:t>
            </w:r>
            <w:proofErr w:type="spellStart"/>
            <w:r>
              <w:rPr>
                <w:sz w:val="20"/>
                <w:szCs w:val="20"/>
              </w:rPr>
              <w:t>blaNDM</w:t>
            </w:r>
            <w:proofErr w:type="spellEnd"/>
            <w:r>
              <w:rPr>
                <w:sz w:val="20"/>
                <w:szCs w:val="20"/>
              </w:rPr>
              <w:t xml:space="preserve">, blaOXA-48, </w:t>
            </w:r>
            <w:proofErr w:type="spellStart"/>
            <w:r>
              <w:rPr>
                <w:sz w:val="20"/>
                <w:szCs w:val="20"/>
              </w:rPr>
              <w:t>ampC</w:t>
            </w:r>
            <w:proofErr w:type="spellEnd"/>
          </w:p>
        </w:tc>
        <w:tc>
          <w:tcPr>
            <w:tcW w:w="1900" w:type="dxa"/>
            <w:tcMar>
              <w:top w:w="60" w:type="dxa"/>
              <w:left w:w="80" w:type="dxa"/>
              <w:bottom w:w="60" w:type="dxa"/>
              <w:right w:w="80" w:type="dxa"/>
            </w:tcMar>
          </w:tcPr>
          <w:p w14:paraId="0FEAB2BC" w14:textId="77777777" w:rsidR="00FE7132" w:rsidRDefault="0024072B">
            <w:r>
              <w:rPr>
                <w:sz w:val="20"/>
                <w:szCs w:val="20"/>
              </w:rPr>
              <w:t>Penicillins, cephalosporins, carbapenems, monobactams</w:t>
            </w:r>
          </w:p>
        </w:tc>
        <w:tc>
          <w:tcPr>
            <w:tcW w:w="2000" w:type="dxa"/>
            <w:tcMar>
              <w:top w:w="60" w:type="dxa"/>
              <w:left w:w="80" w:type="dxa"/>
              <w:bottom w:w="60" w:type="dxa"/>
              <w:right w:w="80" w:type="dxa"/>
            </w:tcMar>
          </w:tcPr>
          <w:p w14:paraId="39D785E1" w14:textId="77777777" w:rsidR="00FE7132" w:rsidRDefault="0024072B">
            <w:r>
              <w:rPr>
                <w:sz w:val="20"/>
                <w:szCs w:val="20"/>
              </w:rPr>
              <w:t>Klebsiella pneumoniae, Escherichia coli, Acinetobacter baumannii</w:t>
            </w:r>
          </w:p>
        </w:tc>
      </w:tr>
      <w:tr w:rsidR="00FE7132" w14:paraId="75F374A5" w14:textId="77777777">
        <w:tc>
          <w:tcPr>
            <w:tcW w:w="1700" w:type="dxa"/>
            <w:tcMar>
              <w:top w:w="60" w:type="dxa"/>
              <w:left w:w="80" w:type="dxa"/>
              <w:bottom w:w="60" w:type="dxa"/>
              <w:right w:w="80" w:type="dxa"/>
            </w:tcMar>
          </w:tcPr>
          <w:p w14:paraId="23336506" w14:textId="77777777" w:rsidR="00FE7132" w:rsidRDefault="0024072B">
            <w:r>
              <w:rPr>
                <w:sz w:val="20"/>
                <w:szCs w:val="20"/>
              </w:rPr>
              <w:t>Enzymatic modification</w:t>
            </w:r>
          </w:p>
        </w:tc>
        <w:tc>
          <w:tcPr>
            <w:tcW w:w="2600" w:type="dxa"/>
            <w:tcMar>
              <w:top w:w="60" w:type="dxa"/>
              <w:left w:w="80" w:type="dxa"/>
              <w:bottom w:w="60" w:type="dxa"/>
              <w:right w:w="80" w:type="dxa"/>
            </w:tcMar>
          </w:tcPr>
          <w:p w14:paraId="05B751ED" w14:textId="77777777" w:rsidR="00FE7132" w:rsidRDefault="0024072B">
            <w:r>
              <w:rPr>
                <w:sz w:val="20"/>
                <w:szCs w:val="20"/>
              </w:rPr>
              <w:t>Acetylation, phosphorylation or adenylation reduces target binding affinity</w:t>
            </w:r>
          </w:p>
        </w:tc>
        <w:tc>
          <w:tcPr>
            <w:tcW w:w="2100" w:type="dxa"/>
            <w:tcMar>
              <w:top w:w="60" w:type="dxa"/>
              <w:left w:w="80" w:type="dxa"/>
              <w:bottom w:w="60" w:type="dxa"/>
              <w:right w:w="80" w:type="dxa"/>
            </w:tcMar>
          </w:tcPr>
          <w:p w14:paraId="64CEB428" w14:textId="77777777" w:rsidR="00FE7132" w:rsidRDefault="0024072B">
            <w:proofErr w:type="spellStart"/>
            <w:r>
              <w:rPr>
                <w:sz w:val="20"/>
                <w:szCs w:val="20"/>
              </w:rPr>
              <w:t>aac</w:t>
            </w:r>
            <w:proofErr w:type="spellEnd"/>
            <w:r>
              <w:rPr>
                <w:sz w:val="20"/>
                <w:szCs w:val="20"/>
              </w:rPr>
              <w:t xml:space="preserve">, </w:t>
            </w:r>
            <w:proofErr w:type="spellStart"/>
            <w:r>
              <w:rPr>
                <w:sz w:val="20"/>
                <w:szCs w:val="20"/>
              </w:rPr>
              <w:t>aph</w:t>
            </w:r>
            <w:proofErr w:type="spellEnd"/>
            <w:r>
              <w:rPr>
                <w:sz w:val="20"/>
                <w:szCs w:val="20"/>
              </w:rPr>
              <w:t>, ant gene families</w:t>
            </w:r>
          </w:p>
        </w:tc>
        <w:tc>
          <w:tcPr>
            <w:tcW w:w="1900" w:type="dxa"/>
            <w:tcMar>
              <w:top w:w="60" w:type="dxa"/>
              <w:left w:w="80" w:type="dxa"/>
              <w:bottom w:w="60" w:type="dxa"/>
              <w:right w:w="80" w:type="dxa"/>
            </w:tcMar>
          </w:tcPr>
          <w:p w14:paraId="68E2522C" w14:textId="77777777" w:rsidR="00FE7132" w:rsidRDefault="0024072B">
            <w:r>
              <w:rPr>
                <w:sz w:val="20"/>
                <w:szCs w:val="20"/>
              </w:rPr>
              <w:t>Aminoglycosides</w:t>
            </w:r>
          </w:p>
        </w:tc>
        <w:tc>
          <w:tcPr>
            <w:tcW w:w="2000" w:type="dxa"/>
            <w:tcMar>
              <w:top w:w="60" w:type="dxa"/>
              <w:left w:w="80" w:type="dxa"/>
              <w:bottom w:w="60" w:type="dxa"/>
              <w:right w:w="80" w:type="dxa"/>
            </w:tcMar>
          </w:tcPr>
          <w:p w14:paraId="4D77548D" w14:textId="77777777" w:rsidR="00FE7132" w:rsidRDefault="0024072B">
            <w:proofErr w:type="spellStart"/>
            <w:r>
              <w:rPr>
                <w:sz w:val="20"/>
                <w:szCs w:val="20"/>
              </w:rPr>
              <w:t>Enterobacterales</w:t>
            </w:r>
            <w:proofErr w:type="spellEnd"/>
            <w:r>
              <w:rPr>
                <w:sz w:val="20"/>
                <w:szCs w:val="20"/>
              </w:rPr>
              <w:t>, Staphylococcus aureus, Pseudomonas aeruginosa</w:t>
            </w:r>
          </w:p>
        </w:tc>
      </w:tr>
      <w:tr w:rsidR="00FE7132" w14:paraId="5A10C67D" w14:textId="77777777">
        <w:tc>
          <w:tcPr>
            <w:tcW w:w="1700" w:type="dxa"/>
            <w:tcMar>
              <w:top w:w="60" w:type="dxa"/>
              <w:left w:w="80" w:type="dxa"/>
              <w:bottom w:w="60" w:type="dxa"/>
              <w:right w:w="80" w:type="dxa"/>
            </w:tcMar>
          </w:tcPr>
          <w:p w14:paraId="17CECC77" w14:textId="77777777" w:rsidR="00FE7132" w:rsidRDefault="0024072B">
            <w:r>
              <w:rPr>
                <w:sz w:val="20"/>
                <w:szCs w:val="20"/>
              </w:rPr>
              <w:t>Target modification</w:t>
            </w:r>
          </w:p>
        </w:tc>
        <w:tc>
          <w:tcPr>
            <w:tcW w:w="2600" w:type="dxa"/>
            <w:tcMar>
              <w:top w:w="60" w:type="dxa"/>
              <w:left w:w="80" w:type="dxa"/>
              <w:bottom w:w="60" w:type="dxa"/>
              <w:right w:w="80" w:type="dxa"/>
            </w:tcMar>
          </w:tcPr>
          <w:p w14:paraId="7386A1B5" w14:textId="77777777" w:rsidR="00FE7132" w:rsidRDefault="0024072B">
            <w:r>
              <w:rPr>
                <w:sz w:val="20"/>
                <w:szCs w:val="20"/>
              </w:rPr>
              <w:t>Alters the drug binding site so affinity is lost</w:t>
            </w:r>
          </w:p>
        </w:tc>
        <w:tc>
          <w:tcPr>
            <w:tcW w:w="2100" w:type="dxa"/>
            <w:tcMar>
              <w:top w:w="60" w:type="dxa"/>
              <w:left w:w="80" w:type="dxa"/>
              <w:bottom w:w="60" w:type="dxa"/>
              <w:right w:w="80" w:type="dxa"/>
            </w:tcMar>
          </w:tcPr>
          <w:p w14:paraId="0EF68A9A" w14:textId="77777777" w:rsidR="00FE7132" w:rsidRDefault="0024072B">
            <w:r>
              <w:rPr>
                <w:sz w:val="20"/>
                <w:szCs w:val="20"/>
              </w:rPr>
              <w:t xml:space="preserve">erm (23S rRNA methylation), </w:t>
            </w:r>
            <w:proofErr w:type="spellStart"/>
            <w:r>
              <w:rPr>
                <w:sz w:val="20"/>
                <w:szCs w:val="20"/>
              </w:rPr>
              <w:t>pbp</w:t>
            </w:r>
            <w:proofErr w:type="spellEnd"/>
            <w:r>
              <w:rPr>
                <w:sz w:val="20"/>
                <w:szCs w:val="20"/>
              </w:rPr>
              <w:t xml:space="preserve"> alterations, </w:t>
            </w:r>
            <w:proofErr w:type="spellStart"/>
            <w:r>
              <w:rPr>
                <w:sz w:val="20"/>
                <w:szCs w:val="20"/>
              </w:rPr>
              <w:t>rpoB</w:t>
            </w:r>
            <w:proofErr w:type="spellEnd"/>
            <w:r>
              <w:rPr>
                <w:sz w:val="20"/>
                <w:szCs w:val="20"/>
              </w:rPr>
              <w:t xml:space="preserve">, </w:t>
            </w:r>
            <w:proofErr w:type="spellStart"/>
            <w:r>
              <w:rPr>
                <w:sz w:val="20"/>
                <w:szCs w:val="20"/>
              </w:rPr>
              <w:t>gyrA</w:t>
            </w:r>
            <w:proofErr w:type="spellEnd"/>
          </w:p>
        </w:tc>
        <w:tc>
          <w:tcPr>
            <w:tcW w:w="1900" w:type="dxa"/>
            <w:tcMar>
              <w:top w:w="60" w:type="dxa"/>
              <w:left w:w="80" w:type="dxa"/>
              <w:bottom w:w="60" w:type="dxa"/>
              <w:right w:w="80" w:type="dxa"/>
            </w:tcMar>
          </w:tcPr>
          <w:p w14:paraId="232FF483" w14:textId="77777777" w:rsidR="00FE7132" w:rsidRDefault="0024072B">
            <w:r>
              <w:rPr>
                <w:sz w:val="20"/>
                <w:szCs w:val="20"/>
              </w:rPr>
              <w:t xml:space="preserve">Macrolides, beta-lactams, </w:t>
            </w:r>
            <w:proofErr w:type="spellStart"/>
            <w:r>
              <w:rPr>
                <w:sz w:val="20"/>
                <w:szCs w:val="20"/>
              </w:rPr>
              <w:t>rifamycins</w:t>
            </w:r>
            <w:proofErr w:type="spellEnd"/>
            <w:r>
              <w:rPr>
                <w:sz w:val="20"/>
                <w:szCs w:val="20"/>
              </w:rPr>
              <w:t>, fluoroquinolones</w:t>
            </w:r>
          </w:p>
        </w:tc>
        <w:tc>
          <w:tcPr>
            <w:tcW w:w="2000" w:type="dxa"/>
            <w:tcMar>
              <w:top w:w="60" w:type="dxa"/>
              <w:left w:w="80" w:type="dxa"/>
              <w:bottom w:w="60" w:type="dxa"/>
              <w:right w:w="80" w:type="dxa"/>
            </w:tcMar>
          </w:tcPr>
          <w:p w14:paraId="01C412C5" w14:textId="77777777" w:rsidR="00FE7132" w:rsidRDefault="0024072B">
            <w:r>
              <w:rPr>
                <w:sz w:val="20"/>
                <w:szCs w:val="20"/>
              </w:rPr>
              <w:t>Streptococcus pneumoniae, Neisseria gonorrhoeae, Mycobacterium tuberculosis</w:t>
            </w:r>
          </w:p>
        </w:tc>
      </w:tr>
      <w:tr w:rsidR="00FE7132" w14:paraId="2D893B99" w14:textId="77777777">
        <w:tc>
          <w:tcPr>
            <w:tcW w:w="1700" w:type="dxa"/>
            <w:tcMar>
              <w:top w:w="60" w:type="dxa"/>
              <w:left w:w="80" w:type="dxa"/>
              <w:bottom w:w="60" w:type="dxa"/>
              <w:right w:w="80" w:type="dxa"/>
            </w:tcMar>
          </w:tcPr>
          <w:p w14:paraId="509B88B8" w14:textId="77777777" w:rsidR="00FE7132" w:rsidRDefault="0024072B">
            <w:r>
              <w:rPr>
                <w:sz w:val="20"/>
                <w:szCs w:val="20"/>
              </w:rPr>
              <w:t>Reduced permeability</w:t>
            </w:r>
          </w:p>
        </w:tc>
        <w:tc>
          <w:tcPr>
            <w:tcW w:w="2600" w:type="dxa"/>
            <w:tcMar>
              <w:top w:w="60" w:type="dxa"/>
              <w:left w:w="80" w:type="dxa"/>
              <w:bottom w:w="60" w:type="dxa"/>
              <w:right w:w="80" w:type="dxa"/>
            </w:tcMar>
          </w:tcPr>
          <w:p w14:paraId="79D8ED7B" w14:textId="77777777" w:rsidR="00FE7132" w:rsidRDefault="0024072B">
            <w:r>
              <w:rPr>
                <w:sz w:val="20"/>
                <w:szCs w:val="20"/>
              </w:rPr>
              <w:t>Loss or downregulation of porins limits drug entry across the outer membrane</w:t>
            </w:r>
          </w:p>
        </w:tc>
        <w:tc>
          <w:tcPr>
            <w:tcW w:w="2100" w:type="dxa"/>
            <w:tcMar>
              <w:top w:w="60" w:type="dxa"/>
              <w:left w:w="80" w:type="dxa"/>
              <w:bottom w:w="60" w:type="dxa"/>
              <w:right w:w="80" w:type="dxa"/>
            </w:tcMar>
          </w:tcPr>
          <w:p w14:paraId="121B8471" w14:textId="77777777" w:rsidR="00FE7132" w:rsidRDefault="0024072B">
            <w:r>
              <w:rPr>
                <w:sz w:val="20"/>
                <w:szCs w:val="20"/>
              </w:rPr>
              <w:t xml:space="preserve">ompK35, ompK36, </w:t>
            </w:r>
            <w:proofErr w:type="spellStart"/>
            <w:r>
              <w:rPr>
                <w:sz w:val="20"/>
                <w:szCs w:val="20"/>
              </w:rPr>
              <w:t>oprD</w:t>
            </w:r>
            <w:proofErr w:type="spellEnd"/>
          </w:p>
        </w:tc>
        <w:tc>
          <w:tcPr>
            <w:tcW w:w="1900" w:type="dxa"/>
            <w:tcMar>
              <w:top w:w="60" w:type="dxa"/>
              <w:left w:w="80" w:type="dxa"/>
              <w:bottom w:w="60" w:type="dxa"/>
              <w:right w:w="80" w:type="dxa"/>
            </w:tcMar>
          </w:tcPr>
          <w:p w14:paraId="44B4A729" w14:textId="77777777" w:rsidR="00FE7132" w:rsidRDefault="0024072B">
            <w:r>
              <w:rPr>
                <w:sz w:val="20"/>
                <w:szCs w:val="20"/>
              </w:rPr>
              <w:t>Carbapenems, cephalosporins, fluoroquinolones</w:t>
            </w:r>
          </w:p>
        </w:tc>
        <w:tc>
          <w:tcPr>
            <w:tcW w:w="2000" w:type="dxa"/>
            <w:tcMar>
              <w:top w:w="60" w:type="dxa"/>
              <w:left w:w="80" w:type="dxa"/>
              <w:bottom w:w="60" w:type="dxa"/>
              <w:right w:w="80" w:type="dxa"/>
            </w:tcMar>
          </w:tcPr>
          <w:p w14:paraId="617DAE01" w14:textId="77777777" w:rsidR="00FE7132" w:rsidRDefault="0024072B">
            <w:r>
              <w:rPr>
                <w:sz w:val="20"/>
                <w:szCs w:val="20"/>
              </w:rPr>
              <w:t>Klebsiella pneumoniae, Pseudomonas aeruginosa</w:t>
            </w:r>
          </w:p>
        </w:tc>
      </w:tr>
      <w:tr w:rsidR="00FE7132" w14:paraId="51207E51" w14:textId="77777777">
        <w:tc>
          <w:tcPr>
            <w:tcW w:w="1700" w:type="dxa"/>
            <w:tcMar>
              <w:top w:w="60" w:type="dxa"/>
              <w:left w:w="80" w:type="dxa"/>
              <w:bottom w:w="60" w:type="dxa"/>
              <w:right w:w="80" w:type="dxa"/>
            </w:tcMar>
          </w:tcPr>
          <w:p w14:paraId="04C03141" w14:textId="77777777" w:rsidR="00FE7132" w:rsidRDefault="0024072B">
            <w:r>
              <w:rPr>
                <w:sz w:val="20"/>
                <w:szCs w:val="20"/>
              </w:rPr>
              <w:t>Efflux</w:t>
            </w:r>
          </w:p>
        </w:tc>
        <w:tc>
          <w:tcPr>
            <w:tcW w:w="2600" w:type="dxa"/>
            <w:tcMar>
              <w:top w:w="60" w:type="dxa"/>
              <w:left w:w="80" w:type="dxa"/>
              <w:bottom w:w="60" w:type="dxa"/>
              <w:right w:w="80" w:type="dxa"/>
            </w:tcMar>
          </w:tcPr>
          <w:p w14:paraId="5C2E47D4" w14:textId="77777777" w:rsidR="00FE7132" w:rsidRDefault="0024072B">
            <w:r>
              <w:rPr>
                <w:sz w:val="20"/>
                <w:szCs w:val="20"/>
              </w:rPr>
              <w:t>Active export lowers intracellular drug concentration below inhibitory levels</w:t>
            </w:r>
          </w:p>
        </w:tc>
        <w:tc>
          <w:tcPr>
            <w:tcW w:w="2100" w:type="dxa"/>
            <w:tcMar>
              <w:top w:w="60" w:type="dxa"/>
              <w:left w:w="80" w:type="dxa"/>
              <w:bottom w:w="60" w:type="dxa"/>
              <w:right w:w="80" w:type="dxa"/>
            </w:tcMar>
          </w:tcPr>
          <w:p w14:paraId="76867936" w14:textId="77777777" w:rsidR="00FE7132" w:rsidRDefault="0024072B">
            <w:proofErr w:type="spellStart"/>
            <w:r>
              <w:rPr>
                <w:sz w:val="20"/>
                <w:szCs w:val="20"/>
              </w:rPr>
              <w:t>acrAB-tolC</w:t>
            </w:r>
            <w:proofErr w:type="spellEnd"/>
            <w:r>
              <w:rPr>
                <w:sz w:val="20"/>
                <w:szCs w:val="20"/>
              </w:rPr>
              <w:t xml:space="preserve">, </w:t>
            </w:r>
            <w:proofErr w:type="spellStart"/>
            <w:r>
              <w:rPr>
                <w:sz w:val="20"/>
                <w:szCs w:val="20"/>
              </w:rPr>
              <w:t>mexAB-oprM</w:t>
            </w:r>
            <w:proofErr w:type="spellEnd"/>
            <w:r>
              <w:rPr>
                <w:sz w:val="20"/>
                <w:szCs w:val="20"/>
              </w:rPr>
              <w:t xml:space="preserve">, </w:t>
            </w:r>
            <w:proofErr w:type="spellStart"/>
            <w:r>
              <w:rPr>
                <w:sz w:val="20"/>
                <w:szCs w:val="20"/>
              </w:rPr>
              <w:t>mtrCDE</w:t>
            </w:r>
            <w:proofErr w:type="spellEnd"/>
            <w:r>
              <w:rPr>
                <w:sz w:val="20"/>
                <w:szCs w:val="20"/>
              </w:rPr>
              <w:t xml:space="preserve">, </w:t>
            </w:r>
            <w:proofErr w:type="spellStart"/>
            <w:r>
              <w:rPr>
                <w:sz w:val="20"/>
                <w:szCs w:val="20"/>
              </w:rPr>
              <w:t>tet</w:t>
            </w:r>
            <w:proofErr w:type="spellEnd"/>
            <w:r>
              <w:rPr>
                <w:sz w:val="20"/>
                <w:szCs w:val="20"/>
              </w:rPr>
              <w:t>(A)</w:t>
            </w:r>
          </w:p>
        </w:tc>
        <w:tc>
          <w:tcPr>
            <w:tcW w:w="1900" w:type="dxa"/>
            <w:tcMar>
              <w:top w:w="60" w:type="dxa"/>
              <w:left w:w="80" w:type="dxa"/>
              <w:bottom w:w="60" w:type="dxa"/>
              <w:right w:w="80" w:type="dxa"/>
            </w:tcMar>
          </w:tcPr>
          <w:p w14:paraId="1FE50DB9" w14:textId="77777777" w:rsidR="00FE7132" w:rsidRDefault="0024072B">
            <w:r>
              <w:rPr>
                <w:sz w:val="20"/>
                <w:szCs w:val="20"/>
              </w:rPr>
              <w:t>Multiple, structurally unrelated classes</w:t>
            </w:r>
          </w:p>
        </w:tc>
        <w:tc>
          <w:tcPr>
            <w:tcW w:w="2000" w:type="dxa"/>
            <w:tcMar>
              <w:top w:w="60" w:type="dxa"/>
              <w:left w:w="80" w:type="dxa"/>
              <w:bottom w:w="60" w:type="dxa"/>
              <w:right w:w="80" w:type="dxa"/>
            </w:tcMar>
          </w:tcPr>
          <w:p w14:paraId="314C247C" w14:textId="77777777" w:rsidR="00FE7132" w:rsidRDefault="0024072B">
            <w:r>
              <w:rPr>
                <w:sz w:val="20"/>
                <w:szCs w:val="20"/>
              </w:rPr>
              <w:t>Escherichia coli, Pseudomonas aeruginosa, Neisseria gonorrhoeae</w:t>
            </w:r>
          </w:p>
        </w:tc>
      </w:tr>
      <w:tr w:rsidR="00FE7132" w14:paraId="12557712" w14:textId="77777777">
        <w:tc>
          <w:tcPr>
            <w:tcW w:w="1700" w:type="dxa"/>
            <w:tcMar>
              <w:top w:w="60" w:type="dxa"/>
              <w:left w:w="80" w:type="dxa"/>
              <w:bottom w:w="60" w:type="dxa"/>
              <w:right w:w="80" w:type="dxa"/>
            </w:tcMar>
          </w:tcPr>
          <w:p w14:paraId="669AB806" w14:textId="77777777" w:rsidR="00FE7132" w:rsidRDefault="0024072B">
            <w:r>
              <w:rPr>
                <w:sz w:val="20"/>
                <w:szCs w:val="20"/>
              </w:rPr>
              <w:t>Target bypass</w:t>
            </w:r>
          </w:p>
        </w:tc>
        <w:tc>
          <w:tcPr>
            <w:tcW w:w="2600" w:type="dxa"/>
            <w:tcMar>
              <w:top w:w="60" w:type="dxa"/>
              <w:left w:w="80" w:type="dxa"/>
              <w:bottom w:w="60" w:type="dxa"/>
              <w:right w:w="80" w:type="dxa"/>
            </w:tcMar>
          </w:tcPr>
          <w:p w14:paraId="5892ACC6" w14:textId="77777777" w:rsidR="00FE7132" w:rsidRDefault="0024072B">
            <w:r>
              <w:rPr>
                <w:sz w:val="20"/>
                <w:szCs w:val="20"/>
              </w:rPr>
              <w:t xml:space="preserve">Acquisition of an alternative target or </w:t>
            </w:r>
            <w:proofErr w:type="spellStart"/>
            <w:r>
              <w:rPr>
                <w:sz w:val="20"/>
                <w:szCs w:val="20"/>
              </w:rPr>
              <w:t>remodelled</w:t>
            </w:r>
            <w:proofErr w:type="spellEnd"/>
            <w:r>
              <w:rPr>
                <w:sz w:val="20"/>
                <w:szCs w:val="20"/>
              </w:rPr>
              <w:t xml:space="preserve"> substrate not inhibited by the drug</w:t>
            </w:r>
          </w:p>
        </w:tc>
        <w:tc>
          <w:tcPr>
            <w:tcW w:w="2100" w:type="dxa"/>
            <w:tcMar>
              <w:top w:w="60" w:type="dxa"/>
              <w:left w:w="80" w:type="dxa"/>
              <w:bottom w:w="60" w:type="dxa"/>
              <w:right w:w="80" w:type="dxa"/>
            </w:tcMar>
          </w:tcPr>
          <w:p w14:paraId="0DFB05AB" w14:textId="77777777" w:rsidR="00FE7132" w:rsidRDefault="0024072B">
            <w:proofErr w:type="spellStart"/>
            <w:r>
              <w:rPr>
                <w:sz w:val="20"/>
                <w:szCs w:val="20"/>
              </w:rPr>
              <w:t>mecA</w:t>
            </w:r>
            <w:proofErr w:type="spellEnd"/>
            <w:r>
              <w:rPr>
                <w:sz w:val="20"/>
                <w:szCs w:val="20"/>
              </w:rPr>
              <w:t>/</w:t>
            </w:r>
            <w:proofErr w:type="spellStart"/>
            <w:r>
              <w:rPr>
                <w:sz w:val="20"/>
                <w:szCs w:val="20"/>
              </w:rPr>
              <w:t>mecC</w:t>
            </w:r>
            <w:proofErr w:type="spellEnd"/>
            <w:r>
              <w:rPr>
                <w:sz w:val="20"/>
                <w:szCs w:val="20"/>
              </w:rPr>
              <w:t xml:space="preserve"> (PBP2a), </w:t>
            </w:r>
            <w:proofErr w:type="spellStart"/>
            <w:r>
              <w:rPr>
                <w:sz w:val="20"/>
                <w:szCs w:val="20"/>
              </w:rPr>
              <w:t>vanA</w:t>
            </w:r>
            <w:proofErr w:type="spellEnd"/>
            <w:r>
              <w:rPr>
                <w:sz w:val="20"/>
                <w:szCs w:val="20"/>
              </w:rPr>
              <w:t xml:space="preserve">, </w:t>
            </w:r>
            <w:proofErr w:type="spellStart"/>
            <w:r>
              <w:rPr>
                <w:sz w:val="20"/>
                <w:szCs w:val="20"/>
              </w:rPr>
              <w:t>vanB</w:t>
            </w:r>
            <w:proofErr w:type="spellEnd"/>
            <w:r>
              <w:rPr>
                <w:sz w:val="20"/>
                <w:szCs w:val="20"/>
              </w:rPr>
              <w:t xml:space="preserve"> gene clusters</w:t>
            </w:r>
          </w:p>
        </w:tc>
        <w:tc>
          <w:tcPr>
            <w:tcW w:w="1900" w:type="dxa"/>
            <w:tcMar>
              <w:top w:w="60" w:type="dxa"/>
              <w:left w:w="80" w:type="dxa"/>
              <w:bottom w:w="60" w:type="dxa"/>
              <w:right w:w="80" w:type="dxa"/>
            </w:tcMar>
          </w:tcPr>
          <w:p w14:paraId="72152D83" w14:textId="77777777" w:rsidR="00FE7132" w:rsidRDefault="0024072B">
            <w:r>
              <w:rPr>
                <w:sz w:val="20"/>
                <w:szCs w:val="20"/>
              </w:rPr>
              <w:t>Beta-lactams, glycopeptides</w:t>
            </w:r>
          </w:p>
        </w:tc>
        <w:tc>
          <w:tcPr>
            <w:tcW w:w="2000" w:type="dxa"/>
            <w:tcMar>
              <w:top w:w="60" w:type="dxa"/>
              <w:left w:w="80" w:type="dxa"/>
              <w:bottom w:w="60" w:type="dxa"/>
              <w:right w:w="80" w:type="dxa"/>
            </w:tcMar>
          </w:tcPr>
          <w:p w14:paraId="317FE3DE" w14:textId="77777777" w:rsidR="00FE7132" w:rsidRDefault="0024072B">
            <w:r>
              <w:rPr>
                <w:sz w:val="20"/>
                <w:szCs w:val="20"/>
              </w:rPr>
              <w:t>Staphylococcus aureus, Enterococcus faecium</w:t>
            </w:r>
          </w:p>
        </w:tc>
      </w:tr>
      <w:tr w:rsidR="00FE7132" w14:paraId="043F2CD7" w14:textId="77777777">
        <w:tc>
          <w:tcPr>
            <w:tcW w:w="1700" w:type="dxa"/>
            <w:tcMar>
              <w:top w:w="60" w:type="dxa"/>
              <w:left w:w="80" w:type="dxa"/>
              <w:bottom w:w="60" w:type="dxa"/>
              <w:right w:w="80" w:type="dxa"/>
            </w:tcMar>
          </w:tcPr>
          <w:p w14:paraId="73C5A296" w14:textId="77777777" w:rsidR="00FE7132" w:rsidRDefault="0024072B">
            <w:r>
              <w:rPr>
                <w:sz w:val="20"/>
                <w:szCs w:val="20"/>
              </w:rPr>
              <w:lastRenderedPageBreak/>
              <w:t>Mutational resistance</w:t>
            </w:r>
          </w:p>
        </w:tc>
        <w:tc>
          <w:tcPr>
            <w:tcW w:w="2600" w:type="dxa"/>
            <w:tcMar>
              <w:top w:w="60" w:type="dxa"/>
              <w:left w:w="80" w:type="dxa"/>
              <w:bottom w:w="60" w:type="dxa"/>
              <w:right w:w="80" w:type="dxa"/>
            </w:tcMar>
          </w:tcPr>
          <w:p w14:paraId="7FFB4568" w14:textId="77777777" w:rsidR="00FE7132" w:rsidRDefault="0024072B">
            <w:r>
              <w:rPr>
                <w:sz w:val="20"/>
                <w:szCs w:val="20"/>
              </w:rPr>
              <w:t>Chromosomal point mutation alters an essential target protein</w:t>
            </w:r>
          </w:p>
        </w:tc>
        <w:tc>
          <w:tcPr>
            <w:tcW w:w="2100" w:type="dxa"/>
            <w:tcMar>
              <w:top w:w="60" w:type="dxa"/>
              <w:left w:w="80" w:type="dxa"/>
              <w:bottom w:w="60" w:type="dxa"/>
              <w:right w:w="80" w:type="dxa"/>
            </w:tcMar>
          </w:tcPr>
          <w:p w14:paraId="65A29CCB" w14:textId="77777777" w:rsidR="00FE7132" w:rsidRDefault="0024072B">
            <w:proofErr w:type="spellStart"/>
            <w:r>
              <w:rPr>
                <w:sz w:val="20"/>
                <w:szCs w:val="20"/>
              </w:rPr>
              <w:t>rpoB</w:t>
            </w:r>
            <w:proofErr w:type="spellEnd"/>
            <w:r>
              <w:rPr>
                <w:sz w:val="20"/>
                <w:szCs w:val="20"/>
              </w:rPr>
              <w:t xml:space="preserve">, </w:t>
            </w:r>
            <w:proofErr w:type="spellStart"/>
            <w:r>
              <w:rPr>
                <w:sz w:val="20"/>
                <w:szCs w:val="20"/>
              </w:rPr>
              <w:t>katG</w:t>
            </w:r>
            <w:proofErr w:type="spellEnd"/>
            <w:r>
              <w:rPr>
                <w:sz w:val="20"/>
                <w:szCs w:val="20"/>
              </w:rPr>
              <w:t xml:space="preserve">, </w:t>
            </w:r>
            <w:proofErr w:type="spellStart"/>
            <w:r>
              <w:rPr>
                <w:sz w:val="20"/>
                <w:szCs w:val="20"/>
              </w:rPr>
              <w:t>inhA</w:t>
            </w:r>
            <w:proofErr w:type="spellEnd"/>
            <w:r>
              <w:rPr>
                <w:sz w:val="20"/>
                <w:szCs w:val="20"/>
              </w:rPr>
              <w:t xml:space="preserve">, </w:t>
            </w:r>
            <w:proofErr w:type="spellStart"/>
            <w:r>
              <w:rPr>
                <w:sz w:val="20"/>
                <w:szCs w:val="20"/>
              </w:rPr>
              <w:t>gyrA</w:t>
            </w:r>
            <w:proofErr w:type="spellEnd"/>
            <w:r>
              <w:rPr>
                <w:sz w:val="20"/>
                <w:szCs w:val="20"/>
              </w:rPr>
              <w:t xml:space="preserve">, </w:t>
            </w:r>
            <w:proofErr w:type="spellStart"/>
            <w:r>
              <w:rPr>
                <w:sz w:val="20"/>
                <w:szCs w:val="20"/>
              </w:rPr>
              <w:t>gyrB</w:t>
            </w:r>
            <w:proofErr w:type="spellEnd"/>
            <w:r>
              <w:rPr>
                <w:sz w:val="20"/>
                <w:szCs w:val="20"/>
              </w:rPr>
              <w:t xml:space="preserve">, </w:t>
            </w:r>
            <w:proofErr w:type="spellStart"/>
            <w:r>
              <w:rPr>
                <w:sz w:val="20"/>
                <w:szCs w:val="20"/>
              </w:rPr>
              <w:t>parC</w:t>
            </w:r>
            <w:proofErr w:type="spellEnd"/>
            <w:r>
              <w:rPr>
                <w:sz w:val="20"/>
                <w:szCs w:val="20"/>
              </w:rPr>
              <w:t xml:space="preserve">, </w:t>
            </w:r>
            <w:proofErr w:type="spellStart"/>
            <w:r>
              <w:rPr>
                <w:sz w:val="20"/>
                <w:szCs w:val="20"/>
              </w:rPr>
              <w:t>parE</w:t>
            </w:r>
            <w:proofErr w:type="spellEnd"/>
            <w:r>
              <w:rPr>
                <w:sz w:val="20"/>
                <w:szCs w:val="20"/>
              </w:rPr>
              <w:t xml:space="preserve">, </w:t>
            </w:r>
            <w:proofErr w:type="spellStart"/>
            <w:r>
              <w:rPr>
                <w:sz w:val="20"/>
                <w:szCs w:val="20"/>
              </w:rPr>
              <w:t>pncA</w:t>
            </w:r>
            <w:proofErr w:type="spellEnd"/>
          </w:p>
        </w:tc>
        <w:tc>
          <w:tcPr>
            <w:tcW w:w="1900" w:type="dxa"/>
            <w:tcMar>
              <w:top w:w="60" w:type="dxa"/>
              <w:left w:w="80" w:type="dxa"/>
              <w:bottom w:w="60" w:type="dxa"/>
              <w:right w:w="80" w:type="dxa"/>
            </w:tcMar>
          </w:tcPr>
          <w:p w14:paraId="2A65F4E2" w14:textId="77777777" w:rsidR="00FE7132" w:rsidRDefault="0024072B">
            <w:proofErr w:type="spellStart"/>
            <w:r>
              <w:rPr>
                <w:sz w:val="20"/>
                <w:szCs w:val="20"/>
              </w:rPr>
              <w:t>Rifamycins</w:t>
            </w:r>
            <w:proofErr w:type="spellEnd"/>
            <w:r>
              <w:rPr>
                <w:sz w:val="20"/>
                <w:szCs w:val="20"/>
              </w:rPr>
              <w:t>, isoniazid, fluoroquinolones, pyrazinamide</w:t>
            </w:r>
          </w:p>
        </w:tc>
        <w:tc>
          <w:tcPr>
            <w:tcW w:w="2000" w:type="dxa"/>
            <w:tcMar>
              <w:top w:w="60" w:type="dxa"/>
              <w:left w:w="80" w:type="dxa"/>
              <w:bottom w:w="60" w:type="dxa"/>
              <w:right w:w="80" w:type="dxa"/>
            </w:tcMar>
          </w:tcPr>
          <w:p w14:paraId="2470537A" w14:textId="77777777" w:rsidR="00FE7132" w:rsidRDefault="0024072B">
            <w:r>
              <w:rPr>
                <w:sz w:val="20"/>
                <w:szCs w:val="20"/>
              </w:rPr>
              <w:t>Mycobacterium tuberculosis, Escherichia coli</w:t>
            </w:r>
          </w:p>
        </w:tc>
      </w:tr>
      <w:tr w:rsidR="00FE7132" w14:paraId="4FA896A5" w14:textId="77777777">
        <w:tc>
          <w:tcPr>
            <w:tcW w:w="1700" w:type="dxa"/>
            <w:tcMar>
              <w:top w:w="60" w:type="dxa"/>
              <w:left w:w="80" w:type="dxa"/>
              <w:bottom w:w="60" w:type="dxa"/>
              <w:right w:w="80" w:type="dxa"/>
            </w:tcMar>
          </w:tcPr>
          <w:p w14:paraId="06A7EC75" w14:textId="77777777" w:rsidR="00FE7132" w:rsidRDefault="0024072B">
            <w:r>
              <w:rPr>
                <w:sz w:val="20"/>
                <w:szCs w:val="20"/>
              </w:rPr>
              <w:t>Horizontal acquisition</w:t>
            </w:r>
          </w:p>
        </w:tc>
        <w:tc>
          <w:tcPr>
            <w:tcW w:w="2600" w:type="dxa"/>
            <w:tcMar>
              <w:top w:w="60" w:type="dxa"/>
              <w:left w:w="80" w:type="dxa"/>
              <w:bottom w:w="60" w:type="dxa"/>
              <w:right w:w="80" w:type="dxa"/>
            </w:tcMar>
          </w:tcPr>
          <w:p w14:paraId="7326E864" w14:textId="77777777" w:rsidR="00FE7132" w:rsidRDefault="0024072B">
            <w:r>
              <w:rPr>
                <w:sz w:val="20"/>
                <w:szCs w:val="20"/>
              </w:rPr>
              <w:t>Import and expression of foreign resistance determinants via mobile elements</w:t>
            </w:r>
          </w:p>
        </w:tc>
        <w:tc>
          <w:tcPr>
            <w:tcW w:w="2100" w:type="dxa"/>
            <w:tcMar>
              <w:top w:w="60" w:type="dxa"/>
              <w:left w:w="80" w:type="dxa"/>
              <w:bottom w:w="60" w:type="dxa"/>
              <w:right w:w="80" w:type="dxa"/>
            </w:tcMar>
          </w:tcPr>
          <w:p w14:paraId="36AE44C2" w14:textId="77777777" w:rsidR="00FE7132" w:rsidRDefault="0024072B">
            <w:r>
              <w:rPr>
                <w:sz w:val="20"/>
                <w:szCs w:val="20"/>
              </w:rPr>
              <w:t xml:space="preserve">Conjugative plasmids, transposons, class 1 </w:t>
            </w:r>
            <w:proofErr w:type="spellStart"/>
            <w:r>
              <w:rPr>
                <w:sz w:val="20"/>
                <w:szCs w:val="20"/>
              </w:rPr>
              <w:t>integrons</w:t>
            </w:r>
            <w:proofErr w:type="spellEnd"/>
            <w:r>
              <w:rPr>
                <w:sz w:val="20"/>
                <w:szCs w:val="20"/>
              </w:rPr>
              <w:t xml:space="preserve">, gene cassettes, </w:t>
            </w:r>
            <w:proofErr w:type="spellStart"/>
            <w:r>
              <w:rPr>
                <w:sz w:val="20"/>
                <w:szCs w:val="20"/>
              </w:rPr>
              <w:t>mcr</w:t>
            </w:r>
            <w:proofErr w:type="spellEnd"/>
            <w:r>
              <w:rPr>
                <w:sz w:val="20"/>
                <w:szCs w:val="20"/>
              </w:rPr>
              <w:t xml:space="preserve"> genes</w:t>
            </w:r>
          </w:p>
        </w:tc>
        <w:tc>
          <w:tcPr>
            <w:tcW w:w="1900" w:type="dxa"/>
            <w:tcMar>
              <w:top w:w="60" w:type="dxa"/>
              <w:left w:w="80" w:type="dxa"/>
              <w:bottom w:w="60" w:type="dxa"/>
              <w:right w:w="80" w:type="dxa"/>
            </w:tcMar>
          </w:tcPr>
          <w:p w14:paraId="569086D7" w14:textId="77777777" w:rsidR="00FE7132" w:rsidRDefault="0024072B">
            <w:r>
              <w:rPr>
                <w:sz w:val="20"/>
                <w:szCs w:val="20"/>
              </w:rPr>
              <w:t>Effectively all classes, frequently several simultaneously</w:t>
            </w:r>
          </w:p>
        </w:tc>
        <w:tc>
          <w:tcPr>
            <w:tcW w:w="2000" w:type="dxa"/>
            <w:tcMar>
              <w:top w:w="60" w:type="dxa"/>
              <w:left w:w="80" w:type="dxa"/>
              <w:bottom w:w="60" w:type="dxa"/>
              <w:right w:w="80" w:type="dxa"/>
            </w:tcMar>
          </w:tcPr>
          <w:p w14:paraId="0191C113" w14:textId="77777777" w:rsidR="00FE7132" w:rsidRDefault="0024072B">
            <w:proofErr w:type="spellStart"/>
            <w:r>
              <w:rPr>
                <w:sz w:val="20"/>
                <w:szCs w:val="20"/>
              </w:rPr>
              <w:t>Enterobacterales</w:t>
            </w:r>
            <w:proofErr w:type="spellEnd"/>
            <w:r>
              <w:rPr>
                <w:sz w:val="20"/>
                <w:szCs w:val="20"/>
              </w:rPr>
              <w:t xml:space="preserve"> and most Gram-negative pathogens</w:t>
            </w:r>
          </w:p>
        </w:tc>
      </w:tr>
    </w:tbl>
    <w:p w14:paraId="11A8203F" w14:textId="77777777" w:rsidR="00FE7132" w:rsidRDefault="00FE7132">
      <w:pPr>
        <w:spacing w:after="160"/>
      </w:pPr>
    </w:p>
    <w:p w14:paraId="79E9C9D4" w14:textId="77777777" w:rsidR="00FE7132" w:rsidRDefault="0024072B">
      <w:pPr>
        <w:pStyle w:val="Heading1"/>
        <w:spacing w:before="280" w:after="140"/>
      </w:pPr>
      <w:r>
        <w:rPr>
          <w:b/>
          <w:bCs/>
          <w:color w:val="000000"/>
          <w:sz w:val="26"/>
          <w:szCs w:val="26"/>
        </w:rPr>
        <w:t>6. Priority Antibiotic-Resistant Bacterial Pathogens</w:t>
      </w:r>
    </w:p>
    <w:p w14:paraId="18F0CC05" w14:textId="77777777" w:rsidR="00FE7132" w:rsidRDefault="0024072B">
      <w:pPr>
        <w:spacing w:after="160"/>
        <w:jc w:val="both"/>
      </w:pPr>
      <w:r>
        <w:rPr>
          <w:color w:val="000000"/>
        </w:rPr>
        <w:t xml:space="preserve">The WHO Bacterial Priority Pathogens List was updated in 2024, evaluating 24 resistant pathogens across eight criteria and grouping 15 families into critical, high and medium priority tiers (WHO, 2024a; Sati et al., 2025). Two changes from the 2017 list are material to how resistance should now be discussed. Rifampicin-resistant </w:t>
      </w:r>
      <w:r>
        <w:rPr>
          <w:i/>
          <w:iCs/>
          <w:color w:val="000000"/>
        </w:rPr>
        <w:t>M. tuberculosis</w:t>
      </w:r>
      <w:r>
        <w:rPr>
          <w:color w:val="000000"/>
        </w:rPr>
        <w:t xml:space="preserve"> was added to the critical tier, and carbapenem-resistant </w:t>
      </w:r>
      <w:r>
        <w:rPr>
          <w:i/>
          <w:iCs/>
          <w:color w:val="000000"/>
        </w:rPr>
        <w:t>P. aeruginosa</w:t>
      </w:r>
      <w:r>
        <w:rPr>
          <w:color w:val="000000"/>
        </w:rPr>
        <w:t xml:space="preserve"> moved from critical to high, a change WHO attributed to reported decreases in global resistance while stressing that continued investment remains warranted (WHO, 2024c). Among pathogens commonly responsible for community-acquired infections, fluoroquinolone-resistant </w:t>
      </w:r>
      <w:r>
        <w:rPr>
          <w:i/>
          <w:iCs/>
          <w:color w:val="000000"/>
        </w:rPr>
        <w:t>Salmonella</w:t>
      </w:r>
      <w:r>
        <w:rPr>
          <w:color w:val="000000"/>
        </w:rPr>
        <w:t xml:space="preserve"> Typhi, </w:t>
      </w:r>
      <w:r>
        <w:rPr>
          <w:i/>
          <w:iCs/>
          <w:color w:val="000000"/>
        </w:rPr>
        <w:t>Shigella</w:t>
      </w:r>
      <w:r>
        <w:rPr>
          <w:color w:val="000000"/>
        </w:rPr>
        <w:t xml:space="preserve"> species and </w:t>
      </w:r>
      <w:r>
        <w:rPr>
          <w:i/>
          <w:iCs/>
          <w:color w:val="000000"/>
        </w:rPr>
        <w:t>N. gonorrhoeae</w:t>
      </w:r>
      <w:r>
        <w:rPr>
          <w:color w:val="000000"/>
        </w:rPr>
        <w:t xml:space="preserve"> ranked highest (Sati et al., 2025).</w:t>
      </w:r>
    </w:p>
    <w:p w14:paraId="68CF94FC" w14:textId="77777777" w:rsidR="00FE7132" w:rsidRDefault="0024072B">
      <w:pPr>
        <w:pStyle w:val="Heading2"/>
        <w:spacing w:before="280" w:after="140"/>
      </w:pPr>
      <w:r>
        <w:rPr>
          <w:b/>
          <w:bCs/>
          <w:color w:val="000000"/>
          <w:sz w:val="24"/>
          <w:szCs w:val="24"/>
        </w:rPr>
        <w:t>6.1 Critical priority: carbapenem-resistant Gram-negative bacteria</w:t>
      </w:r>
    </w:p>
    <w:p w14:paraId="7E937816" w14:textId="77777777" w:rsidR="00FE7132" w:rsidRDefault="0024072B">
      <w:pPr>
        <w:spacing w:after="160"/>
        <w:jc w:val="both"/>
      </w:pPr>
      <w:r>
        <w:rPr>
          <w:color w:val="000000"/>
        </w:rPr>
        <w:t xml:space="preserve">Antibiotic-resistant Gram-negative bacteria, including </w:t>
      </w:r>
      <w:r>
        <w:rPr>
          <w:i/>
          <w:iCs/>
          <w:color w:val="000000"/>
        </w:rPr>
        <w:t>Klebsiella pneumoniae</w:t>
      </w:r>
      <w:r>
        <w:rPr>
          <w:color w:val="000000"/>
        </w:rPr>
        <w:t xml:space="preserve">, ranked in the highest quartile of the 2024 </w:t>
      </w:r>
      <w:proofErr w:type="spellStart"/>
      <w:r>
        <w:rPr>
          <w:color w:val="000000"/>
        </w:rPr>
        <w:t>prioritisation</w:t>
      </w:r>
      <w:proofErr w:type="spellEnd"/>
      <w:r>
        <w:rPr>
          <w:color w:val="000000"/>
        </w:rPr>
        <w:t xml:space="preserve"> exercise (Sati et al., 2025). Among Gram-negative organisms, resistance to carbapenems has increased more than resistance to any other antibiotic class, rising from an estimated 619,000 associated deaths in 1990 to 1.03 million in 2021 (GBD 2021 Antimicrobial Resistance Collaborators, 2024). </w:t>
      </w:r>
      <w:r>
        <w:rPr>
          <w:i/>
          <w:iCs/>
          <w:color w:val="000000"/>
        </w:rPr>
        <w:t>Klebsiella pneumoniae</w:t>
      </w:r>
      <w:r>
        <w:rPr>
          <w:color w:val="000000"/>
        </w:rPr>
        <w:t xml:space="preserve"> infections account for approximately 800,000 deaths worldwide, around 80% of them associated with resistance, with the highest rates in sub-Saharan Africa and South Asia (Song et al., 2025).</w:t>
      </w:r>
    </w:p>
    <w:p w14:paraId="7A72DD73" w14:textId="77777777" w:rsidR="00FE7132" w:rsidRDefault="0024072B">
      <w:pPr>
        <w:spacing w:after="160"/>
        <w:jc w:val="both"/>
      </w:pPr>
      <w:r>
        <w:rPr>
          <w:color w:val="000000"/>
        </w:rPr>
        <w:t xml:space="preserve">Carbapenem-resistant </w:t>
      </w:r>
      <w:r>
        <w:rPr>
          <w:i/>
          <w:iCs/>
          <w:color w:val="000000"/>
        </w:rPr>
        <w:t>Acinetobacter baumannii</w:t>
      </w:r>
      <w:r>
        <w:rPr>
          <w:color w:val="000000"/>
        </w:rPr>
        <w:t xml:space="preserve"> shares the critical tier and presents a distinct clinical problem. It combines environmental persistence on hospital surfaces with an unusually broad repertoire of resistance mechanisms spanning nearly every available class (Kyriakidis et al., 2021), and it concentrates in intensive care units, where the patients least able to tolerate treatment delay are most exposed.</w:t>
      </w:r>
    </w:p>
    <w:p w14:paraId="23A66F8D" w14:textId="77777777" w:rsidR="00FE7132" w:rsidRDefault="0024072B">
      <w:pPr>
        <w:spacing w:after="160"/>
        <w:jc w:val="both"/>
      </w:pPr>
      <w:r>
        <w:rPr>
          <w:color w:val="000000"/>
        </w:rPr>
        <w:t xml:space="preserve">Third-generation cephalosporin-resistant </w:t>
      </w:r>
      <w:proofErr w:type="spellStart"/>
      <w:r>
        <w:rPr>
          <w:color w:val="000000"/>
        </w:rPr>
        <w:t>Enterobacterales</w:t>
      </w:r>
      <w:proofErr w:type="spellEnd"/>
      <w:r>
        <w:rPr>
          <w:color w:val="000000"/>
        </w:rPr>
        <w:t xml:space="preserve"> were listed separately in the critical tier in 2024. Globally, more than 55% of </w:t>
      </w:r>
      <w:r>
        <w:rPr>
          <w:i/>
          <w:iCs/>
          <w:color w:val="000000"/>
        </w:rPr>
        <w:t>K. pneumoniae</w:t>
      </w:r>
      <w:r>
        <w:rPr>
          <w:color w:val="000000"/>
        </w:rPr>
        <w:t xml:space="preserve"> and more than 40% of </w:t>
      </w:r>
      <w:r>
        <w:rPr>
          <w:i/>
          <w:iCs/>
          <w:color w:val="000000"/>
        </w:rPr>
        <w:t>E. coli</w:t>
      </w:r>
      <w:r>
        <w:rPr>
          <w:color w:val="000000"/>
        </w:rPr>
        <w:t xml:space="preserve"> isolates are now resistant to third-generation cephalosporins, the first-choice treatment for these infections (WHO, 2025c). In the WHO African region, third-generation cephalosporin-resistant </w:t>
      </w:r>
      <w:r>
        <w:rPr>
          <w:i/>
          <w:iCs/>
          <w:color w:val="000000"/>
        </w:rPr>
        <w:t>K. pneumoniae</w:t>
      </w:r>
      <w:r>
        <w:rPr>
          <w:color w:val="000000"/>
        </w:rPr>
        <w:t xml:space="preserve"> was the leading pathogen-drug combination for attributable deaths in 25 of 47 countries (Antimicrobial Resistance Collaborators, 2024). Where these organisms are prevalent and carbapenems are unavailable or unaffordable, clinicians may have no effective agent left to switch to.</w:t>
      </w:r>
    </w:p>
    <w:p w14:paraId="431247EB" w14:textId="77777777" w:rsidR="00FE7132" w:rsidRDefault="0024072B">
      <w:pPr>
        <w:pStyle w:val="Heading2"/>
        <w:spacing w:before="280" w:after="140"/>
      </w:pPr>
      <w:r>
        <w:rPr>
          <w:b/>
          <w:bCs/>
          <w:color w:val="000000"/>
          <w:sz w:val="24"/>
          <w:szCs w:val="24"/>
        </w:rPr>
        <w:lastRenderedPageBreak/>
        <w:t>6.2 Critical priority: rifampicin-resistant Mycobacterium tuberculosis</w:t>
      </w:r>
    </w:p>
    <w:p w14:paraId="2F5DD817" w14:textId="77777777" w:rsidR="00FE7132" w:rsidRDefault="0024072B">
      <w:pPr>
        <w:spacing w:after="160"/>
        <w:jc w:val="both"/>
      </w:pPr>
      <w:r>
        <w:rPr>
          <w:color w:val="000000"/>
        </w:rPr>
        <w:t>Drug-resistant tuberculosis is estimated to account for 13% of all deaths attributable to antimicrobial resistance worldwide (Farhat et al., 2024). In 2024, 164,545 people were enrolled on treatment for multidrug-resistant or rifampicin-resistant tuberculosis, down from 177,017 in 2023, a number that falls far short of the estimated number of people developing the disease each year (WHO, 2025b). The main failure is the treatment gap, not the biology of resistance.</w:t>
      </w:r>
    </w:p>
    <w:p w14:paraId="3E37BC67" w14:textId="77777777" w:rsidR="00FE7132" w:rsidRDefault="0024072B">
      <w:pPr>
        <w:spacing w:after="160"/>
        <w:jc w:val="both"/>
      </w:pPr>
      <w:r>
        <w:rPr>
          <w:color w:val="000000"/>
        </w:rPr>
        <w:t xml:space="preserve">The resistance mechanisms are mutational and well </w:t>
      </w:r>
      <w:proofErr w:type="spellStart"/>
      <w:r>
        <w:rPr>
          <w:color w:val="000000"/>
        </w:rPr>
        <w:t>characterised</w:t>
      </w:r>
      <w:proofErr w:type="spellEnd"/>
      <w:r>
        <w:rPr>
          <w:color w:val="000000"/>
        </w:rPr>
        <w:t xml:space="preserve">, with rifampicin resistance arising from </w:t>
      </w:r>
      <w:proofErr w:type="spellStart"/>
      <w:r>
        <w:rPr>
          <w:i/>
          <w:iCs/>
          <w:color w:val="000000"/>
        </w:rPr>
        <w:t>rpoB</w:t>
      </w:r>
      <w:proofErr w:type="spellEnd"/>
      <w:r>
        <w:rPr>
          <w:color w:val="000000"/>
        </w:rPr>
        <w:t xml:space="preserve"> mutations and isoniazid resistance principally from </w:t>
      </w:r>
      <w:proofErr w:type="spellStart"/>
      <w:r>
        <w:rPr>
          <w:i/>
          <w:iCs/>
          <w:color w:val="000000"/>
        </w:rPr>
        <w:t>katG</w:t>
      </w:r>
      <w:proofErr w:type="spellEnd"/>
      <w:r>
        <w:rPr>
          <w:color w:val="000000"/>
        </w:rPr>
        <w:t xml:space="preserve"> and </w:t>
      </w:r>
      <w:proofErr w:type="spellStart"/>
      <w:r>
        <w:rPr>
          <w:i/>
          <w:iCs/>
          <w:color w:val="000000"/>
        </w:rPr>
        <w:t>inhA</w:t>
      </w:r>
      <w:proofErr w:type="spellEnd"/>
      <w:r>
        <w:rPr>
          <w:color w:val="000000"/>
        </w:rPr>
        <w:t xml:space="preserve"> alterations; the WHO catalogue of resistance-associated mutations now provides a </w:t>
      </w:r>
      <w:proofErr w:type="spellStart"/>
      <w:r>
        <w:rPr>
          <w:color w:val="000000"/>
        </w:rPr>
        <w:t>standardised</w:t>
      </w:r>
      <w:proofErr w:type="spellEnd"/>
      <w:r>
        <w:rPr>
          <w:color w:val="000000"/>
        </w:rPr>
        <w:t xml:space="preserve"> basis for genotypic susceptibility prediction (Walker et al., 2022). Therapeutically, the position has improved: WHO has recommended all-oral regimens since 2018 and now </w:t>
      </w:r>
      <w:proofErr w:type="spellStart"/>
      <w:r>
        <w:rPr>
          <w:color w:val="000000"/>
        </w:rPr>
        <w:t>prioritises</w:t>
      </w:r>
      <w:proofErr w:type="spellEnd"/>
      <w:r>
        <w:rPr>
          <w:color w:val="000000"/>
        </w:rPr>
        <w:t xml:space="preserve"> two six-month all-oral regimens (WHO, 2025b). Diagnostic coverage is also improving, with 83% of people with bacteriologically confirmed tuberculosis tested for rifampicin resistance in 2024, up from 69% in 2021, although access to rapid molecular testing remains uneven across high-burden countries (WHO, 2025b).</w:t>
      </w:r>
    </w:p>
    <w:p w14:paraId="7B439148" w14:textId="77777777" w:rsidR="00FE7132" w:rsidRDefault="0024072B">
      <w:pPr>
        <w:pStyle w:val="Heading2"/>
        <w:spacing w:before="280" w:after="140"/>
      </w:pPr>
      <w:r>
        <w:rPr>
          <w:b/>
          <w:bCs/>
          <w:color w:val="000000"/>
          <w:sz w:val="24"/>
          <w:szCs w:val="24"/>
        </w:rPr>
        <w:t>6.3 High priority: methicillin-resistant Staphylococcus aureus</w:t>
      </w:r>
    </w:p>
    <w:p w14:paraId="6A297D80" w14:textId="77777777" w:rsidR="00FE7132" w:rsidRDefault="0024072B">
      <w:pPr>
        <w:spacing w:after="160"/>
        <w:jc w:val="both"/>
      </w:pPr>
      <w:r>
        <w:rPr>
          <w:color w:val="000000"/>
        </w:rPr>
        <w:t xml:space="preserve">Methicillin-resistant </w:t>
      </w:r>
      <w:r>
        <w:rPr>
          <w:i/>
          <w:iCs/>
          <w:color w:val="000000"/>
        </w:rPr>
        <w:t>Staphylococcus aureus</w:t>
      </w:r>
      <w:r>
        <w:rPr>
          <w:color w:val="000000"/>
        </w:rPr>
        <w:t xml:space="preserve"> remains the single pathogen-drug combination contributing most to attributable mortality, and the one showing the largest global increase, rising from an estimated 57,200 attributable deaths in 1990 to 130,000 in 2021 (GBD 2021 Antimicrobial Resistance Collaborators, 2024). Resistance is conferred by </w:t>
      </w:r>
      <w:proofErr w:type="spellStart"/>
      <w:r>
        <w:rPr>
          <w:i/>
          <w:iCs/>
          <w:color w:val="000000"/>
        </w:rPr>
        <w:t>mecA</w:t>
      </w:r>
      <w:proofErr w:type="spellEnd"/>
      <w:r>
        <w:rPr>
          <w:color w:val="000000"/>
        </w:rPr>
        <w:t xml:space="preserve">-encoded penicillin-binding protein 2a, and the epidemiology is </w:t>
      </w:r>
      <w:proofErr w:type="spellStart"/>
      <w:r>
        <w:rPr>
          <w:color w:val="000000"/>
        </w:rPr>
        <w:t>characterised</w:t>
      </w:r>
      <w:proofErr w:type="spellEnd"/>
      <w:r>
        <w:rPr>
          <w:color w:val="000000"/>
        </w:rPr>
        <w:t xml:space="preserve"> by the serial emergence of successful epidemic clones in both healthcare and community settings (Turner et al., 2019).</w:t>
      </w:r>
    </w:p>
    <w:p w14:paraId="54C08B90" w14:textId="77777777" w:rsidR="00FE7132" w:rsidRDefault="0024072B">
      <w:pPr>
        <w:spacing w:after="160"/>
        <w:jc w:val="both"/>
      </w:pPr>
      <w:r>
        <w:rPr>
          <w:color w:val="000000"/>
        </w:rPr>
        <w:t xml:space="preserve">Regional data show where the burden concentrates. Across Central, Eastern, Southern and Western Africa, more than 40% of </w:t>
      </w:r>
      <w:r>
        <w:rPr>
          <w:i/>
          <w:iCs/>
          <w:color w:val="000000"/>
        </w:rPr>
        <w:t>S. aureus</w:t>
      </w:r>
      <w:r>
        <w:rPr>
          <w:color w:val="000000"/>
        </w:rPr>
        <w:t xml:space="preserve"> isolates from clinically infected wounds, skin and soft tissue infections and surgical site infections were methicillin-resistant (Monk et al., 2024). In the WHO African region, methicillin-resistant </w:t>
      </w:r>
      <w:r>
        <w:rPr>
          <w:i/>
          <w:iCs/>
          <w:color w:val="000000"/>
        </w:rPr>
        <w:t>S. aureus</w:t>
      </w:r>
      <w:r>
        <w:rPr>
          <w:color w:val="000000"/>
        </w:rPr>
        <w:t xml:space="preserve"> was the leading pathogen-drug combination for attributable deaths in 16 of 47 countries (Antimicrobial Resistance Collaborators, 2024).</w:t>
      </w:r>
    </w:p>
    <w:p w14:paraId="79B6FB03" w14:textId="77777777" w:rsidR="00FE7132" w:rsidRDefault="0024072B">
      <w:pPr>
        <w:pStyle w:val="Heading2"/>
        <w:spacing w:before="280" w:after="140"/>
      </w:pPr>
      <w:r>
        <w:rPr>
          <w:b/>
          <w:bCs/>
          <w:color w:val="000000"/>
          <w:sz w:val="24"/>
          <w:szCs w:val="24"/>
        </w:rPr>
        <w:t>6.4 High priority: vancomycin-resistant Enterococcus faecium and drug-resistant Salmonella and Shigella</w:t>
      </w:r>
    </w:p>
    <w:p w14:paraId="7BC88AE9" w14:textId="77777777" w:rsidR="00FE7132" w:rsidRDefault="0024072B">
      <w:pPr>
        <w:spacing w:after="160"/>
        <w:jc w:val="both"/>
      </w:pPr>
      <w:r>
        <w:rPr>
          <w:color w:val="000000"/>
        </w:rPr>
        <w:t xml:space="preserve">Vancomycin-resistant </w:t>
      </w:r>
      <w:r>
        <w:rPr>
          <w:i/>
          <w:iCs/>
          <w:color w:val="000000"/>
        </w:rPr>
        <w:t>Enterococcus faecium</w:t>
      </w:r>
      <w:r>
        <w:rPr>
          <w:color w:val="000000"/>
        </w:rPr>
        <w:t xml:space="preserve"> occupies the </w:t>
      </w:r>
      <w:proofErr w:type="gramStart"/>
      <w:r>
        <w:rPr>
          <w:color w:val="000000"/>
        </w:rPr>
        <w:t>high priority</w:t>
      </w:r>
      <w:proofErr w:type="gramEnd"/>
      <w:r>
        <w:rPr>
          <w:color w:val="000000"/>
        </w:rPr>
        <w:t xml:space="preserve"> tier and exemplifies the target-bypass mechanism described in Section 5.5. Among community-acquired pathogens, fluoroquinolone-resistant </w:t>
      </w:r>
      <w:r>
        <w:rPr>
          <w:i/>
          <w:iCs/>
          <w:color w:val="000000"/>
        </w:rPr>
        <w:t>Salmonella enterica</w:t>
      </w:r>
      <w:r>
        <w:rPr>
          <w:color w:val="000000"/>
        </w:rPr>
        <w:t xml:space="preserve"> serotype Typhi ranked highest at 72%, followed by </w:t>
      </w:r>
      <w:r>
        <w:rPr>
          <w:i/>
          <w:iCs/>
          <w:color w:val="000000"/>
        </w:rPr>
        <w:t>Shigella</w:t>
      </w:r>
      <w:r>
        <w:rPr>
          <w:color w:val="000000"/>
        </w:rPr>
        <w:t xml:space="preserve"> species at 70% (Sati et al., 2025).</w:t>
      </w:r>
    </w:p>
    <w:p w14:paraId="57861157" w14:textId="77777777" w:rsidR="00FE7132" w:rsidRDefault="0024072B">
      <w:pPr>
        <w:spacing w:after="160"/>
        <w:jc w:val="both"/>
      </w:pPr>
      <w:r>
        <w:rPr>
          <w:color w:val="000000"/>
        </w:rPr>
        <w:t xml:space="preserve">Typhoid illustrates how rapidly the therapeutic position can deteriorate. An extensively drug-resistant </w:t>
      </w:r>
      <w:r>
        <w:rPr>
          <w:i/>
          <w:iCs/>
          <w:color w:val="000000"/>
        </w:rPr>
        <w:t>S.</w:t>
      </w:r>
      <w:r>
        <w:rPr>
          <w:color w:val="000000"/>
        </w:rPr>
        <w:t xml:space="preserve"> Typhi clone emerged in Sindh, Pakistan, from 2016, resistant to chloramphenicol, ampicillin, trimethoprim-sulfamethoxazole, fluoroquinolones and third-generation cephalosporins, having acquired a promiscuous plasmid carrying blaCTX-M-15 and </w:t>
      </w:r>
      <w:proofErr w:type="spellStart"/>
      <w:r>
        <w:rPr>
          <w:color w:val="000000"/>
        </w:rPr>
        <w:t>qnrS</w:t>
      </w:r>
      <w:proofErr w:type="spellEnd"/>
      <w:r>
        <w:rPr>
          <w:color w:val="000000"/>
        </w:rPr>
        <w:t xml:space="preserve"> (Klemm et al., 2018). The transition from multidrug-resistant to extensively drug-resistant occurred through a single plasmid acquisition. Resistance does not always build up gradually.</w:t>
      </w:r>
    </w:p>
    <w:p w14:paraId="4D542AD2" w14:textId="77777777" w:rsidR="00FE7132" w:rsidRDefault="0024072B">
      <w:pPr>
        <w:pStyle w:val="Heading2"/>
        <w:spacing w:before="280" w:after="140"/>
      </w:pPr>
      <w:r>
        <w:rPr>
          <w:b/>
          <w:bCs/>
          <w:color w:val="000000"/>
          <w:sz w:val="24"/>
          <w:szCs w:val="24"/>
        </w:rPr>
        <w:t>6.5 High priority: Neisseria gonorrhoeae</w:t>
      </w:r>
    </w:p>
    <w:p w14:paraId="30FB8990" w14:textId="77777777" w:rsidR="00FE7132" w:rsidRDefault="0024072B">
      <w:pPr>
        <w:spacing w:after="160"/>
        <w:jc w:val="both"/>
      </w:pPr>
      <w:r>
        <w:rPr>
          <w:i/>
          <w:iCs/>
          <w:color w:val="000000"/>
        </w:rPr>
        <w:lastRenderedPageBreak/>
        <w:t>Neisseria gonorrhoeae</w:t>
      </w:r>
      <w:r>
        <w:rPr>
          <w:color w:val="000000"/>
        </w:rPr>
        <w:t xml:space="preserve"> has acquired resistance to successive first-line agents, and public discussion of it is prone to overstatement that the evidence does not support. Global surveillance data from 73 countries found ciprofloxacin resistance reported by all 70 reporting countries, azithromycin resistance by 84%, and decreased susceptibility or resistance to ceftriaxone by 31% (</w:t>
      </w:r>
      <w:proofErr w:type="spellStart"/>
      <w:r>
        <w:rPr>
          <w:color w:val="000000"/>
        </w:rPr>
        <w:t>Unemo</w:t>
      </w:r>
      <w:proofErr w:type="spellEnd"/>
      <w:r>
        <w:rPr>
          <w:color w:val="000000"/>
        </w:rPr>
        <w:t xml:space="preserve"> et al., 2021). Sporadic ceftriaxone treatment failures and isolates combining ceftriaxone resistance with high-level azithromycin resistance have been confirmed. Nevertheless, confirmed ceftriaxone resistance remains uncommon in most settings where it is monitored (</w:t>
      </w:r>
      <w:proofErr w:type="spellStart"/>
      <w:r>
        <w:rPr>
          <w:color w:val="000000"/>
        </w:rPr>
        <w:t>Unemo</w:t>
      </w:r>
      <w:proofErr w:type="spellEnd"/>
      <w:r>
        <w:rPr>
          <w:color w:val="000000"/>
        </w:rPr>
        <w:t xml:space="preserve"> et al., 2021), and a single dose of ceftriaxone remains the recommended first-line treatment (US Food and Drug Administration, 2025). The organism is not, as is sometimes asserted, resistant to all antibiotics.</w:t>
      </w:r>
    </w:p>
    <w:p w14:paraId="3CD939E5" w14:textId="77777777" w:rsidR="00FE7132" w:rsidRDefault="0024072B">
      <w:pPr>
        <w:spacing w:after="160"/>
        <w:jc w:val="both"/>
      </w:pPr>
      <w:r>
        <w:rPr>
          <w:color w:val="000000"/>
        </w:rPr>
        <w:t xml:space="preserve">The therapeutic position improved in December 2025, when two new oral agents were approved for uncomplicated urogenital </w:t>
      </w:r>
      <w:proofErr w:type="spellStart"/>
      <w:r>
        <w:rPr>
          <w:color w:val="000000"/>
        </w:rPr>
        <w:t>gonorrhoea</w:t>
      </w:r>
      <w:proofErr w:type="spellEnd"/>
      <w:r>
        <w:rPr>
          <w:color w:val="000000"/>
        </w:rPr>
        <w:t xml:space="preserve">: </w:t>
      </w:r>
      <w:proofErr w:type="spellStart"/>
      <w:r>
        <w:rPr>
          <w:color w:val="000000"/>
        </w:rPr>
        <w:t>gepotidacin</w:t>
      </w:r>
      <w:proofErr w:type="spellEnd"/>
      <w:r>
        <w:rPr>
          <w:color w:val="000000"/>
        </w:rPr>
        <w:t xml:space="preserve">, and </w:t>
      </w:r>
      <w:proofErr w:type="spellStart"/>
      <w:r>
        <w:rPr>
          <w:color w:val="000000"/>
        </w:rPr>
        <w:t>zoliflodacin</w:t>
      </w:r>
      <w:proofErr w:type="spellEnd"/>
      <w:r>
        <w:rPr>
          <w:color w:val="000000"/>
        </w:rPr>
        <w:t>, a first-in-class single-dose oral agent that achieved non-inferiority to ceftriaxone plus azithromycin in a phase 3 trial (Luckey et al., 2026; US Food and Drug Administration, 2025). That trial was led by the not-for-profit Global Antibiotic Research and Development Partnership and enrolled participants in South Africa and Thailand as well as in Europe and the United States (Luckey et al., 2026), which may matter as much as the pharmacology for eventual access in high-burden settings.</w:t>
      </w:r>
    </w:p>
    <w:p w14:paraId="748EE533" w14:textId="77777777" w:rsidR="00FE7132" w:rsidRDefault="0024072B">
      <w:pPr>
        <w:pStyle w:val="Heading2"/>
        <w:spacing w:before="280" w:after="140"/>
      </w:pPr>
      <w:r>
        <w:rPr>
          <w:b/>
          <w:bCs/>
          <w:color w:val="000000"/>
          <w:sz w:val="24"/>
          <w:szCs w:val="24"/>
        </w:rPr>
        <w:t>6.6 Medium priority and Clostridioides difficile</w:t>
      </w:r>
    </w:p>
    <w:p w14:paraId="28FBBBA8" w14:textId="77777777" w:rsidR="00FE7132" w:rsidRDefault="0024072B">
      <w:pPr>
        <w:spacing w:after="160"/>
        <w:jc w:val="both"/>
      </w:pPr>
      <w:r>
        <w:rPr>
          <w:color w:val="000000"/>
        </w:rPr>
        <w:t xml:space="preserve">The medium priority tier comprises Group A and Group B streptococci, both new in 2024, </w:t>
      </w:r>
      <w:r>
        <w:rPr>
          <w:i/>
          <w:iCs/>
          <w:color w:val="000000"/>
        </w:rPr>
        <w:t>Streptococcus pneumoniae</w:t>
      </w:r>
      <w:r>
        <w:rPr>
          <w:color w:val="000000"/>
        </w:rPr>
        <w:t xml:space="preserve"> and </w:t>
      </w:r>
      <w:proofErr w:type="spellStart"/>
      <w:r>
        <w:rPr>
          <w:i/>
          <w:iCs/>
          <w:color w:val="000000"/>
        </w:rPr>
        <w:t>Haemophilus</w:t>
      </w:r>
      <w:proofErr w:type="spellEnd"/>
      <w:r>
        <w:rPr>
          <w:i/>
          <w:iCs/>
          <w:color w:val="000000"/>
        </w:rPr>
        <w:t xml:space="preserve"> influenzae</w:t>
      </w:r>
      <w:r>
        <w:rPr>
          <w:color w:val="000000"/>
        </w:rPr>
        <w:t xml:space="preserve">, selected principally for high disease burden in </w:t>
      </w:r>
      <w:proofErr w:type="spellStart"/>
      <w:r>
        <w:rPr>
          <w:color w:val="000000"/>
        </w:rPr>
        <w:t>paediatric</w:t>
      </w:r>
      <w:proofErr w:type="spellEnd"/>
      <w:r>
        <w:rPr>
          <w:color w:val="000000"/>
        </w:rPr>
        <w:t xml:space="preserve"> and elderly populations in resource-limited settings (WHO, 2024a).</w:t>
      </w:r>
    </w:p>
    <w:p w14:paraId="5C5AE5AF" w14:textId="77777777" w:rsidR="00FE7132" w:rsidRDefault="0024072B">
      <w:pPr>
        <w:spacing w:after="160"/>
        <w:jc w:val="both"/>
      </w:pPr>
      <w:r>
        <w:rPr>
          <w:i/>
          <w:iCs/>
          <w:color w:val="000000"/>
        </w:rPr>
        <w:t>Clostridioides difficile</w:t>
      </w:r>
      <w:r>
        <w:rPr>
          <w:color w:val="000000"/>
        </w:rPr>
        <w:t xml:space="preserve"> does not appear on the WHO list but is designated an urgent threat by the CDC, which estimated 223,900 cases among </w:t>
      </w:r>
      <w:proofErr w:type="spellStart"/>
      <w:r>
        <w:rPr>
          <w:color w:val="000000"/>
        </w:rPr>
        <w:t>hospitalised</w:t>
      </w:r>
      <w:proofErr w:type="spellEnd"/>
      <w:r>
        <w:rPr>
          <w:color w:val="000000"/>
        </w:rPr>
        <w:t xml:space="preserve"> patients and 12,800 deaths in the United States in 2017 (CDC, 2019). It occupies a distinctive position because disease follows antibiotic use itself, independent of resistance to any single drug: broad-spectrum therapy disrupts the protective colonic microbiota and permits overgrowth. The English experience, where restriction of fluoroquinolone prescribing eliminated fluoroquinolone-resistant lineages and drove a national decline in incidence, demonstrates that stewardship can achieve outcomes that infection control alone did not (Dingle et al., 2017).</w:t>
      </w:r>
    </w:p>
    <w:p w14:paraId="262A599F" w14:textId="77777777" w:rsidR="00FE7132" w:rsidRDefault="0024072B">
      <w:pPr>
        <w:spacing w:before="240" w:after="100"/>
      </w:pPr>
      <w:r>
        <w:rPr>
          <w:sz w:val="22"/>
          <w:szCs w:val="22"/>
        </w:rPr>
        <w:t>Table 2. Priority antibiotic-resistant bacterial pathogens, grouped by the WHO Bacterial Priority Pathogens List 2024 tier, with principal mechanisms and public health significance.</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1900"/>
        <w:gridCol w:w="2000"/>
        <w:gridCol w:w="2000"/>
        <w:gridCol w:w="2100"/>
        <w:gridCol w:w="2300"/>
      </w:tblGrid>
      <w:tr w:rsidR="00FE7132" w14:paraId="508C424F" w14:textId="77777777">
        <w:trPr>
          <w:tblHeader/>
        </w:trPr>
        <w:tc>
          <w:tcPr>
            <w:tcW w:w="1900" w:type="dxa"/>
            <w:shd w:val="clear" w:color="auto" w:fill="E8E8E8"/>
            <w:tcMar>
              <w:top w:w="60" w:type="dxa"/>
              <w:left w:w="80" w:type="dxa"/>
              <w:bottom w:w="60" w:type="dxa"/>
              <w:right w:w="80" w:type="dxa"/>
            </w:tcMar>
          </w:tcPr>
          <w:p w14:paraId="41BCE395" w14:textId="77777777" w:rsidR="00FE7132" w:rsidRDefault="0024072B">
            <w:r>
              <w:rPr>
                <w:b/>
                <w:bCs/>
                <w:sz w:val="20"/>
                <w:szCs w:val="20"/>
              </w:rPr>
              <w:t>Pathogen</w:t>
            </w:r>
          </w:p>
        </w:tc>
        <w:tc>
          <w:tcPr>
            <w:tcW w:w="2000" w:type="dxa"/>
            <w:shd w:val="clear" w:color="auto" w:fill="E8E8E8"/>
            <w:tcMar>
              <w:top w:w="60" w:type="dxa"/>
              <w:left w:w="80" w:type="dxa"/>
              <w:bottom w:w="60" w:type="dxa"/>
              <w:right w:w="80" w:type="dxa"/>
            </w:tcMar>
          </w:tcPr>
          <w:p w14:paraId="06739529" w14:textId="77777777" w:rsidR="00FE7132" w:rsidRDefault="0024072B">
            <w:r>
              <w:rPr>
                <w:b/>
                <w:bCs/>
                <w:sz w:val="20"/>
                <w:szCs w:val="20"/>
              </w:rPr>
              <w:t>Priority tier (WHO, 2024)</w:t>
            </w:r>
          </w:p>
        </w:tc>
        <w:tc>
          <w:tcPr>
            <w:tcW w:w="2000" w:type="dxa"/>
            <w:shd w:val="clear" w:color="auto" w:fill="E8E8E8"/>
            <w:tcMar>
              <w:top w:w="60" w:type="dxa"/>
              <w:left w:w="80" w:type="dxa"/>
              <w:bottom w:w="60" w:type="dxa"/>
              <w:right w:w="80" w:type="dxa"/>
            </w:tcMar>
          </w:tcPr>
          <w:p w14:paraId="1B2E0B0E" w14:textId="77777777" w:rsidR="00FE7132" w:rsidRDefault="0024072B">
            <w:r>
              <w:rPr>
                <w:b/>
                <w:bCs/>
                <w:sz w:val="20"/>
                <w:szCs w:val="20"/>
              </w:rPr>
              <w:t>Principal resistance mechanisms</w:t>
            </w:r>
          </w:p>
        </w:tc>
        <w:tc>
          <w:tcPr>
            <w:tcW w:w="2100" w:type="dxa"/>
            <w:shd w:val="clear" w:color="auto" w:fill="E8E8E8"/>
            <w:tcMar>
              <w:top w:w="60" w:type="dxa"/>
              <w:left w:w="80" w:type="dxa"/>
              <w:bottom w:w="60" w:type="dxa"/>
              <w:right w:w="80" w:type="dxa"/>
            </w:tcMar>
          </w:tcPr>
          <w:p w14:paraId="506AE4A9" w14:textId="77777777" w:rsidR="00FE7132" w:rsidRDefault="0024072B">
            <w:r>
              <w:rPr>
                <w:b/>
                <w:bCs/>
                <w:sz w:val="20"/>
                <w:szCs w:val="20"/>
              </w:rPr>
              <w:t>Antibiotic classes affected</w:t>
            </w:r>
          </w:p>
        </w:tc>
        <w:tc>
          <w:tcPr>
            <w:tcW w:w="2300" w:type="dxa"/>
            <w:shd w:val="clear" w:color="auto" w:fill="E8E8E8"/>
            <w:tcMar>
              <w:top w:w="60" w:type="dxa"/>
              <w:left w:w="80" w:type="dxa"/>
              <w:bottom w:w="60" w:type="dxa"/>
              <w:right w:w="80" w:type="dxa"/>
            </w:tcMar>
          </w:tcPr>
          <w:p w14:paraId="2FD319A9" w14:textId="77777777" w:rsidR="00FE7132" w:rsidRDefault="0024072B">
            <w:r>
              <w:rPr>
                <w:b/>
                <w:bCs/>
                <w:sz w:val="20"/>
                <w:szCs w:val="20"/>
              </w:rPr>
              <w:t>Clinical and public health significance</w:t>
            </w:r>
          </w:p>
        </w:tc>
      </w:tr>
      <w:tr w:rsidR="00FE7132" w14:paraId="33970043" w14:textId="77777777">
        <w:tc>
          <w:tcPr>
            <w:tcW w:w="1900" w:type="dxa"/>
            <w:tcMar>
              <w:top w:w="60" w:type="dxa"/>
              <w:left w:w="80" w:type="dxa"/>
              <w:bottom w:w="60" w:type="dxa"/>
              <w:right w:w="80" w:type="dxa"/>
            </w:tcMar>
          </w:tcPr>
          <w:p w14:paraId="2FD8A957" w14:textId="77777777" w:rsidR="00FE7132" w:rsidRDefault="0024072B">
            <w:r>
              <w:rPr>
                <w:sz w:val="20"/>
                <w:szCs w:val="20"/>
              </w:rPr>
              <w:t>Carbapenem-resistant Klebsiella pneumoniae</w:t>
            </w:r>
          </w:p>
        </w:tc>
        <w:tc>
          <w:tcPr>
            <w:tcW w:w="2000" w:type="dxa"/>
            <w:tcMar>
              <w:top w:w="60" w:type="dxa"/>
              <w:left w:w="80" w:type="dxa"/>
              <w:bottom w:w="60" w:type="dxa"/>
              <w:right w:w="80" w:type="dxa"/>
            </w:tcMar>
          </w:tcPr>
          <w:p w14:paraId="25E543E0" w14:textId="77777777" w:rsidR="00FE7132" w:rsidRDefault="0024072B">
            <w:r>
              <w:rPr>
                <w:sz w:val="20"/>
                <w:szCs w:val="20"/>
              </w:rPr>
              <w:t>Critical</w:t>
            </w:r>
          </w:p>
        </w:tc>
        <w:tc>
          <w:tcPr>
            <w:tcW w:w="2000" w:type="dxa"/>
            <w:tcMar>
              <w:top w:w="60" w:type="dxa"/>
              <w:left w:w="80" w:type="dxa"/>
              <w:bottom w:w="60" w:type="dxa"/>
              <w:right w:w="80" w:type="dxa"/>
            </w:tcMar>
          </w:tcPr>
          <w:p w14:paraId="6769B6F9" w14:textId="77777777" w:rsidR="00FE7132" w:rsidRDefault="0024072B">
            <w:proofErr w:type="spellStart"/>
            <w:r>
              <w:rPr>
                <w:sz w:val="20"/>
                <w:szCs w:val="20"/>
              </w:rPr>
              <w:t>Carbapenemases</w:t>
            </w:r>
            <w:proofErr w:type="spellEnd"/>
            <w:r>
              <w:rPr>
                <w:sz w:val="20"/>
                <w:szCs w:val="20"/>
              </w:rPr>
              <w:t xml:space="preserve"> (KPC, NDM, OXA-48), porin loss, efflux</w:t>
            </w:r>
          </w:p>
        </w:tc>
        <w:tc>
          <w:tcPr>
            <w:tcW w:w="2100" w:type="dxa"/>
            <w:tcMar>
              <w:top w:w="60" w:type="dxa"/>
              <w:left w:w="80" w:type="dxa"/>
              <w:bottom w:w="60" w:type="dxa"/>
              <w:right w:w="80" w:type="dxa"/>
            </w:tcMar>
          </w:tcPr>
          <w:p w14:paraId="5D9D5D0D" w14:textId="77777777" w:rsidR="00FE7132" w:rsidRDefault="0024072B">
            <w:r>
              <w:rPr>
                <w:sz w:val="20"/>
                <w:szCs w:val="20"/>
              </w:rPr>
              <w:t>Carbapenems, cephalosporins, penicillins</w:t>
            </w:r>
          </w:p>
        </w:tc>
        <w:tc>
          <w:tcPr>
            <w:tcW w:w="2300" w:type="dxa"/>
            <w:tcMar>
              <w:top w:w="60" w:type="dxa"/>
              <w:left w:w="80" w:type="dxa"/>
              <w:bottom w:w="60" w:type="dxa"/>
              <w:right w:w="80" w:type="dxa"/>
            </w:tcMar>
          </w:tcPr>
          <w:p w14:paraId="79079974" w14:textId="77777777" w:rsidR="00FE7132" w:rsidRDefault="0024072B">
            <w:r>
              <w:rPr>
                <w:sz w:val="20"/>
                <w:szCs w:val="20"/>
              </w:rPr>
              <w:t>Ranked in the highest quartile in 2024; approximately 800,000 deaths from K. pneumoniae infection globally</w:t>
            </w:r>
          </w:p>
        </w:tc>
      </w:tr>
      <w:tr w:rsidR="00FE7132" w14:paraId="46B2881C" w14:textId="77777777">
        <w:tc>
          <w:tcPr>
            <w:tcW w:w="1900" w:type="dxa"/>
            <w:tcMar>
              <w:top w:w="60" w:type="dxa"/>
              <w:left w:w="80" w:type="dxa"/>
              <w:bottom w:w="60" w:type="dxa"/>
              <w:right w:w="80" w:type="dxa"/>
            </w:tcMar>
          </w:tcPr>
          <w:p w14:paraId="42F1CD67" w14:textId="77777777" w:rsidR="00FE7132" w:rsidRDefault="0024072B">
            <w:r>
              <w:rPr>
                <w:sz w:val="20"/>
                <w:szCs w:val="20"/>
              </w:rPr>
              <w:t>Carbapenem-resistant Acinetobacter baumannii</w:t>
            </w:r>
          </w:p>
        </w:tc>
        <w:tc>
          <w:tcPr>
            <w:tcW w:w="2000" w:type="dxa"/>
            <w:tcMar>
              <w:top w:w="60" w:type="dxa"/>
              <w:left w:w="80" w:type="dxa"/>
              <w:bottom w:w="60" w:type="dxa"/>
              <w:right w:w="80" w:type="dxa"/>
            </w:tcMar>
          </w:tcPr>
          <w:p w14:paraId="5161B1B2" w14:textId="77777777" w:rsidR="00FE7132" w:rsidRDefault="0024072B">
            <w:r>
              <w:rPr>
                <w:sz w:val="20"/>
                <w:szCs w:val="20"/>
              </w:rPr>
              <w:t>Critical</w:t>
            </w:r>
          </w:p>
        </w:tc>
        <w:tc>
          <w:tcPr>
            <w:tcW w:w="2000" w:type="dxa"/>
            <w:tcMar>
              <w:top w:w="60" w:type="dxa"/>
              <w:left w:w="80" w:type="dxa"/>
              <w:bottom w:w="60" w:type="dxa"/>
              <w:right w:w="80" w:type="dxa"/>
            </w:tcMar>
          </w:tcPr>
          <w:p w14:paraId="2BEAEC3B" w14:textId="77777777" w:rsidR="00FE7132" w:rsidRDefault="0024072B">
            <w:r>
              <w:rPr>
                <w:sz w:val="20"/>
                <w:szCs w:val="20"/>
              </w:rPr>
              <w:t xml:space="preserve">OXA-type </w:t>
            </w:r>
            <w:proofErr w:type="spellStart"/>
            <w:r>
              <w:rPr>
                <w:sz w:val="20"/>
                <w:szCs w:val="20"/>
              </w:rPr>
              <w:t>carbapenemases</w:t>
            </w:r>
            <w:proofErr w:type="spellEnd"/>
            <w:r>
              <w:rPr>
                <w:sz w:val="20"/>
                <w:szCs w:val="20"/>
              </w:rPr>
              <w:t xml:space="preserve">, efflux, permeability </w:t>
            </w:r>
            <w:r>
              <w:rPr>
                <w:sz w:val="20"/>
                <w:szCs w:val="20"/>
              </w:rPr>
              <w:lastRenderedPageBreak/>
              <w:t>change, target modification</w:t>
            </w:r>
          </w:p>
        </w:tc>
        <w:tc>
          <w:tcPr>
            <w:tcW w:w="2100" w:type="dxa"/>
            <w:tcMar>
              <w:top w:w="60" w:type="dxa"/>
              <w:left w:w="80" w:type="dxa"/>
              <w:bottom w:w="60" w:type="dxa"/>
              <w:right w:w="80" w:type="dxa"/>
            </w:tcMar>
          </w:tcPr>
          <w:p w14:paraId="6E7562DB" w14:textId="77777777" w:rsidR="00FE7132" w:rsidRDefault="0024072B">
            <w:r>
              <w:rPr>
                <w:sz w:val="20"/>
                <w:szCs w:val="20"/>
              </w:rPr>
              <w:lastRenderedPageBreak/>
              <w:t>Carbapenems, aminoglycosides, fluoroquinolones, polymyxins</w:t>
            </w:r>
          </w:p>
        </w:tc>
        <w:tc>
          <w:tcPr>
            <w:tcW w:w="2300" w:type="dxa"/>
            <w:tcMar>
              <w:top w:w="60" w:type="dxa"/>
              <w:left w:w="80" w:type="dxa"/>
              <w:bottom w:w="60" w:type="dxa"/>
              <w:right w:w="80" w:type="dxa"/>
            </w:tcMar>
          </w:tcPr>
          <w:p w14:paraId="285E5A14" w14:textId="77777777" w:rsidR="00FE7132" w:rsidRDefault="0024072B">
            <w:r>
              <w:rPr>
                <w:sz w:val="20"/>
                <w:szCs w:val="20"/>
              </w:rPr>
              <w:t>Environmental persistence and intensive care outbreaks; few remaining therapeutic options</w:t>
            </w:r>
          </w:p>
        </w:tc>
      </w:tr>
      <w:tr w:rsidR="00FE7132" w14:paraId="321187B5" w14:textId="77777777">
        <w:tc>
          <w:tcPr>
            <w:tcW w:w="1900" w:type="dxa"/>
            <w:tcMar>
              <w:top w:w="60" w:type="dxa"/>
              <w:left w:w="80" w:type="dxa"/>
              <w:bottom w:w="60" w:type="dxa"/>
              <w:right w:w="80" w:type="dxa"/>
            </w:tcMar>
          </w:tcPr>
          <w:p w14:paraId="4A1C61A7" w14:textId="77777777" w:rsidR="00FE7132" w:rsidRDefault="0024072B">
            <w:r>
              <w:rPr>
                <w:sz w:val="20"/>
                <w:szCs w:val="20"/>
              </w:rPr>
              <w:t xml:space="preserve">Third-generation cephalosporin-resistant </w:t>
            </w:r>
            <w:proofErr w:type="spellStart"/>
            <w:r>
              <w:rPr>
                <w:sz w:val="20"/>
                <w:szCs w:val="20"/>
              </w:rPr>
              <w:t>Enterobacterales</w:t>
            </w:r>
            <w:proofErr w:type="spellEnd"/>
          </w:p>
        </w:tc>
        <w:tc>
          <w:tcPr>
            <w:tcW w:w="2000" w:type="dxa"/>
            <w:tcMar>
              <w:top w:w="60" w:type="dxa"/>
              <w:left w:w="80" w:type="dxa"/>
              <w:bottom w:w="60" w:type="dxa"/>
              <w:right w:w="80" w:type="dxa"/>
            </w:tcMar>
          </w:tcPr>
          <w:p w14:paraId="3DDB2872" w14:textId="77777777" w:rsidR="00FE7132" w:rsidRDefault="0024072B">
            <w:r>
              <w:rPr>
                <w:sz w:val="20"/>
                <w:szCs w:val="20"/>
              </w:rPr>
              <w:t>Critical</w:t>
            </w:r>
          </w:p>
        </w:tc>
        <w:tc>
          <w:tcPr>
            <w:tcW w:w="2000" w:type="dxa"/>
            <w:tcMar>
              <w:top w:w="60" w:type="dxa"/>
              <w:left w:w="80" w:type="dxa"/>
              <w:bottom w:w="60" w:type="dxa"/>
              <w:right w:w="80" w:type="dxa"/>
            </w:tcMar>
          </w:tcPr>
          <w:p w14:paraId="1BAB8305" w14:textId="77777777" w:rsidR="00FE7132" w:rsidRDefault="0024072B">
            <w:r>
              <w:rPr>
                <w:sz w:val="20"/>
                <w:szCs w:val="20"/>
              </w:rPr>
              <w:t xml:space="preserve">Extended-spectrum beta-lactamases, predominantly CTX-M; </w:t>
            </w:r>
            <w:proofErr w:type="spellStart"/>
            <w:r>
              <w:rPr>
                <w:sz w:val="20"/>
                <w:szCs w:val="20"/>
              </w:rPr>
              <w:t>AmpC</w:t>
            </w:r>
            <w:proofErr w:type="spellEnd"/>
          </w:p>
        </w:tc>
        <w:tc>
          <w:tcPr>
            <w:tcW w:w="2100" w:type="dxa"/>
            <w:tcMar>
              <w:top w:w="60" w:type="dxa"/>
              <w:left w:w="80" w:type="dxa"/>
              <w:bottom w:w="60" w:type="dxa"/>
              <w:right w:w="80" w:type="dxa"/>
            </w:tcMar>
          </w:tcPr>
          <w:p w14:paraId="1DCE15FC" w14:textId="77777777" w:rsidR="00FE7132" w:rsidRDefault="0024072B">
            <w:r>
              <w:rPr>
                <w:sz w:val="20"/>
                <w:szCs w:val="20"/>
              </w:rPr>
              <w:t>Third-generation cephalosporins, penicillins</w:t>
            </w:r>
          </w:p>
        </w:tc>
        <w:tc>
          <w:tcPr>
            <w:tcW w:w="2300" w:type="dxa"/>
            <w:tcMar>
              <w:top w:w="60" w:type="dxa"/>
              <w:left w:w="80" w:type="dxa"/>
              <w:bottom w:w="60" w:type="dxa"/>
              <w:right w:w="80" w:type="dxa"/>
            </w:tcMar>
          </w:tcPr>
          <w:p w14:paraId="062E1CBF" w14:textId="77777777" w:rsidR="00FE7132" w:rsidRDefault="0024072B">
            <w:r>
              <w:rPr>
                <w:sz w:val="20"/>
                <w:szCs w:val="20"/>
              </w:rPr>
              <w:t>Leading attributable pathogen-drug combination across much of the WHO African region; over 55% of K. pneumoniae and over 40% of E. coli resistant globally</w:t>
            </w:r>
          </w:p>
        </w:tc>
      </w:tr>
      <w:tr w:rsidR="00FE7132" w14:paraId="07006DEE" w14:textId="77777777">
        <w:tc>
          <w:tcPr>
            <w:tcW w:w="1900" w:type="dxa"/>
            <w:tcMar>
              <w:top w:w="60" w:type="dxa"/>
              <w:left w:w="80" w:type="dxa"/>
              <w:bottom w:w="60" w:type="dxa"/>
              <w:right w:w="80" w:type="dxa"/>
            </w:tcMar>
          </w:tcPr>
          <w:p w14:paraId="658FE6B2" w14:textId="77777777" w:rsidR="00FE7132" w:rsidRDefault="0024072B">
            <w:r>
              <w:rPr>
                <w:sz w:val="20"/>
                <w:szCs w:val="20"/>
              </w:rPr>
              <w:t>Rifampicin-resistant Mycobacterium tuberculosis</w:t>
            </w:r>
          </w:p>
        </w:tc>
        <w:tc>
          <w:tcPr>
            <w:tcW w:w="2000" w:type="dxa"/>
            <w:tcMar>
              <w:top w:w="60" w:type="dxa"/>
              <w:left w:w="80" w:type="dxa"/>
              <w:bottom w:w="60" w:type="dxa"/>
              <w:right w:w="80" w:type="dxa"/>
            </w:tcMar>
          </w:tcPr>
          <w:p w14:paraId="5C92207D" w14:textId="77777777" w:rsidR="00FE7132" w:rsidRDefault="0024072B">
            <w:r>
              <w:rPr>
                <w:sz w:val="20"/>
                <w:szCs w:val="20"/>
              </w:rPr>
              <w:t>Critical</w:t>
            </w:r>
          </w:p>
        </w:tc>
        <w:tc>
          <w:tcPr>
            <w:tcW w:w="2000" w:type="dxa"/>
            <w:tcMar>
              <w:top w:w="60" w:type="dxa"/>
              <w:left w:w="80" w:type="dxa"/>
              <w:bottom w:w="60" w:type="dxa"/>
              <w:right w:w="80" w:type="dxa"/>
            </w:tcMar>
          </w:tcPr>
          <w:p w14:paraId="6CF555D7" w14:textId="77777777" w:rsidR="00FE7132" w:rsidRDefault="0024072B">
            <w:r>
              <w:rPr>
                <w:sz w:val="20"/>
                <w:szCs w:val="20"/>
              </w:rPr>
              <w:t xml:space="preserve">Chromosomal mutation in </w:t>
            </w:r>
            <w:proofErr w:type="spellStart"/>
            <w:r>
              <w:rPr>
                <w:sz w:val="20"/>
                <w:szCs w:val="20"/>
              </w:rPr>
              <w:t>rpoB</w:t>
            </w:r>
            <w:proofErr w:type="spellEnd"/>
            <w:r>
              <w:rPr>
                <w:sz w:val="20"/>
                <w:szCs w:val="20"/>
              </w:rPr>
              <w:t xml:space="preserve">; </w:t>
            </w:r>
            <w:proofErr w:type="spellStart"/>
            <w:r>
              <w:rPr>
                <w:sz w:val="20"/>
                <w:szCs w:val="20"/>
              </w:rPr>
              <w:t>katG</w:t>
            </w:r>
            <w:proofErr w:type="spellEnd"/>
            <w:r>
              <w:rPr>
                <w:sz w:val="20"/>
                <w:szCs w:val="20"/>
              </w:rPr>
              <w:t xml:space="preserve"> and </w:t>
            </w:r>
            <w:proofErr w:type="spellStart"/>
            <w:r>
              <w:rPr>
                <w:sz w:val="20"/>
                <w:szCs w:val="20"/>
              </w:rPr>
              <w:t>inhA</w:t>
            </w:r>
            <w:proofErr w:type="spellEnd"/>
            <w:r>
              <w:rPr>
                <w:sz w:val="20"/>
                <w:szCs w:val="20"/>
              </w:rPr>
              <w:t xml:space="preserve"> for isoniazid</w:t>
            </w:r>
          </w:p>
        </w:tc>
        <w:tc>
          <w:tcPr>
            <w:tcW w:w="2100" w:type="dxa"/>
            <w:tcMar>
              <w:top w:w="60" w:type="dxa"/>
              <w:left w:w="80" w:type="dxa"/>
              <w:bottom w:w="60" w:type="dxa"/>
              <w:right w:w="80" w:type="dxa"/>
            </w:tcMar>
          </w:tcPr>
          <w:p w14:paraId="1AEB11AB" w14:textId="77777777" w:rsidR="00FE7132" w:rsidRDefault="0024072B">
            <w:proofErr w:type="spellStart"/>
            <w:r>
              <w:rPr>
                <w:sz w:val="20"/>
                <w:szCs w:val="20"/>
              </w:rPr>
              <w:t>Rifamycins</w:t>
            </w:r>
            <w:proofErr w:type="spellEnd"/>
            <w:r>
              <w:rPr>
                <w:sz w:val="20"/>
                <w:szCs w:val="20"/>
              </w:rPr>
              <w:t>, isoniazid, fluoroquinolones, injectables</w:t>
            </w:r>
          </w:p>
        </w:tc>
        <w:tc>
          <w:tcPr>
            <w:tcW w:w="2300" w:type="dxa"/>
            <w:tcMar>
              <w:top w:w="60" w:type="dxa"/>
              <w:left w:w="80" w:type="dxa"/>
              <w:bottom w:w="60" w:type="dxa"/>
              <w:right w:w="80" w:type="dxa"/>
            </w:tcMar>
          </w:tcPr>
          <w:p w14:paraId="47118AA3" w14:textId="77777777" w:rsidR="00FE7132" w:rsidRDefault="0024072B">
            <w:r>
              <w:rPr>
                <w:sz w:val="20"/>
                <w:szCs w:val="20"/>
              </w:rPr>
              <w:t>Approximately 13% of all AMR-attributable deaths; 164,545 people enrolled on treatment in 2024, far short of estimated incidence</w:t>
            </w:r>
          </w:p>
        </w:tc>
      </w:tr>
      <w:tr w:rsidR="00FE7132" w14:paraId="2CC374A7" w14:textId="77777777">
        <w:tc>
          <w:tcPr>
            <w:tcW w:w="1900" w:type="dxa"/>
            <w:tcMar>
              <w:top w:w="60" w:type="dxa"/>
              <w:left w:w="80" w:type="dxa"/>
              <w:bottom w:w="60" w:type="dxa"/>
              <w:right w:w="80" w:type="dxa"/>
            </w:tcMar>
          </w:tcPr>
          <w:p w14:paraId="3685E75A" w14:textId="77777777" w:rsidR="00FE7132" w:rsidRDefault="0024072B">
            <w:r>
              <w:rPr>
                <w:sz w:val="20"/>
                <w:szCs w:val="20"/>
              </w:rPr>
              <w:t>Methicillin-resistant Staphylococcus aureus</w:t>
            </w:r>
          </w:p>
        </w:tc>
        <w:tc>
          <w:tcPr>
            <w:tcW w:w="2000" w:type="dxa"/>
            <w:tcMar>
              <w:top w:w="60" w:type="dxa"/>
              <w:left w:w="80" w:type="dxa"/>
              <w:bottom w:w="60" w:type="dxa"/>
              <w:right w:w="80" w:type="dxa"/>
            </w:tcMar>
          </w:tcPr>
          <w:p w14:paraId="4A0941C2" w14:textId="77777777" w:rsidR="00FE7132" w:rsidRDefault="0024072B">
            <w:r>
              <w:rPr>
                <w:sz w:val="20"/>
                <w:szCs w:val="20"/>
              </w:rPr>
              <w:t>High</w:t>
            </w:r>
          </w:p>
        </w:tc>
        <w:tc>
          <w:tcPr>
            <w:tcW w:w="2000" w:type="dxa"/>
            <w:tcMar>
              <w:top w:w="60" w:type="dxa"/>
              <w:left w:w="80" w:type="dxa"/>
              <w:bottom w:w="60" w:type="dxa"/>
              <w:right w:w="80" w:type="dxa"/>
            </w:tcMar>
          </w:tcPr>
          <w:p w14:paraId="602C960D" w14:textId="77777777" w:rsidR="00FE7132" w:rsidRDefault="0024072B">
            <w:proofErr w:type="spellStart"/>
            <w:r>
              <w:rPr>
                <w:sz w:val="20"/>
                <w:szCs w:val="20"/>
              </w:rPr>
              <w:t>mecA</w:t>
            </w:r>
            <w:proofErr w:type="spellEnd"/>
            <w:r>
              <w:rPr>
                <w:sz w:val="20"/>
                <w:szCs w:val="20"/>
              </w:rPr>
              <w:t>-encoded PBP2a target bypass</w:t>
            </w:r>
          </w:p>
        </w:tc>
        <w:tc>
          <w:tcPr>
            <w:tcW w:w="2100" w:type="dxa"/>
            <w:tcMar>
              <w:top w:w="60" w:type="dxa"/>
              <w:left w:w="80" w:type="dxa"/>
              <w:bottom w:w="60" w:type="dxa"/>
              <w:right w:w="80" w:type="dxa"/>
            </w:tcMar>
          </w:tcPr>
          <w:p w14:paraId="2985641D" w14:textId="77777777" w:rsidR="00FE7132" w:rsidRDefault="0024072B">
            <w:r>
              <w:rPr>
                <w:sz w:val="20"/>
                <w:szCs w:val="20"/>
              </w:rPr>
              <w:t>Beta-lactams, with variable co-resistance to macrolides and fluoroquinolones</w:t>
            </w:r>
          </w:p>
        </w:tc>
        <w:tc>
          <w:tcPr>
            <w:tcW w:w="2300" w:type="dxa"/>
            <w:tcMar>
              <w:top w:w="60" w:type="dxa"/>
              <w:left w:w="80" w:type="dxa"/>
              <w:bottom w:w="60" w:type="dxa"/>
              <w:right w:w="80" w:type="dxa"/>
            </w:tcMar>
          </w:tcPr>
          <w:p w14:paraId="7D5E7BE1" w14:textId="77777777" w:rsidR="00FE7132" w:rsidRDefault="0024072B">
            <w:r>
              <w:rPr>
                <w:sz w:val="20"/>
                <w:szCs w:val="20"/>
              </w:rPr>
              <w:t>Largest single contributor to AMR-attributable mortality and the fastest-growing since 1990</w:t>
            </w:r>
          </w:p>
        </w:tc>
      </w:tr>
      <w:tr w:rsidR="00FE7132" w14:paraId="6262C7EF" w14:textId="77777777">
        <w:tc>
          <w:tcPr>
            <w:tcW w:w="1900" w:type="dxa"/>
            <w:tcMar>
              <w:top w:w="60" w:type="dxa"/>
              <w:left w:w="80" w:type="dxa"/>
              <w:bottom w:w="60" w:type="dxa"/>
              <w:right w:w="80" w:type="dxa"/>
            </w:tcMar>
          </w:tcPr>
          <w:p w14:paraId="615F05B4" w14:textId="77777777" w:rsidR="00FE7132" w:rsidRDefault="0024072B">
            <w:r>
              <w:rPr>
                <w:sz w:val="20"/>
                <w:szCs w:val="20"/>
              </w:rPr>
              <w:t>Vancomycin-resistant Enterococcus faecium</w:t>
            </w:r>
          </w:p>
        </w:tc>
        <w:tc>
          <w:tcPr>
            <w:tcW w:w="2000" w:type="dxa"/>
            <w:tcMar>
              <w:top w:w="60" w:type="dxa"/>
              <w:left w:w="80" w:type="dxa"/>
              <w:bottom w:w="60" w:type="dxa"/>
              <w:right w:w="80" w:type="dxa"/>
            </w:tcMar>
          </w:tcPr>
          <w:p w14:paraId="156ABED5" w14:textId="77777777" w:rsidR="00FE7132" w:rsidRDefault="0024072B">
            <w:r>
              <w:rPr>
                <w:sz w:val="20"/>
                <w:szCs w:val="20"/>
              </w:rPr>
              <w:t>High</w:t>
            </w:r>
          </w:p>
        </w:tc>
        <w:tc>
          <w:tcPr>
            <w:tcW w:w="2000" w:type="dxa"/>
            <w:tcMar>
              <w:top w:w="60" w:type="dxa"/>
              <w:left w:w="80" w:type="dxa"/>
              <w:bottom w:w="60" w:type="dxa"/>
              <w:right w:w="80" w:type="dxa"/>
            </w:tcMar>
          </w:tcPr>
          <w:p w14:paraId="3B27AF32" w14:textId="77777777" w:rsidR="00FE7132" w:rsidRDefault="0024072B">
            <w:r>
              <w:rPr>
                <w:sz w:val="20"/>
                <w:szCs w:val="20"/>
              </w:rPr>
              <w:t xml:space="preserve">van gene clusters </w:t>
            </w:r>
            <w:proofErr w:type="spellStart"/>
            <w:r>
              <w:rPr>
                <w:sz w:val="20"/>
                <w:szCs w:val="20"/>
              </w:rPr>
              <w:t>remodelling</w:t>
            </w:r>
            <w:proofErr w:type="spellEnd"/>
            <w:r>
              <w:rPr>
                <w:sz w:val="20"/>
                <w:szCs w:val="20"/>
              </w:rPr>
              <w:t xml:space="preserve"> the peptidoglycan precursor terminus</w:t>
            </w:r>
          </w:p>
        </w:tc>
        <w:tc>
          <w:tcPr>
            <w:tcW w:w="2100" w:type="dxa"/>
            <w:tcMar>
              <w:top w:w="60" w:type="dxa"/>
              <w:left w:w="80" w:type="dxa"/>
              <w:bottom w:w="60" w:type="dxa"/>
              <w:right w:w="80" w:type="dxa"/>
            </w:tcMar>
          </w:tcPr>
          <w:p w14:paraId="7C78E561" w14:textId="77777777" w:rsidR="00FE7132" w:rsidRDefault="0024072B">
            <w:r>
              <w:rPr>
                <w:sz w:val="20"/>
                <w:szCs w:val="20"/>
              </w:rPr>
              <w:t>Glycopeptides, with frequent co-resistance to ampicillin</w:t>
            </w:r>
          </w:p>
        </w:tc>
        <w:tc>
          <w:tcPr>
            <w:tcW w:w="2300" w:type="dxa"/>
            <w:tcMar>
              <w:top w:w="60" w:type="dxa"/>
              <w:left w:w="80" w:type="dxa"/>
              <w:bottom w:w="60" w:type="dxa"/>
              <w:right w:w="80" w:type="dxa"/>
            </w:tcMar>
          </w:tcPr>
          <w:p w14:paraId="4504C0BC" w14:textId="77777777" w:rsidR="00FE7132" w:rsidRDefault="0024072B">
            <w:r>
              <w:rPr>
                <w:sz w:val="20"/>
                <w:szCs w:val="20"/>
              </w:rPr>
              <w:t xml:space="preserve">Healthcare-associated </w:t>
            </w:r>
            <w:proofErr w:type="spellStart"/>
            <w:r>
              <w:rPr>
                <w:sz w:val="20"/>
                <w:szCs w:val="20"/>
              </w:rPr>
              <w:t>bacteraemia</w:t>
            </w:r>
            <w:proofErr w:type="spellEnd"/>
            <w:r>
              <w:rPr>
                <w:sz w:val="20"/>
                <w:szCs w:val="20"/>
              </w:rPr>
              <w:t xml:space="preserve"> in immunocompromised and critically ill patients</w:t>
            </w:r>
          </w:p>
        </w:tc>
      </w:tr>
      <w:tr w:rsidR="00FE7132" w14:paraId="2506D1E2" w14:textId="77777777">
        <w:tc>
          <w:tcPr>
            <w:tcW w:w="1900" w:type="dxa"/>
            <w:tcMar>
              <w:top w:w="60" w:type="dxa"/>
              <w:left w:w="80" w:type="dxa"/>
              <w:bottom w:w="60" w:type="dxa"/>
              <w:right w:w="80" w:type="dxa"/>
            </w:tcMar>
          </w:tcPr>
          <w:p w14:paraId="029CFB49" w14:textId="77777777" w:rsidR="00FE7132" w:rsidRDefault="0024072B">
            <w:r>
              <w:rPr>
                <w:sz w:val="20"/>
                <w:szCs w:val="20"/>
              </w:rPr>
              <w:t>Fluoroquinolone-resistant Salmonella Typhi</w:t>
            </w:r>
          </w:p>
        </w:tc>
        <w:tc>
          <w:tcPr>
            <w:tcW w:w="2000" w:type="dxa"/>
            <w:tcMar>
              <w:top w:w="60" w:type="dxa"/>
              <w:left w:w="80" w:type="dxa"/>
              <w:bottom w:w="60" w:type="dxa"/>
              <w:right w:w="80" w:type="dxa"/>
            </w:tcMar>
          </w:tcPr>
          <w:p w14:paraId="5B60E2BB" w14:textId="77777777" w:rsidR="00FE7132" w:rsidRDefault="0024072B">
            <w:r>
              <w:rPr>
                <w:sz w:val="20"/>
                <w:szCs w:val="20"/>
              </w:rPr>
              <w:t>High</w:t>
            </w:r>
          </w:p>
        </w:tc>
        <w:tc>
          <w:tcPr>
            <w:tcW w:w="2000" w:type="dxa"/>
            <w:tcMar>
              <w:top w:w="60" w:type="dxa"/>
              <w:left w:w="80" w:type="dxa"/>
              <w:bottom w:w="60" w:type="dxa"/>
              <w:right w:w="80" w:type="dxa"/>
            </w:tcMar>
          </w:tcPr>
          <w:p w14:paraId="2EE6F727" w14:textId="77777777" w:rsidR="00FE7132" w:rsidRDefault="0024072B">
            <w:proofErr w:type="spellStart"/>
            <w:r>
              <w:rPr>
                <w:sz w:val="20"/>
                <w:szCs w:val="20"/>
              </w:rPr>
              <w:t>gyrA</w:t>
            </w:r>
            <w:proofErr w:type="spellEnd"/>
            <w:r>
              <w:rPr>
                <w:sz w:val="20"/>
                <w:szCs w:val="20"/>
              </w:rPr>
              <w:t xml:space="preserve"> mutation; plasmid-borne </w:t>
            </w:r>
            <w:proofErr w:type="spellStart"/>
            <w:r>
              <w:rPr>
                <w:sz w:val="20"/>
                <w:szCs w:val="20"/>
              </w:rPr>
              <w:t>qnrS</w:t>
            </w:r>
            <w:proofErr w:type="spellEnd"/>
            <w:r>
              <w:rPr>
                <w:sz w:val="20"/>
                <w:szCs w:val="20"/>
              </w:rPr>
              <w:t xml:space="preserve"> and blaCTX-M-15 in XDR lineages</w:t>
            </w:r>
          </w:p>
        </w:tc>
        <w:tc>
          <w:tcPr>
            <w:tcW w:w="2100" w:type="dxa"/>
            <w:tcMar>
              <w:top w:w="60" w:type="dxa"/>
              <w:left w:w="80" w:type="dxa"/>
              <w:bottom w:w="60" w:type="dxa"/>
              <w:right w:w="80" w:type="dxa"/>
            </w:tcMar>
          </w:tcPr>
          <w:p w14:paraId="6DA46E21" w14:textId="77777777" w:rsidR="00FE7132" w:rsidRDefault="0024072B">
            <w:r>
              <w:rPr>
                <w:sz w:val="20"/>
                <w:szCs w:val="20"/>
              </w:rPr>
              <w:t>Fluoroquinolones, third-generation cephalosporins, older first-line agents</w:t>
            </w:r>
          </w:p>
        </w:tc>
        <w:tc>
          <w:tcPr>
            <w:tcW w:w="2300" w:type="dxa"/>
            <w:tcMar>
              <w:top w:w="60" w:type="dxa"/>
              <w:left w:w="80" w:type="dxa"/>
              <w:bottom w:w="60" w:type="dxa"/>
              <w:right w:w="80" w:type="dxa"/>
            </w:tcMar>
          </w:tcPr>
          <w:p w14:paraId="5821D575" w14:textId="77777777" w:rsidR="00FE7132" w:rsidRDefault="0024072B">
            <w:r>
              <w:rPr>
                <w:sz w:val="20"/>
                <w:szCs w:val="20"/>
              </w:rPr>
              <w:t>XDR clone in South Asia compressed the treatment options for typhoid within a single plasmid acquisition</w:t>
            </w:r>
          </w:p>
        </w:tc>
      </w:tr>
      <w:tr w:rsidR="00FE7132" w14:paraId="0734ED89" w14:textId="77777777">
        <w:tc>
          <w:tcPr>
            <w:tcW w:w="1900" w:type="dxa"/>
            <w:tcMar>
              <w:top w:w="60" w:type="dxa"/>
              <w:left w:w="80" w:type="dxa"/>
              <w:bottom w:w="60" w:type="dxa"/>
              <w:right w:w="80" w:type="dxa"/>
            </w:tcMar>
          </w:tcPr>
          <w:p w14:paraId="11AE7F8E" w14:textId="77777777" w:rsidR="00FE7132" w:rsidRDefault="0024072B">
            <w:r>
              <w:rPr>
                <w:sz w:val="20"/>
                <w:szCs w:val="20"/>
              </w:rPr>
              <w:t>Neisseria gonorrhoeae</w:t>
            </w:r>
          </w:p>
        </w:tc>
        <w:tc>
          <w:tcPr>
            <w:tcW w:w="2000" w:type="dxa"/>
            <w:tcMar>
              <w:top w:w="60" w:type="dxa"/>
              <w:left w:w="80" w:type="dxa"/>
              <w:bottom w:w="60" w:type="dxa"/>
              <w:right w:w="80" w:type="dxa"/>
            </w:tcMar>
          </w:tcPr>
          <w:p w14:paraId="6E6023C1" w14:textId="77777777" w:rsidR="00FE7132" w:rsidRDefault="0024072B">
            <w:r>
              <w:rPr>
                <w:sz w:val="20"/>
                <w:szCs w:val="20"/>
              </w:rPr>
              <w:t>High</w:t>
            </w:r>
          </w:p>
        </w:tc>
        <w:tc>
          <w:tcPr>
            <w:tcW w:w="2000" w:type="dxa"/>
            <w:tcMar>
              <w:top w:w="60" w:type="dxa"/>
              <w:left w:w="80" w:type="dxa"/>
              <w:bottom w:w="60" w:type="dxa"/>
              <w:right w:w="80" w:type="dxa"/>
            </w:tcMar>
          </w:tcPr>
          <w:p w14:paraId="794893A7" w14:textId="77777777" w:rsidR="00FE7132" w:rsidRDefault="0024072B">
            <w:proofErr w:type="spellStart"/>
            <w:r>
              <w:rPr>
                <w:sz w:val="20"/>
                <w:szCs w:val="20"/>
              </w:rPr>
              <w:t>penA</w:t>
            </w:r>
            <w:proofErr w:type="spellEnd"/>
            <w:r>
              <w:rPr>
                <w:sz w:val="20"/>
                <w:szCs w:val="20"/>
              </w:rPr>
              <w:t xml:space="preserve"> mosaic alleles, </w:t>
            </w:r>
            <w:proofErr w:type="spellStart"/>
            <w:r>
              <w:rPr>
                <w:sz w:val="20"/>
                <w:szCs w:val="20"/>
              </w:rPr>
              <w:t>mtr</w:t>
            </w:r>
            <w:proofErr w:type="spellEnd"/>
            <w:r>
              <w:rPr>
                <w:sz w:val="20"/>
                <w:szCs w:val="20"/>
              </w:rPr>
              <w:t xml:space="preserve"> efflux, </w:t>
            </w:r>
            <w:proofErr w:type="spellStart"/>
            <w:r>
              <w:rPr>
                <w:sz w:val="20"/>
                <w:szCs w:val="20"/>
              </w:rPr>
              <w:t>penB</w:t>
            </w:r>
            <w:proofErr w:type="spellEnd"/>
            <w:r>
              <w:rPr>
                <w:sz w:val="20"/>
                <w:szCs w:val="20"/>
              </w:rPr>
              <w:t xml:space="preserve"> porin change, plasmid beta-lactamase</w:t>
            </w:r>
          </w:p>
        </w:tc>
        <w:tc>
          <w:tcPr>
            <w:tcW w:w="2100" w:type="dxa"/>
            <w:tcMar>
              <w:top w:w="60" w:type="dxa"/>
              <w:left w:w="80" w:type="dxa"/>
              <w:bottom w:w="60" w:type="dxa"/>
              <w:right w:w="80" w:type="dxa"/>
            </w:tcMar>
          </w:tcPr>
          <w:p w14:paraId="70556746" w14:textId="77777777" w:rsidR="00FE7132" w:rsidRDefault="0024072B">
            <w:r>
              <w:rPr>
                <w:sz w:val="20"/>
                <w:szCs w:val="20"/>
              </w:rPr>
              <w:t>Penicillins, fluoroquinolones, macrolides, with emerging cephalosporin reduction</w:t>
            </w:r>
          </w:p>
        </w:tc>
        <w:tc>
          <w:tcPr>
            <w:tcW w:w="2300" w:type="dxa"/>
            <w:tcMar>
              <w:top w:w="60" w:type="dxa"/>
              <w:left w:w="80" w:type="dxa"/>
              <w:bottom w:w="60" w:type="dxa"/>
              <w:right w:w="80" w:type="dxa"/>
            </w:tcMar>
          </w:tcPr>
          <w:p w14:paraId="1767E124" w14:textId="77777777" w:rsidR="00FE7132" w:rsidRDefault="0024072B">
            <w:r>
              <w:rPr>
                <w:sz w:val="20"/>
                <w:szCs w:val="20"/>
              </w:rPr>
              <w:t>Ceftriaxone remains first-line and confirmed resistance is uncommon; two new oral agents approved in December 2025</w:t>
            </w:r>
          </w:p>
        </w:tc>
      </w:tr>
      <w:tr w:rsidR="00FE7132" w14:paraId="4235748A" w14:textId="77777777">
        <w:tc>
          <w:tcPr>
            <w:tcW w:w="1900" w:type="dxa"/>
            <w:tcMar>
              <w:top w:w="60" w:type="dxa"/>
              <w:left w:w="80" w:type="dxa"/>
              <w:bottom w:w="60" w:type="dxa"/>
              <w:right w:w="80" w:type="dxa"/>
            </w:tcMar>
          </w:tcPr>
          <w:p w14:paraId="148950E0" w14:textId="77777777" w:rsidR="00FE7132" w:rsidRDefault="0024072B">
            <w:r>
              <w:rPr>
                <w:sz w:val="20"/>
                <w:szCs w:val="20"/>
              </w:rPr>
              <w:t>Macrolide-resistant Streptococcus pneumoniae</w:t>
            </w:r>
          </w:p>
        </w:tc>
        <w:tc>
          <w:tcPr>
            <w:tcW w:w="2000" w:type="dxa"/>
            <w:tcMar>
              <w:top w:w="60" w:type="dxa"/>
              <w:left w:w="80" w:type="dxa"/>
              <w:bottom w:w="60" w:type="dxa"/>
              <w:right w:w="80" w:type="dxa"/>
            </w:tcMar>
          </w:tcPr>
          <w:p w14:paraId="72F06C60" w14:textId="77777777" w:rsidR="00FE7132" w:rsidRDefault="0024072B">
            <w:r>
              <w:rPr>
                <w:sz w:val="20"/>
                <w:szCs w:val="20"/>
              </w:rPr>
              <w:t>Medium</w:t>
            </w:r>
          </w:p>
        </w:tc>
        <w:tc>
          <w:tcPr>
            <w:tcW w:w="2000" w:type="dxa"/>
            <w:tcMar>
              <w:top w:w="60" w:type="dxa"/>
              <w:left w:w="80" w:type="dxa"/>
              <w:bottom w:w="60" w:type="dxa"/>
              <w:right w:w="80" w:type="dxa"/>
            </w:tcMar>
          </w:tcPr>
          <w:p w14:paraId="0C7A9843" w14:textId="77777777" w:rsidR="00FE7132" w:rsidRDefault="0024072B">
            <w:r>
              <w:rPr>
                <w:sz w:val="20"/>
                <w:szCs w:val="20"/>
              </w:rPr>
              <w:t>Altered penicillin-binding proteins; erm-mediated ribosomal methylation</w:t>
            </w:r>
          </w:p>
        </w:tc>
        <w:tc>
          <w:tcPr>
            <w:tcW w:w="2100" w:type="dxa"/>
            <w:tcMar>
              <w:top w:w="60" w:type="dxa"/>
              <w:left w:w="80" w:type="dxa"/>
              <w:bottom w:w="60" w:type="dxa"/>
              <w:right w:w="80" w:type="dxa"/>
            </w:tcMar>
          </w:tcPr>
          <w:p w14:paraId="562FFFB5" w14:textId="77777777" w:rsidR="00FE7132" w:rsidRDefault="0024072B">
            <w:r>
              <w:rPr>
                <w:sz w:val="20"/>
                <w:szCs w:val="20"/>
              </w:rPr>
              <w:t>Beta-lactams, macrolides, trimethoprim-sulfamethoxazole</w:t>
            </w:r>
          </w:p>
        </w:tc>
        <w:tc>
          <w:tcPr>
            <w:tcW w:w="2300" w:type="dxa"/>
            <w:tcMar>
              <w:top w:w="60" w:type="dxa"/>
              <w:left w:w="80" w:type="dxa"/>
              <w:bottom w:w="60" w:type="dxa"/>
              <w:right w:w="80" w:type="dxa"/>
            </w:tcMar>
          </w:tcPr>
          <w:p w14:paraId="0A719388" w14:textId="77777777" w:rsidR="00FE7132" w:rsidRDefault="0024072B">
            <w:r>
              <w:rPr>
                <w:sz w:val="20"/>
                <w:szCs w:val="20"/>
              </w:rPr>
              <w:t xml:space="preserve">High </w:t>
            </w:r>
            <w:proofErr w:type="spellStart"/>
            <w:r>
              <w:rPr>
                <w:sz w:val="20"/>
                <w:szCs w:val="20"/>
              </w:rPr>
              <w:t>paediatric</w:t>
            </w:r>
            <w:proofErr w:type="spellEnd"/>
            <w:r>
              <w:rPr>
                <w:sz w:val="20"/>
                <w:szCs w:val="20"/>
              </w:rPr>
              <w:t xml:space="preserve"> burden; conjugate vaccination has measurably reduced resistant serotypes</w:t>
            </w:r>
          </w:p>
        </w:tc>
      </w:tr>
      <w:tr w:rsidR="00FE7132" w14:paraId="4AB905F6" w14:textId="77777777">
        <w:tc>
          <w:tcPr>
            <w:tcW w:w="1900" w:type="dxa"/>
            <w:tcMar>
              <w:top w:w="60" w:type="dxa"/>
              <w:left w:w="80" w:type="dxa"/>
              <w:bottom w:w="60" w:type="dxa"/>
              <w:right w:w="80" w:type="dxa"/>
            </w:tcMar>
          </w:tcPr>
          <w:p w14:paraId="17C4AB73" w14:textId="77777777" w:rsidR="00FE7132" w:rsidRDefault="0024072B">
            <w:r>
              <w:rPr>
                <w:sz w:val="20"/>
                <w:szCs w:val="20"/>
              </w:rPr>
              <w:t>Clostridioides difficile</w:t>
            </w:r>
          </w:p>
        </w:tc>
        <w:tc>
          <w:tcPr>
            <w:tcW w:w="2000" w:type="dxa"/>
            <w:tcMar>
              <w:top w:w="60" w:type="dxa"/>
              <w:left w:w="80" w:type="dxa"/>
              <w:bottom w:w="60" w:type="dxa"/>
              <w:right w:w="80" w:type="dxa"/>
            </w:tcMar>
          </w:tcPr>
          <w:p w14:paraId="6EF22208" w14:textId="77777777" w:rsidR="00FE7132" w:rsidRDefault="0024072B">
            <w:r>
              <w:rPr>
                <w:sz w:val="20"/>
                <w:szCs w:val="20"/>
              </w:rPr>
              <w:t>CDC urgent threat; not on the WHO list</w:t>
            </w:r>
          </w:p>
        </w:tc>
        <w:tc>
          <w:tcPr>
            <w:tcW w:w="2000" w:type="dxa"/>
            <w:tcMar>
              <w:top w:w="60" w:type="dxa"/>
              <w:left w:w="80" w:type="dxa"/>
              <w:bottom w:w="60" w:type="dxa"/>
              <w:right w:w="80" w:type="dxa"/>
            </w:tcMar>
          </w:tcPr>
          <w:p w14:paraId="5A108324" w14:textId="77777777" w:rsidR="00FE7132" w:rsidRDefault="0024072B">
            <w:r>
              <w:rPr>
                <w:sz w:val="20"/>
                <w:szCs w:val="20"/>
              </w:rPr>
              <w:t>Fluoroquinolone resistance in epidemic lineages; disease driven by microbiota disruption</w:t>
            </w:r>
          </w:p>
        </w:tc>
        <w:tc>
          <w:tcPr>
            <w:tcW w:w="2100" w:type="dxa"/>
            <w:tcMar>
              <w:top w:w="60" w:type="dxa"/>
              <w:left w:w="80" w:type="dxa"/>
              <w:bottom w:w="60" w:type="dxa"/>
              <w:right w:w="80" w:type="dxa"/>
            </w:tcMar>
          </w:tcPr>
          <w:p w14:paraId="4683EE32" w14:textId="77777777" w:rsidR="00FE7132" w:rsidRDefault="0024072B">
            <w:r>
              <w:rPr>
                <w:sz w:val="20"/>
                <w:szCs w:val="20"/>
              </w:rPr>
              <w:t>Consequence of broad-spectrum exposure rather than failure of a single class</w:t>
            </w:r>
          </w:p>
        </w:tc>
        <w:tc>
          <w:tcPr>
            <w:tcW w:w="2300" w:type="dxa"/>
            <w:tcMar>
              <w:top w:w="60" w:type="dxa"/>
              <w:left w:w="80" w:type="dxa"/>
              <w:bottom w:w="60" w:type="dxa"/>
              <w:right w:w="80" w:type="dxa"/>
            </w:tcMar>
          </w:tcPr>
          <w:p w14:paraId="4E55C024" w14:textId="77777777" w:rsidR="00FE7132" w:rsidRDefault="0024072B">
            <w:r>
              <w:rPr>
                <w:sz w:val="20"/>
                <w:szCs w:val="20"/>
              </w:rPr>
              <w:t xml:space="preserve">223,900 cases among </w:t>
            </w:r>
            <w:proofErr w:type="spellStart"/>
            <w:r>
              <w:rPr>
                <w:sz w:val="20"/>
                <w:szCs w:val="20"/>
              </w:rPr>
              <w:t>hospitalised</w:t>
            </w:r>
            <w:proofErr w:type="spellEnd"/>
            <w:r>
              <w:rPr>
                <w:sz w:val="20"/>
                <w:szCs w:val="20"/>
              </w:rPr>
              <w:t xml:space="preserve"> US patients and 12,800 deaths in 2017; responsive to stewardship</w:t>
            </w:r>
          </w:p>
        </w:tc>
      </w:tr>
    </w:tbl>
    <w:p w14:paraId="372682E3" w14:textId="77777777" w:rsidR="00FE7132" w:rsidRDefault="00FE7132">
      <w:pPr>
        <w:spacing w:after="160"/>
      </w:pPr>
    </w:p>
    <w:p w14:paraId="5B78141B" w14:textId="77777777" w:rsidR="00FE7132" w:rsidRDefault="0024072B">
      <w:pPr>
        <w:pStyle w:val="Heading1"/>
        <w:spacing w:before="280" w:after="140"/>
      </w:pPr>
      <w:r>
        <w:rPr>
          <w:b/>
          <w:bCs/>
          <w:color w:val="000000"/>
          <w:sz w:val="26"/>
          <w:szCs w:val="26"/>
        </w:rPr>
        <w:t>7. Public Health and Clinical Implications</w:t>
      </w:r>
    </w:p>
    <w:p w14:paraId="28A84140" w14:textId="77777777" w:rsidR="00FE7132" w:rsidRDefault="0024072B">
      <w:pPr>
        <w:spacing w:after="160"/>
        <w:jc w:val="both"/>
      </w:pPr>
      <w:r>
        <w:rPr>
          <w:color w:val="000000"/>
        </w:rPr>
        <w:lastRenderedPageBreak/>
        <w:t>The immediate clinical consequence of resistance is the failure of empirical therapy. Because empirical regimens are selected before susceptibility data are available, rising resistance prevalence increases the probability that initial treatment is ineffective, and delay in effective therapy is among the strongest determinants of mortality in severe bacterial infection. Resistance thus exerts its effect on outcome partly through a delay that occurs before resistance has even been confirmed.</w:t>
      </w:r>
    </w:p>
    <w:p w14:paraId="59DC0E3D" w14:textId="77777777" w:rsidR="00FE7132" w:rsidRDefault="0024072B">
      <w:pPr>
        <w:spacing w:after="160"/>
        <w:jc w:val="both"/>
      </w:pPr>
      <w:r>
        <w:rPr>
          <w:color w:val="000000"/>
        </w:rPr>
        <w:t>The most recent global surveillance data indicate the scale of that exposure. In 2023, approximately one in six laboratory-confirmed bacterial infections worldwide was caused by organisms resistant to the antibiotics used to treat them, and resistance increased across more than 40% of the pathogen-antibiotic combinations monitored between 2018 and 2023, with average annual increases of 5% to 15% (WHO, 2025c). Resistance was highest in the WHO South-East Asian and Eastern Mediterranean Regions, where one in three reported infections was resistant, while one in five was resistant in the African Region (WHO, 2025c).</w:t>
      </w:r>
    </w:p>
    <w:p w14:paraId="6A1B19C4" w14:textId="77777777" w:rsidR="00FE7132" w:rsidRDefault="0024072B">
      <w:pPr>
        <w:spacing w:after="160"/>
        <w:jc w:val="both"/>
      </w:pPr>
      <w:r>
        <w:rPr>
          <w:color w:val="000000"/>
        </w:rPr>
        <w:t xml:space="preserve">Beyond mortality, resistant infection prolongs </w:t>
      </w:r>
      <w:proofErr w:type="spellStart"/>
      <w:r>
        <w:rPr>
          <w:color w:val="000000"/>
        </w:rPr>
        <w:t>hospitalisation</w:t>
      </w:r>
      <w:proofErr w:type="spellEnd"/>
      <w:r>
        <w:rPr>
          <w:color w:val="000000"/>
        </w:rPr>
        <w:t>, increases the use of second-line agents with greater toxicity and cost, and consumes isolation and intensive care capacity. These costs fall disproportionately on health systems least able to bear them, and are the mechanism by which resistance translates into reduced access to care for patients who never acquire a resistant organism.</w:t>
      </w:r>
    </w:p>
    <w:p w14:paraId="2CB86BB7" w14:textId="77777777" w:rsidR="00FE7132" w:rsidRDefault="0024072B">
      <w:pPr>
        <w:spacing w:after="160"/>
        <w:jc w:val="both"/>
      </w:pPr>
      <w:r>
        <w:rPr>
          <w:color w:val="000000"/>
        </w:rPr>
        <w:t>The threat to procedural medicine is frequently asserted and less frequently evidenced, but the logic is straightforward. Surgical prophylaxis, the management of neutropenia during chemotherapy, solid organ transplantation and neonatal intensive care all depend on reliable antibacterial cover, and each becomes materially more dangerous as the probability of effective prophylaxis falls.</w:t>
      </w:r>
    </w:p>
    <w:p w14:paraId="3A091A75" w14:textId="77777777" w:rsidR="00FE7132" w:rsidRDefault="0024072B">
      <w:pPr>
        <w:spacing w:after="160"/>
        <w:jc w:val="both"/>
      </w:pPr>
      <w:r>
        <w:rPr>
          <w:color w:val="000000"/>
        </w:rPr>
        <w:t xml:space="preserve">The age distribution of the burden has shifted in a way that carries planning implications. Between 1990 and 2021, deaths from resistance fell by more than 50% among children under five while rising by over 80% among adults aged 70 and older, and those aged over 70 are forecast to account for 65.9% of all attributable deaths by 2050 (GBD 2021 Antimicrobial Resistance Collaborators, 2024). The decline in </w:t>
      </w:r>
      <w:proofErr w:type="spellStart"/>
      <w:r>
        <w:rPr>
          <w:color w:val="000000"/>
        </w:rPr>
        <w:t>paediatric</w:t>
      </w:r>
      <w:proofErr w:type="spellEnd"/>
      <w:r>
        <w:rPr>
          <w:color w:val="000000"/>
        </w:rPr>
        <w:t xml:space="preserve"> mortality is evidence that prevention works; the rise in older adults reflects demographic ageing alongside greater exposure to healthcare.</w:t>
      </w:r>
    </w:p>
    <w:p w14:paraId="0A48BF37" w14:textId="77777777" w:rsidR="00FE7132" w:rsidRDefault="0024072B">
      <w:pPr>
        <w:spacing w:after="160"/>
        <w:jc w:val="both"/>
      </w:pPr>
      <w:r>
        <w:rPr>
          <w:color w:val="000000"/>
        </w:rPr>
        <w:t>In low- and middle-income countries the burden compounds pre-existing vulnerability. Resistance is more common, and worsening, where health systems lack the capacity to diagnose or treat bacterial pathogens (WHO, 2025c). These problems form what is often called a syndemic: high infectious disease incidence, limited diagnostics, unregulated antibiotic access, inadequate water and sanitation and constrained access to effective second-line agents interact, so that each reinforces the others.</w:t>
      </w:r>
    </w:p>
    <w:p w14:paraId="23DC6A1D" w14:textId="77777777" w:rsidR="00FE7132" w:rsidRDefault="0024072B">
      <w:pPr>
        <w:spacing w:after="160"/>
        <w:jc w:val="both"/>
      </w:pPr>
      <w:r>
        <w:rPr>
          <w:color w:val="000000"/>
        </w:rPr>
        <w:t>The One Health dimension follows from the mechanisms in Section 5. Because resistance genes move between environmental, commensal, animal and human bacterial populations, interventions confined to a single sector address only part of the pressure that selects for resistance, even though the empirical magnitude of cross-sector transfer varies considerably by determinant.</w:t>
      </w:r>
    </w:p>
    <w:p w14:paraId="59DF98CD" w14:textId="77777777" w:rsidR="00FE7132" w:rsidRDefault="0024072B">
      <w:pPr>
        <w:pStyle w:val="Heading1"/>
        <w:spacing w:before="280" w:after="140"/>
      </w:pPr>
      <w:r>
        <w:rPr>
          <w:b/>
          <w:bCs/>
          <w:color w:val="000000"/>
          <w:sz w:val="26"/>
          <w:szCs w:val="26"/>
        </w:rPr>
        <w:t>8. Strategies for Prevention and Control</w:t>
      </w:r>
    </w:p>
    <w:p w14:paraId="71F5C823" w14:textId="77777777" w:rsidR="00FE7132" w:rsidRDefault="0024072B">
      <w:pPr>
        <w:spacing w:after="160"/>
        <w:jc w:val="both"/>
      </w:pPr>
      <w:r>
        <w:rPr>
          <w:color w:val="000000"/>
        </w:rPr>
        <w:lastRenderedPageBreak/>
        <w:t xml:space="preserve">Recent modelling has, for the first time, made it possible to rank interventions by the burden each could avert. Improving infection prevention and control in health facilities in low- and middle-income countries could prevent at least 337,000 deaths associated with resistance annually; universal access to high-quality water, sanitation and hygiene services could prevent 247,800; and </w:t>
      </w:r>
      <w:proofErr w:type="spellStart"/>
      <w:r>
        <w:rPr>
          <w:color w:val="000000"/>
        </w:rPr>
        <w:t>paediatric</w:t>
      </w:r>
      <w:proofErr w:type="spellEnd"/>
      <w:r>
        <w:rPr>
          <w:color w:val="000000"/>
        </w:rPr>
        <w:t xml:space="preserve"> vaccines could prevent 181,500. Together these correspond to 7.8%, 5.7% and 4.2% respectively of resistance-associated mortality in these settings, indicating that the 10% reduction target by 2030 is achievable with interventions that already exist (</w:t>
      </w:r>
      <w:proofErr w:type="spellStart"/>
      <w:r>
        <w:rPr>
          <w:color w:val="000000"/>
        </w:rPr>
        <w:t>Lewnard</w:t>
      </w:r>
      <w:proofErr w:type="spellEnd"/>
      <w:r>
        <w:rPr>
          <w:color w:val="000000"/>
        </w:rPr>
        <w:t xml:space="preserve"> et al., 2024). This should change priorities: the interventions with the largest modelled effect are not the ones that attract most attention or funding.</w:t>
      </w:r>
    </w:p>
    <w:p w14:paraId="7D0BD47B" w14:textId="77777777" w:rsidR="00FE7132" w:rsidRDefault="0024072B">
      <w:pPr>
        <w:pStyle w:val="Heading2"/>
        <w:spacing w:before="280" w:after="140"/>
      </w:pPr>
      <w:r>
        <w:rPr>
          <w:b/>
          <w:bCs/>
          <w:color w:val="000000"/>
          <w:sz w:val="24"/>
          <w:szCs w:val="24"/>
        </w:rPr>
        <w:t>8.1 Antimicrobial stewardship</w:t>
      </w:r>
    </w:p>
    <w:p w14:paraId="49E376EF" w14:textId="77777777" w:rsidR="00FE7132" w:rsidRDefault="0024072B">
      <w:pPr>
        <w:spacing w:after="160"/>
        <w:jc w:val="both"/>
      </w:pPr>
      <w:r>
        <w:rPr>
          <w:color w:val="000000"/>
        </w:rPr>
        <w:t xml:space="preserve">Stewardship has the strongest trial evidence of any prescribing intervention. Cochrane review evidence establishes with high certainty that interventions to improve inpatient prescribing increase compliance with prescribing guidance and reduce treatment duration, and with moderate certainty that they reduce length of stay without increasing mortality (Davey et al., 2017). Meta-analysis further demonstrates that stewardship </w:t>
      </w:r>
      <w:proofErr w:type="spellStart"/>
      <w:r>
        <w:rPr>
          <w:color w:val="000000"/>
        </w:rPr>
        <w:t>programmes</w:t>
      </w:r>
      <w:proofErr w:type="spellEnd"/>
      <w:r>
        <w:rPr>
          <w:color w:val="000000"/>
        </w:rPr>
        <w:t xml:space="preserve"> reduce the incidence of infection and </w:t>
      </w:r>
      <w:proofErr w:type="spellStart"/>
      <w:r>
        <w:rPr>
          <w:color w:val="000000"/>
        </w:rPr>
        <w:t>colonisation</w:t>
      </w:r>
      <w:proofErr w:type="spellEnd"/>
      <w:r>
        <w:rPr>
          <w:color w:val="000000"/>
        </w:rPr>
        <w:t xml:space="preserve"> with multidrug-resistant Gram-negative bacteria by 51%, with extended-spectrum beta-lactamase-producing organisms by 48%, with methicillin-resistant </w:t>
      </w:r>
      <w:r>
        <w:rPr>
          <w:i/>
          <w:iCs/>
          <w:color w:val="000000"/>
        </w:rPr>
        <w:t>S. aureus</w:t>
      </w:r>
      <w:r>
        <w:rPr>
          <w:color w:val="000000"/>
        </w:rPr>
        <w:t xml:space="preserve"> by 37% and with </w:t>
      </w:r>
      <w:r>
        <w:rPr>
          <w:i/>
          <w:iCs/>
          <w:color w:val="000000"/>
        </w:rPr>
        <w:t>C. difficile</w:t>
      </w:r>
      <w:r>
        <w:rPr>
          <w:color w:val="000000"/>
        </w:rPr>
        <w:t xml:space="preserve"> by 32%, and that effects are substantially larger when stewardship is combined with infection control, particularly hand hygiene (Baur et al., 2017).</w:t>
      </w:r>
    </w:p>
    <w:p w14:paraId="3656793B" w14:textId="77777777" w:rsidR="00FE7132" w:rsidRDefault="0024072B">
      <w:pPr>
        <w:spacing w:after="160"/>
        <w:jc w:val="both"/>
      </w:pPr>
      <w:r>
        <w:rPr>
          <w:color w:val="000000"/>
        </w:rPr>
        <w:t>The evidence has two limits. Stewardship did not reduce the incidence of vancomycin-resistant enterococci or quinolone- and aminoglycoside-resistant Gram-negative organisms in that analysis, so the benefit is not uniform across organisms. And the evidence base from low- and middle-income countries remains weaker in design quality, although a meta-analysis of African hospital studies found a relative risk for mortality of 0.82 and a reduction in length of stay (</w:t>
      </w:r>
      <w:proofErr w:type="spellStart"/>
      <w:r>
        <w:rPr>
          <w:color w:val="000000"/>
        </w:rPr>
        <w:t>Siachalinga</w:t>
      </w:r>
      <w:proofErr w:type="spellEnd"/>
      <w:r>
        <w:rPr>
          <w:color w:val="000000"/>
        </w:rPr>
        <w:t xml:space="preserve"> et al., 2022).</w:t>
      </w:r>
    </w:p>
    <w:p w14:paraId="2E758E12" w14:textId="77777777" w:rsidR="00FE7132" w:rsidRDefault="0024072B">
      <w:pPr>
        <w:pStyle w:val="Heading2"/>
        <w:spacing w:before="280" w:after="140"/>
      </w:pPr>
      <w:r>
        <w:rPr>
          <w:b/>
          <w:bCs/>
          <w:color w:val="000000"/>
          <w:sz w:val="24"/>
          <w:szCs w:val="24"/>
        </w:rPr>
        <w:t>8.2 Infection prevention, control, and water, sanitation and hygiene</w:t>
      </w:r>
    </w:p>
    <w:p w14:paraId="6ED826DF" w14:textId="77777777" w:rsidR="00FE7132" w:rsidRDefault="0024072B">
      <w:pPr>
        <w:spacing w:after="160"/>
        <w:jc w:val="both"/>
      </w:pPr>
      <w:r>
        <w:rPr>
          <w:color w:val="000000"/>
        </w:rPr>
        <w:t xml:space="preserve">On the modelled evidence these are the highest-yield interventions available, and the international targets reflect this: the 2024 political declaration commits to 100% of countries having basic water, sanitation, hygiene and waste management services in all healthcare facilities and 90% meeting WHO minimum requirements for infection prevention and control </w:t>
      </w:r>
      <w:proofErr w:type="spellStart"/>
      <w:r>
        <w:rPr>
          <w:color w:val="000000"/>
        </w:rPr>
        <w:t>programmes</w:t>
      </w:r>
      <w:proofErr w:type="spellEnd"/>
      <w:r>
        <w:rPr>
          <w:color w:val="000000"/>
        </w:rPr>
        <w:t xml:space="preserve"> by 2030 (WHO, 2024b). Their benefit shows up mainly as infections that never happen, which makes it easy to overlook and hard to fund.</w:t>
      </w:r>
    </w:p>
    <w:p w14:paraId="75582D26" w14:textId="77777777" w:rsidR="00FE7132" w:rsidRDefault="0024072B">
      <w:pPr>
        <w:pStyle w:val="Heading2"/>
        <w:spacing w:before="280" w:after="140"/>
      </w:pPr>
      <w:r>
        <w:rPr>
          <w:b/>
          <w:bCs/>
          <w:color w:val="000000"/>
          <w:sz w:val="24"/>
          <w:szCs w:val="24"/>
        </w:rPr>
        <w:t>8.3 Vaccination</w:t>
      </w:r>
    </w:p>
    <w:p w14:paraId="52C8F99F" w14:textId="77777777" w:rsidR="00FE7132" w:rsidRDefault="0024072B">
      <w:pPr>
        <w:spacing w:after="160"/>
        <w:jc w:val="both"/>
      </w:pPr>
      <w:r>
        <w:rPr>
          <w:color w:val="000000"/>
        </w:rPr>
        <w:t>Vaccines reduce resistance through two distinct routes: by preventing infections that would otherwise be treated with antibiotics, and by preventing resistant infections directly. Pneumococcal conjugate vaccines and rotavirus vaccines confer 19.7% and 11.4% protection respectively against antibiotic-treated episodes in the age groups bearing the greatest burden, preventing an estimated 23.8 million and 13.6 million episodes of antibiotic-treated illness annually among children under five in low- and middle-income countries (</w:t>
      </w:r>
      <w:proofErr w:type="spellStart"/>
      <w:r>
        <w:rPr>
          <w:color w:val="000000"/>
        </w:rPr>
        <w:t>Lewnard</w:t>
      </w:r>
      <w:proofErr w:type="spellEnd"/>
      <w:r>
        <w:rPr>
          <w:color w:val="000000"/>
        </w:rPr>
        <w:t xml:space="preserve"> et al., 2020).</w:t>
      </w:r>
    </w:p>
    <w:p w14:paraId="031D3B7B" w14:textId="77777777" w:rsidR="00FE7132" w:rsidRDefault="0024072B">
      <w:pPr>
        <w:spacing w:after="160"/>
        <w:jc w:val="both"/>
      </w:pPr>
      <w:r>
        <w:rPr>
          <w:color w:val="000000"/>
        </w:rPr>
        <w:t xml:space="preserve">The direct effect on resistance is also documented. In the decade following pneumococcal conjugate vaccine implementation, absolute reductions were observed in the proportion of </w:t>
      </w:r>
      <w:proofErr w:type="spellStart"/>
      <w:r>
        <w:rPr>
          <w:color w:val="000000"/>
        </w:rPr>
        <w:lastRenderedPageBreak/>
        <w:t>paediatric</w:t>
      </w:r>
      <w:proofErr w:type="spellEnd"/>
      <w:r>
        <w:rPr>
          <w:color w:val="000000"/>
        </w:rPr>
        <w:t xml:space="preserve"> pneumococcal isolates non-susceptible to penicillin of 11.5%, to trimethoprim-sulfamethoxazole of 9.7% and to third-generation cephalosporins of 7.5% (Andrejko et al., 2021). Serotype replacement partially offsets these gains, and the effect should not be overstated, but vaccination remains the only intervention that reduces both the need for antibiotics and the prevalence of resistant organisms simultaneously.</w:t>
      </w:r>
    </w:p>
    <w:p w14:paraId="137F94AF" w14:textId="77777777" w:rsidR="00FE7132" w:rsidRDefault="0024072B">
      <w:pPr>
        <w:pStyle w:val="Heading2"/>
        <w:spacing w:before="280" w:after="140"/>
      </w:pPr>
      <w:r>
        <w:rPr>
          <w:b/>
          <w:bCs/>
          <w:color w:val="000000"/>
          <w:sz w:val="24"/>
          <w:szCs w:val="24"/>
        </w:rPr>
        <w:t>8.4 Diagnostics and surveillance</w:t>
      </w:r>
    </w:p>
    <w:p w14:paraId="2077BD7E" w14:textId="77777777" w:rsidR="00FE7132" w:rsidRDefault="0024072B">
      <w:pPr>
        <w:spacing w:after="160"/>
        <w:jc w:val="both"/>
      </w:pPr>
      <w:r>
        <w:rPr>
          <w:color w:val="000000"/>
        </w:rPr>
        <w:t>Because empirical prescribing is a direct driver of resistance (Section 4.4), expanding diagnostic capacity is itself a form of stewardship. The 2025 GLASS report sets out priorities for strengthening national surveillance systems in line with the 2030 global targets, including a scoring framework for assessing the completeness of national data (WHO, 2025a). Genomic surveillance offers higher resolution, and the WHO catalogue of tuberculosis resistance mutations demonstrates its operational value (Walker et al., 2022), but sequencing capacity cannot substitute for the basic bacteriology that most high-burden settings still lack.</w:t>
      </w:r>
    </w:p>
    <w:p w14:paraId="2CAD52EE" w14:textId="77777777" w:rsidR="00FE7132" w:rsidRDefault="0024072B">
      <w:pPr>
        <w:pStyle w:val="Heading2"/>
        <w:spacing w:before="280" w:after="140"/>
      </w:pPr>
      <w:r>
        <w:rPr>
          <w:b/>
          <w:bCs/>
          <w:color w:val="000000"/>
          <w:sz w:val="24"/>
          <w:szCs w:val="24"/>
        </w:rPr>
        <w:t>8.5 Regulation of access and responsible agricultural use</w:t>
      </w:r>
    </w:p>
    <w:p w14:paraId="10534B3B" w14:textId="77777777" w:rsidR="00FE7132" w:rsidRDefault="0024072B">
      <w:pPr>
        <w:spacing w:after="160"/>
        <w:jc w:val="both"/>
      </w:pPr>
      <w:r>
        <w:rPr>
          <w:color w:val="000000"/>
        </w:rPr>
        <w:t>Given the prevalence of non-prescription access documented in Section 4.2, regulation of retail antibiotic sales is an obvious lever, but enforcement in the absence of accessible clinical alternatives tends to move demand elsewhere without reducing it. Regulation is therefore most defensible when paired with improvements in affordable primary care. In the agricultural sector, the 2024 political declaration adopts a One Health approach, committing member states to action spanning human, animal, agricultural and environmental health (WHO, 2024b).</w:t>
      </w:r>
    </w:p>
    <w:p w14:paraId="6679D6F2" w14:textId="77777777" w:rsidR="00FE7132" w:rsidRDefault="0024072B">
      <w:pPr>
        <w:pStyle w:val="Heading2"/>
        <w:spacing w:before="280" w:after="140"/>
      </w:pPr>
      <w:r>
        <w:rPr>
          <w:b/>
          <w:bCs/>
          <w:color w:val="000000"/>
          <w:sz w:val="24"/>
          <w:szCs w:val="24"/>
        </w:rPr>
        <w:t>8.6 National action plans and international coordination</w:t>
      </w:r>
    </w:p>
    <w:p w14:paraId="6B37EAD0" w14:textId="77777777" w:rsidR="00FE7132" w:rsidRDefault="0024072B">
      <w:pPr>
        <w:spacing w:after="160"/>
        <w:jc w:val="both"/>
      </w:pPr>
      <w:r>
        <w:rPr>
          <w:color w:val="000000"/>
        </w:rPr>
        <w:t>The 2024 political declaration set a target of at least 60% of countries having funded national action plans by 2030, supported by US$100 million in catalytic funding (WHO, 2024b). Nigeria’s experience illustrates both the value and the limits of such plans. Assessment of the first national action plan, covering 2017 to 2022, found only a 44% completion rate, with weak involvement from the environment, food, aquaculture and agriculture sectors; the second plan, covering 2024 to 2028, was launched in October 2024 (Federal Government of Nigeria, 2024; WHO Regional Office for Africa, 2024). The problem was not the content of the plan but its implementation across sectors.</w:t>
      </w:r>
    </w:p>
    <w:p w14:paraId="5B3812CA" w14:textId="77777777" w:rsidR="00FE7132" w:rsidRDefault="0024072B">
      <w:pPr>
        <w:spacing w:before="240" w:after="100"/>
      </w:pPr>
      <w:r>
        <w:rPr>
          <w:sz w:val="22"/>
          <w:szCs w:val="22"/>
        </w:rPr>
        <w:t>Table 3. Strategies for the prevention and control of antibiotic resistance, with expected benefit and principal implementation challenge.</w:t>
      </w:r>
    </w:p>
    <w:tbl>
      <w:tblPr>
        <w:tblW w:w="10300" w:type="dxa"/>
        <w:tblBorders>
          <w:top w:val="single" w:sz="6" w:space="0" w:color="auto"/>
          <w:bottom w:val="single" w:sz="6" w:space="0" w:color="auto"/>
          <w:insideH w:val="single" w:sz="2" w:space="0" w:color="auto"/>
        </w:tblBorders>
        <w:tblCellMar>
          <w:left w:w="10" w:type="dxa"/>
          <w:right w:w="10" w:type="dxa"/>
        </w:tblCellMar>
        <w:tblLook w:val="04A0" w:firstRow="1" w:lastRow="0" w:firstColumn="1" w:lastColumn="0" w:noHBand="0" w:noVBand="1"/>
      </w:tblPr>
      <w:tblGrid>
        <w:gridCol w:w="2199"/>
        <w:gridCol w:w="1899"/>
        <w:gridCol w:w="2498"/>
        <w:gridCol w:w="2199"/>
        <w:gridCol w:w="1505"/>
      </w:tblGrid>
      <w:tr w:rsidR="00FE7132" w14:paraId="638ACBB0" w14:textId="77777777">
        <w:trPr>
          <w:tblHeader/>
        </w:trPr>
        <w:tc>
          <w:tcPr>
            <w:tcW w:w="2200" w:type="dxa"/>
            <w:shd w:val="clear" w:color="auto" w:fill="E8E8E8"/>
            <w:tcMar>
              <w:top w:w="60" w:type="dxa"/>
              <w:left w:w="80" w:type="dxa"/>
              <w:bottom w:w="60" w:type="dxa"/>
              <w:right w:w="80" w:type="dxa"/>
            </w:tcMar>
          </w:tcPr>
          <w:p w14:paraId="1135B883" w14:textId="77777777" w:rsidR="00FE7132" w:rsidRDefault="0024072B">
            <w:r>
              <w:rPr>
                <w:b/>
                <w:bCs/>
                <w:sz w:val="20"/>
                <w:szCs w:val="20"/>
              </w:rPr>
              <w:t>Intervention</w:t>
            </w:r>
          </w:p>
        </w:tc>
        <w:tc>
          <w:tcPr>
            <w:tcW w:w="1900" w:type="dxa"/>
            <w:shd w:val="clear" w:color="auto" w:fill="E8E8E8"/>
            <w:tcMar>
              <w:top w:w="60" w:type="dxa"/>
              <w:left w:w="80" w:type="dxa"/>
              <w:bottom w:w="60" w:type="dxa"/>
              <w:right w:w="80" w:type="dxa"/>
            </w:tcMar>
          </w:tcPr>
          <w:p w14:paraId="54F426FF" w14:textId="77777777" w:rsidR="00FE7132" w:rsidRDefault="0024072B">
            <w:r>
              <w:rPr>
                <w:b/>
                <w:bCs/>
                <w:sz w:val="20"/>
                <w:szCs w:val="20"/>
              </w:rPr>
              <w:t>Primary target</w:t>
            </w:r>
          </w:p>
        </w:tc>
        <w:tc>
          <w:tcPr>
            <w:tcW w:w="2500" w:type="dxa"/>
            <w:shd w:val="clear" w:color="auto" w:fill="E8E8E8"/>
            <w:tcMar>
              <w:top w:w="60" w:type="dxa"/>
              <w:left w:w="80" w:type="dxa"/>
              <w:bottom w:w="60" w:type="dxa"/>
              <w:right w:w="80" w:type="dxa"/>
            </w:tcMar>
          </w:tcPr>
          <w:p w14:paraId="3588E153" w14:textId="77777777" w:rsidR="00FE7132" w:rsidRDefault="0024072B">
            <w:r>
              <w:rPr>
                <w:b/>
                <w:bCs/>
                <w:sz w:val="20"/>
                <w:szCs w:val="20"/>
              </w:rPr>
              <w:t>Mechanism or approach</w:t>
            </w:r>
          </w:p>
        </w:tc>
        <w:tc>
          <w:tcPr>
            <w:tcW w:w="2200" w:type="dxa"/>
            <w:shd w:val="clear" w:color="auto" w:fill="E8E8E8"/>
            <w:tcMar>
              <w:top w:w="60" w:type="dxa"/>
              <w:left w:w="80" w:type="dxa"/>
              <w:bottom w:w="60" w:type="dxa"/>
              <w:right w:w="80" w:type="dxa"/>
            </w:tcMar>
          </w:tcPr>
          <w:p w14:paraId="5F38FB14" w14:textId="77777777" w:rsidR="00FE7132" w:rsidRDefault="0024072B">
            <w:r>
              <w:rPr>
                <w:b/>
                <w:bCs/>
                <w:sz w:val="20"/>
                <w:szCs w:val="20"/>
              </w:rPr>
              <w:t>Expected public health benefit</w:t>
            </w:r>
          </w:p>
        </w:tc>
        <w:tc>
          <w:tcPr>
            <w:tcW w:w="1500" w:type="dxa"/>
            <w:shd w:val="clear" w:color="auto" w:fill="E8E8E8"/>
            <w:tcMar>
              <w:top w:w="60" w:type="dxa"/>
              <w:left w:w="80" w:type="dxa"/>
              <w:bottom w:w="60" w:type="dxa"/>
              <w:right w:w="80" w:type="dxa"/>
            </w:tcMar>
          </w:tcPr>
          <w:p w14:paraId="28050483" w14:textId="77777777" w:rsidR="00FE7132" w:rsidRDefault="0024072B">
            <w:r>
              <w:rPr>
                <w:b/>
                <w:bCs/>
                <w:sz w:val="20"/>
                <w:szCs w:val="20"/>
              </w:rPr>
              <w:t>Key implementation challenge</w:t>
            </w:r>
          </w:p>
        </w:tc>
      </w:tr>
      <w:tr w:rsidR="00FE7132" w14:paraId="7D69C04F" w14:textId="77777777">
        <w:tc>
          <w:tcPr>
            <w:tcW w:w="2200" w:type="dxa"/>
            <w:tcMar>
              <w:top w:w="60" w:type="dxa"/>
              <w:left w:w="80" w:type="dxa"/>
              <w:bottom w:w="60" w:type="dxa"/>
              <w:right w:w="80" w:type="dxa"/>
            </w:tcMar>
          </w:tcPr>
          <w:p w14:paraId="5EB4FE52" w14:textId="77777777" w:rsidR="00FE7132" w:rsidRDefault="0024072B">
            <w:r>
              <w:rPr>
                <w:sz w:val="20"/>
                <w:szCs w:val="20"/>
              </w:rPr>
              <w:t>Infection prevention and control</w:t>
            </w:r>
          </w:p>
        </w:tc>
        <w:tc>
          <w:tcPr>
            <w:tcW w:w="1900" w:type="dxa"/>
            <w:tcMar>
              <w:top w:w="60" w:type="dxa"/>
              <w:left w:w="80" w:type="dxa"/>
              <w:bottom w:w="60" w:type="dxa"/>
              <w:right w:w="80" w:type="dxa"/>
            </w:tcMar>
          </w:tcPr>
          <w:p w14:paraId="608D7265" w14:textId="77777777" w:rsidR="00FE7132" w:rsidRDefault="0024072B">
            <w:r>
              <w:rPr>
                <w:sz w:val="20"/>
                <w:szCs w:val="20"/>
              </w:rPr>
              <w:t>Transmission of resistant organisms in health facilities</w:t>
            </w:r>
          </w:p>
        </w:tc>
        <w:tc>
          <w:tcPr>
            <w:tcW w:w="2500" w:type="dxa"/>
            <w:tcMar>
              <w:top w:w="60" w:type="dxa"/>
              <w:left w:w="80" w:type="dxa"/>
              <w:bottom w:w="60" w:type="dxa"/>
              <w:right w:w="80" w:type="dxa"/>
            </w:tcMar>
          </w:tcPr>
          <w:p w14:paraId="2D6A6808" w14:textId="77777777" w:rsidR="00FE7132" w:rsidRDefault="0024072B">
            <w:r>
              <w:rPr>
                <w:sz w:val="20"/>
                <w:szCs w:val="20"/>
              </w:rPr>
              <w:t>Hand hygiene, environmental cleaning, device and isolation protocols, staffing</w:t>
            </w:r>
          </w:p>
        </w:tc>
        <w:tc>
          <w:tcPr>
            <w:tcW w:w="2200" w:type="dxa"/>
            <w:tcMar>
              <w:top w:w="60" w:type="dxa"/>
              <w:left w:w="80" w:type="dxa"/>
              <w:bottom w:w="60" w:type="dxa"/>
              <w:right w:w="80" w:type="dxa"/>
            </w:tcMar>
          </w:tcPr>
          <w:p w14:paraId="6625BE7D" w14:textId="77777777" w:rsidR="00FE7132" w:rsidRDefault="0024072B">
            <w:r>
              <w:rPr>
                <w:sz w:val="20"/>
                <w:szCs w:val="20"/>
              </w:rPr>
              <w:t>At least 337,000 AMR-associated deaths averted annually in LMICs</w:t>
            </w:r>
          </w:p>
        </w:tc>
        <w:tc>
          <w:tcPr>
            <w:tcW w:w="1500" w:type="dxa"/>
            <w:tcMar>
              <w:top w:w="60" w:type="dxa"/>
              <w:left w:w="80" w:type="dxa"/>
              <w:bottom w:w="60" w:type="dxa"/>
              <w:right w:w="80" w:type="dxa"/>
            </w:tcMar>
          </w:tcPr>
          <w:p w14:paraId="5109BB78" w14:textId="77777777" w:rsidR="00FE7132" w:rsidRDefault="0024072B">
            <w:r>
              <w:rPr>
                <w:sz w:val="20"/>
                <w:szCs w:val="20"/>
              </w:rPr>
              <w:t>Sustained financing and staffing for benefits that are invisible when achieved</w:t>
            </w:r>
          </w:p>
        </w:tc>
      </w:tr>
      <w:tr w:rsidR="00FE7132" w14:paraId="4E24C9BD" w14:textId="77777777">
        <w:tc>
          <w:tcPr>
            <w:tcW w:w="2200" w:type="dxa"/>
            <w:tcMar>
              <w:top w:w="60" w:type="dxa"/>
              <w:left w:w="80" w:type="dxa"/>
              <w:bottom w:w="60" w:type="dxa"/>
              <w:right w:w="80" w:type="dxa"/>
            </w:tcMar>
          </w:tcPr>
          <w:p w14:paraId="5D038F1C" w14:textId="77777777" w:rsidR="00FE7132" w:rsidRDefault="0024072B">
            <w:r>
              <w:rPr>
                <w:sz w:val="20"/>
                <w:szCs w:val="20"/>
              </w:rPr>
              <w:lastRenderedPageBreak/>
              <w:t>Water, sanitation and hygiene</w:t>
            </w:r>
          </w:p>
        </w:tc>
        <w:tc>
          <w:tcPr>
            <w:tcW w:w="1900" w:type="dxa"/>
            <w:tcMar>
              <w:top w:w="60" w:type="dxa"/>
              <w:left w:w="80" w:type="dxa"/>
              <w:bottom w:w="60" w:type="dxa"/>
              <w:right w:w="80" w:type="dxa"/>
            </w:tcMar>
          </w:tcPr>
          <w:p w14:paraId="6C95FB1D" w14:textId="77777777" w:rsidR="00FE7132" w:rsidRDefault="0024072B">
            <w:r>
              <w:rPr>
                <w:sz w:val="20"/>
                <w:szCs w:val="20"/>
              </w:rPr>
              <w:t>Community and facility transmission of enteric and other pathogens</w:t>
            </w:r>
          </w:p>
        </w:tc>
        <w:tc>
          <w:tcPr>
            <w:tcW w:w="2500" w:type="dxa"/>
            <w:tcMar>
              <w:top w:w="60" w:type="dxa"/>
              <w:left w:w="80" w:type="dxa"/>
              <w:bottom w:w="60" w:type="dxa"/>
              <w:right w:w="80" w:type="dxa"/>
            </w:tcMar>
          </w:tcPr>
          <w:p w14:paraId="50CF6E7C" w14:textId="77777777" w:rsidR="00FE7132" w:rsidRDefault="0024072B">
            <w:r>
              <w:rPr>
                <w:sz w:val="20"/>
                <w:szCs w:val="20"/>
              </w:rPr>
              <w:t>Universal access to safe water, sanitation and waste management</w:t>
            </w:r>
          </w:p>
        </w:tc>
        <w:tc>
          <w:tcPr>
            <w:tcW w:w="2200" w:type="dxa"/>
            <w:tcMar>
              <w:top w:w="60" w:type="dxa"/>
              <w:left w:w="80" w:type="dxa"/>
              <w:bottom w:w="60" w:type="dxa"/>
              <w:right w:w="80" w:type="dxa"/>
            </w:tcMar>
          </w:tcPr>
          <w:p w14:paraId="40CE7B11" w14:textId="77777777" w:rsidR="00FE7132" w:rsidRDefault="0024072B">
            <w:r>
              <w:rPr>
                <w:sz w:val="20"/>
                <w:szCs w:val="20"/>
              </w:rPr>
              <w:t>An estimated 247,800 AMR-associated deaths averted annually in LMICs</w:t>
            </w:r>
          </w:p>
        </w:tc>
        <w:tc>
          <w:tcPr>
            <w:tcW w:w="1500" w:type="dxa"/>
            <w:tcMar>
              <w:top w:w="60" w:type="dxa"/>
              <w:left w:w="80" w:type="dxa"/>
              <w:bottom w:w="60" w:type="dxa"/>
              <w:right w:w="80" w:type="dxa"/>
            </w:tcMar>
          </w:tcPr>
          <w:p w14:paraId="4C5403DB" w14:textId="77777777" w:rsidR="00FE7132" w:rsidRDefault="0024072B">
            <w:r>
              <w:rPr>
                <w:sz w:val="20"/>
                <w:szCs w:val="20"/>
              </w:rPr>
              <w:t>Capital infrastructure cost and responsibility split across ministries</w:t>
            </w:r>
          </w:p>
        </w:tc>
      </w:tr>
      <w:tr w:rsidR="00FE7132" w14:paraId="1398C38D" w14:textId="77777777">
        <w:tc>
          <w:tcPr>
            <w:tcW w:w="2200" w:type="dxa"/>
            <w:tcMar>
              <w:top w:w="60" w:type="dxa"/>
              <w:left w:w="80" w:type="dxa"/>
              <w:bottom w:w="60" w:type="dxa"/>
              <w:right w:w="80" w:type="dxa"/>
            </w:tcMar>
          </w:tcPr>
          <w:p w14:paraId="745C480D" w14:textId="77777777" w:rsidR="00FE7132" w:rsidRDefault="0024072B">
            <w:r>
              <w:rPr>
                <w:sz w:val="20"/>
                <w:szCs w:val="20"/>
              </w:rPr>
              <w:t>Vaccination</w:t>
            </w:r>
          </w:p>
        </w:tc>
        <w:tc>
          <w:tcPr>
            <w:tcW w:w="1900" w:type="dxa"/>
            <w:tcMar>
              <w:top w:w="60" w:type="dxa"/>
              <w:left w:w="80" w:type="dxa"/>
              <w:bottom w:w="60" w:type="dxa"/>
              <w:right w:w="80" w:type="dxa"/>
            </w:tcMar>
          </w:tcPr>
          <w:p w14:paraId="1345063F" w14:textId="77777777" w:rsidR="00FE7132" w:rsidRDefault="0024072B">
            <w:r>
              <w:rPr>
                <w:sz w:val="20"/>
                <w:szCs w:val="20"/>
              </w:rPr>
              <w:t>Infection incidence and consequent antibiotic demand</w:t>
            </w:r>
          </w:p>
        </w:tc>
        <w:tc>
          <w:tcPr>
            <w:tcW w:w="2500" w:type="dxa"/>
            <w:tcMar>
              <w:top w:w="60" w:type="dxa"/>
              <w:left w:w="80" w:type="dxa"/>
              <w:bottom w:w="60" w:type="dxa"/>
              <w:right w:w="80" w:type="dxa"/>
            </w:tcMar>
          </w:tcPr>
          <w:p w14:paraId="5A0D6B89" w14:textId="77777777" w:rsidR="00FE7132" w:rsidRDefault="0024072B">
            <w:r>
              <w:rPr>
                <w:sz w:val="20"/>
                <w:szCs w:val="20"/>
              </w:rPr>
              <w:t>Pneumococcal, rotavirus, typhoid and other conjugate and live vaccines</w:t>
            </w:r>
          </w:p>
        </w:tc>
        <w:tc>
          <w:tcPr>
            <w:tcW w:w="2200" w:type="dxa"/>
            <w:tcMar>
              <w:top w:w="60" w:type="dxa"/>
              <w:left w:w="80" w:type="dxa"/>
              <w:bottom w:w="60" w:type="dxa"/>
              <w:right w:w="80" w:type="dxa"/>
            </w:tcMar>
          </w:tcPr>
          <w:p w14:paraId="4FE36001" w14:textId="77777777" w:rsidR="00FE7132" w:rsidRDefault="0024072B">
            <w:r>
              <w:rPr>
                <w:sz w:val="20"/>
                <w:szCs w:val="20"/>
              </w:rPr>
              <w:t>An estimated 181,500 deaths averted annually; documented falls in resistant pneumococcal serotypes</w:t>
            </w:r>
          </w:p>
        </w:tc>
        <w:tc>
          <w:tcPr>
            <w:tcW w:w="1500" w:type="dxa"/>
            <w:tcMar>
              <w:top w:w="60" w:type="dxa"/>
              <w:left w:w="80" w:type="dxa"/>
              <w:bottom w:w="60" w:type="dxa"/>
              <w:right w:w="80" w:type="dxa"/>
            </w:tcMar>
          </w:tcPr>
          <w:p w14:paraId="60E6DC28" w14:textId="77777777" w:rsidR="00FE7132" w:rsidRDefault="0024072B">
            <w:r>
              <w:rPr>
                <w:sz w:val="20"/>
                <w:szCs w:val="20"/>
              </w:rPr>
              <w:t>Coverage gaps, serotype replacement, and financing after donor transition</w:t>
            </w:r>
          </w:p>
        </w:tc>
      </w:tr>
      <w:tr w:rsidR="00FE7132" w14:paraId="24C223E7" w14:textId="77777777">
        <w:tc>
          <w:tcPr>
            <w:tcW w:w="2200" w:type="dxa"/>
            <w:tcMar>
              <w:top w:w="60" w:type="dxa"/>
              <w:left w:w="80" w:type="dxa"/>
              <w:bottom w:w="60" w:type="dxa"/>
              <w:right w:w="80" w:type="dxa"/>
            </w:tcMar>
          </w:tcPr>
          <w:p w14:paraId="6692A39B" w14:textId="77777777" w:rsidR="00FE7132" w:rsidRDefault="0024072B">
            <w:r>
              <w:rPr>
                <w:sz w:val="20"/>
                <w:szCs w:val="20"/>
              </w:rPr>
              <w:t>Antimicrobial stewardship</w:t>
            </w:r>
          </w:p>
        </w:tc>
        <w:tc>
          <w:tcPr>
            <w:tcW w:w="1900" w:type="dxa"/>
            <w:tcMar>
              <w:top w:w="60" w:type="dxa"/>
              <w:left w:w="80" w:type="dxa"/>
              <w:bottom w:w="60" w:type="dxa"/>
              <w:right w:w="80" w:type="dxa"/>
            </w:tcMar>
          </w:tcPr>
          <w:p w14:paraId="229B51AB" w14:textId="77777777" w:rsidR="00FE7132" w:rsidRDefault="0024072B">
            <w:r>
              <w:rPr>
                <w:sz w:val="20"/>
                <w:szCs w:val="20"/>
              </w:rPr>
              <w:t>Inappropriate prescribing in hospitals and primary care</w:t>
            </w:r>
          </w:p>
        </w:tc>
        <w:tc>
          <w:tcPr>
            <w:tcW w:w="2500" w:type="dxa"/>
            <w:tcMar>
              <w:top w:w="60" w:type="dxa"/>
              <w:left w:w="80" w:type="dxa"/>
              <w:bottom w:w="60" w:type="dxa"/>
              <w:right w:w="80" w:type="dxa"/>
            </w:tcMar>
          </w:tcPr>
          <w:p w14:paraId="3B98D73A" w14:textId="77777777" w:rsidR="00FE7132" w:rsidRDefault="0024072B">
            <w:r>
              <w:rPr>
                <w:sz w:val="20"/>
                <w:szCs w:val="20"/>
              </w:rPr>
              <w:t>Guideline compliance, audit and feedback, restriction, review and de-escalation</w:t>
            </w:r>
          </w:p>
        </w:tc>
        <w:tc>
          <w:tcPr>
            <w:tcW w:w="2200" w:type="dxa"/>
            <w:tcMar>
              <w:top w:w="60" w:type="dxa"/>
              <w:left w:w="80" w:type="dxa"/>
              <w:bottom w:w="60" w:type="dxa"/>
              <w:right w:w="80" w:type="dxa"/>
            </w:tcMar>
          </w:tcPr>
          <w:p w14:paraId="71859832" w14:textId="77777777" w:rsidR="00FE7132" w:rsidRDefault="0024072B">
            <w:r>
              <w:rPr>
                <w:sz w:val="20"/>
                <w:szCs w:val="20"/>
              </w:rPr>
              <w:t>Reductions of 32% to 51% in resistant organism and C. difficile incidence</w:t>
            </w:r>
          </w:p>
        </w:tc>
        <w:tc>
          <w:tcPr>
            <w:tcW w:w="1500" w:type="dxa"/>
            <w:tcMar>
              <w:top w:w="60" w:type="dxa"/>
              <w:left w:w="80" w:type="dxa"/>
              <w:bottom w:w="60" w:type="dxa"/>
              <w:right w:w="80" w:type="dxa"/>
            </w:tcMar>
          </w:tcPr>
          <w:p w14:paraId="2D2CA4FC" w14:textId="77777777" w:rsidR="00FE7132" w:rsidRDefault="0024072B">
            <w:r>
              <w:rPr>
                <w:sz w:val="20"/>
                <w:szCs w:val="20"/>
              </w:rPr>
              <w:t>Requires diagnostic support; weaker effect on some organisms</w:t>
            </w:r>
          </w:p>
        </w:tc>
      </w:tr>
      <w:tr w:rsidR="00FE7132" w14:paraId="0CC22F1D" w14:textId="77777777">
        <w:tc>
          <w:tcPr>
            <w:tcW w:w="2200" w:type="dxa"/>
            <w:tcMar>
              <w:top w:w="60" w:type="dxa"/>
              <w:left w:w="80" w:type="dxa"/>
              <w:bottom w:w="60" w:type="dxa"/>
              <w:right w:w="80" w:type="dxa"/>
            </w:tcMar>
          </w:tcPr>
          <w:p w14:paraId="46E80BEA" w14:textId="77777777" w:rsidR="00FE7132" w:rsidRDefault="0024072B">
            <w:r>
              <w:rPr>
                <w:sz w:val="20"/>
                <w:szCs w:val="20"/>
              </w:rPr>
              <w:t>Diagnostic expansion</w:t>
            </w:r>
          </w:p>
        </w:tc>
        <w:tc>
          <w:tcPr>
            <w:tcW w:w="1900" w:type="dxa"/>
            <w:tcMar>
              <w:top w:w="60" w:type="dxa"/>
              <w:left w:w="80" w:type="dxa"/>
              <w:bottom w:w="60" w:type="dxa"/>
              <w:right w:w="80" w:type="dxa"/>
            </w:tcMar>
          </w:tcPr>
          <w:p w14:paraId="4F1DF649" w14:textId="77777777" w:rsidR="00FE7132" w:rsidRDefault="0024072B">
            <w:r>
              <w:rPr>
                <w:sz w:val="20"/>
                <w:szCs w:val="20"/>
              </w:rPr>
              <w:t>Empirical broad-spectrum prescribing</w:t>
            </w:r>
          </w:p>
        </w:tc>
        <w:tc>
          <w:tcPr>
            <w:tcW w:w="2500" w:type="dxa"/>
            <w:tcMar>
              <w:top w:w="60" w:type="dxa"/>
              <w:left w:w="80" w:type="dxa"/>
              <w:bottom w:w="60" w:type="dxa"/>
              <w:right w:w="80" w:type="dxa"/>
            </w:tcMar>
          </w:tcPr>
          <w:p w14:paraId="4B7E2609" w14:textId="77777777" w:rsidR="00FE7132" w:rsidRDefault="0024072B">
            <w:r>
              <w:rPr>
                <w:sz w:val="20"/>
                <w:szCs w:val="20"/>
              </w:rPr>
              <w:t>Culture and susceptibility capacity, rapid molecular and point-of-care testing</w:t>
            </w:r>
          </w:p>
        </w:tc>
        <w:tc>
          <w:tcPr>
            <w:tcW w:w="2200" w:type="dxa"/>
            <w:tcMar>
              <w:top w:w="60" w:type="dxa"/>
              <w:left w:w="80" w:type="dxa"/>
              <w:bottom w:w="60" w:type="dxa"/>
              <w:right w:w="80" w:type="dxa"/>
            </w:tcMar>
          </w:tcPr>
          <w:p w14:paraId="4186071A" w14:textId="77777777" w:rsidR="00FE7132" w:rsidRDefault="0024072B">
            <w:r>
              <w:rPr>
                <w:sz w:val="20"/>
                <w:szCs w:val="20"/>
              </w:rPr>
              <w:t xml:space="preserve">Narrows therapy earlier and </w:t>
            </w:r>
            <w:proofErr w:type="gramStart"/>
            <w:r>
              <w:rPr>
                <w:sz w:val="20"/>
                <w:szCs w:val="20"/>
              </w:rPr>
              <w:t>generates</w:t>
            </w:r>
            <w:proofErr w:type="gramEnd"/>
            <w:r>
              <w:rPr>
                <w:sz w:val="20"/>
                <w:szCs w:val="20"/>
              </w:rPr>
              <w:t xml:space="preserve"> the data surveillance requires</w:t>
            </w:r>
          </w:p>
        </w:tc>
        <w:tc>
          <w:tcPr>
            <w:tcW w:w="1500" w:type="dxa"/>
            <w:tcMar>
              <w:top w:w="60" w:type="dxa"/>
              <w:left w:w="80" w:type="dxa"/>
              <w:bottom w:w="60" w:type="dxa"/>
              <w:right w:w="80" w:type="dxa"/>
            </w:tcMar>
          </w:tcPr>
          <w:p w14:paraId="4DCB567F" w14:textId="77777777" w:rsidR="00FE7132" w:rsidRDefault="0024072B">
            <w:r>
              <w:rPr>
                <w:sz w:val="20"/>
                <w:szCs w:val="20"/>
              </w:rPr>
              <w:t>Laboratory infrastructure, workforce and supply chains in high-burden settings</w:t>
            </w:r>
          </w:p>
        </w:tc>
      </w:tr>
      <w:tr w:rsidR="00FE7132" w14:paraId="74949A82" w14:textId="77777777">
        <w:tc>
          <w:tcPr>
            <w:tcW w:w="2200" w:type="dxa"/>
            <w:tcMar>
              <w:top w:w="60" w:type="dxa"/>
              <w:left w:w="80" w:type="dxa"/>
              <w:bottom w:w="60" w:type="dxa"/>
              <w:right w:w="80" w:type="dxa"/>
            </w:tcMar>
          </w:tcPr>
          <w:p w14:paraId="1096315F" w14:textId="77777777" w:rsidR="00FE7132" w:rsidRDefault="0024072B">
            <w:r>
              <w:rPr>
                <w:sz w:val="20"/>
                <w:szCs w:val="20"/>
              </w:rPr>
              <w:t>Surveillance</w:t>
            </w:r>
          </w:p>
        </w:tc>
        <w:tc>
          <w:tcPr>
            <w:tcW w:w="1900" w:type="dxa"/>
            <w:tcMar>
              <w:top w:w="60" w:type="dxa"/>
              <w:left w:w="80" w:type="dxa"/>
              <w:bottom w:w="60" w:type="dxa"/>
              <w:right w:w="80" w:type="dxa"/>
            </w:tcMar>
          </w:tcPr>
          <w:p w14:paraId="6CF0C813" w14:textId="77777777" w:rsidR="00FE7132" w:rsidRDefault="0024072B">
            <w:r>
              <w:rPr>
                <w:sz w:val="20"/>
                <w:szCs w:val="20"/>
              </w:rPr>
              <w:t>Invisibility of the resistance burden</w:t>
            </w:r>
          </w:p>
        </w:tc>
        <w:tc>
          <w:tcPr>
            <w:tcW w:w="2500" w:type="dxa"/>
            <w:tcMar>
              <w:top w:w="60" w:type="dxa"/>
              <w:left w:w="80" w:type="dxa"/>
              <w:bottom w:w="60" w:type="dxa"/>
              <w:right w:w="80" w:type="dxa"/>
            </w:tcMar>
          </w:tcPr>
          <w:p w14:paraId="6C387470" w14:textId="77777777" w:rsidR="00FE7132" w:rsidRDefault="0024072B">
            <w:r>
              <w:rPr>
                <w:sz w:val="20"/>
                <w:szCs w:val="20"/>
              </w:rPr>
              <w:t>GLASS reporting, genomic surveillance, use and consumption monitoring</w:t>
            </w:r>
          </w:p>
        </w:tc>
        <w:tc>
          <w:tcPr>
            <w:tcW w:w="2200" w:type="dxa"/>
            <w:tcMar>
              <w:top w:w="60" w:type="dxa"/>
              <w:left w:w="80" w:type="dxa"/>
              <w:bottom w:w="60" w:type="dxa"/>
              <w:right w:w="80" w:type="dxa"/>
            </w:tcMar>
          </w:tcPr>
          <w:p w14:paraId="4CD7F07C" w14:textId="77777777" w:rsidR="00FE7132" w:rsidRDefault="0024072B">
            <w:r>
              <w:rPr>
                <w:sz w:val="20"/>
                <w:szCs w:val="20"/>
              </w:rPr>
              <w:t>Enables targeted policy and measurement against the 2030 targets</w:t>
            </w:r>
          </w:p>
        </w:tc>
        <w:tc>
          <w:tcPr>
            <w:tcW w:w="1500" w:type="dxa"/>
            <w:tcMar>
              <w:top w:w="60" w:type="dxa"/>
              <w:left w:w="80" w:type="dxa"/>
              <w:bottom w:w="60" w:type="dxa"/>
              <w:right w:w="80" w:type="dxa"/>
            </w:tcMar>
          </w:tcPr>
          <w:p w14:paraId="1331B25F" w14:textId="77777777" w:rsidR="00FE7132" w:rsidRDefault="0024072B">
            <w:r>
              <w:rPr>
                <w:sz w:val="20"/>
                <w:szCs w:val="20"/>
              </w:rPr>
              <w:t>Coverage is lowest exactly where resistance is highest</w:t>
            </w:r>
          </w:p>
        </w:tc>
      </w:tr>
      <w:tr w:rsidR="00FE7132" w14:paraId="4C16BA67" w14:textId="77777777">
        <w:tc>
          <w:tcPr>
            <w:tcW w:w="2200" w:type="dxa"/>
            <w:tcMar>
              <w:top w:w="60" w:type="dxa"/>
              <w:left w:w="80" w:type="dxa"/>
              <w:bottom w:w="60" w:type="dxa"/>
              <w:right w:w="80" w:type="dxa"/>
            </w:tcMar>
          </w:tcPr>
          <w:p w14:paraId="03F86FAE" w14:textId="77777777" w:rsidR="00FE7132" w:rsidRDefault="0024072B">
            <w:r>
              <w:rPr>
                <w:sz w:val="20"/>
                <w:szCs w:val="20"/>
              </w:rPr>
              <w:t>Regulation of access</w:t>
            </w:r>
          </w:p>
        </w:tc>
        <w:tc>
          <w:tcPr>
            <w:tcW w:w="1900" w:type="dxa"/>
            <w:tcMar>
              <w:top w:w="60" w:type="dxa"/>
              <w:left w:w="80" w:type="dxa"/>
              <w:bottom w:w="60" w:type="dxa"/>
              <w:right w:w="80" w:type="dxa"/>
            </w:tcMar>
          </w:tcPr>
          <w:p w14:paraId="6CE122D3" w14:textId="77777777" w:rsidR="00FE7132" w:rsidRDefault="0024072B">
            <w:r>
              <w:rPr>
                <w:sz w:val="20"/>
                <w:szCs w:val="20"/>
              </w:rPr>
              <w:t>Non-prescription sale and self-medication</w:t>
            </w:r>
          </w:p>
        </w:tc>
        <w:tc>
          <w:tcPr>
            <w:tcW w:w="2500" w:type="dxa"/>
            <w:tcMar>
              <w:top w:w="60" w:type="dxa"/>
              <w:left w:w="80" w:type="dxa"/>
              <w:bottom w:w="60" w:type="dxa"/>
              <w:right w:w="80" w:type="dxa"/>
            </w:tcMar>
          </w:tcPr>
          <w:p w14:paraId="1401F6D6" w14:textId="77777777" w:rsidR="00FE7132" w:rsidRDefault="0024072B">
            <w:r>
              <w:rPr>
                <w:sz w:val="20"/>
                <w:szCs w:val="20"/>
              </w:rPr>
              <w:t>Enforcement of prescription-only status, retail outlet oversight</w:t>
            </w:r>
          </w:p>
        </w:tc>
        <w:tc>
          <w:tcPr>
            <w:tcW w:w="2200" w:type="dxa"/>
            <w:tcMar>
              <w:top w:w="60" w:type="dxa"/>
              <w:left w:w="80" w:type="dxa"/>
              <w:bottom w:w="60" w:type="dxa"/>
              <w:right w:w="80" w:type="dxa"/>
            </w:tcMar>
          </w:tcPr>
          <w:p w14:paraId="2A671EB9" w14:textId="77777777" w:rsidR="00FE7132" w:rsidRDefault="0024072B">
            <w:r>
              <w:rPr>
                <w:sz w:val="20"/>
                <w:szCs w:val="20"/>
              </w:rPr>
              <w:t>Reduces consumption uncoupled from clinical assessment</w:t>
            </w:r>
          </w:p>
        </w:tc>
        <w:tc>
          <w:tcPr>
            <w:tcW w:w="1500" w:type="dxa"/>
            <w:tcMar>
              <w:top w:w="60" w:type="dxa"/>
              <w:left w:w="80" w:type="dxa"/>
              <w:bottom w:w="60" w:type="dxa"/>
              <w:right w:w="80" w:type="dxa"/>
            </w:tcMar>
          </w:tcPr>
          <w:p w14:paraId="511274C6" w14:textId="77777777" w:rsidR="00FE7132" w:rsidRDefault="0024072B">
            <w:r>
              <w:rPr>
                <w:sz w:val="20"/>
                <w:szCs w:val="20"/>
              </w:rPr>
              <w:t>Displaces demand unless affordable clinical care is available</w:t>
            </w:r>
          </w:p>
        </w:tc>
      </w:tr>
      <w:tr w:rsidR="00FE7132" w14:paraId="4BDE228E" w14:textId="77777777">
        <w:tc>
          <w:tcPr>
            <w:tcW w:w="2200" w:type="dxa"/>
            <w:tcMar>
              <w:top w:w="60" w:type="dxa"/>
              <w:left w:w="80" w:type="dxa"/>
              <w:bottom w:w="60" w:type="dxa"/>
              <w:right w:w="80" w:type="dxa"/>
            </w:tcMar>
          </w:tcPr>
          <w:p w14:paraId="1EF9DF88" w14:textId="77777777" w:rsidR="00FE7132" w:rsidRDefault="0024072B">
            <w:r>
              <w:rPr>
                <w:sz w:val="20"/>
                <w:szCs w:val="20"/>
              </w:rPr>
              <w:t>One Health agricultural measures</w:t>
            </w:r>
          </w:p>
        </w:tc>
        <w:tc>
          <w:tcPr>
            <w:tcW w:w="1900" w:type="dxa"/>
            <w:tcMar>
              <w:top w:w="60" w:type="dxa"/>
              <w:left w:w="80" w:type="dxa"/>
              <w:bottom w:w="60" w:type="dxa"/>
              <w:right w:w="80" w:type="dxa"/>
            </w:tcMar>
          </w:tcPr>
          <w:p w14:paraId="73011D46" w14:textId="77777777" w:rsidR="00FE7132" w:rsidRDefault="0024072B">
            <w:r>
              <w:rPr>
                <w:sz w:val="20"/>
                <w:szCs w:val="20"/>
              </w:rPr>
              <w:t>Selection pressure in food-animal production</w:t>
            </w:r>
          </w:p>
        </w:tc>
        <w:tc>
          <w:tcPr>
            <w:tcW w:w="2500" w:type="dxa"/>
            <w:tcMar>
              <w:top w:w="60" w:type="dxa"/>
              <w:left w:w="80" w:type="dxa"/>
              <w:bottom w:w="60" w:type="dxa"/>
              <w:right w:w="80" w:type="dxa"/>
            </w:tcMar>
          </w:tcPr>
          <w:p w14:paraId="0CCD0177" w14:textId="77777777" w:rsidR="00FE7132" w:rsidRDefault="0024072B">
            <w:r>
              <w:rPr>
                <w:sz w:val="20"/>
                <w:szCs w:val="20"/>
              </w:rPr>
              <w:t>Reduced non-therapeutic use, animal vaccination, husbandry and biosecurity</w:t>
            </w:r>
          </w:p>
        </w:tc>
        <w:tc>
          <w:tcPr>
            <w:tcW w:w="2200" w:type="dxa"/>
            <w:tcMar>
              <w:top w:w="60" w:type="dxa"/>
              <w:left w:w="80" w:type="dxa"/>
              <w:bottom w:w="60" w:type="dxa"/>
              <w:right w:w="80" w:type="dxa"/>
            </w:tcMar>
          </w:tcPr>
          <w:p w14:paraId="2FBDEF99" w14:textId="77777777" w:rsidR="00FE7132" w:rsidRDefault="0024072B">
            <w:r>
              <w:rPr>
                <w:sz w:val="20"/>
                <w:szCs w:val="20"/>
              </w:rPr>
              <w:t>Reduces the animal and environmental resistance reservoir</w:t>
            </w:r>
          </w:p>
        </w:tc>
        <w:tc>
          <w:tcPr>
            <w:tcW w:w="1500" w:type="dxa"/>
            <w:tcMar>
              <w:top w:w="60" w:type="dxa"/>
              <w:left w:w="80" w:type="dxa"/>
              <w:bottom w:w="60" w:type="dxa"/>
              <w:right w:w="80" w:type="dxa"/>
            </w:tcMar>
          </w:tcPr>
          <w:p w14:paraId="249D915B" w14:textId="77777777" w:rsidR="00FE7132" w:rsidRDefault="0024072B">
            <w:r>
              <w:rPr>
                <w:sz w:val="20"/>
                <w:szCs w:val="20"/>
              </w:rPr>
              <w:t>Economic dependence on current practice and weak veterinary surveillance</w:t>
            </w:r>
          </w:p>
        </w:tc>
      </w:tr>
      <w:tr w:rsidR="00FE7132" w14:paraId="61AC2438" w14:textId="77777777">
        <w:tc>
          <w:tcPr>
            <w:tcW w:w="2200" w:type="dxa"/>
            <w:tcMar>
              <w:top w:w="60" w:type="dxa"/>
              <w:left w:w="80" w:type="dxa"/>
              <w:bottom w:w="60" w:type="dxa"/>
              <w:right w:w="80" w:type="dxa"/>
            </w:tcMar>
          </w:tcPr>
          <w:p w14:paraId="23E07AE7" w14:textId="77777777" w:rsidR="00FE7132" w:rsidRDefault="0024072B">
            <w:r>
              <w:rPr>
                <w:sz w:val="20"/>
                <w:szCs w:val="20"/>
              </w:rPr>
              <w:t>Research and development incentives</w:t>
            </w:r>
          </w:p>
        </w:tc>
        <w:tc>
          <w:tcPr>
            <w:tcW w:w="1900" w:type="dxa"/>
            <w:tcMar>
              <w:top w:w="60" w:type="dxa"/>
              <w:left w:w="80" w:type="dxa"/>
              <w:bottom w:w="60" w:type="dxa"/>
              <w:right w:w="80" w:type="dxa"/>
            </w:tcMar>
          </w:tcPr>
          <w:p w14:paraId="75D7B72C" w14:textId="77777777" w:rsidR="00FE7132" w:rsidRDefault="0024072B">
            <w:r>
              <w:rPr>
                <w:sz w:val="20"/>
                <w:szCs w:val="20"/>
              </w:rPr>
              <w:t>The innovation and access gap</w:t>
            </w:r>
          </w:p>
        </w:tc>
        <w:tc>
          <w:tcPr>
            <w:tcW w:w="2500" w:type="dxa"/>
            <w:tcMar>
              <w:top w:w="60" w:type="dxa"/>
              <w:left w:w="80" w:type="dxa"/>
              <w:bottom w:w="60" w:type="dxa"/>
              <w:right w:w="80" w:type="dxa"/>
            </w:tcMar>
          </w:tcPr>
          <w:p w14:paraId="6F9B0938" w14:textId="77777777" w:rsidR="00FE7132" w:rsidRDefault="0024072B">
            <w:r>
              <w:rPr>
                <w:sz w:val="20"/>
                <w:szCs w:val="20"/>
              </w:rPr>
              <w:t>Push and pull funding, delinked revenue models, LMIC registration commitments</w:t>
            </w:r>
          </w:p>
        </w:tc>
        <w:tc>
          <w:tcPr>
            <w:tcW w:w="2200" w:type="dxa"/>
            <w:tcMar>
              <w:top w:w="60" w:type="dxa"/>
              <w:left w:w="80" w:type="dxa"/>
              <w:bottom w:w="60" w:type="dxa"/>
              <w:right w:w="80" w:type="dxa"/>
            </w:tcMar>
          </w:tcPr>
          <w:p w14:paraId="29BD9B76" w14:textId="77777777" w:rsidR="00FE7132" w:rsidRDefault="0024072B">
            <w:r>
              <w:rPr>
                <w:sz w:val="20"/>
                <w:szCs w:val="20"/>
              </w:rPr>
              <w:t>Restores therapeutic options for critical Gram-negative pathogens</w:t>
            </w:r>
          </w:p>
        </w:tc>
        <w:tc>
          <w:tcPr>
            <w:tcW w:w="1500" w:type="dxa"/>
            <w:tcMar>
              <w:top w:w="60" w:type="dxa"/>
              <w:left w:w="80" w:type="dxa"/>
              <w:bottom w:w="60" w:type="dxa"/>
              <w:right w:w="80" w:type="dxa"/>
            </w:tcMar>
          </w:tcPr>
          <w:p w14:paraId="6A01C9EB" w14:textId="77777777" w:rsidR="00FE7132" w:rsidRDefault="0024072B">
            <w:proofErr w:type="spellStart"/>
            <w:r>
              <w:rPr>
                <w:sz w:val="20"/>
                <w:szCs w:val="20"/>
              </w:rPr>
              <w:t>Unfavourable</w:t>
            </w:r>
            <w:proofErr w:type="spellEnd"/>
            <w:r>
              <w:rPr>
                <w:sz w:val="20"/>
                <w:szCs w:val="20"/>
              </w:rPr>
              <w:t xml:space="preserve"> economics; access must be designed in, not added later</w:t>
            </w:r>
          </w:p>
        </w:tc>
      </w:tr>
    </w:tbl>
    <w:p w14:paraId="23F66F1B" w14:textId="77777777" w:rsidR="00FE7132" w:rsidRDefault="00FE7132">
      <w:pPr>
        <w:spacing w:after="160"/>
      </w:pPr>
    </w:p>
    <w:p w14:paraId="401134D4" w14:textId="77777777" w:rsidR="00FE7132" w:rsidRDefault="0024072B">
      <w:pPr>
        <w:pStyle w:val="Heading1"/>
        <w:spacing w:before="280" w:after="140"/>
      </w:pPr>
      <w:r>
        <w:rPr>
          <w:b/>
          <w:bCs/>
          <w:color w:val="000000"/>
          <w:sz w:val="26"/>
          <w:szCs w:val="26"/>
        </w:rPr>
        <w:t>9. Emerging and Future Approaches</w:t>
      </w:r>
    </w:p>
    <w:p w14:paraId="6F247092" w14:textId="77777777" w:rsidR="00FE7132" w:rsidRDefault="0024072B">
      <w:pPr>
        <w:spacing w:after="160"/>
        <w:jc w:val="both"/>
      </w:pPr>
      <w:r>
        <w:rPr>
          <w:color w:val="000000"/>
        </w:rPr>
        <w:lastRenderedPageBreak/>
        <w:t xml:space="preserve">New agents remain necessary, and 2025 produced the clearest recent example with the approval of </w:t>
      </w:r>
      <w:proofErr w:type="spellStart"/>
      <w:r>
        <w:rPr>
          <w:color w:val="000000"/>
        </w:rPr>
        <w:t>gepotidacin</w:t>
      </w:r>
      <w:proofErr w:type="spellEnd"/>
      <w:r>
        <w:rPr>
          <w:color w:val="000000"/>
        </w:rPr>
        <w:t xml:space="preserve"> and </w:t>
      </w:r>
      <w:proofErr w:type="spellStart"/>
      <w:r>
        <w:rPr>
          <w:color w:val="000000"/>
        </w:rPr>
        <w:t>zoliflodacin</w:t>
      </w:r>
      <w:proofErr w:type="spellEnd"/>
      <w:r>
        <w:rPr>
          <w:color w:val="000000"/>
        </w:rPr>
        <w:t xml:space="preserve"> for </w:t>
      </w:r>
      <w:proofErr w:type="spellStart"/>
      <w:r>
        <w:rPr>
          <w:color w:val="000000"/>
        </w:rPr>
        <w:t>gonorrhoea</w:t>
      </w:r>
      <w:proofErr w:type="spellEnd"/>
      <w:r>
        <w:rPr>
          <w:color w:val="000000"/>
        </w:rPr>
        <w:t xml:space="preserve">, the first new oral treatments for </w:t>
      </w:r>
      <w:proofErr w:type="spellStart"/>
      <w:r>
        <w:rPr>
          <w:color w:val="000000"/>
        </w:rPr>
        <w:t>gonorrhoea</w:t>
      </w:r>
      <w:proofErr w:type="spellEnd"/>
      <w:r>
        <w:rPr>
          <w:color w:val="000000"/>
        </w:rPr>
        <w:t xml:space="preserve"> in many years (US Food and Drug Administration, 2025). Modelling puts the contribution of new drugs in perspective, however: development of a Gram-negative pipeline was projected to avert 11.1 million deaths associated with resistance between 2025 and 2050, against 92.0 million under a scenario of better care and improved access (GBD 2021 Antimicrobial Resistance Collaborators, 2024). New antibiotics are needed, but on these </w:t>
      </w:r>
      <w:proofErr w:type="gramStart"/>
      <w:r>
        <w:rPr>
          <w:color w:val="000000"/>
        </w:rPr>
        <w:t>estimates</w:t>
      </w:r>
      <w:proofErr w:type="gramEnd"/>
      <w:r>
        <w:rPr>
          <w:color w:val="000000"/>
        </w:rPr>
        <w:t xml:space="preserve"> they would avert far fewer deaths than better care and access. For policy, this gap may be the most important finding in the recent literature.</w:t>
      </w:r>
    </w:p>
    <w:p w14:paraId="63FF7CC9" w14:textId="77777777" w:rsidR="00FE7132" w:rsidRDefault="0024072B">
      <w:pPr>
        <w:spacing w:after="160"/>
        <w:jc w:val="both"/>
      </w:pPr>
      <w:r>
        <w:rPr>
          <w:color w:val="000000"/>
        </w:rPr>
        <w:t xml:space="preserve">Bacteriophage therapy has accumulated substantial observational evidence. In a retrospective analysis of 100 consecutive cases of </w:t>
      </w:r>
      <w:proofErr w:type="spellStart"/>
      <w:r>
        <w:rPr>
          <w:color w:val="000000"/>
        </w:rPr>
        <w:t>personalised</w:t>
      </w:r>
      <w:proofErr w:type="spellEnd"/>
      <w:r>
        <w:rPr>
          <w:color w:val="000000"/>
        </w:rPr>
        <w:t xml:space="preserve"> phage therapy for difficult-to-treat infections, clinical improvement was reported in 77.2% and eradication of the target organism in 61.3%; eradication was 70% less probable without concomitant antibiotics, and phage-antibiotic synergy was documented in 9 of 10 evaluated patients (</w:t>
      </w:r>
      <w:proofErr w:type="spellStart"/>
      <w:r>
        <w:rPr>
          <w:color w:val="000000"/>
        </w:rPr>
        <w:t>Pirnay</w:t>
      </w:r>
      <w:proofErr w:type="spellEnd"/>
      <w:r>
        <w:rPr>
          <w:color w:val="000000"/>
        </w:rPr>
        <w:t xml:space="preserve"> et al., 2024). </w:t>
      </w:r>
      <w:proofErr w:type="spellStart"/>
      <w:r>
        <w:rPr>
          <w:color w:val="000000"/>
        </w:rPr>
        <w:t>Randomised</w:t>
      </w:r>
      <w:proofErr w:type="spellEnd"/>
      <w:r>
        <w:rPr>
          <w:color w:val="000000"/>
        </w:rPr>
        <w:t xml:space="preserve"> trials of non-</w:t>
      </w:r>
      <w:proofErr w:type="spellStart"/>
      <w:r>
        <w:rPr>
          <w:color w:val="000000"/>
        </w:rPr>
        <w:t>personalised</w:t>
      </w:r>
      <w:proofErr w:type="spellEnd"/>
      <w:r>
        <w:rPr>
          <w:color w:val="000000"/>
        </w:rPr>
        <w:t xml:space="preserve"> phage products have not reproduced these results, and systematic review has </w:t>
      </w:r>
      <w:proofErr w:type="spellStart"/>
      <w:r>
        <w:rPr>
          <w:color w:val="000000"/>
        </w:rPr>
        <w:t>emphasised</w:t>
      </w:r>
      <w:proofErr w:type="spellEnd"/>
      <w:r>
        <w:rPr>
          <w:color w:val="000000"/>
        </w:rPr>
        <w:t xml:space="preserve"> the scarcity of data meeting clinical trial standards (</w:t>
      </w:r>
      <w:proofErr w:type="spellStart"/>
      <w:r>
        <w:rPr>
          <w:color w:val="000000"/>
        </w:rPr>
        <w:t>Uyttebroek</w:t>
      </w:r>
      <w:proofErr w:type="spellEnd"/>
      <w:r>
        <w:rPr>
          <w:color w:val="000000"/>
        </w:rPr>
        <w:t xml:space="preserve"> et al., 2022). For now, phage therapy is best seen as a promising addition to treatment in refractory infections, not a general substitute for antibiotics.</w:t>
      </w:r>
    </w:p>
    <w:p w14:paraId="5B630CA6" w14:textId="77777777" w:rsidR="00FE7132" w:rsidRDefault="0024072B">
      <w:pPr>
        <w:spacing w:after="160"/>
        <w:jc w:val="both"/>
      </w:pPr>
      <w:r>
        <w:rPr>
          <w:color w:val="000000"/>
        </w:rPr>
        <w:t>Antimicrobial peptides offer broad-spectrum activity, antibiofilm effects and a lower propensity for resistance selection, but clinical translation has been limited by cytotoxicity, proteolytic instability and short half-life, and few have secured regulatory approval despite decades of investigation (Magana et al., 2020). Anti-virulence strategies, which disarm pathogens without killing them, are theoretically attractive because they impose weaker selection for resistance, but they are necessarily pathogen-specific and therefore depend on rapid diagnostics that most settings lack (Dickey et al., 2017).</w:t>
      </w:r>
    </w:p>
    <w:p w14:paraId="01E93026" w14:textId="77777777" w:rsidR="00FE7132" w:rsidRDefault="0024072B">
      <w:pPr>
        <w:spacing w:after="160"/>
        <w:jc w:val="both"/>
      </w:pPr>
      <w:r>
        <w:rPr>
          <w:color w:val="000000"/>
        </w:rPr>
        <w:t>Genomic surveillance and machine-learning-assisted discovery are advancing, and the preclinical pipeline now contains agents directed at previously unexploited targets including lipoprotein synthesis, lipopolysaccharide transport and outer membrane assembly (</w:t>
      </w:r>
      <w:proofErr w:type="spellStart"/>
      <w:r>
        <w:rPr>
          <w:color w:val="000000"/>
        </w:rPr>
        <w:t>Theuretzbacher</w:t>
      </w:r>
      <w:proofErr w:type="spellEnd"/>
      <w:r>
        <w:rPr>
          <w:color w:val="000000"/>
        </w:rPr>
        <w:t xml:space="preserve"> et al., 2025). The same analysis cautions that indirect-acting and pathogen-specific approaches are likely to benefit patients in high-income systems with advanced diagnostic infrastructure, and could widen the existing gap in access to treatment.</w:t>
      </w:r>
    </w:p>
    <w:p w14:paraId="69E8CE3C" w14:textId="77777777" w:rsidR="00FE7132" w:rsidRDefault="0024072B">
      <w:pPr>
        <w:pStyle w:val="Heading1"/>
        <w:spacing w:before="280" w:after="140"/>
      </w:pPr>
      <w:r>
        <w:rPr>
          <w:b/>
          <w:bCs/>
          <w:color w:val="000000"/>
          <w:sz w:val="26"/>
          <w:szCs w:val="26"/>
        </w:rPr>
        <w:t>10. Challenges, Research Priorities and Limitations</w:t>
      </w:r>
    </w:p>
    <w:p w14:paraId="0E8D2F17" w14:textId="77777777" w:rsidR="00F96467" w:rsidRDefault="00F96467" w:rsidP="00F96467">
      <w:pPr>
        <w:pStyle w:val="Heading1"/>
      </w:pPr>
      <w:r>
        <w:rPr>
          <w:rStyle w:val="Strong"/>
          <w:b w:val="0"/>
          <w:bCs w:val="0"/>
        </w:rPr>
        <w:t>10. Challenges, Research Priorities and Limitations</w:t>
      </w:r>
    </w:p>
    <w:p w14:paraId="595443B2" w14:textId="77777777" w:rsidR="00F96467" w:rsidRDefault="00F96467" w:rsidP="00F96467">
      <w:pPr>
        <w:pStyle w:val="NormalWeb"/>
      </w:pPr>
      <w:r>
        <w:t xml:space="preserve">Several challenges remain evident across the literature reviewed. Surveillance is often weakest in settings where the burden of resistance is thought to be highest, which means that estimates from some of the most affected regions depend heavily on modelling rather than direct microbiological data. The contribution of antimicrobial use in agriculture to resistance in human infections also remains uncertain for many resistance determinants, despite strong claims frequently being made in both directions. Evidence on antimicrobial stewardship is similarly uneven, as much of it comes from well-resourced hospitals with access to microbiology services and may not translate directly to facilities where diagnostic capacity is limited. In addition, the </w:t>
      </w:r>
      <w:r>
        <w:lastRenderedPageBreak/>
        <w:t>economics of antibacterial development remain unresolved, with inadequate access to existing antibiotics posing a challenge alongside the slow development of new ones.</w:t>
      </w:r>
    </w:p>
    <w:p w14:paraId="10B5E24D" w14:textId="77777777" w:rsidR="00F96467" w:rsidRDefault="00F96467" w:rsidP="00F96467">
      <w:pPr>
        <w:pStyle w:val="NormalWeb"/>
      </w:pPr>
      <w:r>
        <w:t xml:space="preserve">These gaps point to several important research priorities. Greater emphasis is needed on tracing the movement of specific resistance determinants between animal, environmental and human bacterial populations, rather than relying only on broad ecological associations. Stewardship and infection-control interventions should also be tested more extensively in resource-constrained settings, with studies reporting microbiological outcomes alongside changes in prescribing </w:t>
      </w:r>
      <w:proofErr w:type="spellStart"/>
      <w:r>
        <w:t>behaviour</w:t>
      </w:r>
      <w:proofErr w:type="spellEnd"/>
      <w:r>
        <w:t xml:space="preserve">. Further work is needed to determine the effect of vaccines, including typhoid conjugate vaccines, on antibiotic use and resistance in high-burden populations. Controlled clinical trials of phage therapy using </w:t>
      </w:r>
      <w:proofErr w:type="spellStart"/>
      <w:r>
        <w:t>standardised</w:t>
      </w:r>
      <w:proofErr w:type="spellEnd"/>
      <w:r>
        <w:t xml:space="preserve"> preparations are also necessary, while implementation research should examine how improvements in diagnostic capacity influence antibiotic prescribing in routine practice.</w:t>
      </w:r>
    </w:p>
    <w:p w14:paraId="2CB76743" w14:textId="77777777" w:rsidR="00F96467" w:rsidRDefault="00F96467" w:rsidP="00F96467">
      <w:pPr>
        <w:pStyle w:val="NormalWeb"/>
      </w:pPr>
      <w:r>
        <w:t>This review also has limitations that arise from its narrative design. Although the literature search was structured, it was not exhaustive, and the selection of studies inevitably involved author judgement, meaning that some relevant evidence may have been missed. Restricting the review to English-language publications may also have excluded important regional evidence, particularly from Francophone and Lusophone Africa, Latin America and parts of East Asia. In addition, several of the burden estimates discussed are based on modelling and should be interpreted as estimates rather than direct counts. Because resistance patterns, treatment options and the antibacterial development pipeline continue to change rapidly, some prevalence estimates and pipeline descriptions may become outdated, and readers should therefore consult the most recent GLASS reports and Global Tuberculosis Report editions for current surveillance data.</w:t>
      </w:r>
    </w:p>
    <w:p w14:paraId="461EAB3E" w14:textId="07D9C849" w:rsidR="00FE7132" w:rsidRDefault="00FE7132">
      <w:pPr>
        <w:spacing w:after="160"/>
        <w:jc w:val="both"/>
      </w:pPr>
    </w:p>
    <w:p w14:paraId="219C4E4E" w14:textId="77777777" w:rsidR="00FE7132" w:rsidRDefault="0024072B">
      <w:pPr>
        <w:pStyle w:val="Heading1"/>
        <w:spacing w:before="280" w:after="140"/>
      </w:pPr>
      <w:r>
        <w:rPr>
          <w:b/>
          <w:bCs/>
          <w:color w:val="000000"/>
          <w:sz w:val="26"/>
          <w:szCs w:val="26"/>
        </w:rPr>
        <w:t>11. Conclusion</w:t>
      </w:r>
    </w:p>
    <w:p w14:paraId="23E10D16" w14:textId="77777777" w:rsidR="0024072B" w:rsidRDefault="0024072B" w:rsidP="0024072B">
      <w:pPr>
        <w:pStyle w:val="NormalWeb"/>
      </w:pPr>
      <w:r>
        <w:t>Bacterial antibiotic resistance is driven by two forces: the natural ability of bacteria to adapt and exchange resistance genes, and the selective pressure created by antibiotic use in humans, animals, and the environment. Because many resistance genes can move between bacteria through mobile genetic elements, resistance can spread quickly and persist even after antibiotic use is reduced.</w:t>
      </w:r>
    </w:p>
    <w:p w14:paraId="0BBFCA14" w14:textId="77777777" w:rsidR="0024072B" w:rsidRDefault="0024072B" w:rsidP="0024072B">
      <w:pPr>
        <w:pStyle w:val="NormalWeb"/>
      </w:pPr>
      <w:r>
        <w:t>The burden is already substantial and is greatest in settings where diagnostic capacity, infection control, and surveillance are weakest. In these settings, limited laboratory support often leads to greater reliance on broad-spectrum antibiotics, which can further increase resistance. Effective control therefore requires a combination of stronger surveillance, antimicrobial stewardship, infection prevention and control, improved water and sanitation, vaccination, better diagnostics, responsible antibiotic use across sectors, and continued development of new treatments.</w:t>
      </w:r>
    </w:p>
    <w:p w14:paraId="57B826DF" w14:textId="77777777" w:rsidR="0024072B" w:rsidRDefault="0024072B" w:rsidP="0024072B">
      <w:pPr>
        <w:pStyle w:val="NormalWeb"/>
      </w:pPr>
      <w:r>
        <w:t xml:space="preserve">Importantly, recent evidence shows that much of the future burden could be reduced using interventions that are already available, particularly infection prevention and control, water and sanitation, and vaccination. The major challenge is no longer simply knowing what works, but </w:t>
      </w:r>
      <w:r>
        <w:lastRenderedPageBreak/>
        <w:t>ensuring that these measures are properly funded, coordinated, and implemented where the burden is greatest.</w:t>
      </w:r>
    </w:p>
    <w:p w14:paraId="5607F205" w14:textId="0ABF95A9" w:rsidR="00FE7132" w:rsidRDefault="00FE7132">
      <w:pPr>
        <w:spacing w:after="160"/>
        <w:jc w:val="both"/>
      </w:pPr>
    </w:p>
    <w:p w14:paraId="7D7A8843" w14:textId="77777777" w:rsidR="00FE7132" w:rsidRDefault="0024072B">
      <w:pPr>
        <w:pStyle w:val="Heading1"/>
        <w:spacing w:before="280" w:after="140"/>
      </w:pPr>
      <w:r>
        <w:rPr>
          <w:b/>
          <w:bCs/>
          <w:color w:val="000000"/>
          <w:sz w:val="26"/>
          <w:szCs w:val="26"/>
        </w:rPr>
        <w:t>Competing Interests</w:t>
      </w:r>
    </w:p>
    <w:p w14:paraId="60CA7863" w14:textId="06A3746B" w:rsidR="00FE7132" w:rsidRDefault="0024072B">
      <w:pPr>
        <w:spacing w:after="160"/>
        <w:jc w:val="both"/>
      </w:pPr>
      <w:r>
        <w:rPr>
          <w:color w:val="000000"/>
        </w:rPr>
        <w:t>Authors have declared that no competing interests exist.</w:t>
      </w:r>
    </w:p>
    <w:p w14:paraId="3FB5EA06" w14:textId="77777777" w:rsidR="00FE7132" w:rsidRDefault="0024072B">
      <w:pPr>
        <w:pStyle w:val="Heading1"/>
        <w:spacing w:before="280" w:after="140"/>
      </w:pPr>
      <w:r>
        <w:rPr>
          <w:b/>
          <w:bCs/>
          <w:color w:val="000000"/>
          <w:sz w:val="26"/>
          <w:szCs w:val="26"/>
        </w:rPr>
        <w:t>Consent</w:t>
      </w:r>
    </w:p>
    <w:p w14:paraId="40DFAE2A" w14:textId="77777777" w:rsidR="00FE7132" w:rsidRDefault="0024072B">
      <w:pPr>
        <w:spacing w:after="160"/>
        <w:jc w:val="both"/>
      </w:pPr>
      <w:r>
        <w:rPr>
          <w:color w:val="000000"/>
        </w:rPr>
        <w:t>Not applicable. This review involved no human participants and no individual patient data, and no material requiring patient consent for publication is included.</w:t>
      </w:r>
    </w:p>
    <w:p w14:paraId="60294DC2" w14:textId="77777777" w:rsidR="00FE7132" w:rsidRDefault="0024072B">
      <w:pPr>
        <w:pStyle w:val="Heading1"/>
        <w:spacing w:before="280" w:after="140"/>
      </w:pPr>
      <w:r>
        <w:rPr>
          <w:b/>
          <w:bCs/>
          <w:color w:val="000000"/>
          <w:sz w:val="26"/>
          <w:szCs w:val="26"/>
        </w:rPr>
        <w:t>Ethical Approval</w:t>
      </w:r>
    </w:p>
    <w:p w14:paraId="2B98F6C7" w14:textId="77777777" w:rsidR="00FE7132" w:rsidRDefault="0024072B">
      <w:pPr>
        <w:spacing w:after="160"/>
        <w:jc w:val="both"/>
        <w:rPr>
          <w:color w:val="000000"/>
        </w:rPr>
      </w:pPr>
      <w:r>
        <w:rPr>
          <w:color w:val="000000"/>
        </w:rPr>
        <w:t>Not applicable. This is a review of previously published literature. It involved no human participants, no animal subjects and no primary data collection, and therefore did not require approval from an institutional review board or ethics committee. No ethical approval number is claimed.</w:t>
      </w:r>
    </w:p>
    <w:p w14:paraId="743445B7" w14:textId="77777777" w:rsidR="006D4704" w:rsidRDefault="006D4704" w:rsidP="006D4704">
      <w:pPr>
        <w:pStyle w:val="Heading2"/>
        <w:spacing w:before="280" w:after="140"/>
      </w:pPr>
      <w:r>
        <w:rPr>
          <w:b/>
          <w:bCs/>
          <w:color w:val="000000"/>
          <w:sz w:val="24"/>
          <w:szCs w:val="24"/>
        </w:rPr>
        <w:t>Abbreviations</w:t>
      </w:r>
    </w:p>
    <w:p w14:paraId="146381A8" w14:textId="77777777" w:rsidR="006D4704" w:rsidRDefault="006D4704" w:rsidP="006D4704">
      <w:pPr>
        <w:spacing w:after="160"/>
        <w:jc w:val="both"/>
      </w:pPr>
      <w:r>
        <w:rPr>
          <w:color w:val="000000"/>
        </w:rPr>
        <w:t xml:space="preserve">AMR (antimicrobial resistance); ARG (antibiotic resistance gene); BPPL (Bacterial Priority Pathogens List); CDC (Centers for Disease Control and Prevention); CRE (carbapenem-resistant </w:t>
      </w:r>
      <w:proofErr w:type="spellStart"/>
      <w:r>
        <w:rPr>
          <w:color w:val="000000"/>
        </w:rPr>
        <w:t>Enterobacterales</w:t>
      </w:r>
      <w:proofErr w:type="spellEnd"/>
      <w:r>
        <w:rPr>
          <w:color w:val="000000"/>
        </w:rPr>
        <w:t xml:space="preserve">); DALY (disability-adjusted life-year); DDD (defined daily dose); ESBL (extended-spectrum beta-lactamase); GLASS (Global Antimicrobial Resistance and Use Surveillance System); HGT (horizontal gene transfer); IPC (infection prevention and control); LMIC (low- and middle-income country); MDR (multidrug-resistant); MRSA (methicillin-resistant </w:t>
      </w:r>
      <w:r>
        <w:rPr>
          <w:i/>
          <w:iCs/>
          <w:color w:val="000000"/>
        </w:rPr>
        <w:t>Staphylococcus aureus</w:t>
      </w:r>
      <w:r>
        <w:rPr>
          <w:color w:val="000000"/>
        </w:rPr>
        <w:t>); PBP (penicillin-binding protein); RR-TB (rifampicin-resistant tuberculosis); WASH (water, sanitation and hygiene); WHO (World Health Organization); XDR (extensively drug-resistant).</w:t>
      </w:r>
    </w:p>
    <w:p w14:paraId="5F26F28F" w14:textId="77777777" w:rsidR="006D4704" w:rsidRDefault="006D4704">
      <w:pPr>
        <w:spacing w:after="160"/>
        <w:jc w:val="both"/>
      </w:pPr>
    </w:p>
    <w:p w14:paraId="2966713F" w14:textId="77777777" w:rsidR="00B30B5E" w:rsidRDefault="00B30B5E">
      <w:pPr>
        <w:pStyle w:val="Heading1"/>
        <w:spacing w:before="280" w:after="140"/>
        <w:rPr>
          <w:b/>
          <w:bCs/>
          <w:color w:val="000000"/>
          <w:sz w:val="26"/>
          <w:szCs w:val="26"/>
        </w:rPr>
      </w:pPr>
    </w:p>
    <w:p w14:paraId="6074E5F7" w14:textId="77777777" w:rsidR="00F20C96" w:rsidRDefault="00F20C96" w:rsidP="00F20C96">
      <w:pPr>
        <w:rPr>
          <w:b/>
        </w:rPr>
      </w:pPr>
      <w:r w:rsidRPr="000839CE">
        <w:rPr>
          <w:b/>
        </w:rPr>
        <w:t>Declaration of AI Use</w:t>
      </w:r>
    </w:p>
    <w:p w14:paraId="7FA71370" w14:textId="77777777" w:rsidR="00F20C96" w:rsidRDefault="00F20C96" w:rsidP="00F20C96">
      <w:pPr>
        <w:rPr>
          <w:b/>
        </w:rPr>
      </w:pPr>
    </w:p>
    <w:p w14:paraId="47A1A04E" w14:textId="77777777" w:rsidR="00F20C96" w:rsidRDefault="00F20C96" w:rsidP="00F20C96">
      <w:pPr>
        <w:rPr>
          <w:b/>
        </w:rPr>
      </w:pPr>
    </w:p>
    <w:p w14:paraId="1E8FAA7A" w14:textId="77777777" w:rsidR="00F20C96" w:rsidRDefault="00F20C96" w:rsidP="00F20C96">
      <w:pPr>
        <w:rPr>
          <w:b/>
        </w:rPr>
      </w:pPr>
    </w:p>
    <w:p w14:paraId="2DACFD0F" w14:textId="088BD182" w:rsidR="00F20C96" w:rsidRDefault="00F20C96" w:rsidP="00F20C96">
      <w:pPr>
        <w:pStyle w:val="Heading1"/>
        <w:spacing w:before="280" w:after="140"/>
        <w:rPr>
          <w:b/>
          <w:bCs/>
          <w:color w:val="000000"/>
          <w:sz w:val="26"/>
          <w:szCs w:val="26"/>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63FE7F7" w14:textId="47B5ED89" w:rsidR="00FE7132" w:rsidRDefault="0024072B">
      <w:pPr>
        <w:pStyle w:val="Heading1"/>
        <w:spacing w:before="280" w:after="140"/>
      </w:pPr>
      <w:r>
        <w:rPr>
          <w:b/>
          <w:bCs/>
          <w:color w:val="000000"/>
          <w:sz w:val="26"/>
          <w:szCs w:val="26"/>
        </w:rPr>
        <w:t>References</w:t>
      </w:r>
    </w:p>
    <w:p w14:paraId="7CB2C6FE" w14:textId="77777777" w:rsidR="00FE7132" w:rsidRDefault="0024072B">
      <w:pPr>
        <w:spacing w:after="120"/>
        <w:ind w:left="720" w:hanging="720"/>
      </w:pPr>
      <w:proofErr w:type="spellStart"/>
      <w:r>
        <w:lastRenderedPageBreak/>
        <w:t>Allel</w:t>
      </w:r>
      <w:proofErr w:type="spellEnd"/>
      <w:r>
        <w:t>, K., Day, L., Hamilton, A., Lin, L., Furuya-Kanamori, L., Moore, C. E., et al. (2023). Global antimicrobial-resistance drivers: an ecological country-level study at the human-animal interface. The Lancet Planetary Health, 7(4), e291-e303. https://doi.org/10.1016/S2542-5196(23)00026-8</w:t>
      </w:r>
    </w:p>
    <w:p w14:paraId="7188FD6D" w14:textId="77777777" w:rsidR="00FE7132" w:rsidRDefault="0024072B">
      <w:pPr>
        <w:spacing w:after="120"/>
        <w:ind w:left="720" w:hanging="720"/>
      </w:pPr>
      <w:r>
        <w:t xml:space="preserve">Andrejko, K., </w:t>
      </w:r>
      <w:proofErr w:type="spellStart"/>
      <w:r>
        <w:t>Ratnasiri</w:t>
      </w:r>
      <w:proofErr w:type="spellEnd"/>
      <w:r>
        <w:t xml:space="preserve">, B., </w:t>
      </w:r>
      <w:proofErr w:type="spellStart"/>
      <w:r>
        <w:t>Hausdorff</w:t>
      </w:r>
      <w:proofErr w:type="spellEnd"/>
      <w:r>
        <w:t xml:space="preserve">, W. P., Laxminarayan, R., &amp; </w:t>
      </w:r>
      <w:proofErr w:type="spellStart"/>
      <w:r>
        <w:t>Lewnard</w:t>
      </w:r>
      <w:proofErr w:type="spellEnd"/>
      <w:r>
        <w:t xml:space="preserve">, J. A. (2021). Antimicrobial resistance in </w:t>
      </w:r>
      <w:proofErr w:type="spellStart"/>
      <w:r>
        <w:t>paediatric</w:t>
      </w:r>
      <w:proofErr w:type="spellEnd"/>
      <w:r>
        <w:t xml:space="preserve"> Streptococcus pneumoniae isolates amid global implementation of pneumococcal conjugate vaccines: a systematic review and meta-regression analysis. The Lancet Microbe, 2(9), e450-e460. https://doi.org/10.1016/S2666-5247(21)00064-1</w:t>
      </w:r>
    </w:p>
    <w:p w14:paraId="2F6F21E1" w14:textId="77777777" w:rsidR="00FE7132" w:rsidRDefault="0024072B">
      <w:pPr>
        <w:spacing w:after="120"/>
        <w:ind w:left="720" w:hanging="720"/>
      </w:pPr>
      <w:r>
        <w:t>Antimicrobial Resistance Collaborators. (2022). Global burden of bacterial antimicrobial resistance in 2019: a systematic analysis. The Lancet, 399(10325), 629-655. https://doi.org/10.1016/S0140-6736(21)02724-0</w:t>
      </w:r>
    </w:p>
    <w:p w14:paraId="55738223" w14:textId="77777777" w:rsidR="00FE7132" w:rsidRDefault="0024072B">
      <w:pPr>
        <w:spacing w:after="120"/>
        <w:ind w:left="720" w:hanging="720"/>
      </w:pPr>
      <w:r>
        <w:t>Antimicrobial Resistance Collaborators. (2024). The burden of bacterial antimicrobial resistance in the WHO African region in 2019: a cross-country systematic analysis. The Lancet Global Health, 12(2), e201-e216. https://doi.org/10.1016/S2214-109X(23)00539-9</w:t>
      </w:r>
    </w:p>
    <w:p w14:paraId="4B546AE8" w14:textId="77777777" w:rsidR="00FE7132" w:rsidRDefault="0024072B">
      <w:pPr>
        <w:spacing w:after="120"/>
        <w:ind w:left="720" w:hanging="720"/>
      </w:pPr>
      <w:r>
        <w:t xml:space="preserve">Baur, D., Gladstone, B. P., Burkert, F., Carrara, E., Foschi, F., </w:t>
      </w:r>
      <w:proofErr w:type="spellStart"/>
      <w:r>
        <w:t>Dobele</w:t>
      </w:r>
      <w:proofErr w:type="spellEnd"/>
      <w:r>
        <w:t xml:space="preserve">, S., et al. (2017). Effect of antibiotic stewardship on the incidence of infection and </w:t>
      </w:r>
      <w:proofErr w:type="spellStart"/>
      <w:r>
        <w:t>colonisation</w:t>
      </w:r>
      <w:proofErr w:type="spellEnd"/>
      <w:r>
        <w:t xml:space="preserve"> with antibiotic-resistant bacteria and Clostridium difficile infection: a systematic review and meta-analysis. The Lancet Infectious Diseases, 17(9), 990-1001. https://doi.org/10.1016/S1473-3099(17)30325-0</w:t>
      </w:r>
    </w:p>
    <w:p w14:paraId="0096193B" w14:textId="77777777" w:rsidR="00FE7132" w:rsidRDefault="0024072B">
      <w:pPr>
        <w:spacing w:after="120"/>
        <w:ind w:left="720" w:hanging="720"/>
      </w:pPr>
      <w:r>
        <w:t>Berglund, F., Ebmeyer, S., Kristiansson, E., &amp; Larsson, D. G. J. (2023). Evidence for wastewaters as environments where mobile antibiotic resistance genes emerge. Communications Biology, 6, 321. https://doi.org/10.1038/s42003-023-04676-7</w:t>
      </w:r>
    </w:p>
    <w:p w14:paraId="1952A2D6" w14:textId="77777777" w:rsidR="00FE7132" w:rsidRDefault="0024072B">
      <w:pPr>
        <w:spacing w:after="120"/>
        <w:ind w:left="720" w:hanging="720"/>
      </w:pPr>
      <w:r>
        <w:t>Bush, K., &amp; Bradford, P. A. (2020). Epidemiology of beta-lactamase-producing pathogens. Clinical Microbiology Reviews, 33(2), e00047-19. https://doi.org/10.1128/CMR.00047-19</w:t>
      </w:r>
    </w:p>
    <w:p w14:paraId="123D9A47" w14:textId="77777777" w:rsidR="00FE7132" w:rsidRDefault="0024072B">
      <w:pPr>
        <w:spacing w:after="120"/>
        <w:ind w:left="720" w:hanging="720"/>
      </w:pPr>
      <w:r>
        <w:t>Cabral, C., Zhang, T., Oliver, I., Little, P., Yardley, L., &amp; Lambert, H. (2024). Influences on use of antibiotics without prescription by the public in low- and middle-income countries: a systematic review and synthesis of qualitative evidence. JAC-Antimicrobial Resistance, 6(5), dlae165. https://doi.org/10.1093/jacamr/dlae165</w:t>
      </w:r>
    </w:p>
    <w:p w14:paraId="60544D0D" w14:textId="77777777" w:rsidR="00FE7132" w:rsidRDefault="0024072B">
      <w:pPr>
        <w:spacing w:after="120"/>
        <w:ind w:left="720" w:hanging="720"/>
      </w:pPr>
      <w:r>
        <w:t>Centers for Disease Control and Prevention. (2019). Antibiotic resistance threats in the United States, 2019. Atlanta, GA: US Department of Health and Human Services, CDC. https://stacks.cdc.gov/view/cdc/82532</w:t>
      </w:r>
    </w:p>
    <w:p w14:paraId="1D1CD736" w14:textId="77777777" w:rsidR="00FE7132" w:rsidRDefault="0024072B">
      <w:pPr>
        <w:spacing w:after="120"/>
        <w:ind w:left="720" w:hanging="720"/>
      </w:pPr>
      <w:r>
        <w:t xml:space="preserve">Darby, E. M., </w:t>
      </w:r>
      <w:proofErr w:type="spellStart"/>
      <w:r>
        <w:t>Trampari</w:t>
      </w:r>
      <w:proofErr w:type="spellEnd"/>
      <w:r>
        <w:t xml:space="preserve">, E., </w:t>
      </w:r>
      <w:proofErr w:type="spellStart"/>
      <w:r>
        <w:t>Siasat</w:t>
      </w:r>
      <w:proofErr w:type="spellEnd"/>
      <w:r>
        <w:t>, P., Solsona Gaya, M., Alav, I., Webber, M. A., et al. (2023). Molecular mechanisms of antibiotic resistance revisited. Nature Reviews Microbiology, 21(5), 280-295. https://doi.org/10.1038/s41579-022-00820-y</w:t>
      </w:r>
    </w:p>
    <w:p w14:paraId="7678E890" w14:textId="77777777" w:rsidR="00FE7132" w:rsidRDefault="0024072B">
      <w:pPr>
        <w:spacing w:after="120"/>
        <w:ind w:left="720" w:hanging="720"/>
      </w:pPr>
      <w:r>
        <w:t>Davey, P., Marwick, C. A., Scott, C. L., Charani, E., McNeil, K., Brown, E., et al. (2017). Interventions to improve antibiotic prescribing practices for hospital inpatients. Cochrane Database of Systematic Reviews, 2, CD003543. https://doi.org/10.1002/14651858.CD003543.pub4</w:t>
      </w:r>
    </w:p>
    <w:p w14:paraId="177ED420" w14:textId="77777777" w:rsidR="00FE7132" w:rsidRDefault="0024072B">
      <w:pPr>
        <w:spacing w:after="120"/>
        <w:ind w:left="720" w:hanging="720"/>
      </w:pPr>
      <w:r>
        <w:t>Davies, J., &amp; Davies, D. (2010). Origins and evolution of antibiotic resistance. Microbiology and Molecular Biology Reviews, 74(3), 417-433. https://doi.org/10.1128/mmbr.00016-10</w:t>
      </w:r>
    </w:p>
    <w:p w14:paraId="779C942E" w14:textId="77777777" w:rsidR="00FE7132" w:rsidRDefault="0024072B">
      <w:pPr>
        <w:spacing w:after="120"/>
        <w:ind w:left="720" w:hanging="720"/>
      </w:pPr>
      <w:r>
        <w:lastRenderedPageBreak/>
        <w:t xml:space="preserve">Dickey, S. W., Cheung, G. Y. C., &amp; Otto, M. (2017). Different drugs for bad bugs: </w:t>
      </w:r>
      <w:proofErr w:type="spellStart"/>
      <w:r>
        <w:t>antivirulence</w:t>
      </w:r>
      <w:proofErr w:type="spellEnd"/>
      <w:r>
        <w:t xml:space="preserve"> strategies in the age of antibiotic resistance. Nature Reviews Drug Discovery, 16(7), 457-471. https://doi.org/10.1038/nrd.2017.23</w:t>
      </w:r>
    </w:p>
    <w:p w14:paraId="4CEDB0A1" w14:textId="77777777" w:rsidR="00FE7132" w:rsidRDefault="0024072B">
      <w:pPr>
        <w:spacing w:after="120"/>
        <w:ind w:left="720" w:hanging="720"/>
      </w:pPr>
      <w:r>
        <w:t>Dingle, K. E., Didelot, X., Quan, T. P., Eyre, D. W., Stoesser, N., Golubchik, T., et al. (2017). Effects of control interventions on Clostridium difficile infection in England: an observational study. The Lancet Infectious Diseases, 17(4), 411-421. https://doi.org/10.1016/S1473-3099(16)30514-X</w:t>
      </w:r>
    </w:p>
    <w:p w14:paraId="559DFD82" w14:textId="77777777" w:rsidR="00FE7132" w:rsidRDefault="0024072B">
      <w:pPr>
        <w:spacing w:after="120"/>
        <w:ind w:left="720" w:hanging="720"/>
      </w:pPr>
      <w:r>
        <w:t>Farhat, M., Cox, H., Ghanem, M., Denkinger, C. M., Rodrigues, C., Abd El Aziz, M. S., et al. (2024). Drug-resistant tuberculosis: a persistent global health concern. Nature Reviews Microbiology, 22(10), 617-635. https://doi.org/10.1038/s41579-024-01025-1</w:t>
      </w:r>
    </w:p>
    <w:p w14:paraId="29134915" w14:textId="77777777" w:rsidR="00FE7132" w:rsidRDefault="0024072B">
      <w:pPr>
        <w:spacing w:after="120"/>
        <w:ind w:left="720" w:hanging="720"/>
      </w:pPr>
      <w:r>
        <w:t>Federal Government of Nigeria. (2024). Nigeria: Second One Health antimicrobial resistance national action plan 2024-2028. Geneva: World Health Organization. https://www.who.int/publications/m/item/nigeria--second-one-health-antimicrobial-resistance-national-action-plan-2024-2028</w:t>
      </w:r>
    </w:p>
    <w:p w14:paraId="63E770D6" w14:textId="77777777" w:rsidR="00FE7132" w:rsidRDefault="0024072B">
      <w:pPr>
        <w:spacing w:after="120"/>
        <w:ind w:left="720" w:hanging="720"/>
      </w:pPr>
      <w:r>
        <w:t xml:space="preserve">Gashaw, T., </w:t>
      </w:r>
      <w:proofErr w:type="spellStart"/>
      <w:r>
        <w:t>Yadeta</w:t>
      </w:r>
      <w:proofErr w:type="spellEnd"/>
      <w:r>
        <w:t xml:space="preserve">, T. A., </w:t>
      </w:r>
      <w:proofErr w:type="spellStart"/>
      <w:r>
        <w:t>Weldegebreal</w:t>
      </w:r>
      <w:proofErr w:type="spellEnd"/>
      <w:r>
        <w:t>, F., Demissie, L., Jambo, A., &amp; Assefa, N. (2025). The global prevalence of antibiotic self-medication among the adult population: systematic review and meta-analysis. Systematic Reviews, 14. https://doi.org/10.1186/s13643-025-02783-6</w:t>
      </w:r>
    </w:p>
    <w:p w14:paraId="40E0A326" w14:textId="77777777" w:rsidR="00FE7132" w:rsidRDefault="0024072B">
      <w:pPr>
        <w:spacing w:after="120"/>
        <w:ind w:left="720" w:hanging="720"/>
      </w:pPr>
      <w:r>
        <w:t>GBD 2021 Antimicrobial Resistance Collaborators. (2024). Global burden of bacterial antimicrobial resistance 1990-2021: a systematic analysis with forecasts to 2050. The Lancet, 404(10459), 1199-1226. https://doi.org/10.1016/S0140-6736(24)01867-1</w:t>
      </w:r>
    </w:p>
    <w:p w14:paraId="04DFC7BE" w14:textId="77777777" w:rsidR="00FE7132" w:rsidRDefault="0024072B">
      <w:pPr>
        <w:spacing w:after="120"/>
        <w:ind w:left="720" w:hanging="720"/>
      </w:pPr>
      <w:r>
        <w:t xml:space="preserve">Klein, E. Y., </w:t>
      </w:r>
      <w:proofErr w:type="spellStart"/>
      <w:r>
        <w:t>Impalli</w:t>
      </w:r>
      <w:proofErr w:type="spellEnd"/>
      <w:r>
        <w:t xml:space="preserve">, I., Poleon, S., </w:t>
      </w:r>
      <w:proofErr w:type="spellStart"/>
      <w:r>
        <w:t>Denoel</w:t>
      </w:r>
      <w:proofErr w:type="spellEnd"/>
      <w:r>
        <w:t>, P., Cipriano, M., Van Boeckel, T. P., et al. (2024). Global trends in antibiotic consumption during 2016-2023 and future projections through 2030. Proceedings of the National Academy of Sciences, 121(49), e2411919121. https://doi.org/10.1073/pnas.2411919121</w:t>
      </w:r>
    </w:p>
    <w:p w14:paraId="17FE7CD2" w14:textId="77777777" w:rsidR="00FE7132" w:rsidRDefault="0024072B">
      <w:pPr>
        <w:spacing w:after="120"/>
        <w:ind w:left="720" w:hanging="720"/>
      </w:pPr>
      <w:r>
        <w:t>Klemm, E. J., Shakoor, S., Page, A. J., Qamar, F. N., Judge, K., Saeed, D. K., et al. (2018). Emergence of an extensively drug-resistant Salmonella enterica serovar Typhi clone harboring a promiscuous plasmid encoding resistance to fluoroquinolones and third-generation cephalosporins. mBio, 9(1), e00105-18. https://doi.org/10.1128/mBio.00105-18</w:t>
      </w:r>
    </w:p>
    <w:p w14:paraId="190751FE" w14:textId="77777777" w:rsidR="00FE7132" w:rsidRDefault="0024072B">
      <w:pPr>
        <w:spacing w:after="120"/>
        <w:ind w:left="720" w:hanging="720"/>
      </w:pPr>
      <w:r>
        <w:t xml:space="preserve">Kyriakidis, I., Vasileiou, E., Pana, Z. D., &amp; </w:t>
      </w:r>
      <w:proofErr w:type="spellStart"/>
      <w:r>
        <w:t>Tragiannidis</w:t>
      </w:r>
      <w:proofErr w:type="spellEnd"/>
      <w:r>
        <w:t>, A. (2021). Acinetobacter baumannii antibiotic resistance mechanisms. Pathogens, 10(3), 373. https://doi.org/10.3390/pathogens10030373</w:t>
      </w:r>
    </w:p>
    <w:p w14:paraId="48E13E9C" w14:textId="77777777" w:rsidR="00FE7132" w:rsidRDefault="0024072B">
      <w:pPr>
        <w:spacing w:after="120"/>
        <w:ind w:left="720" w:hanging="720"/>
      </w:pPr>
      <w:r>
        <w:t>Larsson, D. G. J., &amp; Flach, C.-F. (2022). Antibiotic resistance in the environment. Nature Reviews Microbiology, 20(5), 257-269. https://doi.org/10.1038/s41579-021-00649-x</w:t>
      </w:r>
    </w:p>
    <w:p w14:paraId="042BCF80" w14:textId="77777777" w:rsidR="00FE7132" w:rsidRDefault="0024072B">
      <w:pPr>
        <w:spacing w:after="120"/>
        <w:ind w:left="720" w:hanging="720"/>
      </w:pPr>
      <w:proofErr w:type="spellStart"/>
      <w:r>
        <w:t>Lewnard</w:t>
      </w:r>
      <w:proofErr w:type="spellEnd"/>
      <w:r>
        <w:t xml:space="preserve">, J. A., Charani, E., Gleason, A., Hsu, L. Y., Khan, W. A., </w:t>
      </w:r>
      <w:proofErr w:type="spellStart"/>
      <w:r>
        <w:t>Karkey</w:t>
      </w:r>
      <w:proofErr w:type="spellEnd"/>
      <w:r>
        <w:t xml:space="preserve">, A., et al. (2024). Burden of bacterial antimicrobial resistance in low-income and middle-income countries avertible by existing interventions: an evidence </w:t>
      </w:r>
      <w:proofErr w:type="gramStart"/>
      <w:r>
        <w:t>review</w:t>
      </w:r>
      <w:proofErr w:type="gramEnd"/>
      <w:r>
        <w:t xml:space="preserve"> and modelling analysis. The Lancet, 403(10442), 2439-2454. https://doi.org/10.1016/S0140-6736(24)00862-6</w:t>
      </w:r>
    </w:p>
    <w:p w14:paraId="1FC41966" w14:textId="77777777" w:rsidR="00FE7132" w:rsidRDefault="0024072B">
      <w:pPr>
        <w:spacing w:after="120"/>
        <w:ind w:left="720" w:hanging="720"/>
      </w:pPr>
      <w:proofErr w:type="spellStart"/>
      <w:r>
        <w:t>Lewnard</w:t>
      </w:r>
      <w:proofErr w:type="spellEnd"/>
      <w:r>
        <w:t xml:space="preserve">, J. A., Lo, N. C., </w:t>
      </w:r>
      <w:proofErr w:type="spellStart"/>
      <w:r>
        <w:t>Arinaminpathy</w:t>
      </w:r>
      <w:proofErr w:type="spellEnd"/>
      <w:r>
        <w:t>, N., Frost, I., &amp; Laxminarayan, R. (2020). Childhood vaccines and antibiotic use in low- and middle-income countries. Nature, 581(7806), 94-99. https://doi.org/10.1038/s41586-020-2238-4</w:t>
      </w:r>
    </w:p>
    <w:p w14:paraId="410F24DD" w14:textId="77777777" w:rsidR="00FE7132" w:rsidRDefault="0024072B">
      <w:pPr>
        <w:spacing w:after="120"/>
        <w:ind w:left="720" w:hanging="720"/>
      </w:pPr>
      <w:r>
        <w:lastRenderedPageBreak/>
        <w:t>Liu, Y.-Y., Wang, Y., Walsh, T. R., Yi, L.-X., Zhang, R., Spencer, J., et al. (2016). Emergence of plasmid-mediated colistin resistance mechanism MCR-1 in animals and human beings in China: a microbiological and molecular biological study. The Lancet Infectious Diseases, 16(2), 161-168. https://doi.org/10.1016/S1473-3099(15)00424-7</w:t>
      </w:r>
    </w:p>
    <w:p w14:paraId="7D05FEB5" w14:textId="77777777" w:rsidR="00FE7132" w:rsidRDefault="0024072B">
      <w:pPr>
        <w:spacing w:after="120"/>
        <w:ind w:left="720" w:hanging="720"/>
      </w:pPr>
      <w:r>
        <w:t xml:space="preserve">Luckey, A., </w:t>
      </w:r>
      <w:proofErr w:type="spellStart"/>
      <w:r>
        <w:t>Balasegaram</w:t>
      </w:r>
      <w:proofErr w:type="spellEnd"/>
      <w:r>
        <w:t xml:space="preserve">, M., Barbee, L. A., Batteiger, T. A., Broadhurst, H., Cohen, S. E., et al. (2026). </w:t>
      </w:r>
      <w:proofErr w:type="spellStart"/>
      <w:r>
        <w:t>Zoliflodacin</w:t>
      </w:r>
      <w:proofErr w:type="spellEnd"/>
      <w:r>
        <w:t xml:space="preserve"> versus ceftriaxone plus azithromycin for treatment of uncomplicated urogenital </w:t>
      </w:r>
      <w:proofErr w:type="spellStart"/>
      <w:r>
        <w:t>gonorrhoea</w:t>
      </w:r>
      <w:proofErr w:type="spellEnd"/>
      <w:r>
        <w:t xml:space="preserve">: an international, </w:t>
      </w:r>
      <w:proofErr w:type="spellStart"/>
      <w:r>
        <w:t>randomised</w:t>
      </w:r>
      <w:proofErr w:type="spellEnd"/>
      <w:r>
        <w:t>, controlled, open-label, phase 3, non-inferiority clinical trial. The Lancet, 407(10524), 147-160. https://doi.org/10.1016/S0140-6736(25)01953-1</w:t>
      </w:r>
    </w:p>
    <w:p w14:paraId="6A097072" w14:textId="77777777" w:rsidR="00FE7132" w:rsidRDefault="0024072B">
      <w:pPr>
        <w:spacing w:after="120"/>
        <w:ind w:left="720" w:hanging="720"/>
      </w:pPr>
      <w:r>
        <w:t xml:space="preserve">Magana, M., </w:t>
      </w:r>
      <w:proofErr w:type="spellStart"/>
      <w:r>
        <w:t>Pushpanathan</w:t>
      </w:r>
      <w:proofErr w:type="spellEnd"/>
      <w:r>
        <w:t xml:space="preserve">, M., Santos, A. L., </w:t>
      </w:r>
      <w:proofErr w:type="spellStart"/>
      <w:r>
        <w:t>Leanse</w:t>
      </w:r>
      <w:proofErr w:type="spellEnd"/>
      <w:r>
        <w:t>, L., Fernandez, M., Ioannidis, A., et al. (2020). The value of antimicrobial peptides in the age of resistance. The Lancet Infectious Diseases, 20(9), e216-e230. https://doi.org/10.1016/S1473-3099(20)30327-3</w:t>
      </w:r>
    </w:p>
    <w:p w14:paraId="072BA7A6" w14:textId="77777777" w:rsidR="00FE7132" w:rsidRDefault="0024072B">
      <w:pPr>
        <w:spacing w:after="120"/>
        <w:ind w:left="720" w:hanging="720"/>
      </w:pPr>
      <w:r>
        <w:t>Melchiorri, D., Rocke, T., Alm, R. A., Cameron, A. M., &amp; Gigante, V. (2025). Addressing urgent priorities in antibiotic development: insights from WHO 2023 antibacterial clinical pipeline analyses. The Lancet Microbe, 6(3), 100992. https://doi.org/10.1016/j.lanmic.2024.100992</w:t>
      </w:r>
    </w:p>
    <w:p w14:paraId="30CB43CD" w14:textId="77777777" w:rsidR="00FE7132" w:rsidRDefault="0024072B">
      <w:pPr>
        <w:spacing w:after="120"/>
        <w:ind w:left="720" w:hanging="720"/>
      </w:pPr>
      <w:r>
        <w:t xml:space="preserve">Monk, E. J. M., Jones, T. P. W., </w:t>
      </w:r>
      <w:proofErr w:type="spellStart"/>
      <w:r>
        <w:t>Bongomin</w:t>
      </w:r>
      <w:proofErr w:type="spellEnd"/>
      <w:r>
        <w:t xml:space="preserve">, F., </w:t>
      </w:r>
      <w:proofErr w:type="spellStart"/>
      <w:r>
        <w:t>Kibone</w:t>
      </w:r>
      <w:proofErr w:type="spellEnd"/>
      <w:r>
        <w:t xml:space="preserve">, W., Nsubuga, Y., </w:t>
      </w:r>
      <w:proofErr w:type="spellStart"/>
      <w:r>
        <w:t>Ssewante</w:t>
      </w:r>
      <w:proofErr w:type="spellEnd"/>
      <w:r>
        <w:t>, N., et al. (2024). Antimicrobial resistance in bacterial wound, skin, soft tissue and surgical site infections in Central, Eastern, Southern and Western Africa: a systematic review and meta-analysis. PLOS Global Public Health, 4(4), e0003077. https://doi.org/10.1371/journal.pgph.0003077</w:t>
      </w:r>
    </w:p>
    <w:p w14:paraId="00F4E7AB" w14:textId="77777777" w:rsidR="00FE7132" w:rsidRDefault="0024072B">
      <w:pPr>
        <w:spacing w:after="120"/>
        <w:ind w:left="720" w:hanging="720"/>
      </w:pPr>
      <w:r>
        <w:t>Mulchandani, R., Wang, Y., Gilbert, M., &amp; Van Boeckel, T. P. (2023). Global trends in antimicrobial use in food-producing animals: 2020 to 2030. PLOS Global Public Health, 3(2), e0001305. https://doi.org/10.1371/journal.pgph.0001305</w:t>
      </w:r>
    </w:p>
    <w:p w14:paraId="4E683694" w14:textId="77777777" w:rsidR="00FE7132" w:rsidRDefault="0024072B">
      <w:pPr>
        <w:spacing w:after="120"/>
        <w:ind w:left="720" w:hanging="720"/>
      </w:pPr>
      <w:proofErr w:type="spellStart"/>
      <w:r>
        <w:t>Osena</w:t>
      </w:r>
      <w:proofErr w:type="spellEnd"/>
      <w:r>
        <w:t xml:space="preserve">, G., Kapoor, G., </w:t>
      </w:r>
      <w:proofErr w:type="spellStart"/>
      <w:r>
        <w:t>Kalanxhi</w:t>
      </w:r>
      <w:proofErr w:type="spellEnd"/>
      <w:r>
        <w:t>, E., Ouassa, T., Shumba, E., Brar, S., et al. (2025). Antimicrobial resistance in Africa: a retrospective analysis of data from 14 countries, 2016-2019. PLOS Medicine, 22(6), e1004638. https://doi.org/10.1371/journal.pmed.1004638</w:t>
      </w:r>
    </w:p>
    <w:p w14:paraId="0F02B319" w14:textId="77777777" w:rsidR="00FE7132" w:rsidRDefault="0024072B">
      <w:pPr>
        <w:spacing w:after="120"/>
        <w:ind w:left="720" w:hanging="720"/>
      </w:pPr>
      <w:r>
        <w:t>Partridge, S. R., Kwong, S. M., Firth, N., &amp; Jensen, S. O. (2018). Mobile genetic elements associated with antimicrobial resistance. Clinical Microbiology Reviews, 31(4), e00088-17. https://doi.org/10.1128/cmr.00088-17</w:t>
      </w:r>
    </w:p>
    <w:p w14:paraId="759D712A" w14:textId="17B7D909" w:rsidR="00FE7132" w:rsidRDefault="0024072B">
      <w:pPr>
        <w:spacing w:after="120"/>
        <w:ind w:left="720" w:hanging="720"/>
      </w:pPr>
      <w:proofErr w:type="spellStart"/>
      <w:r>
        <w:t>Pirnay</w:t>
      </w:r>
      <w:proofErr w:type="spellEnd"/>
      <w:r>
        <w:t xml:space="preserve">, J.-P., </w:t>
      </w:r>
      <w:proofErr w:type="spellStart"/>
      <w:r>
        <w:t>Djebara</w:t>
      </w:r>
      <w:proofErr w:type="spellEnd"/>
      <w:r>
        <w:t xml:space="preserve">, S., </w:t>
      </w:r>
      <w:proofErr w:type="spellStart"/>
      <w:r>
        <w:t>Steurs</w:t>
      </w:r>
      <w:proofErr w:type="spellEnd"/>
      <w:r>
        <w:t xml:space="preserve">, G., Griselain, J., </w:t>
      </w:r>
      <w:proofErr w:type="spellStart"/>
      <w:r>
        <w:t>Cochez</w:t>
      </w:r>
      <w:proofErr w:type="spellEnd"/>
      <w:r>
        <w:t xml:space="preserve">, C., De Soir, S., et al. (2024). Personalized bacteriophage therapy outcomes for 100 consecutive cases: a </w:t>
      </w:r>
      <w:proofErr w:type="spellStart"/>
      <w:r>
        <w:t>multicentre</w:t>
      </w:r>
      <w:proofErr w:type="spellEnd"/>
      <w:r>
        <w:t xml:space="preserve">, multinational, retrospective observational study. Nature Microbiology, 9(6), 1434-1453. </w:t>
      </w:r>
      <w:hyperlink r:id="rId9" w:history="1">
        <w:r w:rsidR="008A233D" w:rsidRPr="00362A67">
          <w:rPr>
            <w:rStyle w:val="Hyperlink"/>
          </w:rPr>
          <w:t>https://doi.org/10.1038/s41564-024-01705-x</w:t>
        </w:r>
      </w:hyperlink>
    </w:p>
    <w:p w14:paraId="122F8724" w14:textId="6BC04990" w:rsidR="008A233D" w:rsidRDefault="008A233D">
      <w:pPr>
        <w:spacing w:after="120"/>
        <w:ind w:left="720" w:hanging="720"/>
      </w:pPr>
      <w:proofErr w:type="spellStart"/>
      <w:r>
        <w:rPr>
          <w:rStyle w:val="Strong"/>
        </w:rPr>
        <w:t>Prestinaci</w:t>
      </w:r>
      <w:proofErr w:type="spellEnd"/>
      <w:r>
        <w:rPr>
          <w:rStyle w:val="Strong"/>
        </w:rPr>
        <w:t xml:space="preserve">, F., Pezzotti, P., &amp; </w:t>
      </w:r>
      <w:proofErr w:type="spellStart"/>
      <w:r>
        <w:rPr>
          <w:rStyle w:val="Strong"/>
        </w:rPr>
        <w:t>Pantosti</w:t>
      </w:r>
      <w:proofErr w:type="spellEnd"/>
      <w:r>
        <w:rPr>
          <w:rStyle w:val="Strong"/>
        </w:rPr>
        <w:t>, A. (2015).</w:t>
      </w:r>
      <w:r>
        <w:t xml:space="preserve"> Antimicrobial resistance: A global multifaceted phenomenon. </w:t>
      </w:r>
      <w:r>
        <w:rPr>
          <w:rStyle w:val="Emphasis"/>
        </w:rPr>
        <w:t>Pathogens and Global Health, 109</w:t>
      </w:r>
      <w:r>
        <w:t>(7), 309–318. https://doi.org/10.1179/2047773215Y.0000000030</w:t>
      </w:r>
    </w:p>
    <w:p w14:paraId="340B431B" w14:textId="77777777" w:rsidR="00FE7132" w:rsidRDefault="0024072B">
      <w:pPr>
        <w:spacing w:after="120"/>
        <w:ind w:left="720" w:hanging="720"/>
      </w:pPr>
      <w:r>
        <w:t xml:space="preserve">Sati, H., Carrara, E., Savoldi, A., Hansen, P., Garlasco, J., Campagnaro, E., et al. (2025). The WHO Bacterial Priority Pathogens List 2024: a </w:t>
      </w:r>
      <w:proofErr w:type="spellStart"/>
      <w:r>
        <w:t>prioritisation</w:t>
      </w:r>
      <w:proofErr w:type="spellEnd"/>
      <w:r>
        <w:t xml:space="preserve"> study to guide research, development, and public health strategies against antimicrobial resistance. The Lancet Infectious Diseases. https://doi.org/10.1016/S1473-3099(25)00118-5</w:t>
      </w:r>
    </w:p>
    <w:p w14:paraId="2F1A3D8C" w14:textId="77777777" w:rsidR="00FE7132" w:rsidRDefault="0024072B">
      <w:pPr>
        <w:spacing w:after="120"/>
        <w:ind w:left="720" w:hanging="720"/>
      </w:pPr>
      <w:proofErr w:type="spellStart"/>
      <w:r>
        <w:lastRenderedPageBreak/>
        <w:t>Siachalinga</w:t>
      </w:r>
      <w:proofErr w:type="spellEnd"/>
      <w:r>
        <w:t xml:space="preserve">, L., </w:t>
      </w:r>
      <w:proofErr w:type="spellStart"/>
      <w:r>
        <w:t>Mufwambi</w:t>
      </w:r>
      <w:proofErr w:type="spellEnd"/>
      <w:r>
        <w:t>, W., &amp; Lee, I.-H. (2022). Impact of antimicrobial stewardship interventions to improve antibiotic prescribing for hospital inpatients in Africa: a systematic review and meta-analysis. Journal of Hospital Infection, 129, 124-143. https://doi.org/10.1016/j.jhin.2022.07.031</w:t>
      </w:r>
    </w:p>
    <w:p w14:paraId="1CB7FC6D" w14:textId="77777777" w:rsidR="00FE7132" w:rsidRDefault="0024072B">
      <w:pPr>
        <w:spacing w:after="120"/>
        <w:ind w:left="720" w:hanging="720"/>
      </w:pPr>
      <w:r>
        <w:t>Song, H.-W., Lin, Y., Wan, T.-E., Yang, G.-H., Jiang, M.-T., Fu, B.-H., et al. (2025). Global burden of Klebsiella pneumoniae infections and antimicrobial resistance in 2019. BMC Infectious Diseases, 25. https://doi.org/10.1186/s12879-025-12120-w</w:t>
      </w:r>
    </w:p>
    <w:p w14:paraId="595BAFE6" w14:textId="0CEAA02F" w:rsidR="00FE7132" w:rsidRDefault="0024072B">
      <w:pPr>
        <w:spacing w:after="120"/>
        <w:ind w:left="720" w:hanging="720"/>
      </w:pPr>
      <w:proofErr w:type="spellStart"/>
      <w:r>
        <w:t>Stogios</w:t>
      </w:r>
      <w:proofErr w:type="spellEnd"/>
      <w:r>
        <w:t xml:space="preserve">, P. J., &amp; Savchenko, A. (2020). Molecular mechanisms of vancomycin resistance. Protein Science, 29(3), 654-669. </w:t>
      </w:r>
      <w:hyperlink r:id="rId10" w:history="1">
        <w:r w:rsidR="008A233D" w:rsidRPr="00362A67">
          <w:rPr>
            <w:rStyle w:val="Hyperlink"/>
          </w:rPr>
          <w:t>https://doi.org/10.1002/pro.3819</w:t>
        </w:r>
      </w:hyperlink>
    </w:p>
    <w:p w14:paraId="24EB7270" w14:textId="77777777" w:rsidR="008A233D" w:rsidRDefault="008A233D" w:rsidP="008A233D">
      <w:pPr>
        <w:pStyle w:val="pdq2pgselectionanchorcontainer"/>
      </w:pPr>
      <w:proofErr w:type="spellStart"/>
      <w:r>
        <w:t>Teillant</w:t>
      </w:r>
      <w:proofErr w:type="spellEnd"/>
      <w:r>
        <w:t xml:space="preserve">, A., Gandra, S., Barter, D., Morgan, D. J., &amp; Laxminarayan, R. (2015). Potential burden of antibiotic resistance on surgery and cancer chemotherapy antibiotic prophylaxis in the USA: A literature review and modelling study. </w:t>
      </w:r>
      <w:r>
        <w:rPr>
          <w:rStyle w:val="Emphasis"/>
        </w:rPr>
        <w:t>The Lancet Infectious Diseases, 15</w:t>
      </w:r>
      <w:r>
        <w:t>(12), 1429–1437. https://doi.org/10.1016/S1473-3099(15)00270-4</w:t>
      </w:r>
    </w:p>
    <w:p w14:paraId="7C6737F5" w14:textId="77777777" w:rsidR="008A233D" w:rsidRDefault="008A233D">
      <w:pPr>
        <w:spacing w:after="120"/>
        <w:ind w:left="720" w:hanging="720"/>
      </w:pPr>
    </w:p>
    <w:p w14:paraId="2D77DD47" w14:textId="77777777" w:rsidR="00FE7132" w:rsidRDefault="0024072B">
      <w:pPr>
        <w:spacing w:after="120"/>
        <w:ind w:left="720" w:hanging="720"/>
      </w:pPr>
      <w:proofErr w:type="spellStart"/>
      <w:r>
        <w:t>Theuretzbacher</w:t>
      </w:r>
      <w:proofErr w:type="spellEnd"/>
      <w:r>
        <w:t xml:space="preserve">, U., </w:t>
      </w:r>
      <w:proofErr w:type="spellStart"/>
      <w:r>
        <w:t>Jumde</w:t>
      </w:r>
      <w:proofErr w:type="spellEnd"/>
      <w:r>
        <w:t>, R. P., Hennessy, A., Cohn, J., &amp; Piddock, L. J. V. (2025). Global health perspectives on antibacterial drug discovery and the preclinical pipeline. Nature Reviews Microbiology. https://doi.org/10.1038/s41579-025-01167-w</w:t>
      </w:r>
    </w:p>
    <w:p w14:paraId="6A70B4A6" w14:textId="77777777" w:rsidR="00FE7132" w:rsidRDefault="0024072B">
      <w:pPr>
        <w:spacing w:after="120"/>
        <w:ind w:left="720" w:hanging="720"/>
      </w:pPr>
      <w:r>
        <w:t xml:space="preserve">Turner, N. A., Sharma-Kuinkel, B. K., </w:t>
      </w:r>
      <w:proofErr w:type="spellStart"/>
      <w:r>
        <w:t>Maskarinec</w:t>
      </w:r>
      <w:proofErr w:type="spellEnd"/>
      <w:r>
        <w:t xml:space="preserve">, S. A., Eichenberger, E. M., Shah, P. P., </w:t>
      </w:r>
      <w:proofErr w:type="spellStart"/>
      <w:r>
        <w:t>Carugati</w:t>
      </w:r>
      <w:proofErr w:type="spellEnd"/>
      <w:r>
        <w:t>, M., et al. (2019). Methicillin-resistant Staphylococcus aureus: an overview of basic and clinical research. Nature Reviews Microbiology, 17(4), 203-218. https://doi.org/10.1038/s41579-018-0147-4</w:t>
      </w:r>
    </w:p>
    <w:p w14:paraId="00CF2591" w14:textId="77777777" w:rsidR="00FE7132" w:rsidRDefault="0024072B">
      <w:pPr>
        <w:spacing w:after="120"/>
        <w:ind w:left="720" w:hanging="720"/>
      </w:pPr>
      <w:proofErr w:type="spellStart"/>
      <w:r>
        <w:t>Unemo</w:t>
      </w:r>
      <w:proofErr w:type="spellEnd"/>
      <w:r>
        <w:t xml:space="preserve">, M., </w:t>
      </w:r>
      <w:proofErr w:type="spellStart"/>
      <w:r>
        <w:t>Lahra</w:t>
      </w:r>
      <w:proofErr w:type="spellEnd"/>
      <w:r>
        <w:t xml:space="preserve">, M. M., Escher, M., </w:t>
      </w:r>
      <w:proofErr w:type="spellStart"/>
      <w:r>
        <w:t>Eremin</w:t>
      </w:r>
      <w:proofErr w:type="spellEnd"/>
      <w:r>
        <w:t>, S., Cole, M. J., Galarza, P., et al. (2021). WHO global antimicrobial resistance surveillance for Neisseria gonorrhoeae 2017-18: a retrospective observational study. The Lancet Microbe, 2(11), e627-e636. https://doi.org/10.1016/S2666-5247(21)00171-3</w:t>
      </w:r>
    </w:p>
    <w:p w14:paraId="25E0D650" w14:textId="77777777" w:rsidR="00FE7132" w:rsidRDefault="0024072B">
      <w:pPr>
        <w:spacing w:after="120"/>
        <w:ind w:left="720" w:hanging="720"/>
      </w:pPr>
      <w:r>
        <w:t>US Food and Drug Administration. (2025, December 12). FDA approves two oral therapies to treat gonorrhea [Press announcement]. https://www.fda.gov/news-events/press-announcements/fda-approves-two-oral-therapies-treat-gonorrhea</w:t>
      </w:r>
    </w:p>
    <w:p w14:paraId="3D8A7C1A" w14:textId="77777777" w:rsidR="00FE7132" w:rsidRDefault="0024072B">
      <w:pPr>
        <w:spacing w:after="120"/>
        <w:ind w:left="720" w:hanging="720"/>
      </w:pPr>
      <w:proofErr w:type="spellStart"/>
      <w:r>
        <w:t>Uyttebroek</w:t>
      </w:r>
      <w:proofErr w:type="spellEnd"/>
      <w:r>
        <w:t xml:space="preserve">, S., Chen, B., </w:t>
      </w:r>
      <w:proofErr w:type="spellStart"/>
      <w:r>
        <w:t>Onsea</w:t>
      </w:r>
      <w:proofErr w:type="spellEnd"/>
      <w:r>
        <w:t xml:space="preserve">, J., </w:t>
      </w:r>
      <w:proofErr w:type="spellStart"/>
      <w:r>
        <w:t>Ruythooren</w:t>
      </w:r>
      <w:proofErr w:type="spellEnd"/>
      <w:r>
        <w:t xml:space="preserve">, F., </w:t>
      </w:r>
      <w:proofErr w:type="spellStart"/>
      <w:r>
        <w:t>Debaveye</w:t>
      </w:r>
      <w:proofErr w:type="spellEnd"/>
      <w:r>
        <w:t>, Y., Devolder, D., et al. (2022). Safety and efficacy of phage therapy in difficult-to-treat infections: a systematic review. The Lancet Infectious Diseases, 22(8), e208-e220. https://doi.org/10.1016/S1473-3099(21)00612-5</w:t>
      </w:r>
    </w:p>
    <w:p w14:paraId="04C7C9E7" w14:textId="77777777" w:rsidR="00FE7132" w:rsidRDefault="0024072B">
      <w:pPr>
        <w:spacing w:after="120"/>
        <w:ind w:left="720" w:hanging="720"/>
      </w:pPr>
      <w:r>
        <w:t>Van Boeckel, T. P., Pires, J., Silvester, R., Zhao, C., Song, J., Criscuolo, N. G., et al. (2019). Global trends in antimicrobial resistance in animals in low- and middle-income countries. Science, 365(6459), eaaw1944. https://doi.org/10.1126/science.aaw1944</w:t>
      </w:r>
    </w:p>
    <w:p w14:paraId="7F99539E" w14:textId="77777777" w:rsidR="00FE7132" w:rsidRDefault="0024072B">
      <w:pPr>
        <w:spacing w:after="120"/>
        <w:ind w:left="720" w:hanging="720"/>
      </w:pPr>
      <w:r>
        <w:t>von Wintersdorff, C. J. H., Penders, J., van Niekerk, J. M., Mills, N. D., Majumder, S., van Alphen, L. B., et al. (2016). Dissemination of antimicrobial resistance in microbial ecosystems through horizontal gene transfer. Frontiers in Microbiology, 7, 173. https://doi.org/10.3389/fmicb.2016.00173</w:t>
      </w:r>
    </w:p>
    <w:p w14:paraId="3829D726" w14:textId="77777777" w:rsidR="00FE7132" w:rsidRDefault="0024072B">
      <w:pPr>
        <w:spacing w:after="120"/>
        <w:ind w:left="720" w:hanging="720"/>
      </w:pPr>
      <w:r>
        <w:lastRenderedPageBreak/>
        <w:t>Walker, T. M., Miotto, P., Koser, C. U., Fowler, P. W., Knaggs, J., Iqbal, Z., et al. (2022). The 2021 WHO catalogue of Mycobacterium tuberculosis complex mutations associated with drug resistance: a genotypic analysis. The Lancet Microbe, 3(4), e265-e273. https://doi.org/10.1016/S2666-5247(21)00301-3</w:t>
      </w:r>
    </w:p>
    <w:p w14:paraId="382FA54C" w14:textId="77777777" w:rsidR="00FE7132" w:rsidRDefault="0024072B">
      <w:pPr>
        <w:spacing w:after="120"/>
        <w:ind w:left="720" w:hanging="720"/>
      </w:pPr>
      <w:r>
        <w:t>Wang, R., van Dorp, L., Shaw, L. P., Bradley, P., Wang, Q., Wang, X., et al. (2018). The global distribution and spread of the mobilized colistin resistance gene mcr-1. Nature Communications, 9, 1179. https://doi.org/10.1038/s41467-018-03205-z</w:t>
      </w:r>
    </w:p>
    <w:p w14:paraId="16E51BF2" w14:textId="77777777" w:rsidR="00FE7132" w:rsidRDefault="0024072B">
      <w:pPr>
        <w:spacing w:after="120"/>
        <w:ind w:left="720" w:hanging="720"/>
      </w:pPr>
      <w:r>
        <w:t>World Health Organization. (2024a). WHO bacterial priority pathogens list, 2024: bacterial pathogens of public health importance to guide research, development and strategies to prevent and control antimicrobial resistance. Geneva: WHO. https://www.who.int/publications/i/item/9789240093461</w:t>
      </w:r>
    </w:p>
    <w:p w14:paraId="6E6DC364" w14:textId="77777777" w:rsidR="00FE7132" w:rsidRDefault="0024072B">
      <w:pPr>
        <w:spacing w:after="120"/>
        <w:ind w:left="720" w:hanging="720"/>
      </w:pPr>
      <w:r>
        <w:t>World Health Organization. (2024b, September 26). World leaders commit to decisive action on antimicrobial resistance [Joint news release]. Geneva: WHO. https://www.who.int/news/item/26-09-2024-world-leaders-commit-to-decisive-action-on-antimicrobial-resistance</w:t>
      </w:r>
    </w:p>
    <w:p w14:paraId="03EDC12D" w14:textId="77777777" w:rsidR="00FE7132" w:rsidRDefault="0024072B">
      <w:pPr>
        <w:spacing w:after="120"/>
        <w:ind w:left="720" w:hanging="720"/>
      </w:pPr>
      <w:r>
        <w:t>World Health Organization. (2024c, May 17). WHO updates list of drug-resistant bacteria most threatening to human health [News release]. Geneva: WHO. https://www.who.int/news/item/17-05-2024-who-updates-list-of-drug-resistant-bacteria-most-threatening-to-human-health</w:t>
      </w:r>
    </w:p>
    <w:p w14:paraId="531899E9" w14:textId="77777777" w:rsidR="00FE7132" w:rsidRDefault="0024072B">
      <w:pPr>
        <w:spacing w:after="120"/>
        <w:ind w:left="720" w:hanging="720"/>
      </w:pPr>
      <w:r>
        <w:t>World Health Organization. (2025a). Global antibiotic resistance surveillance report 2025. Geneva: WHO. https://www.who.int/publications/i/item/9789240116337</w:t>
      </w:r>
    </w:p>
    <w:p w14:paraId="71D5732E" w14:textId="77777777" w:rsidR="00FE7132" w:rsidRDefault="0024072B">
      <w:pPr>
        <w:spacing w:after="120"/>
        <w:ind w:left="720" w:hanging="720"/>
      </w:pPr>
      <w:r>
        <w:t>World Health Organization. (2025b). Global tuberculosis report 2025. Geneva: WHO. https://www.who.int/teams/global-tuberculosis-programme/tb-reports/global-tuberculosis-report-2025</w:t>
      </w:r>
    </w:p>
    <w:p w14:paraId="24B0AF5D" w14:textId="77777777" w:rsidR="00FE7132" w:rsidRDefault="0024072B">
      <w:pPr>
        <w:spacing w:after="120"/>
        <w:ind w:left="720" w:hanging="720"/>
      </w:pPr>
      <w:r>
        <w:t>World Health Organization. (2025c, October 13). WHO warns of widespread resistance to common antibiotics worldwide [News release]. Geneva: WHO. https://www.who.int/news/item/13-10-2025-who-warns-of-widespread-resistance-to-common-antibiotics-worldwide</w:t>
      </w:r>
    </w:p>
    <w:p w14:paraId="29443BCF" w14:textId="77777777" w:rsidR="00FE7132" w:rsidRDefault="0024072B">
      <w:pPr>
        <w:spacing w:after="120"/>
        <w:ind w:left="720" w:hanging="720"/>
      </w:pPr>
      <w:r>
        <w:t>World Health Organization Regional Office for Africa. (2024, October 20). Nigeria launches action plan to combat antimicrobial resistance (AMR). Brazzaville: WHO AFRO. https://afro.who.int/fr/node/20076</w:t>
      </w:r>
    </w:p>
    <w:p w14:paraId="39B73071" w14:textId="77777777" w:rsidR="00FE7132" w:rsidRDefault="0024072B">
      <w:pPr>
        <w:spacing w:after="120"/>
        <w:ind w:left="720" w:hanging="720"/>
      </w:pPr>
      <w:r>
        <w:t xml:space="preserve">Zaw, M. T., Emran, N. A., &amp; Lin, Z. (2018). Mutations inside rifampicin-resistance determining region of </w:t>
      </w:r>
      <w:proofErr w:type="spellStart"/>
      <w:r>
        <w:t>rpoB</w:t>
      </w:r>
      <w:proofErr w:type="spellEnd"/>
      <w:r>
        <w:t xml:space="preserve"> gene associated with rifampicin-resistance in Mycobacterium tuberculosis. Journal of Infection and Public Health, 11(5), 605-610. https://doi.org/10.1016/j.jiph.2018.04.005</w:t>
      </w:r>
    </w:p>
    <w:p w14:paraId="43CA3A63" w14:textId="77777777" w:rsidR="00FE7132" w:rsidRDefault="0024072B">
      <w:pPr>
        <w:spacing w:after="120"/>
        <w:ind w:left="720" w:hanging="720"/>
      </w:pPr>
      <w:r>
        <w:t xml:space="preserve">Zewdie, S., Kassa, A. A., </w:t>
      </w:r>
      <w:proofErr w:type="spellStart"/>
      <w:r>
        <w:t>Yayehrad</w:t>
      </w:r>
      <w:proofErr w:type="spellEnd"/>
      <w:r>
        <w:t xml:space="preserve">, A. T., Bizuneh, M. M., Ayenew, W., </w:t>
      </w:r>
      <w:proofErr w:type="spellStart"/>
      <w:r>
        <w:t>Zewudie</w:t>
      </w:r>
      <w:proofErr w:type="spellEnd"/>
      <w:r>
        <w:t>, M., et al. (2024). Non-prescription antibiotic use and its predictors among children in low- and middle-income countries: a systematic review and meta-analysis. Italian Journal of Pediatrics, 50, 260. https://doi.org/10.1186/s13052-024-01808-5</w:t>
      </w:r>
    </w:p>
    <w:sectPr w:rsidR="00FE713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CB6AE" w14:textId="77777777" w:rsidR="006811D1" w:rsidRDefault="006811D1" w:rsidP="00CC7431">
      <w:r>
        <w:separator/>
      </w:r>
    </w:p>
  </w:endnote>
  <w:endnote w:type="continuationSeparator" w:id="0">
    <w:p w14:paraId="58CB0D05" w14:textId="77777777" w:rsidR="006811D1" w:rsidRDefault="006811D1" w:rsidP="00CC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6FE1" w14:textId="77777777" w:rsidR="00CC7431" w:rsidRDefault="00CC7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2AA4" w14:textId="77777777" w:rsidR="00CC7431" w:rsidRDefault="00CC7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83C2" w14:textId="77777777" w:rsidR="00CC7431" w:rsidRDefault="00CC7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8A3D1" w14:textId="77777777" w:rsidR="006811D1" w:rsidRDefault="006811D1" w:rsidP="00CC7431">
      <w:r>
        <w:separator/>
      </w:r>
    </w:p>
  </w:footnote>
  <w:footnote w:type="continuationSeparator" w:id="0">
    <w:p w14:paraId="12AEE9DC" w14:textId="77777777" w:rsidR="006811D1" w:rsidRDefault="006811D1" w:rsidP="00CC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8A6C1" w14:textId="26B7BE17" w:rsidR="00CC7431" w:rsidRDefault="00CC7431">
    <w:pPr>
      <w:pStyle w:val="Header"/>
    </w:pPr>
    <w:r>
      <w:rPr>
        <w:noProof/>
      </w:rPr>
      <w:pict w14:anchorId="33B7A1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7C03" w14:textId="4C6B35D4" w:rsidR="00CC7431" w:rsidRDefault="00CC7431">
    <w:pPr>
      <w:pStyle w:val="Header"/>
    </w:pPr>
    <w:r>
      <w:rPr>
        <w:noProof/>
      </w:rPr>
      <w:pict w14:anchorId="086CAE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9BC9A" w14:textId="0B4B8308" w:rsidR="00CC7431" w:rsidRDefault="00CC7431">
    <w:pPr>
      <w:pStyle w:val="Header"/>
    </w:pPr>
    <w:r>
      <w:rPr>
        <w:noProof/>
      </w:rPr>
      <w:pict w14:anchorId="30CB8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62864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D0BF5"/>
    <w:multiLevelType w:val="hybridMultilevel"/>
    <w:tmpl w:val="7E68D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80732F"/>
    <w:multiLevelType w:val="hybridMultilevel"/>
    <w:tmpl w:val="28D85692"/>
    <w:lvl w:ilvl="0" w:tplc="B8844FE2">
      <w:start w:val="1"/>
      <w:numFmt w:val="bullet"/>
      <w:lvlText w:val="●"/>
      <w:lvlJc w:val="left"/>
      <w:pPr>
        <w:ind w:left="720" w:hanging="360"/>
      </w:pPr>
    </w:lvl>
    <w:lvl w:ilvl="1" w:tplc="07664384">
      <w:start w:val="1"/>
      <w:numFmt w:val="bullet"/>
      <w:lvlText w:val="○"/>
      <w:lvlJc w:val="left"/>
      <w:pPr>
        <w:ind w:left="1440" w:hanging="360"/>
      </w:pPr>
    </w:lvl>
    <w:lvl w:ilvl="2" w:tplc="B0A64360">
      <w:start w:val="1"/>
      <w:numFmt w:val="bullet"/>
      <w:lvlText w:val="■"/>
      <w:lvlJc w:val="left"/>
      <w:pPr>
        <w:ind w:left="2160" w:hanging="360"/>
      </w:pPr>
    </w:lvl>
    <w:lvl w:ilvl="3" w:tplc="2D22E654">
      <w:start w:val="1"/>
      <w:numFmt w:val="bullet"/>
      <w:lvlText w:val="●"/>
      <w:lvlJc w:val="left"/>
      <w:pPr>
        <w:ind w:left="2880" w:hanging="360"/>
      </w:pPr>
    </w:lvl>
    <w:lvl w:ilvl="4" w:tplc="A5F40CBA">
      <w:start w:val="1"/>
      <w:numFmt w:val="bullet"/>
      <w:lvlText w:val="○"/>
      <w:lvlJc w:val="left"/>
      <w:pPr>
        <w:ind w:left="3600" w:hanging="360"/>
      </w:pPr>
    </w:lvl>
    <w:lvl w:ilvl="5" w:tplc="9C281C7A">
      <w:start w:val="1"/>
      <w:numFmt w:val="bullet"/>
      <w:lvlText w:val="■"/>
      <w:lvlJc w:val="left"/>
      <w:pPr>
        <w:ind w:left="4320" w:hanging="360"/>
      </w:pPr>
    </w:lvl>
    <w:lvl w:ilvl="6" w:tplc="CB5624EE">
      <w:start w:val="1"/>
      <w:numFmt w:val="bullet"/>
      <w:lvlText w:val="●"/>
      <w:lvlJc w:val="left"/>
      <w:pPr>
        <w:ind w:left="5040" w:hanging="360"/>
      </w:pPr>
    </w:lvl>
    <w:lvl w:ilvl="7" w:tplc="FFD0722E">
      <w:start w:val="1"/>
      <w:numFmt w:val="bullet"/>
      <w:lvlText w:val="●"/>
      <w:lvlJc w:val="left"/>
      <w:pPr>
        <w:ind w:left="5760" w:hanging="360"/>
      </w:pPr>
    </w:lvl>
    <w:lvl w:ilvl="8" w:tplc="EBAEF89A">
      <w:start w:val="1"/>
      <w:numFmt w:val="bullet"/>
      <w:lvlText w:val="●"/>
      <w:lvlJc w:val="left"/>
      <w:pPr>
        <w:ind w:left="6480" w:hanging="360"/>
      </w:pPr>
    </w:lvl>
  </w:abstractNum>
  <w:num w:numId="1" w16cid:durableId="1323970906">
    <w:abstractNumId w:val="1"/>
    <w:lvlOverride w:ilvl="0">
      <w:startOverride w:val="1"/>
    </w:lvlOverride>
  </w:num>
  <w:num w:numId="2" w16cid:durableId="1345864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132"/>
    <w:rsid w:val="001069D7"/>
    <w:rsid w:val="0024072B"/>
    <w:rsid w:val="00437C22"/>
    <w:rsid w:val="006311A3"/>
    <w:rsid w:val="006811D1"/>
    <w:rsid w:val="006D4704"/>
    <w:rsid w:val="00707A69"/>
    <w:rsid w:val="008A233D"/>
    <w:rsid w:val="009276D3"/>
    <w:rsid w:val="00AF064E"/>
    <w:rsid w:val="00B16FDC"/>
    <w:rsid w:val="00B30B5E"/>
    <w:rsid w:val="00B43EEC"/>
    <w:rsid w:val="00CA0F25"/>
    <w:rsid w:val="00CC7431"/>
    <w:rsid w:val="00E6296F"/>
    <w:rsid w:val="00F20C96"/>
    <w:rsid w:val="00F96467"/>
    <w:rsid w:val="00FE7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15038"/>
  <w15:docId w15:val="{4F64CCBE-F1A1-4AF8-A048-50D82F54E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dq2pgselectionanchorcontainer">
    <w:name w:val="pdq2pg_selectionanchorcontainer"/>
    <w:basedOn w:val="Normal"/>
    <w:rsid w:val="009276D3"/>
    <w:pPr>
      <w:spacing w:before="100" w:beforeAutospacing="1" w:after="100" w:afterAutospacing="1"/>
    </w:pPr>
  </w:style>
  <w:style w:type="character" w:styleId="Strong">
    <w:name w:val="Strong"/>
    <w:basedOn w:val="DefaultParagraphFont"/>
    <w:uiPriority w:val="22"/>
    <w:qFormat/>
    <w:rsid w:val="009276D3"/>
    <w:rPr>
      <w:b/>
      <w:bCs/>
    </w:rPr>
  </w:style>
  <w:style w:type="character" w:styleId="UnresolvedMention">
    <w:name w:val="Unresolved Mention"/>
    <w:basedOn w:val="DefaultParagraphFont"/>
    <w:uiPriority w:val="99"/>
    <w:semiHidden/>
    <w:unhideWhenUsed/>
    <w:rsid w:val="00437C22"/>
    <w:rPr>
      <w:color w:val="605E5C"/>
      <w:shd w:val="clear" w:color="auto" w:fill="E1DFDD"/>
    </w:rPr>
  </w:style>
  <w:style w:type="character" w:styleId="Emphasis">
    <w:name w:val="Emphasis"/>
    <w:basedOn w:val="DefaultParagraphFont"/>
    <w:uiPriority w:val="20"/>
    <w:qFormat/>
    <w:rsid w:val="008A233D"/>
    <w:rPr>
      <w:i/>
      <w:iCs/>
    </w:rPr>
  </w:style>
  <w:style w:type="paragraph" w:styleId="NormalWeb">
    <w:name w:val="Normal (Web)"/>
    <w:basedOn w:val="Normal"/>
    <w:uiPriority w:val="99"/>
    <w:semiHidden/>
    <w:unhideWhenUsed/>
    <w:rsid w:val="00CA0F25"/>
    <w:pPr>
      <w:spacing w:before="100" w:beforeAutospacing="1" w:after="100" w:afterAutospacing="1"/>
    </w:pPr>
  </w:style>
  <w:style w:type="paragraph" w:styleId="Header">
    <w:name w:val="header"/>
    <w:basedOn w:val="Normal"/>
    <w:link w:val="HeaderChar"/>
    <w:uiPriority w:val="99"/>
    <w:unhideWhenUsed/>
    <w:rsid w:val="00CC7431"/>
    <w:pPr>
      <w:tabs>
        <w:tab w:val="center" w:pos="4513"/>
        <w:tab w:val="right" w:pos="9026"/>
      </w:tabs>
    </w:pPr>
  </w:style>
  <w:style w:type="character" w:customStyle="1" w:styleId="HeaderChar">
    <w:name w:val="Header Char"/>
    <w:basedOn w:val="DefaultParagraphFont"/>
    <w:link w:val="Header"/>
    <w:uiPriority w:val="99"/>
    <w:rsid w:val="00CC7431"/>
  </w:style>
  <w:style w:type="paragraph" w:styleId="Footer">
    <w:name w:val="footer"/>
    <w:basedOn w:val="Normal"/>
    <w:link w:val="FooterChar"/>
    <w:uiPriority w:val="99"/>
    <w:unhideWhenUsed/>
    <w:rsid w:val="00CC7431"/>
    <w:pPr>
      <w:tabs>
        <w:tab w:val="center" w:pos="4513"/>
        <w:tab w:val="right" w:pos="9026"/>
      </w:tabs>
    </w:pPr>
  </w:style>
  <w:style w:type="character" w:customStyle="1" w:styleId="FooterChar">
    <w:name w:val="Footer Char"/>
    <w:basedOn w:val="DefaultParagraphFont"/>
    <w:link w:val="Footer"/>
    <w:uiPriority w:val="99"/>
    <w:rsid w:val="00CC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8995">
      <w:bodyDiv w:val="1"/>
      <w:marLeft w:val="0"/>
      <w:marRight w:val="0"/>
      <w:marTop w:val="0"/>
      <w:marBottom w:val="0"/>
      <w:divBdr>
        <w:top w:val="none" w:sz="0" w:space="0" w:color="auto"/>
        <w:left w:val="none" w:sz="0" w:space="0" w:color="auto"/>
        <w:bottom w:val="none" w:sz="0" w:space="0" w:color="auto"/>
        <w:right w:val="none" w:sz="0" w:space="0" w:color="auto"/>
      </w:divBdr>
    </w:div>
    <w:div w:id="227615790">
      <w:bodyDiv w:val="1"/>
      <w:marLeft w:val="0"/>
      <w:marRight w:val="0"/>
      <w:marTop w:val="0"/>
      <w:marBottom w:val="0"/>
      <w:divBdr>
        <w:top w:val="none" w:sz="0" w:space="0" w:color="auto"/>
        <w:left w:val="none" w:sz="0" w:space="0" w:color="auto"/>
        <w:bottom w:val="none" w:sz="0" w:space="0" w:color="auto"/>
        <w:right w:val="none" w:sz="0" w:space="0" w:color="auto"/>
      </w:divBdr>
    </w:div>
    <w:div w:id="665477779">
      <w:bodyDiv w:val="1"/>
      <w:marLeft w:val="0"/>
      <w:marRight w:val="0"/>
      <w:marTop w:val="0"/>
      <w:marBottom w:val="0"/>
      <w:divBdr>
        <w:top w:val="none" w:sz="0" w:space="0" w:color="auto"/>
        <w:left w:val="none" w:sz="0" w:space="0" w:color="auto"/>
        <w:bottom w:val="none" w:sz="0" w:space="0" w:color="auto"/>
        <w:right w:val="none" w:sz="0" w:space="0" w:color="auto"/>
      </w:divBdr>
      <w:divsChild>
        <w:div w:id="35894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138652">
      <w:bodyDiv w:val="1"/>
      <w:marLeft w:val="0"/>
      <w:marRight w:val="0"/>
      <w:marTop w:val="0"/>
      <w:marBottom w:val="0"/>
      <w:divBdr>
        <w:top w:val="none" w:sz="0" w:space="0" w:color="auto"/>
        <w:left w:val="none" w:sz="0" w:space="0" w:color="auto"/>
        <w:bottom w:val="none" w:sz="0" w:space="0" w:color="auto"/>
        <w:right w:val="none" w:sz="0" w:space="0" w:color="auto"/>
      </w:divBdr>
      <w:divsChild>
        <w:div w:id="593440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089160">
      <w:bodyDiv w:val="1"/>
      <w:marLeft w:val="0"/>
      <w:marRight w:val="0"/>
      <w:marTop w:val="0"/>
      <w:marBottom w:val="0"/>
      <w:divBdr>
        <w:top w:val="none" w:sz="0" w:space="0" w:color="auto"/>
        <w:left w:val="none" w:sz="0" w:space="0" w:color="auto"/>
        <w:bottom w:val="none" w:sz="0" w:space="0" w:color="auto"/>
        <w:right w:val="none" w:sz="0" w:space="0" w:color="auto"/>
      </w:divBdr>
    </w:div>
    <w:div w:id="1021784404">
      <w:bodyDiv w:val="1"/>
      <w:marLeft w:val="0"/>
      <w:marRight w:val="0"/>
      <w:marTop w:val="0"/>
      <w:marBottom w:val="0"/>
      <w:divBdr>
        <w:top w:val="none" w:sz="0" w:space="0" w:color="auto"/>
        <w:left w:val="none" w:sz="0" w:space="0" w:color="auto"/>
        <w:bottom w:val="none" w:sz="0" w:space="0" w:color="auto"/>
        <w:right w:val="none" w:sz="0" w:space="0" w:color="auto"/>
      </w:divBdr>
    </w:div>
    <w:div w:id="1274479159">
      <w:bodyDiv w:val="1"/>
      <w:marLeft w:val="0"/>
      <w:marRight w:val="0"/>
      <w:marTop w:val="0"/>
      <w:marBottom w:val="0"/>
      <w:divBdr>
        <w:top w:val="none" w:sz="0" w:space="0" w:color="auto"/>
        <w:left w:val="none" w:sz="0" w:space="0" w:color="auto"/>
        <w:bottom w:val="none" w:sz="0" w:space="0" w:color="auto"/>
        <w:right w:val="none" w:sz="0" w:space="0" w:color="auto"/>
      </w:divBdr>
    </w:div>
    <w:div w:id="1293287776">
      <w:bodyDiv w:val="1"/>
      <w:marLeft w:val="0"/>
      <w:marRight w:val="0"/>
      <w:marTop w:val="0"/>
      <w:marBottom w:val="0"/>
      <w:divBdr>
        <w:top w:val="none" w:sz="0" w:space="0" w:color="auto"/>
        <w:left w:val="none" w:sz="0" w:space="0" w:color="auto"/>
        <w:bottom w:val="none" w:sz="0" w:space="0" w:color="auto"/>
        <w:right w:val="none" w:sz="0" w:space="0" w:color="auto"/>
      </w:divBdr>
    </w:div>
    <w:div w:id="1315834355">
      <w:bodyDiv w:val="1"/>
      <w:marLeft w:val="0"/>
      <w:marRight w:val="0"/>
      <w:marTop w:val="0"/>
      <w:marBottom w:val="0"/>
      <w:divBdr>
        <w:top w:val="none" w:sz="0" w:space="0" w:color="auto"/>
        <w:left w:val="none" w:sz="0" w:space="0" w:color="auto"/>
        <w:bottom w:val="none" w:sz="0" w:space="0" w:color="auto"/>
        <w:right w:val="none" w:sz="0" w:space="0" w:color="auto"/>
      </w:divBdr>
      <w:divsChild>
        <w:div w:id="1411850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343040">
      <w:bodyDiv w:val="1"/>
      <w:marLeft w:val="0"/>
      <w:marRight w:val="0"/>
      <w:marTop w:val="0"/>
      <w:marBottom w:val="0"/>
      <w:divBdr>
        <w:top w:val="none" w:sz="0" w:space="0" w:color="auto"/>
        <w:left w:val="none" w:sz="0" w:space="0" w:color="auto"/>
        <w:bottom w:val="none" w:sz="0" w:space="0" w:color="auto"/>
        <w:right w:val="none" w:sz="0" w:space="0" w:color="auto"/>
      </w:divBdr>
    </w:div>
    <w:div w:id="1943999582">
      <w:bodyDiv w:val="1"/>
      <w:marLeft w:val="0"/>
      <w:marRight w:val="0"/>
      <w:marTop w:val="0"/>
      <w:marBottom w:val="0"/>
      <w:divBdr>
        <w:top w:val="none" w:sz="0" w:space="0" w:color="auto"/>
        <w:left w:val="none" w:sz="0" w:space="0" w:color="auto"/>
        <w:bottom w:val="none" w:sz="0" w:space="0" w:color="auto"/>
        <w:right w:val="none" w:sz="0" w:space="0" w:color="auto"/>
      </w:divBdr>
    </w:div>
    <w:div w:id="2093307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02/pro.3819" TargetMode="External"/><Relationship Id="rId4" Type="http://schemas.openxmlformats.org/officeDocument/2006/relationships/settings" Target="settings.xml"/><Relationship Id="rId9" Type="http://schemas.openxmlformats.org/officeDocument/2006/relationships/hyperlink" Target="https://doi.org/10.1038/s41564-024-01705-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E8A47-B033-4DF3-A170-E444263ED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27</Pages>
  <Words>11961</Words>
  <Characters>68180</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9</cp:revision>
  <dcterms:created xsi:type="dcterms:W3CDTF">2026-09-21T12:20:00Z</dcterms:created>
  <dcterms:modified xsi:type="dcterms:W3CDTF">2026-09-22T12:43:00Z</dcterms:modified>
</cp:coreProperties>
</file>