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E2ACB" w14:textId="339342E2" w:rsidR="009915A1" w:rsidRPr="00050541" w:rsidRDefault="003B2196" w:rsidP="007C0A38">
      <w:pPr>
        <w:spacing w:after="80"/>
        <w:jc w:val="center"/>
        <w:rPr>
          <w:b/>
          <w:bCs/>
          <w:sz w:val="28"/>
          <w:szCs w:val="28"/>
        </w:rPr>
      </w:pPr>
      <w:r w:rsidRPr="00050541">
        <w:rPr>
          <w:b/>
          <w:bCs/>
          <w:sz w:val="28"/>
          <w:szCs w:val="28"/>
        </w:rPr>
        <w:t xml:space="preserve">Hormonal Dysregulation of Energy Expenditure and Adipose Tissue Metabolism in Non-Diabetic Adults </w:t>
      </w:r>
      <w:proofErr w:type="gramStart"/>
      <w:r w:rsidRPr="00050541">
        <w:rPr>
          <w:b/>
          <w:bCs/>
          <w:sz w:val="28"/>
          <w:szCs w:val="28"/>
        </w:rPr>
        <w:t>With</w:t>
      </w:r>
      <w:proofErr w:type="gramEnd"/>
      <w:r w:rsidRPr="00050541">
        <w:rPr>
          <w:b/>
          <w:bCs/>
          <w:sz w:val="28"/>
          <w:szCs w:val="28"/>
        </w:rPr>
        <w:t xml:space="preserve"> Obesity</w:t>
      </w:r>
      <w:r w:rsidR="007C0A38" w:rsidRPr="00050541">
        <w:rPr>
          <w:b/>
          <w:bCs/>
          <w:sz w:val="28"/>
          <w:szCs w:val="28"/>
        </w:rPr>
        <w:t xml:space="preserve">: </w:t>
      </w:r>
      <w:r w:rsidRPr="00050541">
        <w:rPr>
          <w:b/>
          <w:bCs/>
          <w:i/>
          <w:iCs/>
          <w:sz w:val="28"/>
          <w:szCs w:val="28"/>
        </w:rPr>
        <w:t>Implications for Metabolic Inflammation and Weight-Loss Resistance</w:t>
      </w:r>
    </w:p>
    <w:p w14:paraId="4106EF0B" w14:textId="77777777" w:rsidR="00B83146" w:rsidRDefault="00B83146">
      <w:pPr>
        <w:spacing w:before="260" w:after="110"/>
        <w:rPr>
          <w:b/>
          <w:bCs/>
          <w:sz w:val="26"/>
          <w:szCs w:val="26"/>
        </w:rPr>
      </w:pPr>
    </w:p>
    <w:p w14:paraId="15661F73" w14:textId="77777777" w:rsidR="00B83146" w:rsidRDefault="00B83146">
      <w:pPr>
        <w:spacing w:before="260" w:after="110"/>
        <w:rPr>
          <w:b/>
          <w:bCs/>
          <w:sz w:val="26"/>
          <w:szCs w:val="26"/>
        </w:rPr>
      </w:pPr>
    </w:p>
    <w:p w14:paraId="1D2A969B" w14:textId="420D5AED" w:rsidR="009915A1" w:rsidRDefault="003B2196">
      <w:pPr>
        <w:spacing w:before="260" w:after="110"/>
      </w:pPr>
      <w:r>
        <w:rPr>
          <w:b/>
          <w:bCs/>
          <w:sz w:val="26"/>
          <w:szCs w:val="26"/>
        </w:rPr>
        <w:t>Abstract</w:t>
      </w:r>
    </w:p>
    <w:p w14:paraId="05E0881C" w14:textId="77777777" w:rsidR="009915A1" w:rsidRDefault="003B2196">
      <w:pPr>
        <w:spacing w:after="120"/>
        <w:jc w:val="both"/>
      </w:pPr>
      <w:r>
        <w:rPr>
          <w:b/>
          <w:bCs/>
        </w:rPr>
        <w:t xml:space="preserve">Background: </w:t>
      </w:r>
      <w:r>
        <w:t>Adults with obesity and normal glucose regulation are widely regarded as being at low metabolic risk. Endocrine research offers a weak basis for that view, because it commonly recruits participants with and without type 2 diabetes into the same cohorts. Hormonal abnormalities are therefore attributed to diabetes when they may be demonstrable well before any diagnosis.</w:t>
      </w:r>
    </w:p>
    <w:p w14:paraId="11D25ECF" w14:textId="77777777" w:rsidR="009915A1" w:rsidRDefault="003B2196">
      <w:pPr>
        <w:spacing w:after="120"/>
        <w:jc w:val="both"/>
      </w:pPr>
      <w:r>
        <w:rPr>
          <w:b/>
          <w:bCs/>
        </w:rPr>
        <w:t xml:space="preserve">Aim: </w:t>
      </w:r>
      <w:r>
        <w:t>To examine hormonal control of energy expenditure and adipose tissue metabolism in adults with obesity and no diabetes diagnosis, and to relate the alterations identified to metabolic inflammation and to weight-loss resistance.</w:t>
      </w:r>
    </w:p>
    <w:p w14:paraId="4E8BED5C" w14:textId="77777777" w:rsidR="009915A1" w:rsidRDefault="003B2196" w:rsidP="00EF163D">
      <w:pPr>
        <w:pStyle w:val="NormalWeb"/>
      </w:pPr>
      <w:r>
        <w:rPr>
          <w:b/>
          <w:bCs/>
        </w:rPr>
        <w:t xml:space="preserve">Methodology: </w:t>
      </w:r>
      <w:r>
        <w:t xml:space="preserve">Narrative review. MEDLINE and the Cochrane Library were searched to August 2026, supplemented by Google Scholar. Priority went to systematic reviews, meta-analyses, </w:t>
      </w:r>
      <w:proofErr w:type="spellStart"/>
      <w:r>
        <w:t>randomised</w:t>
      </w:r>
      <w:proofErr w:type="spellEnd"/>
      <w:r>
        <w:t xml:space="preserve"> trials, prospective cohorts and mechanistic human studies in adults with overweight or obesity and no diagnosis of diabetes. No formal risk-of-bias assessment was undertaken.</w:t>
      </w:r>
    </w:p>
    <w:p w14:paraId="691DCB2B" w14:textId="77777777" w:rsidR="009915A1" w:rsidRDefault="003B2196">
      <w:pPr>
        <w:spacing w:after="120"/>
        <w:jc w:val="both"/>
      </w:pPr>
      <w:r>
        <w:rPr>
          <w:b/>
          <w:bCs/>
        </w:rPr>
        <w:t xml:space="preserve">Findings: </w:t>
      </w:r>
      <w:r>
        <w:t xml:space="preserve">Clamp measurement demonstrates impaired insulin sensitivity in adults meeting every published criterion for metabolic health, so normal fasting glucose reports beta-cell compensation and not insulin action. Leptin is abundant and ineffective, adiponectin falls as fat mass rises, and cortisol is amplified within adipose tissue while circulating concentrations remain unremarkable. Macrophages accumulate and release cytokines that interfere with the same </w:t>
      </w:r>
      <w:proofErr w:type="spellStart"/>
      <w:r>
        <w:t>signalling</w:t>
      </w:r>
      <w:proofErr w:type="spellEnd"/>
      <w:r>
        <w:t>. Energy restriction adds a second layer. Ghrelin rises, peptide YY and cholecystokinin fall, leptin and insulin fall further, and none returns to baseline within a year. Resting metabolic rate also stays suppressed below what body composition predicts, even after substantial regain.</w:t>
      </w:r>
    </w:p>
    <w:p w14:paraId="37082E47" w14:textId="77777777" w:rsidR="009915A1" w:rsidRDefault="003B2196">
      <w:pPr>
        <w:spacing w:after="120"/>
        <w:jc w:val="both"/>
      </w:pPr>
      <w:r>
        <w:rPr>
          <w:b/>
          <w:bCs/>
        </w:rPr>
        <w:t xml:space="preserve">Conclusion: </w:t>
      </w:r>
      <w:r>
        <w:t xml:space="preserve">Weight-loss resistance in </w:t>
      </w:r>
      <w:proofErr w:type="spellStart"/>
      <w:r>
        <w:t>normoglycaemic</w:t>
      </w:r>
      <w:proofErr w:type="spellEnd"/>
      <w:r>
        <w:t xml:space="preserve"> obesity has a measurable biological substrate. Incretin receptor agonists achieve substantial weight loss, but weight returns on withdrawal, which suggests they oppose these regulatory changes without resetting them. Three gaps limit what can be concluded. Definitions are not </w:t>
      </w:r>
      <w:proofErr w:type="spellStart"/>
      <w:r>
        <w:t>standardised</w:t>
      </w:r>
      <w:proofErr w:type="spellEnd"/>
      <w:r>
        <w:t xml:space="preserve">, African populations are barely represented, and almost no cohort has been followed from the </w:t>
      </w:r>
      <w:proofErr w:type="spellStart"/>
      <w:r>
        <w:t>normoglycaemic</w:t>
      </w:r>
      <w:proofErr w:type="spellEnd"/>
      <w:r>
        <w:t xml:space="preserve"> state.</w:t>
      </w:r>
    </w:p>
    <w:p w14:paraId="4FE424B8" w14:textId="77777777" w:rsidR="009915A1" w:rsidRDefault="003B2196">
      <w:pPr>
        <w:spacing w:before="260" w:after="110"/>
      </w:pPr>
      <w:r>
        <w:rPr>
          <w:b/>
          <w:bCs/>
          <w:sz w:val="26"/>
          <w:szCs w:val="26"/>
        </w:rPr>
        <w:t>Keywords</w:t>
      </w:r>
    </w:p>
    <w:p w14:paraId="7E619941" w14:textId="77777777" w:rsidR="009915A1" w:rsidRDefault="003B2196">
      <w:pPr>
        <w:spacing w:after="140"/>
        <w:jc w:val="both"/>
      </w:pPr>
      <w:proofErr w:type="spellStart"/>
      <w:r>
        <w:t>Normoglycaemic</w:t>
      </w:r>
      <w:proofErr w:type="spellEnd"/>
      <w:r>
        <w:t xml:space="preserve"> obesity; adipokine dysregulation; adaptive thermogenesis; metabolic inflammation; weight regain; compensatory </w:t>
      </w:r>
      <w:proofErr w:type="spellStart"/>
      <w:r>
        <w:t>hyperinsulinaemia</w:t>
      </w:r>
      <w:proofErr w:type="spellEnd"/>
      <w:r>
        <w:t xml:space="preserve">; incretin </w:t>
      </w:r>
      <w:proofErr w:type="spellStart"/>
      <w:r>
        <w:t>signalling</w:t>
      </w:r>
      <w:proofErr w:type="spellEnd"/>
    </w:p>
    <w:p w14:paraId="3BBADFAE" w14:textId="77777777" w:rsidR="00B83146" w:rsidRDefault="00B83146">
      <w:pPr>
        <w:spacing w:after="140"/>
        <w:jc w:val="both"/>
      </w:pPr>
    </w:p>
    <w:p w14:paraId="7B1F0704" w14:textId="77777777" w:rsidR="00B83146" w:rsidRDefault="00B83146">
      <w:pPr>
        <w:spacing w:after="140"/>
        <w:jc w:val="both"/>
      </w:pPr>
    </w:p>
    <w:p w14:paraId="3D34F6BB" w14:textId="77777777" w:rsidR="00B83146" w:rsidRDefault="00B83146">
      <w:pPr>
        <w:spacing w:after="140"/>
        <w:jc w:val="both"/>
      </w:pPr>
    </w:p>
    <w:p w14:paraId="02135959" w14:textId="77777777" w:rsidR="009915A1" w:rsidRDefault="003B2196">
      <w:pPr>
        <w:spacing w:before="260" w:after="110"/>
      </w:pPr>
      <w:r>
        <w:rPr>
          <w:b/>
          <w:bCs/>
          <w:sz w:val="26"/>
          <w:szCs w:val="26"/>
        </w:rPr>
        <w:lastRenderedPageBreak/>
        <w:t>1.  Introduction</w:t>
      </w:r>
    </w:p>
    <w:p w14:paraId="3B575D03" w14:textId="77777777" w:rsidR="009915A1" w:rsidRDefault="003B2196">
      <w:pPr>
        <w:spacing w:before="260" w:after="110"/>
        <w:rPr>
          <w:b/>
          <w:bCs/>
        </w:rPr>
      </w:pPr>
      <w:r>
        <w:rPr>
          <w:b/>
          <w:bCs/>
        </w:rPr>
        <w:t>1.1  Global Burden of Obesity</w:t>
      </w:r>
    </w:p>
    <w:p w14:paraId="2197FFFB" w14:textId="77777777" w:rsidR="00486253" w:rsidRDefault="00486253" w:rsidP="00486253">
      <w:pPr>
        <w:pStyle w:val="NormalWeb"/>
      </w:pPr>
      <w:r>
        <w:t>Excess body weight develops when energy intake exceeds expenditure. Yet this formulation says nothing about why the imbalance arises in some populations and not others, nor about why reversing it proves so difficult once established.</w:t>
      </w:r>
    </w:p>
    <w:p w14:paraId="5F43FA07" w14:textId="77777777" w:rsidR="00486253" w:rsidRDefault="00486253" w:rsidP="00486253">
      <w:pPr>
        <w:pStyle w:val="NormalWeb"/>
      </w:pPr>
      <w:r>
        <w:t xml:space="preserve">Of these two problems, the first is now reasonably well understood. Genetic, neurobiological, </w:t>
      </w:r>
      <w:proofErr w:type="spellStart"/>
      <w:r>
        <w:t>behavioural</w:t>
      </w:r>
      <w:proofErr w:type="spellEnd"/>
      <w:r>
        <w:t xml:space="preserve">, environmental and socioeconomic factors all contribute, and they do not act on individuals alone. Because alterations in food systems, dietary composition, physical activity and </w:t>
      </w:r>
      <w:proofErr w:type="spellStart"/>
      <w:r>
        <w:t>urbanisation</w:t>
      </w:r>
      <w:proofErr w:type="spellEnd"/>
      <w:r>
        <w:t xml:space="preserve"> operate on whole societies, they have shifted the distribution of body weight across entire populations (Woolf et al., 2024; World Health Organization, 2025).</w:t>
      </w:r>
    </w:p>
    <w:p w14:paraId="4DDBC113" w14:textId="77777777" w:rsidR="00486253" w:rsidRDefault="00486253" w:rsidP="00486253">
      <w:pPr>
        <w:pStyle w:val="NormalWeb"/>
      </w:pPr>
      <w:r>
        <w:t>The scale of that shift is now considerable. In 2022 roughly 2.5 billion adults were overweight and more than 890 million had obesity, representing 43% and 16% of the adult population respectively. Adult obesity has more than doubled since 1990 (World Health Organization, 2025). Compatible figures emerge from Phelps et al. (2024), who pooled 3,663 population-representative studies across 200 countries and more than 222 million participants and found that obesity has overtaken underweight among adults in much of the world.</w:t>
      </w:r>
    </w:p>
    <w:p w14:paraId="028ACA47" w14:textId="77777777" w:rsidR="00486253" w:rsidRDefault="00486253" w:rsidP="00486253">
      <w:pPr>
        <w:pStyle w:val="NormalWeb"/>
      </w:pPr>
      <w:r>
        <w:t>That increase is no longer concentrated in high-income settings. Prevalence has climbed steeply in low- and middle-income countries where undernutrition persists, so that the same populations now carry both problems at once, and modelling to 2040 projects that a growing share of the burden will fall in precisely those settings (Liu et al., 2025). The consequences are correspondingly large. Elevated body mass index (BMI) was associated with approximately 3.7 million deaths from non-communicable disease in 2021, and projected annual economic costs reach around US$3 trillion by 2030 and exceed US$18 trillion by 2060 (World Health Organization, 2025).</w:t>
      </w:r>
    </w:p>
    <w:p w14:paraId="217EA723" w14:textId="77777777" w:rsidR="00486253" w:rsidRDefault="00486253" w:rsidP="00486253">
      <w:pPr>
        <w:pStyle w:val="NormalWeb"/>
      </w:pPr>
      <w:r>
        <w:t>None of this, however, explains the persistence with which body weight is maintained once established. Weight is actively defended by systems that report energy stores and nutritional status from the periphery and integrate those signals centrally to adjust appetite, satiety and expenditure (Woolf et al., 2024). When weight is lost, these systems respond with coordinated counter-regulation that acts to restore it. It is on this basis, rather than on the multiplicity of its causes, that obesity is understood as a chronic disorder of weight regulation (Purnell &amp; le Roux, 2024).</w:t>
      </w:r>
    </w:p>
    <w:p w14:paraId="12DEBD0A" w14:textId="77777777" w:rsidR="00486253" w:rsidRDefault="00486253" w:rsidP="00486253">
      <w:pPr>
        <w:pStyle w:val="NormalWeb"/>
      </w:pPr>
      <w:r>
        <w:t xml:space="preserve">This review therefore examines those systems in adults with obesity and without diabetes, focusing on hormonal control of energy expenditure and adipose tissue metabolism. </w:t>
      </w:r>
    </w:p>
    <w:p w14:paraId="0606F284" w14:textId="77777777" w:rsidR="00486253" w:rsidRDefault="00486253">
      <w:pPr>
        <w:spacing w:before="260" w:after="110"/>
      </w:pPr>
    </w:p>
    <w:p w14:paraId="5392692D" w14:textId="77777777" w:rsidR="009915A1" w:rsidRDefault="003B2196">
      <w:pPr>
        <w:spacing w:before="260" w:after="110"/>
      </w:pPr>
      <w:r>
        <w:rPr>
          <w:b/>
          <w:bCs/>
        </w:rPr>
        <w:t>1.2  Hormonal Regulation of Body Weight</w:t>
      </w:r>
    </w:p>
    <w:p w14:paraId="32D9B82B" w14:textId="77777777" w:rsidR="00486253" w:rsidRDefault="00486253" w:rsidP="00486253">
      <w:pPr>
        <w:pStyle w:val="NormalWeb"/>
      </w:pPr>
      <w:r>
        <w:lastRenderedPageBreak/>
        <w:t xml:space="preserve">Communication between the brain and peripheral tissues runs continuously, so that information about stored energy and recent food intake can influence appetite and metabolic activity (Woolf et al., 2024). The hypothalamus sits at the </w:t>
      </w:r>
      <w:proofErr w:type="spellStart"/>
      <w:r>
        <w:t>centre</w:t>
      </w:r>
      <w:proofErr w:type="spellEnd"/>
      <w:r>
        <w:t xml:space="preserve"> of that network, although it does not act alone. Ferrario et al. (2024) describe a wider system in which hypothalamic circuits interact with brain regions governing reward and with peripheral organs, and in which both central and peripheral components remodel in response to diet.</w:t>
      </w:r>
    </w:p>
    <w:p w14:paraId="657B14C6" w14:textId="77777777" w:rsidR="00486253" w:rsidRDefault="00486253" w:rsidP="00486253">
      <w:pPr>
        <w:pStyle w:val="NormalWeb"/>
      </w:pPr>
      <w:r>
        <w:t>Within this system, leptin reports the size of the fat mass. White adipose tissue secretes it in proportion to stored energy, and it acts centrally to reduce appetite and raise expenditure. In obesity, however, these two facts come apart. Circulating leptin rises with adipose mass, but the expected reduction in food intake does not follow, which shifts the question from how much leptin is present to whether the signal is being received (Stefanakis et al., 2024). Adiponectin, by contrast, falls as fat mass expands, a direction unusual among adipokines that makes the two informative when read together. Insulin carries related information from the pancreas and acts both peripherally and within the central nervous system (Di Fusco et al., 2024; Woolf et al., 2024).</w:t>
      </w:r>
    </w:p>
    <w:p w14:paraId="3DD8D0E3" w14:textId="77777777" w:rsidR="00486253" w:rsidRDefault="00486253" w:rsidP="00486253">
      <w:pPr>
        <w:pStyle w:val="NormalWeb"/>
      </w:pPr>
      <w:r>
        <w:t>Gut peptides operate on a much shorter timescale. Ghrelin drives hunger and initiates feeding, whereas glucagon-like peptide 1 (GLP-1), peptide YY (PYY) and cholecystokinin (CCK) promote satiety after a meal (Hong &amp; Choi, 2024). Ghrelin secretion is additionally entrained to circadian rhythm, so that when a person eats influences appetite alongside what and how much is eaten (Kulkarni et al., 2024).</w:t>
      </w:r>
    </w:p>
    <w:p w14:paraId="41D26FF4" w14:textId="77777777" w:rsidR="009915A1" w:rsidRDefault="00486253" w:rsidP="00486253">
      <w:pPr>
        <w:pStyle w:val="NormalWeb"/>
      </w:pPr>
      <w:r>
        <w:t>Across all of these signals, hormone concentrations change in obesity, and so does tissue responsiveness. The latter is harder to measure and often matters more, yet the two are frequently conflated (Stefanakis et al., 2024). Because gut hormone regulation is further modified by meal timing, food composition and sleep, altered appetite in obesity is unlikely to reduce to a single defective peptide (Hong &amp; Choi, 2024; Kulkarni et al., 2024).</w:t>
      </w:r>
    </w:p>
    <w:p w14:paraId="411DB52A" w14:textId="77777777" w:rsidR="009915A1" w:rsidRDefault="003B2196">
      <w:pPr>
        <w:spacing w:before="260" w:after="110"/>
      </w:pPr>
      <w:r>
        <w:rPr>
          <w:b/>
          <w:bCs/>
        </w:rPr>
        <w:t>1.3  Scope and Objectives of the Review</w:t>
      </w:r>
    </w:p>
    <w:p w14:paraId="2BBBD7B6" w14:textId="77777777" w:rsidR="00486253" w:rsidRDefault="00486253" w:rsidP="00486253">
      <w:pPr>
        <w:pStyle w:val="NormalWeb"/>
      </w:pPr>
      <w:r>
        <w:t>This review examines hormonal control of energy expenditure and adipose tissue metabolism in adults who have obesity and no diagnosis of diabetes. It covers the physiology of energy homeostasis, the endocrine functions of adipose tissue, and alterations in leptin, insulin, ghrelin, the incretins, PYY, CCK, adiponectin, cortisol, thyroid hormones, sex steroids and the growth hormone axis. It then examines how those alterations connect to metabolic inflammation, to adaptive reductions in energy expenditure, and to weight regain.</w:t>
      </w:r>
    </w:p>
    <w:p w14:paraId="604F3795" w14:textId="77777777" w:rsidR="00486253" w:rsidRDefault="00486253" w:rsidP="00486253">
      <w:pPr>
        <w:pStyle w:val="NormalWeb"/>
      </w:pPr>
      <w:r>
        <w:t xml:space="preserve">Excluding diabetes is the </w:t>
      </w:r>
      <w:proofErr w:type="spellStart"/>
      <w:r>
        <w:t>organising</w:t>
      </w:r>
      <w:proofErr w:type="spellEnd"/>
      <w:r>
        <w:t xml:space="preserve"> decision, and it is not a way of assembling a metabolically normal comparison group. Diabetes disturbs many of the same pathways under examination here, so its presence in a cohort makes it impossible to say whether an endocrine abnormality preceded the failure of glucose regulation or followed it. Excluding it also removes the confounding effects of </w:t>
      </w:r>
      <w:proofErr w:type="spellStart"/>
      <w:r>
        <w:t>hyperglycaemia</w:t>
      </w:r>
      <w:proofErr w:type="spellEnd"/>
      <w:r>
        <w:t xml:space="preserve"> itself, of glucose-lowering therapy, and of diabetic complications. What the restriction does not do is guarantee metabolic normality, as Section 4 sets out.</w:t>
      </w:r>
    </w:p>
    <w:p w14:paraId="5A14407F" w14:textId="77777777" w:rsidR="00486253" w:rsidRDefault="00486253" w:rsidP="00486253">
      <w:pPr>
        <w:pStyle w:val="NormalWeb"/>
      </w:pPr>
      <w:r>
        <w:lastRenderedPageBreak/>
        <w:t>Searches were run between June and August 2026, with the final search conducted on 29 August 2026. MEDLINE (via PubMed) and the Cochrane Library were searched using Boolean combinations of terms for the population, the hormone or pathway and the outcome of interest, among them obesity AND energy homeostasis, leptin resistance AND obesity, brown adipose tissue AND thermogenesis, metabolically healthy obesity AND insulin resistance, and gut hormones AND appetite regulation. Google Scholar was used to supplement these searches and to trace citations, rather than as a primary source of records.</w:t>
      </w:r>
    </w:p>
    <w:p w14:paraId="55FB1B28" w14:textId="77777777" w:rsidR="00486253" w:rsidRDefault="00486253" w:rsidP="00486253">
      <w:pPr>
        <w:pStyle w:val="NormalWeb"/>
      </w:pPr>
      <w:r>
        <w:t xml:space="preserve">Core references for each subsection were selected on the basis of importance to the specific question rather than date, which is why foundational work on hypothalamic regulation, on hormonal adaptation to energy restriction and on thermogenic adipocyte development is retained. Supplementary searching was restricted to English-language publications from 2020 onward, reflecting the pace of change in incretin pharmacology and in adipose tissue biology over that period. Priority went to systematic reviews, meta-analyses, </w:t>
      </w:r>
      <w:proofErr w:type="spellStart"/>
      <w:r>
        <w:t>randomised</w:t>
      </w:r>
      <w:proofErr w:type="spellEnd"/>
      <w:r>
        <w:t xml:space="preserve"> trials, prospective cohorts and mechanistic human studies, and within those to work conducted in adults without diagnosed diabetes. Because eligibility rested on reported diagnosis rather than on measured glycaemia, participants with undiagnosed diabetes or with prediabetes may be present in the included cohorts.</w:t>
      </w:r>
    </w:p>
    <w:p w14:paraId="1D4DB143" w14:textId="77777777" w:rsidR="00486253" w:rsidRDefault="00486253" w:rsidP="00486253">
      <w:pPr>
        <w:pStyle w:val="NormalWeb"/>
      </w:pPr>
      <w:r>
        <w:t>Each subsection was built around five to seven core references, with further papers added only where a specific claim required them. Every reference was checked against PubMed or the publisher record for authorship, journal, year, volume and pagination before inclusion. Preclinical evidence appears where it supports a mechanism observed in humans and is labelled as preclinical throughout. No formal risk-of-bias assessment was undertaken.</w:t>
      </w:r>
    </w:p>
    <w:p w14:paraId="4896281D" w14:textId="77777777" w:rsidR="009915A1" w:rsidRDefault="003B2196">
      <w:pPr>
        <w:spacing w:before="260" w:after="110"/>
        <w:rPr>
          <w:b/>
          <w:bCs/>
          <w:sz w:val="26"/>
          <w:szCs w:val="26"/>
        </w:rPr>
      </w:pPr>
      <w:r>
        <w:rPr>
          <w:b/>
          <w:bCs/>
          <w:sz w:val="26"/>
          <w:szCs w:val="26"/>
        </w:rPr>
        <w:t>2.  Physiology of Energy Homeostasis</w:t>
      </w:r>
    </w:p>
    <w:p w14:paraId="438DB308" w14:textId="77777777" w:rsidR="00486253" w:rsidRDefault="00486253">
      <w:pPr>
        <w:spacing w:before="260" w:after="110"/>
      </w:pPr>
    </w:p>
    <w:p w14:paraId="2E1A1339" w14:textId="77777777" w:rsidR="009915A1" w:rsidRDefault="003B2196">
      <w:pPr>
        <w:spacing w:before="260" w:after="110"/>
      </w:pPr>
      <w:r>
        <w:rPr>
          <w:b/>
          <w:bCs/>
        </w:rPr>
        <w:t>2.1  Central Regulation of Appetite and Energy Expenditure</w:t>
      </w:r>
    </w:p>
    <w:p w14:paraId="396038F7" w14:textId="77777777" w:rsidR="009915A1" w:rsidRDefault="003B2196">
      <w:pPr>
        <w:spacing w:after="140"/>
        <w:jc w:val="both"/>
      </w:pPr>
      <w:r>
        <w:t>Circuits in the hypothalamus and brainstem govern energy balance centrally (Morton et al., 2014). The arcuate nucleus (ARC) integrates incoming metabolic signals through two neuronal populations that oppose one another.</w:t>
      </w:r>
    </w:p>
    <w:p w14:paraId="3B762B9B" w14:textId="77777777" w:rsidR="009915A1" w:rsidRDefault="003B2196">
      <w:pPr>
        <w:spacing w:after="140"/>
        <w:jc w:val="both"/>
      </w:pPr>
      <w:r>
        <w:t>Neurons co-expressing neuropeptide Y (NPY) and agouti-related peptide (</w:t>
      </w:r>
      <w:proofErr w:type="spellStart"/>
      <w:r>
        <w:t>AgRP</w:t>
      </w:r>
      <w:proofErr w:type="spellEnd"/>
      <w:r>
        <w:t xml:space="preserve">) drive feeding and lower resting energy expenditure when activated, with </w:t>
      </w:r>
      <w:proofErr w:type="spellStart"/>
      <w:r>
        <w:t>AgRP</w:t>
      </w:r>
      <w:proofErr w:type="spellEnd"/>
      <w:r>
        <w:t xml:space="preserve"> competing at melanocortin-4 receptors (MC4R) (Morton et al., 2014; Woolf et al., 2024). Neurons expressing pro-opiomelanocortin (POMC) and cocaine- and amphetamine-regulated transcript (CART) do the reverse. POMC is cleaved to α-melanocyte-stimulating hormone (α-MSH), which stimulates MC4R and suppresses intake while raising thermogenesis (Richard, 2015; Woolf et al., 2024).</w:t>
      </w:r>
    </w:p>
    <w:p w14:paraId="3F73A4E9" w14:textId="77777777" w:rsidR="009915A1" w:rsidRDefault="003B2196">
      <w:pPr>
        <w:spacing w:after="140"/>
        <w:jc w:val="both"/>
      </w:pPr>
      <w:r>
        <w:t xml:space="preserve">Output from the ARC reaches the paraventricular nucleus (PVN), the ventromedial and dorsomedial hypothalamus, and the lateral hypothalamic area (LHA) (Schwartz et al., 2017). Satiety is processed through MC4R </w:t>
      </w:r>
      <w:proofErr w:type="spellStart"/>
      <w:r>
        <w:t>signalling</w:t>
      </w:r>
      <w:proofErr w:type="spellEnd"/>
      <w:r>
        <w:t xml:space="preserve"> in the PVN. The LHA promotes appetite through orexin and melanin-concentrating hormone. These second-order networks then modulate descending projections to autonomic preganglionic neurons that set peripheral metabolic rate and substrate use (Richard, 2015).</w:t>
      </w:r>
    </w:p>
    <w:p w14:paraId="528A630C" w14:textId="77777777" w:rsidR="009915A1" w:rsidRDefault="003B2196">
      <w:pPr>
        <w:spacing w:before="260" w:after="110"/>
      </w:pPr>
      <w:r>
        <w:rPr>
          <w:b/>
          <w:bCs/>
        </w:rPr>
        <w:lastRenderedPageBreak/>
        <w:t xml:space="preserve">2.2  Peripheral Hormonal </w:t>
      </w:r>
      <w:proofErr w:type="spellStart"/>
      <w:r>
        <w:rPr>
          <w:b/>
          <w:bCs/>
        </w:rPr>
        <w:t>Signalling</w:t>
      </w:r>
      <w:proofErr w:type="spellEnd"/>
    </w:p>
    <w:p w14:paraId="2206AC7C" w14:textId="77777777" w:rsidR="009915A1" w:rsidRDefault="003B2196">
      <w:pPr>
        <w:spacing w:after="140"/>
        <w:jc w:val="both"/>
      </w:pPr>
      <w:r>
        <w:t xml:space="preserve">Endocrine and neural routes carry information about nutrient availability and energy reserves to the brain continuously (Kulkarni et al., 2024). Leptin is the long-term signal. Secreted by white adipocytes in proportion to fat mass, it binds the long-form leptin receptor on ARC neurons and activates Janus kinase 2 and signal transducer and activator of transcription 3 (STAT3) </w:t>
      </w:r>
      <w:proofErr w:type="spellStart"/>
      <w:r>
        <w:t>signalling</w:t>
      </w:r>
      <w:proofErr w:type="spellEnd"/>
      <w:r>
        <w:t xml:space="preserve"> (Schwartz et al., 2017). Downstream, POMC transcription increases while NPY/</w:t>
      </w:r>
      <w:proofErr w:type="spellStart"/>
      <w:r>
        <w:t>AgRP</w:t>
      </w:r>
      <w:proofErr w:type="spellEnd"/>
      <w:r>
        <w:t xml:space="preserve"> neurons are </w:t>
      </w:r>
      <w:proofErr w:type="spellStart"/>
      <w:r>
        <w:t>hyperpolarised</w:t>
      </w:r>
      <w:proofErr w:type="spellEnd"/>
      <w:r>
        <w:t xml:space="preserve"> and inhibited (Morton et al., 2014).</w:t>
      </w:r>
    </w:p>
    <w:p w14:paraId="7513E4D0" w14:textId="77777777" w:rsidR="009915A1" w:rsidRDefault="003B2196">
      <w:pPr>
        <w:spacing w:after="140"/>
        <w:jc w:val="both"/>
      </w:pPr>
      <w:r>
        <w:t>Insulin is released with C-peptide by pancreatic beta cells as glucose rises, and its central actions are distinct from its peripheral ones (Di Fusco et al., 2024). In ARC neurons it activates insulin receptor substrate 1, phosphoinositide 3-kinase and protein kinase B, which reinforces leptin-driven anorexigenic output, reduces orexigenic drive and lowers hepatic glucose production (Schwartz et al., 2017).</w:t>
      </w:r>
    </w:p>
    <w:p w14:paraId="173E029D" w14:textId="77777777" w:rsidR="009915A1" w:rsidRDefault="003B2196">
      <w:pPr>
        <w:spacing w:after="140"/>
        <w:jc w:val="both"/>
      </w:pPr>
      <w:r>
        <w:t>Ghrelin is the exception among circulating peptides in that it stimulates appetite. The 28-amino-acid peptide is produced mainly by endocrine cells of the gastric oxyntic mucosa, requires acylation by ghrelin O-acyltransferase to bind its receptor, and then acts on growth hormone secretagogue receptors expressed by ARC NPY/</w:t>
      </w:r>
      <w:proofErr w:type="spellStart"/>
      <w:r>
        <w:t>AgRP</w:t>
      </w:r>
      <w:proofErr w:type="spellEnd"/>
      <w:r>
        <w:t xml:space="preserve"> neurons and by vagal afferents (Morton et al., 2014; Kulkarni et al., 2024).</w:t>
      </w:r>
    </w:p>
    <w:p w14:paraId="40F70F09" w14:textId="77777777" w:rsidR="009915A1" w:rsidRDefault="003B2196">
      <w:pPr>
        <w:spacing w:after="140"/>
        <w:jc w:val="both"/>
      </w:pPr>
      <w:r>
        <w:t xml:space="preserve">GLP-1, PYY and CCK are released by enteroendocrine cells once nutrients arrive (Morton et al., 2014). They act on vagal afferents peripherally and in the hindbrain and hypothalamus centrally, increasing satiety and slowing gastric emptying (Hong &amp; Choi, 2024). A second, faster route runs alongside the humoral one. Mechanical distension and chemical stimuli in the gut are relayed by vagal afferent </w:t>
      </w:r>
      <w:proofErr w:type="spellStart"/>
      <w:r>
        <w:t>fibres</w:t>
      </w:r>
      <w:proofErr w:type="spellEnd"/>
      <w:r>
        <w:t xml:space="preserve"> to the nucleus of the solitary tract, producing reflex suppression of feeding within minutes (Morton et al., 2014; Richard, 2015).</w:t>
      </w:r>
    </w:p>
    <w:p w14:paraId="6108A97B" w14:textId="77777777" w:rsidR="009915A1" w:rsidRDefault="003B2196">
      <w:pPr>
        <w:spacing w:before="260" w:after="110"/>
      </w:pPr>
      <w:r>
        <w:rPr>
          <w:b/>
          <w:bCs/>
        </w:rPr>
        <w:t>2.3  Integration of Endocrine and Neural Pathways</w:t>
      </w:r>
    </w:p>
    <w:p w14:paraId="245AAC07" w14:textId="77777777" w:rsidR="009915A1" w:rsidRDefault="003B2196">
      <w:pPr>
        <w:spacing w:after="140"/>
        <w:jc w:val="both"/>
      </w:pPr>
      <w:r>
        <w:t>Hindbrain vagal processing, hypothalamic neuroendocrine output and mesolimbic reward pathways are coupled (Richard, 2015). The ARC sets metabolic rate partly through sympathetic outflow to brown adipose tissue and through recruitment of thermogenic capacity in white depots, informed by ascending input from the nucleus of the solitary tract (Kulkarni et al., 2024).</w:t>
      </w:r>
    </w:p>
    <w:p w14:paraId="458641F0" w14:textId="77777777" w:rsidR="009915A1" w:rsidRDefault="003B2196">
      <w:pPr>
        <w:spacing w:after="140"/>
        <w:jc w:val="both"/>
      </w:pPr>
      <w:r>
        <w:t>Reward is not separate from homeostasis. Leptin, insulin and gut peptides influence dopaminergic activity in the ventral tegmental area and nucleus accumbens, which alters how palatable and how motivating energy-dense food appears (Richard, 2015). Appetite regulation cannot be reduced to caloric accounting for that reason.</w:t>
      </w:r>
    </w:p>
    <w:p w14:paraId="4A9C7345" w14:textId="77777777" w:rsidR="009915A1" w:rsidRDefault="003B2196">
      <w:pPr>
        <w:spacing w:after="140"/>
        <w:jc w:val="both"/>
      </w:pPr>
      <w:r>
        <w:t>The whole system remodels. Ferrario et al. (2024) document plasticity induced by obesity and by diet across both central and peripheral components of these pathways, so the regulatory architecture described above is itself altered by the state it regulates. Sections 3 to 6 follow that alteration through adipose tissue, the individual endocrine signals, the inflammatory response and the adaptations that appear during weight loss.</w:t>
      </w:r>
    </w:p>
    <w:p w14:paraId="6EFF0B29" w14:textId="77777777" w:rsidR="009915A1" w:rsidRDefault="003B2196">
      <w:pPr>
        <w:spacing w:before="260" w:after="110"/>
      </w:pPr>
      <w:r>
        <w:rPr>
          <w:b/>
          <w:bCs/>
          <w:sz w:val="26"/>
          <w:szCs w:val="26"/>
        </w:rPr>
        <w:t>3.  Hormonal Regulation of Adipose Tissue Metabolism</w:t>
      </w:r>
    </w:p>
    <w:p w14:paraId="495C0FB7" w14:textId="77777777" w:rsidR="009915A1" w:rsidRDefault="003B2196">
      <w:pPr>
        <w:spacing w:before="260" w:after="110"/>
      </w:pPr>
      <w:r>
        <w:rPr>
          <w:b/>
          <w:bCs/>
        </w:rPr>
        <w:t>3.1  White, Brown, and Beige Adipose Tissue</w:t>
      </w:r>
    </w:p>
    <w:p w14:paraId="6BD3C801" w14:textId="77777777" w:rsidR="009915A1" w:rsidRDefault="003B2196">
      <w:pPr>
        <w:spacing w:after="140"/>
        <w:jc w:val="both"/>
      </w:pPr>
      <w:r>
        <w:lastRenderedPageBreak/>
        <w:t xml:space="preserve">Adipose tissue contains several adipocyte populations that differ in mitochondrial density and metabolic function (Sakaguchi, 2024; Shamsi et al., 2021). White adipocytes hold a single large lipid droplet, carry few mitochondria compared with thermogenic fat, and are sparsely </w:t>
      </w:r>
      <w:proofErr w:type="spellStart"/>
      <w:r>
        <w:t>vascularised</w:t>
      </w:r>
      <w:proofErr w:type="spellEnd"/>
      <w:r>
        <w:t xml:space="preserve"> and innervated. White adipose tissue (WAT) is not uniform either. Visceral depots associate more strongly with cardiometabolic disease than subcutaneous depots do (</w:t>
      </w:r>
      <w:proofErr w:type="spellStart"/>
      <w:r>
        <w:t>Ghesmati</w:t>
      </w:r>
      <w:proofErr w:type="spellEnd"/>
      <w:r>
        <w:t xml:space="preserve"> et al., 2024). WAT stores surplus energy as triacylglycerol and releases fatty acids on demand, and it expands by enlarging existing adipocytes or by recruiting new ones. The route matters, because </w:t>
      </w:r>
      <w:proofErr w:type="spellStart"/>
      <w:r>
        <w:t>adipogenic</w:t>
      </w:r>
      <w:proofErr w:type="spellEnd"/>
      <w:r>
        <w:t xml:space="preserve"> expansion associates with better insulin sensitivity than hypertrophic expansion (Sakaguchi, 2024).</w:t>
      </w:r>
    </w:p>
    <w:p w14:paraId="36ACB71D" w14:textId="77777777" w:rsidR="009915A1" w:rsidRDefault="003B2196">
      <w:pPr>
        <w:spacing w:after="140"/>
        <w:jc w:val="both"/>
      </w:pPr>
      <w:r>
        <w:t xml:space="preserve">Brown adipose tissue (BAT) is built for heat. Brown adipocytes hold multiple small droplets, carry dense mitochondria and are richly </w:t>
      </w:r>
      <w:proofErr w:type="spellStart"/>
      <w:r>
        <w:t>vascularised</w:t>
      </w:r>
      <w:proofErr w:type="spellEnd"/>
      <w:r>
        <w:t xml:space="preserve"> and sympathetically innervated. Uncoupling protein 1 (UCP1) in their mitochondria dissipates the proton gradient as heat instead of routing it into ATP synthesis, which is non-shivering thermogenesis (Sakaguchi, 2024; Shamsi et al., 2021). PRDM16 governs commitment to that identity (Wang &amp; Seale, 2016). Adult BAT occupies cervical, supraclavicular, perirenal and paravertebral regions, and both its mass and its activity fall with age and rising BMI (Magro &amp; Dias, 2024).</w:t>
      </w:r>
    </w:p>
    <w:p w14:paraId="1AF9AAFB" w14:textId="77777777" w:rsidR="009915A1" w:rsidRDefault="003B2196">
      <w:pPr>
        <w:spacing w:after="140"/>
        <w:jc w:val="both"/>
      </w:pPr>
      <w:r>
        <w:t>Beige adipocytes are recruited by cold, by exercise training and by β-adrenergic agonists. They resemble brown adipocytes in morphology and UCP1 expression but reach that state by more than one route, including differentiation from progenitors and direct conversion of mature white adipocytes, and they revert towards a white phenotype once the stimulus stops (Sakaguchi, 2024; Wang &amp; Seale, 2016).</w:t>
      </w:r>
    </w:p>
    <w:p w14:paraId="772111AF" w14:textId="77777777" w:rsidR="009915A1" w:rsidRDefault="003B2196">
      <w:pPr>
        <w:spacing w:after="140"/>
        <w:jc w:val="both"/>
      </w:pPr>
      <w:r>
        <w:t xml:space="preserve">Thermogenic depots also secrete. Brown and beige adipocytes release </w:t>
      </w:r>
      <w:proofErr w:type="spellStart"/>
      <w:r>
        <w:t>batokines</w:t>
      </w:r>
      <w:proofErr w:type="spellEnd"/>
      <w:r>
        <w:t xml:space="preserve"> as soluble factors and within extracellular vesicles, acting on liver, heart and skeletal muscle (</w:t>
      </w:r>
      <w:proofErr w:type="spellStart"/>
      <w:r>
        <w:t>Ghesmati</w:t>
      </w:r>
      <w:proofErr w:type="spellEnd"/>
      <w:r>
        <w:t xml:space="preserve"> et al., 2024; Sakaguchi, 2024). Becher et al. (2021) examined more than 52,000 patients who had undergone PET/CT imaging and found detectable BAT independently associated with lower prevalence of type 2 diabetes, </w:t>
      </w:r>
      <w:proofErr w:type="spellStart"/>
      <w:r>
        <w:t>dyslipidaemia</w:t>
      </w:r>
      <w:proofErr w:type="spellEnd"/>
      <w:r>
        <w:t xml:space="preserve"> and several cardiovascular diseases, with the association strongest among participants with overweight or obesity. The study is retrospective and observational, so it establishes association and no more, but the sample size and the direct human measurement make it the strongest evidence available on this question. Obesity is separately associated with thermogenic dysfunction, including reduced </w:t>
      </w:r>
      <w:proofErr w:type="spellStart"/>
      <w:r>
        <w:t>beiging</w:t>
      </w:r>
      <w:proofErr w:type="spellEnd"/>
      <w:r>
        <w:t xml:space="preserve"> capacity in white depots (</w:t>
      </w:r>
      <w:proofErr w:type="spellStart"/>
      <w:r>
        <w:t>Ghesmati</w:t>
      </w:r>
      <w:proofErr w:type="spellEnd"/>
      <w:r>
        <w:t xml:space="preserve"> et al., 2024; Magro &amp; Dias, 2024).</w:t>
      </w:r>
    </w:p>
    <w:p w14:paraId="4AB050BF" w14:textId="77777777" w:rsidR="009915A1" w:rsidRDefault="003B2196">
      <w:pPr>
        <w:spacing w:before="260" w:after="110"/>
      </w:pPr>
      <w:r>
        <w:rPr>
          <w:b/>
          <w:bCs/>
        </w:rPr>
        <w:t>3.2  Lipogenesis and Lipolysis</w:t>
      </w:r>
    </w:p>
    <w:p w14:paraId="6916980F" w14:textId="77777777" w:rsidR="009915A1" w:rsidRDefault="003B2196">
      <w:pPr>
        <w:spacing w:after="140"/>
        <w:jc w:val="both"/>
      </w:pPr>
      <w:r>
        <w:t>Fatty acids move into and out of the adipocyte lipid droplet by two opposing routes. Lipogenesis covers triglyceride synthesis and storage, either from non-lipid precursors or, more substantially in humans, by uptake and re-esterification of circulating fatty acids from dietary chylomicrons and hepatic very-low-density lipoproteins. Lipolysis runs adipose triglyceride lipase, hormone-sensitive lipase and monoacylglycerol lipase in sequence to release free fatty acids and glycerol. Coordinating the two allows adipose tissue to buffer swings in nutrient supply.</w:t>
      </w:r>
    </w:p>
    <w:p w14:paraId="22D46E23" w14:textId="77777777" w:rsidR="009915A1" w:rsidRDefault="003B2196">
      <w:pPr>
        <w:spacing w:after="140"/>
        <w:jc w:val="both"/>
      </w:pPr>
      <w:r>
        <w:t>Insulin and the catecholamines are the principal opposing controls. Insulin promotes glucose and fatty acid uptake and inhibits hormone-sensitive lipase, producing net triglyceride deposition after a meal. Cold exposure increases sympathetic noradrenaline release, which activates β-adrenergic receptors, raises cyclic AMP, engages protein kinase A and phosphorylates the lipolytic machinery (Sakaguchi, 2024). Natriuretic peptides, acetylcholine and thyroid hormone provide further input.</w:t>
      </w:r>
    </w:p>
    <w:p w14:paraId="4A9203C4" w14:textId="77777777" w:rsidR="009915A1" w:rsidRDefault="003B2196">
      <w:pPr>
        <w:spacing w:after="140"/>
        <w:jc w:val="both"/>
      </w:pPr>
      <w:r>
        <w:lastRenderedPageBreak/>
        <w:t xml:space="preserve">Lipolysis and thermogenesis are coupled in brown and beige adipocytes. Fatty acids released by lipolysis are </w:t>
      </w:r>
      <w:proofErr w:type="spellStart"/>
      <w:r>
        <w:t>oxidised</w:t>
      </w:r>
      <w:proofErr w:type="spellEnd"/>
      <w:r>
        <w:t xml:space="preserve"> in mitochondria, and PGC-1α regulates the mitochondrial biogenesis needed to sustain that, activated downstream of adrenergic </w:t>
      </w:r>
      <w:proofErr w:type="spellStart"/>
      <w:r>
        <w:t>signalling</w:t>
      </w:r>
      <w:proofErr w:type="spellEnd"/>
      <w:r>
        <w:t xml:space="preserve"> through p38 mitogen-activated protein kinase (Sakaguchi, 2024). BAT does not rely on its own lipolysis alone. It also draws fatty acids released from white depots and derived from circulating lipoproteins (Heeren &amp; </w:t>
      </w:r>
      <w:proofErr w:type="spellStart"/>
      <w:r>
        <w:t>Scheja</w:t>
      </w:r>
      <w:proofErr w:type="spellEnd"/>
      <w:r>
        <w:t>, 2018). Sakaguchi (2024) further notes that natriuretic peptides and acetylcholine can drive both processes independently of adrenergic input, which places regulatory control outside the sympathetic axis as well as within it.</w:t>
      </w:r>
    </w:p>
    <w:p w14:paraId="5EA741E1" w14:textId="77777777" w:rsidR="009915A1" w:rsidRDefault="003B2196">
      <w:pPr>
        <w:spacing w:after="140"/>
        <w:jc w:val="both"/>
      </w:pPr>
      <w:r>
        <w:t xml:space="preserve">Obesity disturbs this balance in the direction of storage. Enlarged adipocytes release more unstimulated fatty acids, while smaller adipocytes secrete more adiponectin when stimulated (Sakaguchi, 2024). </w:t>
      </w:r>
      <w:proofErr w:type="spellStart"/>
      <w:r>
        <w:t>Localised</w:t>
      </w:r>
      <w:proofErr w:type="spellEnd"/>
      <w:r>
        <w:t xml:space="preserve"> hypoxia and macrophage infiltration accompany hypertrophic </w:t>
      </w:r>
      <w:proofErr w:type="spellStart"/>
      <w:r>
        <w:t>remodelling</w:t>
      </w:r>
      <w:proofErr w:type="spellEnd"/>
      <w:r>
        <w:t xml:space="preserve"> and generate the inflammatory state examined in Section 5, which then interferes with insulin and catecholamine </w:t>
      </w:r>
      <w:proofErr w:type="spellStart"/>
      <w:r>
        <w:t>signalling</w:t>
      </w:r>
      <w:proofErr w:type="spellEnd"/>
      <w:r>
        <w:t xml:space="preserve"> inside the tissue (Sakaguchi, 2024). Magro and Dias (2024) report reduced adrenergic responsiveness specifically in thermogenic fat, so lipolysis may be uncoupled from UCP1-dependent heat production even when sympathetic drive is intact. The defect is one of hormonal control and not of lipolytic capacity.</w:t>
      </w:r>
    </w:p>
    <w:p w14:paraId="5197401C" w14:textId="77777777" w:rsidR="009915A1" w:rsidRDefault="003B2196">
      <w:pPr>
        <w:spacing w:before="260" w:after="110"/>
      </w:pPr>
      <w:r>
        <w:rPr>
          <w:b/>
          <w:bCs/>
        </w:rPr>
        <w:t>3.3  Thermogenesis and Adaptive Energy Expenditure</w:t>
      </w:r>
    </w:p>
    <w:p w14:paraId="3283572D" w14:textId="77777777" w:rsidR="009915A1" w:rsidRDefault="003B2196">
      <w:pPr>
        <w:spacing w:after="140"/>
        <w:jc w:val="both"/>
      </w:pPr>
      <w:r>
        <w:t xml:space="preserve">Adaptive thermogenesis raises heat production in response to environmental or nutritional stimulus and is distinct from shivering. Cold-induced and diet-induced thermogenesis both depend mainly on brown and beige adipocytes, converge on UCP1, and are triggered by noradrenergic sympathetic transmission with </w:t>
      </w:r>
      <w:proofErr w:type="spellStart"/>
      <w:r>
        <w:t>adrenergically</w:t>
      </w:r>
      <w:proofErr w:type="spellEnd"/>
      <w:r>
        <w:t xml:space="preserve"> independent contributions from natriuretic peptides and acetylcholine (Sakaguchi, 2024).</w:t>
      </w:r>
    </w:p>
    <w:p w14:paraId="73B42D7D" w14:textId="77777777" w:rsidR="009915A1" w:rsidRDefault="003B2196">
      <w:pPr>
        <w:spacing w:after="140"/>
        <w:jc w:val="both"/>
      </w:pPr>
      <w:r>
        <w:t xml:space="preserve">Activation is time-dependent and dose-dependent. Repeated stimulation over days to weeks does more than switch existing depots on. Magro and Dias (2024) describe genuine tissue </w:t>
      </w:r>
      <w:proofErr w:type="spellStart"/>
      <w:r>
        <w:t>remodelling</w:t>
      </w:r>
      <w:proofErr w:type="spellEnd"/>
      <w:r>
        <w:t xml:space="preserve">, with increases in both oxidative capacity and the quantity of metabolically active tissue, while white depots recruit beige adipocytes and raise whole-body thermogenic capacity (Sakaguchi, 2024). PRDM16 and PGC-1α drive the underlying transcriptional </w:t>
      </w:r>
      <w:proofErr w:type="spellStart"/>
      <w:r>
        <w:t>programmes</w:t>
      </w:r>
      <w:proofErr w:type="spellEnd"/>
      <w:r>
        <w:t>, promoting mitochondrial biogenesis and maintaining UCP1 expression (Wang &amp; Seale, 2016).</w:t>
      </w:r>
    </w:p>
    <w:p w14:paraId="624213F0" w14:textId="77777777" w:rsidR="009915A1" w:rsidRDefault="003B2196">
      <w:pPr>
        <w:spacing w:after="140"/>
        <w:jc w:val="both"/>
      </w:pPr>
      <w:r>
        <w:t xml:space="preserve">How much these depots contribute to human energy expenditure remains disputed. The Becher et al. (2021) association with a </w:t>
      </w:r>
      <w:proofErr w:type="spellStart"/>
      <w:r>
        <w:t>favourable</w:t>
      </w:r>
      <w:proofErr w:type="spellEnd"/>
      <w:r>
        <w:t xml:space="preserve"> cardiometabolic profile is observational and cannot show that activating BAT would produce benefit. Thermogenic adipocytes have other functions that may matter as much as the calories they burn, including </w:t>
      </w:r>
      <w:proofErr w:type="spellStart"/>
      <w:r>
        <w:t>batokine</w:t>
      </w:r>
      <w:proofErr w:type="spellEnd"/>
      <w:r>
        <w:t xml:space="preserve"> </w:t>
      </w:r>
      <w:proofErr w:type="spellStart"/>
      <w:r>
        <w:t>signalling</w:t>
      </w:r>
      <w:proofErr w:type="spellEnd"/>
      <w:r>
        <w:t xml:space="preserve"> to liver and heart (</w:t>
      </w:r>
      <w:proofErr w:type="spellStart"/>
      <w:r>
        <w:t>Ghesmati</w:t>
      </w:r>
      <w:proofErr w:type="spellEnd"/>
      <w:r>
        <w:t xml:space="preserve"> et al., 2024; Sakaguchi, 2024), and both nutritional and pharmacological approaches to increasing thermogenesis are under investigation (</w:t>
      </w:r>
      <w:proofErr w:type="spellStart"/>
      <w:r>
        <w:t>Ghesmati</w:t>
      </w:r>
      <w:proofErr w:type="spellEnd"/>
      <w:r>
        <w:t xml:space="preserve"> et al., 2024; Magro &amp; Dias, 2024). One problem for that strategy deserves emphasis. Obesity-associated dysfunction in these tissues, including blunted adrenergic responsiveness and progressive loss of functional BAT, is most pronounced in the people who would gain most from activating them (Magro &amp; Dias, 2024).</w:t>
      </w:r>
    </w:p>
    <w:p w14:paraId="1C03BE06" w14:textId="77777777" w:rsidR="009915A1" w:rsidRDefault="003B2196">
      <w:pPr>
        <w:spacing w:before="260" w:after="110"/>
      </w:pPr>
      <w:r>
        <w:rPr>
          <w:b/>
          <w:bCs/>
          <w:sz w:val="26"/>
          <w:szCs w:val="26"/>
        </w:rPr>
        <w:t>4.  Major Hormonal Alterations in Obesity</w:t>
      </w:r>
    </w:p>
    <w:p w14:paraId="569DABDE" w14:textId="77777777" w:rsidR="009915A1" w:rsidRDefault="003B2196">
      <w:pPr>
        <w:spacing w:after="140"/>
        <w:jc w:val="both"/>
      </w:pPr>
      <w:r>
        <w:t xml:space="preserve">"Non-diabetic" defines a population by absence. Fasting glucose, glycated </w:t>
      </w:r>
      <w:proofErr w:type="spellStart"/>
      <w:r>
        <w:t>haemoglobin</w:t>
      </w:r>
      <w:proofErr w:type="spellEnd"/>
      <w:r>
        <w:t xml:space="preserve"> and glucose tolerance fall below diagnostic thresholds, and nothing follows from that about the endocrine regulation holding them there. The distinction is easy to lose, and the abnormalities </w:t>
      </w:r>
      <w:r>
        <w:lastRenderedPageBreak/>
        <w:t>described below are routinely attributed to diabetes when they are demonstrable long before any diagnosis.</w:t>
      </w:r>
    </w:p>
    <w:p w14:paraId="79D74C9F" w14:textId="77777777" w:rsidR="009915A1" w:rsidRDefault="003B2196">
      <w:pPr>
        <w:spacing w:after="140"/>
        <w:jc w:val="both"/>
      </w:pPr>
      <w:r>
        <w:t xml:space="preserve">The nearest </w:t>
      </w:r>
      <w:proofErr w:type="spellStart"/>
      <w:r>
        <w:t>formalisation</w:t>
      </w:r>
      <w:proofErr w:type="spellEnd"/>
      <w:r>
        <w:t xml:space="preserve"> is metabolically healthy obesity (MHO), meaning obesity without the components of the metabolic syndrome. </w:t>
      </w:r>
      <w:proofErr w:type="spellStart"/>
      <w:r>
        <w:t>Blüher</w:t>
      </w:r>
      <w:proofErr w:type="spellEnd"/>
      <w:r>
        <w:t xml:space="preserve"> (2020) lists the criteria in general use: fasting triglycerides at or below 1.7 mmol/l, HDL cholesterol above 1.0 mmol/l in men and 1.3 mmol/l in women, systolic pressure at or below 130 mmHg, diastolic at or below 85 mmHg, fasting glucose at or below 6.1 mmol/l, and no drug treatment for any of these. Adults who meet them carry less visceral and hepatic fat, store more fat subcutaneously in the legs, retain better adipose function and show higher cardiorespiratory fitness than adults with metabolically unhealthy obesity (MUO). No definition has been adopted internationally, and prevalence estimates vary widely as a result.</w:t>
      </w:r>
    </w:p>
    <w:p w14:paraId="53A35BF5" w14:textId="77777777" w:rsidR="009915A1" w:rsidRDefault="003B2196">
      <w:pPr>
        <w:spacing w:after="140"/>
        <w:jc w:val="both"/>
      </w:pPr>
      <w:r>
        <w:t xml:space="preserve">What the criteria do not identify is normal insulin action. Hoddy et al. (2022) measured insulin sensitivity directly in 96 sedentary adults using the </w:t>
      </w:r>
      <w:proofErr w:type="spellStart"/>
      <w:r>
        <w:t>hyperinsulinaemic-euglycaemic</w:t>
      </w:r>
      <w:proofErr w:type="spellEnd"/>
      <w:r>
        <w:t xml:space="preserve"> clamp, comparing MHO, MUO and a lean reference group. Both obesity groups were insulin resistant relative to the reference group, and body weight did not separate them. Normal fasting glucose in this setting reports that pancreatic beta cells are compensating adequately. It reports nothing about whether insulin is working. The design is cross-sectional and the cohort was drawn from a single sedentary population, so the trajectory of the phenotype cannot be inferred, but the separation of glycaemia from insulin action is clear.</w:t>
      </w:r>
    </w:p>
    <w:p w14:paraId="3D0BAAEF" w14:textId="77777777" w:rsidR="009915A1" w:rsidRDefault="003B2196">
      <w:pPr>
        <w:spacing w:after="140"/>
        <w:jc w:val="both"/>
      </w:pPr>
      <w:r>
        <w:t xml:space="preserve">Glycaemia is therefore a late marker. Glucose stays in range for as long as compensatory </w:t>
      </w:r>
      <w:proofErr w:type="spellStart"/>
      <w:r>
        <w:t>hyperinsulinaemia</w:t>
      </w:r>
      <w:proofErr w:type="spellEnd"/>
      <w:r>
        <w:t xml:space="preserve"> holds, so a diagnosis of diabetes records the moment compensation fails and not the moment regulation was first disturbed. </w:t>
      </w:r>
      <w:proofErr w:type="spellStart"/>
      <w:r>
        <w:t>Blüher</w:t>
      </w:r>
      <w:proofErr w:type="spellEnd"/>
      <w:r>
        <w:t xml:space="preserve"> (2020) adds that the metabolically healthy phenotype tends to convert over time, which is his argument against treating it as a condition needing no intervention. Everything in this section describes people whose glucose regulation still looks intact.</w:t>
      </w:r>
    </w:p>
    <w:p w14:paraId="03A96001" w14:textId="77777777" w:rsidR="009915A1" w:rsidRDefault="003B2196">
      <w:pPr>
        <w:spacing w:before="260" w:after="110"/>
      </w:pPr>
      <w:r>
        <w:rPr>
          <w:b/>
          <w:bCs/>
        </w:rPr>
        <w:t>4.1  Leptin Resistance</w:t>
      </w:r>
    </w:p>
    <w:p w14:paraId="13D4BD4A" w14:textId="77777777" w:rsidR="009915A1" w:rsidRDefault="003B2196">
      <w:pPr>
        <w:spacing w:after="140"/>
        <w:jc w:val="both"/>
      </w:pPr>
      <w:r>
        <w:t xml:space="preserve">Adults with obesity are </w:t>
      </w:r>
      <w:proofErr w:type="spellStart"/>
      <w:r>
        <w:t>hyperleptinaemic</w:t>
      </w:r>
      <w:proofErr w:type="spellEnd"/>
      <w:r>
        <w:t xml:space="preserve"> as a group, since circulating leptin tracks fat mass. The suppression of intake and rise in expenditure that should follow does not occur. That gap between concentration and effect is what leptin resistance names.</w:t>
      </w:r>
    </w:p>
    <w:p w14:paraId="636E78D4" w14:textId="77777777" w:rsidR="009915A1" w:rsidRDefault="003B2196">
      <w:pPr>
        <w:spacing w:after="140"/>
        <w:jc w:val="both"/>
      </w:pPr>
      <w:r>
        <w:t xml:space="preserve">Hu et al. (2025) list the proposed mechanisms across several levels of the </w:t>
      </w:r>
      <w:proofErr w:type="spellStart"/>
      <w:r>
        <w:t>signalling</w:t>
      </w:r>
      <w:proofErr w:type="spellEnd"/>
      <w:r>
        <w:t xml:space="preserve"> axis. </w:t>
      </w:r>
      <w:proofErr w:type="spellStart"/>
      <w:r>
        <w:t>Hyperleptinaemia</w:t>
      </w:r>
      <w:proofErr w:type="spellEnd"/>
      <w:r>
        <w:t xml:space="preserve"> itself, impaired JAK2-STAT3 </w:t>
      </w:r>
      <w:proofErr w:type="spellStart"/>
      <w:r>
        <w:t>signalling</w:t>
      </w:r>
      <w:proofErr w:type="spellEnd"/>
      <w:r>
        <w:t>, reduced transport across the blood-brain barrier, receptor downregulation, endoplasmic reticulum stress, defective autophagy, hypothalamic inflammation, raised mTOR activity and peripheral resistance have all been implicated. The length of that list is the finding. Leptin resistance is a label for several partially independent failures, and how much each contributes in human obesity is unresolved.</w:t>
      </w:r>
    </w:p>
    <w:p w14:paraId="201E38A8" w14:textId="77777777" w:rsidR="009915A1" w:rsidRDefault="003B2196">
      <w:pPr>
        <w:spacing w:after="140"/>
        <w:jc w:val="both"/>
      </w:pPr>
      <w:r>
        <w:t xml:space="preserve">The strongest recent mechanistic work is preclinical. Tan et al. (2025) found chronic mTOR activation in POMC neurons both necessary and sufficient for leptin resistance in diet-induced obese mice. Rapamycin reduced fat mass and restored leptin responsiveness in those animals, and failed to do so in mice with defects in leptin or melanocortin </w:t>
      </w:r>
      <w:proofErr w:type="spellStart"/>
      <w:r>
        <w:t>signalling</w:t>
      </w:r>
      <w:proofErr w:type="spellEnd"/>
      <w:r>
        <w:t xml:space="preserve">. The account is causally coherent within the model and identifies a specific neuronal population, which is more than most hypothalamic work achieves. It has not been shown in humans, and systemic mTOR inhibition causes glucose intolerance, which makes it a poor therapeutic candidate in a </w:t>
      </w:r>
      <w:proofErr w:type="spellStart"/>
      <w:r>
        <w:t>normoglycaemic</w:t>
      </w:r>
      <w:proofErr w:type="spellEnd"/>
      <w:r>
        <w:t xml:space="preserve"> population.</w:t>
      </w:r>
    </w:p>
    <w:p w14:paraId="42703E20" w14:textId="77777777" w:rsidR="009915A1" w:rsidRDefault="003B2196">
      <w:pPr>
        <w:spacing w:after="140"/>
        <w:jc w:val="both"/>
      </w:pPr>
      <w:r>
        <w:lastRenderedPageBreak/>
        <w:t>Human evidence for a defect in responsiveness comes from therapeutics. Recombinant leptin produces substantial weight loss in congenital leptin deficiency and in lipodystrophy, where leptin is absent or very low, and achieves little in common obesity, where it is abundant (Hu et al., 2025; Obradović et al., 2021). Supplying more of a signal that is already saturating its receptors changes nothing.</w:t>
      </w:r>
    </w:p>
    <w:p w14:paraId="670C3B32" w14:textId="77777777" w:rsidR="009915A1" w:rsidRDefault="003B2196">
      <w:pPr>
        <w:spacing w:after="140"/>
        <w:jc w:val="both"/>
      </w:pPr>
      <w:r>
        <w:t>One caveat deserves stating directly, because it constrains the whole subsection. Leptin resistance in humans is inferred from failed therapy and from rodent data. The accepted molecular readout is hypothalamic STAT3 phosphorylation, which requires tissue no clinical study can obtain. No validated assay for leptin sensitivity exists in a living person.</w:t>
      </w:r>
    </w:p>
    <w:p w14:paraId="5B47EABE" w14:textId="77777777" w:rsidR="009915A1" w:rsidRDefault="003B2196">
      <w:pPr>
        <w:spacing w:before="260" w:after="110"/>
      </w:pPr>
      <w:r>
        <w:rPr>
          <w:b/>
          <w:bCs/>
        </w:rPr>
        <w:t>4.2  Insulin Resistance</w:t>
      </w:r>
    </w:p>
    <w:p w14:paraId="71056558" w14:textId="77777777" w:rsidR="009915A1" w:rsidRDefault="003B2196">
      <w:pPr>
        <w:spacing w:after="140"/>
        <w:jc w:val="both"/>
      </w:pPr>
      <w:r>
        <w:t xml:space="preserve">Insulin sits awkwardly in a review that excludes diabetes, since its failure defines the excluded diagnosis. The argument opening this section applies here most forcefully. Normal glucose is maintained by increased insulin secretion, so </w:t>
      </w:r>
      <w:proofErr w:type="spellStart"/>
      <w:r>
        <w:t>normoglycaemia</w:t>
      </w:r>
      <w:proofErr w:type="spellEnd"/>
      <w:r>
        <w:t xml:space="preserve"> in the presence of obesity indicates preserved beta-cell compensation and not preserved insulin sensitivity (Hoddy et al., 2022).</w:t>
      </w:r>
    </w:p>
    <w:p w14:paraId="770DD781" w14:textId="77777777" w:rsidR="009915A1" w:rsidRDefault="003B2196">
      <w:pPr>
        <w:spacing w:after="140"/>
        <w:jc w:val="both"/>
      </w:pPr>
      <w:r>
        <w:t xml:space="preserve">Chronic </w:t>
      </w:r>
      <w:proofErr w:type="spellStart"/>
      <w:r>
        <w:t>hyperinsulinaemia</w:t>
      </w:r>
      <w:proofErr w:type="spellEnd"/>
      <w:r>
        <w:t xml:space="preserve"> does more than dispose of glucose. Insulin is the main anti-lipolytic and lipogenic hormone in adipose tissue (Section 3.2), so sustained elevation </w:t>
      </w:r>
      <w:proofErr w:type="spellStart"/>
      <w:r>
        <w:t>favours</w:t>
      </w:r>
      <w:proofErr w:type="spellEnd"/>
      <w:r>
        <w:t xml:space="preserve"> triglyceride retention and works against fatty acid </w:t>
      </w:r>
      <w:proofErr w:type="spellStart"/>
      <w:r>
        <w:t>mobilisation</w:t>
      </w:r>
      <w:proofErr w:type="spellEnd"/>
      <w:r>
        <w:t xml:space="preserve">. Its central actions raise the question already raised for leptin, since it also contributes to the anorexigenic </w:t>
      </w:r>
      <w:proofErr w:type="spellStart"/>
      <w:r>
        <w:t>signalling</w:t>
      </w:r>
      <w:proofErr w:type="spellEnd"/>
      <w:r>
        <w:t xml:space="preserve"> described in Section 2.2. Whether a chronically elevated signal continues to be transduced with normal efficiency is not established for insulin any more than it is for leptin.</w:t>
      </w:r>
    </w:p>
    <w:p w14:paraId="6911577D" w14:textId="77777777" w:rsidR="009915A1" w:rsidRDefault="003B2196">
      <w:pPr>
        <w:spacing w:after="140"/>
        <w:jc w:val="both"/>
      </w:pPr>
      <w:r>
        <w:t xml:space="preserve">Insulin also falls with weight loss and stays low. Sumithran et al. (2011) found it significantly reduced at ten weeks and still below baseline at one year. Read as a metabolic outcome that is </w:t>
      </w:r>
      <w:proofErr w:type="spellStart"/>
      <w:r>
        <w:t>favourable</w:t>
      </w:r>
      <w:proofErr w:type="spellEnd"/>
      <w:r>
        <w:t>. Read as an energy-balance signal it means one anorexigenic input to the hypothalamus weakens at precisely the point when orexigenic inputs strengthen.</w:t>
      </w:r>
    </w:p>
    <w:p w14:paraId="59563857" w14:textId="77777777" w:rsidR="009915A1" w:rsidRDefault="003B2196">
      <w:pPr>
        <w:spacing w:before="260" w:after="110"/>
      </w:pPr>
      <w:r>
        <w:rPr>
          <w:b/>
          <w:bCs/>
        </w:rPr>
        <w:t>4.3  Ghrelin Dysregulation</w:t>
      </w:r>
    </w:p>
    <w:p w14:paraId="5BBC4AF4" w14:textId="77777777" w:rsidR="009915A1" w:rsidRDefault="003B2196">
      <w:pPr>
        <w:spacing w:after="140"/>
        <w:jc w:val="both"/>
      </w:pPr>
      <w:r>
        <w:t>Fasting ghrelin is typically lower in adults with obesity than in lean adults. That runs opposite to what a simple overeating model predicts, and the usual reading is downregulation in response to chronic positive energy balance.</w:t>
      </w:r>
    </w:p>
    <w:p w14:paraId="61945B50" w14:textId="77777777" w:rsidR="009915A1" w:rsidRDefault="003B2196">
      <w:pPr>
        <w:spacing w:after="140"/>
        <w:jc w:val="both"/>
      </w:pPr>
      <w:r>
        <w:t>What happens after weight loss matters more. Sumithran et al. (2011) found ghrelin significantly above baseline a full year after diet-induced weight loss in adults without diabetes. A hormone suppressed in the obese state rises, and stays risen, exactly while intake is being restricted.</w:t>
      </w:r>
    </w:p>
    <w:p w14:paraId="138002C0" w14:textId="77777777" w:rsidR="009915A1" w:rsidRDefault="003B2196">
      <w:pPr>
        <w:spacing w:after="140"/>
        <w:jc w:val="both"/>
      </w:pPr>
      <w:r>
        <w:t xml:space="preserve">Kulkarni et al. (2024) add a dimension that cross-sectional work misses. Ghrelin secretion is under circadian control and feeds back onto central and peripheral clocks, influencing eating </w:t>
      </w:r>
      <w:proofErr w:type="spellStart"/>
      <w:r>
        <w:t>behaviour</w:t>
      </w:r>
      <w:proofErr w:type="spellEnd"/>
      <w:r>
        <w:t xml:space="preserve">, locomotor activity and growth hormone release, and shift work or jet lag alter it. Single fasting measurements </w:t>
      </w:r>
      <w:proofErr w:type="spellStart"/>
      <w:r>
        <w:t>summarise</w:t>
      </w:r>
      <w:proofErr w:type="spellEnd"/>
      <w:r>
        <w:t xml:space="preserve"> a signal that varies systematically across the day, which plausibly explains some of the inconsistency in the ghrelin literature. Sleep and meal timing become mechanistic variables on this account, not lifestyle advice appended at the end of a consultation.</w:t>
      </w:r>
    </w:p>
    <w:p w14:paraId="30F64ECD" w14:textId="77777777" w:rsidR="009915A1" w:rsidRDefault="003B2196">
      <w:pPr>
        <w:spacing w:before="260" w:after="110"/>
      </w:pPr>
      <w:r>
        <w:rPr>
          <w:b/>
          <w:bCs/>
        </w:rPr>
        <w:t>4.4  GLP-1 and Incretin Hormones</w:t>
      </w:r>
    </w:p>
    <w:p w14:paraId="7439DA26" w14:textId="77777777" w:rsidR="009915A1" w:rsidRDefault="003B2196">
      <w:pPr>
        <w:spacing w:after="140"/>
        <w:jc w:val="both"/>
      </w:pPr>
      <w:r>
        <w:t xml:space="preserve">GLP-1 and glucose-dependent insulinotropic polypeptide (GIP) are released by enteroendocrine cells after nutrient ingestion. Both potentiate insulin secretion glucose-dependently, and GLP-1 </w:t>
      </w:r>
      <w:r>
        <w:lastRenderedPageBreak/>
        <w:t xml:space="preserve">additionally slows gastric emptying and reduces appetite through hindbrain and hypothalamic action (Hong &amp; Choi, 2024). Glucose dependence means incretin </w:t>
      </w:r>
      <w:proofErr w:type="spellStart"/>
      <w:r>
        <w:t>signalling</w:t>
      </w:r>
      <w:proofErr w:type="spellEnd"/>
      <w:r>
        <w:t xml:space="preserve"> is active in </w:t>
      </w:r>
      <w:proofErr w:type="spellStart"/>
      <w:r>
        <w:t>normoglycaemic</w:t>
      </w:r>
      <w:proofErr w:type="spellEnd"/>
      <w:r>
        <w:t xml:space="preserve"> adults and does not become relevant only once </w:t>
      </w:r>
      <w:proofErr w:type="spellStart"/>
      <w:r>
        <w:t>dysglycaemia</w:t>
      </w:r>
      <w:proofErr w:type="spellEnd"/>
      <w:r>
        <w:t xml:space="preserve"> appears.</w:t>
      </w:r>
    </w:p>
    <w:p w14:paraId="6A72CF2D" w14:textId="77777777" w:rsidR="009915A1" w:rsidRDefault="003B2196">
      <w:pPr>
        <w:spacing w:after="140"/>
        <w:jc w:val="both"/>
      </w:pPr>
      <w:r>
        <w:t xml:space="preserve">Whether endogenous secretion is impaired in obesity is much less settled than the therapeutic literature implies. Sumithran et al. (2011) found GIP significantly altered a year after weight loss, while GLP-1 was not among the peptides showing persistent change. Hong and Choi (2024) note that gut hormone actions extend beyond appetite to adipose tissue itself and are modified by meal schedule, food composition, exercise type and sleep deprivation. Direct evidence in </w:t>
      </w:r>
      <w:proofErr w:type="spellStart"/>
      <w:r>
        <w:t>normoglycaemic</w:t>
      </w:r>
      <w:proofErr w:type="spellEnd"/>
      <w:r>
        <w:t xml:space="preserve"> obesity is scarce, so the closest available test is an indirect one. Watkins et al. (2023) pooled cross-sectional studies comparing GLP-1 secretion in people with and without type 2 diabetes. Differences in fasting concentrations and in postprandial incremental area under the curve were both small and inconsistent, and heterogeneity between studies was high. Results also diverged by method, since enzyme-linked immunoassays showed higher postprandial GLP-1 in diabetes where radioimmunoassay did not. If impairment is hard to demonstrate even where </w:t>
      </w:r>
      <w:proofErr w:type="spellStart"/>
      <w:r>
        <w:t>dysglycaemia</w:t>
      </w:r>
      <w:proofErr w:type="spellEnd"/>
      <w:r>
        <w:t xml:space="preserve"> is established, then the case for impaired secretion in </w:t>
      </w:r>
      <w:proofErr w:type="spellStart"/>
      <w:r>
        <w:t>normoglycaemic</w:t>
      </w:r>
      <w:proofErr w:type="spellEnd"/>
      <w:r>
        <w:t xml:space="preserve"> obesity is weaker still. Watkins and colleagues propose fat mass and intracellular fat as mediators worth measuring directly, which is precisely the question a review restricted to </w:t>
      </w:r>
      <w:proofErr w:type="spellStart"/>
      <w:r>
        <w:t>normoglycaemic</w:t>
      </w:r>
      <w:proofErr w:type="spellEnd"/>
      <w:r>
        <w:t xml:space="preserve"> obesity should be asking.</w:t>
      </w:r>
    </w:p>
    <w:p w14:paraId="5182D66D" w14:textId="77777777" w:rsidR="009915A1" w:rsidRDefault="003B2196">
      <w:pPr>
        <w:spacing w:after="140"/>
        <w:jc w:val="both"/>
      </w:pPr>
      <w:r>
        <w:t>The distinction worth holding onto is between a deficient signal and an adequate signal overwhelmed by orexigenic drive. Receptor agonism achieves supraphysiological exposure, so the clinical success described in Section 7.2 does not demonstrate that endogenous secretion was inadequate.</w:t>
      </w:r>
    </w:p>
    <w:p w14:paraId="2368EEB6" w14:textId="77777777" w:rsidR="009915A1" w:rsidRDefault="003B2196">
      <w:pPr>
        <w:spacing w:before="260" w:after="110"/>
      </w:pPr>
      <w:r>
        <w:rPr>
          <w:b/>
          <w:bCs/>
        </w:rPr>
        <w:t>4.5  Peptide YY (PYY)</w:t>
      </w:r>
    </w:p>
    <w:p w14:paraId="0B9A912A" w14:textId="77777777" w:rsidR="009915A1" w:rsidRDefault="003B2196">
      <w:pPr>
        <w:spacing w:after="140"/>
        <w:jc w:val="both"/>
      </w:pPr>
      <w:r>
        <w:t>Enteroendocrine L-cells release PYY after a meal in proportion to its energy content, and it promotes satiety through hypothalamic circuits and vagal afferents (Hong &amp; Choi, 2024). It terminates and follows meals where ghrelin initiates them.</w:t>
      </w:r>
    </w:p>
    <w:p w14:paraId="43BFB1F4" w14:textId="77777777" w:rsidR="009915A1" w:rsidRDefault="003B2196">
      <w:pPr>
        <w:spacing w:after="140"/>
        <w:jc w:val="both"/>
      </w:pPr>
      <w:r>
        <w:t>Sumithran et al. (2011) found PYY significantly reduced after a ten-week very-low-energy diet in adults without diabetes, and still significantly below baseline at 62 weeks. The satiety signal weakens with weight loss and has not recovered a year later.</w:t>
      </w:r>
    </w:p>
    <w:p w14:paraId="2C1AB23C" w14:textId="77777777" w:rsidR="009915A1" w:rsidRDefault="003B2196">
      <w:pPr>
        <w:spacing w:after="140"/>
        <w:jc w:val="both"/>
      </w:pPr>
      <w:r>
        <w:t xml:space="preserve">A qualification applies to PYY and to every peptide in this section. Circulating concentration is an imperfect proxy for </w:t>
      </w:r>
      <w:proofErr w:type="spellStart"/>
      <w:r>
        <w:t>signalling</w:t>
      </w:r>
      <w:proofErr w:type="spellEnd"/>
      <w:r>
        <w:t xml:space="preserve"> at the receptor, and Sumithran et al. found no consistent relationship between hormone concentrations and subjective appetite ratings. The measured reduction is a plausible substrate for increased drive to eat and not a demonstrated cause of it.</w:t>
      </w:r>
    </w:p>
    <w:p w14:paraId="17348469" w14:textId="77777777" w:rsidR="009915A1" w:rsidRDefault="003B2196">
      <w:pPr>
        <w:spacing w:before="260" w:after="110"/>
      </w:pPr>
      <w:r>
        <w:rPr>
          <w:b/>
          <w:bCs/>
        </w:rPr>
        <w:t>4.6  Cholecystokinin (CCK)</w:t>
      </w:r>
    </w:p>
    <w:p w14:paraId="54C8771A" w14:textId="77777777" w:rsidR="009915A1" w:rsidRDefault="003B2196">
      <w:pPr>
        <w:spacing w:after="140"/>
        <w:jc w:val="both"/>
      </w:pPr>
      <w:r>
        <w:t>CCK is released from enteroendocrine I-cells in response to intraluminal fat and protein, acts largely through vagal afferents to the nucleus of the solitary tract, and produces a short-acting satiety signal while slowing gastric emptying (Hong &amp; Choi, 2024; Morton et al., 2014). Its physiological action is more transient than PYY, which makes persistent post-weight-loss alteration the more striking observation.</w:t>
      </w:r>
    </w:p>
    <w:p w14:paraId="298DFACF" w14:textId="77777777" w:rsidR="009915A1" w:rsidRDefault="003B2196">
      <w:pPr>
        <w:spacing w:after="140"/>
        <w:jc w:val="both"/>
      </w:pPr>
      <w:r>
        <w:t xml:space="preserve">Sumithran et al. (2011) recorded CCK significantly reduced at the end of the intervention and still below baseline at one year. Set alongside the rise in ghrelin and the sustained fall in PYY, the </w:t>
      </w:r>
      <w:r>
        <w:lastRenderedPageBreak/>
        <w:t xml:space="preserve">reduced-weight state in adults without diabetes shows a strengthened hunger signal together with weakened satiety </w:t>
      </w:r>
      <w:proofErr w:type="spellStart"/>
      <w:r>
        <w:t>signalling</w:t>
      </w:r>
      <w:proofErr w:type="spellEnd"/>
      <w:r>
        <w:t xml:space="preserve"> through two separately regulated peptides. Coordination of that kind across distinct pathways is difficult to reconcile with an account of weight regain based on individual </w:t>
      </w:r>
      <w:proofErr w:type="spellStart"/>
      <w:r>
        <w:t>behaviour</w:t>
      </w:r>
      <w:proofErr w:type="spellEnd"/>
      <w:r>
        <w:t>.</w:t>
      </w:r>
    </w:p>
    <w:p w14:paraId="46DBB349" w14:textId="77777777" w:rsidR="009915A1" w:rsidRDefault="003B2196">
      <w:pPr>
        <w:spacing w:before="260" w:after="110"/>
      </w:pPr>
      <w:r>
        <w:rPr>
          <w:b/>
          <w:bCs/>
        </w:rPr>
        <w:t>4.7  Adiponectin</w:t>
      </w:r>
    </w:p>
    <w:p w14:paraId="7579DA6C" w14:textId="77777777" w:rsidR="009915A1" w:rsidRDefault="003B2196">
      <w:pPr>
        <w:spacing w:after="140"/>
        <w:jc w:val="both"/>
      </w:pPr>
      <w:r>
        <w:t xml:space="preserve">Adiponectin falls as adipose mass expands, which is the opposite of most adipokines. It improves insulin sensitivity and suppresses inflammation, so its decline withdraws a protective signal at the same moment pro-inflammatory </w:t>
      </w:r>
      <w:proofErr w:type="spellStart"/>
      <w:r>
        <w:t>signalling</w:t>
      </w:r>
      <w:proofErr w:type="spellEnd"/>
      <w:r>
        <w:t xml:space="preserve"> increases. Section 5 follows that convergence.</w:t>
      </w:r>
    </w:p>
    <w:p w14:paraId="5EBD5872" w14:textId="77777777" w:rsidR="009915A1" w:rsidRDefault="003B2196">
      <w:pPr>
        <w:spacing w:after="140"/>
        <w:jc w:val="both"/>
      </w:pPr>
      <w:proofErr w:type="spellStart"/>
      <w:r>
        <w:t>Castela</w:t>
      </w:r>
      <w:proofErr w:type="spellEnd"/>
      <w:r>
        <w:t xml:space="preserve"> et al. (2023) studied 28 adults with obesity and without diabetes, mean BMI 35.4 kg/m², which makes the cohort unusually well matched to the population under review here. The adiponectin/leptin ratio was the strongest independent predictor of insulin resistance estimated by the homeostatic model assessment of insulin resistance (HOMA-IR), and together with triacylglycerols and waist-to-hip ratio accounted for 48.6% of HOMA-IR variance. The ratio fell as BMI and total fat mass rose. The study carries less weight than its specificity suggests. Twenty-eight participants is a small sample, the design was cross-sectional, and HOMA-IR is a surrogate measure. That last point matters given that Hoddy et al. (2022) needed clamp measurement to detect resistance the surrogate markers had missed.</w:t>
      </w:r>
    </w:p>
    <w:p w14:paraId="20F6E6F5" w14:textId="77777777" w:rsidR="009915A1" w:rsidRDefault="003B2196">
      <w:pPr>
        <w:spacing w:after="140"/>
        <w:jc w:val="both"/>
      </w:pPr>
      <w:r>
        <w:t xml:space="preserve">That the ratio outperformed either adipokine alone carries its own implication. Neither </w:t>
      </w:r>
      <w:proofErr w:type="spellStart"/>
      <w:r>
        <w:t>hyperleptinaemia</w:t>
      </w:r>
      <w:proofErr w:type="spellEnd"/>
      <w:r>
        <w:t xml:space="preserve"> nor </w:t>
      </w:r>
      <w:proofErr w:type="spellStart"/>
      <w:r>
        <w:t>hypoadiponectinaemia</w:t>
      </w:r>
      <w:proofErr w:type="spellEnd"/>
      <w:r>
        <w:t xml:space="preserve"> is best read in isolation, and the two together report how well adipose tissue is functioning as an endocrine organ rather than how much of it exists.</w:t>
      </w:r>
    </w:p>
    <w:p w14:paraId="3B06FACE" w14:textId="77777777" w:rsidR="009915A1" w:rsidRDefault="003B2196">
      <w:pPr>
        <w:spacing w:after="140"/>
        <w:jc w:val="both"/>
      </w:pPr>
      <w:r>
        <w:t xml:space="preserve">Adiponectin should not be read as uniformly protective. Higher concentrations track adverse outcomes in older adults, an observation labelled the adiponectin paradox. </w:t>
      </w:r>
      <w:proofErr w:type="spellStart"/>
      <w:r>
        <w:t>Walowski</w:t>
      </w:r>
      <w:proofErr w:type="spellEnd"/>
      <w:r>
        <w:t xml:space="preserve"> et al. (2023) measured body composition in 190 healthy adults aged 59 to 86 and found higher adiponectin associated with lower skeletal muscle index and lower bone mineral content, with the relationship apparently running through a fall in IGF-1 as adiponectin rose. That is a candidate mechanism and not a resolution, and it comes from a cross-sectional sample of healthy volunteers. Until the paradox is explained, the therapeutic inference that raising adiponectin will improve metabolic outcomes remains unproven.</w:t>
      </w:r>
    </w:p>
    <w:p w14:paraId="15D07459" w14:textId="77777777" w:rsidR="009915A1" w:rsidRDefault="003B2196">
      <w:pPr>
        <w:spacing w:before="260" w:after="110"/>
      </w:pPr>
      <w:r>
        <w:rPr>
          <w:b/>
          <w:bCs/>
        </w:rPr>
        <w:t>4.8  Cortisol</w:t>
      </w:r>
    </w:p>
    <w:p w14:paraId="790C470E" w14:textId="77777777" w:rsidR="009915A1" w:rsidRDefault="003B2196">
      <w:pPr>
        <w:spacing w:after="140"/>
        <w:jc w:val="both"/>
      </w:pPr>
      <w:r>
        <w:t>The relationship is widely understood in terms of stress-induced cortisol elevation driving weight gain. The evidence does not support that account. Instead, what matters is where cortisol is generated rather than how much of it circulates.</w:t>
      </w:r>
    </w:p>
    <w:p w14:paraId="670EE449" w14:textId="77777777" w:rsidR="009915A1" w:rsidRDefault="003B2196">
      <w:pPr>
        <w:spacing w:after="140"/>
        <w:jc w:val="both"/>
      </w:pPr>
      <w:proofErr w:type="spellStart"/>
      <w:r>
        <w:t>Lengton</w:t>
      </w:r>
      <w:proofErr w:type="spellEnd"/>
      <w:r>
        <w:t xml:space="preserve"> et al. (2025) review the biological stress systems implicated in obesity with particular attention to the hypothalamic-pituitary-adrenal (HPA) axis. Tissues regenerate cortisol from inactive cortisone through 11-beta-hydroxysteroid dehydrogenase type 1 (11β-HSD1), an enzyme expressed principally in adipose tissue and liver, and its activity is increased in the adipose tissue of adults with obesity. Glucocorticoid exposure therefore rises inside the tissue most responsive to it while circulating cortisol does not change. Serum, salivary and urinary measurements can all appear unremarkable while adipose glucocorticoid </w:t>
      </w:r>
      <w:proofErr w:type="spellStart"/>
      <w:r>
        <w:t>signalling</w:t>
      </w:r>
      <w:proofErr w:type="spellEnd"/>
      <w:r>
        <w:t xml:space="preserve"> is substantially altered. Reports of basal HPA activity in obesity are correspondingly inconsistent, with elevated, normal and reduced concentrations all described depending on the measure and the population studied.</w:t>
      </w:r>
    </w:p>
    <w:p w14:paraId="4158BCA1" w14:textId="77777777" w:rsidR="009915A1" w:rsidRDefault="003B2196">
      <w:pPr>
        <w:spacing w:after="140"/>
        <w:jc w:val="both"/>
      </w:pPr>
      <w:r>
        <w:lastRenderedPageBreak/>
        <w:t xml:space="preserve">The relevance to this population is direct. Systemic glucocorticoid excess, as in Cushing syndrome, produces overt </w:t>
      </w:r>
      <w:proofErr w:type="spellStart"/>
      <w:r>
        <w:t>dysglycaemia</w:t>
      </w:r>
      <w:proofErr w:type="spellEnd"/>
      <w:r>
        <w:t xml:space="preserve"> and would exclude a patient from consideration here. Tissue-level amplification produces central fat deposition and impaired insulin sensitivity while systemic cortisol and fasting glucose stay within reference limits. </w:t>
      </w:r>
      <w:proofErr w:type="spellStart"/>
      <w:r>
        <w:t>Lengton</w:t>
      </w:r>
      <w:proofErr w:type="spellEnd"/>
      <w:r>
        <w:t xml:space="preserve"> et al. (2025) treat glucocorticoid rhythmicity and tissue sensitivity as independent dimensions, so a single point measurement can miss the abnormality entirely.</w:t>
      </w:r>
    </w:p>
    <w:p w14:paraId="04494CDA" w14:textId="77777777" w:rsidR="009915A1" w:rsidRDefault="003B2196">
      <w:pPr>
        <w:spacing w:after="140"/>
        <w:jc w:val="both"/>
      </w:pPr>
      <w:r>
        <w:t>Human 11β-HSD1 evidence rests largely on cross-sectional studies using adipose biopsy, which restricts sample sizes and rules out causal inference. More telling is the therapeutic record. Selective 11β-HSD1 inhibitors have a coherent rationale and have not produced clinically meaningful weight loss. The enzyme is better regarded as a contributor to fat distribution and local insulin resistance than as a driver of obesity.</w:t>
      </w:r>
    </w:p>
    <w:p w14:paraId="0B15EAF1" w14:textId="77777777" w:rsidR="009915A1" w:rsidRDefault="003B2196">
      <w:pPr>
        <w:spacing w:before="260" w:after="110"/>
      </w:pPr>
      <w:r>
        <w:rPr>
          <w:b/>
          <w:bCs/>
        </w:rPr>
        <w:t>4.9  Thyroid Hormones</w:t>
      </w:r>
    </w:p>
    <w:p w14:paraId="62E2C550" w14:textId="77777777" w:rsidR="009915A1" w:rsidRDefault="003B2196">
      <w:pPr>
        <w:spacing w:after="140"/>
        <w:jc w:val="both"/>
      </w:pPr>
      <w:r>
        <w:t xml:space="preserve">Thyroid-stimulating hormone is mildly elevated in many adults with obesity who have no thyroid disease, and free triiodothyronine is often raised rather than reduced. Primary hypothyroidism does not produce that pattern. Biondi (2024) reports that euthyroid adults with obesity carry higher TSH, higher free triiodothyronine and higher FT3/FT4 ratios than euthyroid adults without obesity, and that their adipose tissue shows reduced TSH receptor expression alongside altered deiodinase activity. Elevated leptin is implicated in the </w:t>
      </w:r>
      <w:proofErr w:type="spellStart"/>
      <w:r>
        <w:t>hyperthyrotropinaemia</w:t>
      </w:r>
      <w:proofErr w:type="spellEnd"/>
      <w:r>
        <w:t>. Reading the pattern as hypothyroidism leads to the clinically unhelpful conclusion that euthyroid adults should receive thyroid hormone for weight reduction.</w:t>
      </w:r>
    </w:p>
    <w:p w14:paraId="30B87CE2" w14:textId="77777777" w:rsidR="009915A1" w:rsidRDefault="003B2196">
      <w:pPr>
        <w:spacing w:after="140"/>
        <w:jc w:val="both"/>
      </w:pPr>
      <w:r>
        <w:t xml:space="preserve">Direction of causation matters here because the thyroid axis is a principal determinant of resting metabolic rate. Secondary, adaptive changes would not explain why obesity develops. They remain relevant during energy restriction, when falling triiodothyronine accompanies the reduction in resting metabolic rate described in Section 6.1. Biondi (2024) states the clinical position without hedging: current data do not support pharmacological correction of isolated </w:t>
      </w:r>
      <w:proofErr w:type="spellStart"/>
      <w:r>
        <w:t>hyperthyrotropinaemia</w:t>
      </w:r>
      <w:proofErr w:type="spellEnd"/>
      <w:r>
        <w:t xml:space="preserve"> in euthyroid adults with obesity, because thyroid hormone does not meaningfully improve weight loss and the raised TSH is reversible after hypocaloric diet or bariatric surgery. Mild </w:t>
      </w:r>
      <w:proofErr w:type="spellStart"/>
      <w:r>
        <w:t>hyperthyrotropinaemia</w:t>
      </w:r>
      <w:proofErr w:type="spellEnd"/>
      <w:r>
        <w:t xml:space="preserve"> in this population should prompt consideration of obesity as the cause before subclinical hypothyroidism is diagnosed.</w:t>
      </w:r>
    </w:p>
    <w:p w14:paraId="309BB661" w14:textId="77777777" w:rsidR="009915A1" w:rsidRDefault="003B2196">
      <w:pPr>
        <w:spacing w:before="260" w:after="110"/>
      </w:pPr>
      <w:r>
        <w:rPr>
          <w:b/>
          <w:bCs/>
        </w:rPr>
        <w:t>4.10  Sex Hormones</w:t>
      </w:r>
    </w:p>
    <w:p w14:paraId="60B07DA1" w14:textId="77777777" w:rsidR="009915A1" w:rsidRDefault="003B2196">
      <w:pPr>
        <w:spacing w:after="140"/>
        <w:jc w:val="both"/>
      </w:pPr>
      <w:r>
        <w:t>Sex hormones show most clearly why adults with obesity cannot be treated as a metabolically uniform group. Fat distribution differs systematically by sex and by menopausal status, and visceral adiposity carries greater metabolic risk than subcutaneous adiposity, so two adults with identical BMI can sit at very different points on the risk gradient.</w:t>
      </w:r>
    </w:p>
    <w:p w14:paraId="6DD073E2" w14:textId="77777777" w:rsidR="009915A1" w:rsidRDefault="003B2196">
      <w:pPr>
        <w:spacing w:after="140"/>
        <w:jc w:val="both"/>
      </w:pPr>
      <w:r>
        <w:t xml:space="preserve">Three mechanisms carry most of the explanatory weight. Adipose tissue expresses aromatase, and Ahmed et al. (2025) found altered aromatase and estrogen receptor expression in adipose tissue sampled from men with obesity, consistent with increased conversion of testosterone to estradiol as adipose mass rises and with the suppression of gonadotrophin release that follows. </w:t>
      </w:r>
      <w:proofErr w:type="spellStart"/>
      <w:r>
        <w:t>Hyperinsulinaemia</w:t>
      </w:r>
      <w:proofErr w:type="spellEnd"/>
      <w:r>
        <w:t xml:space="preserve"> reduces hepatic synthesis of sex hormone-binding globulin (SHBG), which alters free hormone availability independently of total concentrations and connects the compensatory </w:t>
      </w:r>
      <w:proofErr w:type="spellStart"/>
      <w:r>
        <w:t>hyperinsulinaemia</w:t>
      </w:r>
      <w:proofErr w:type="spellEnd"/>
      <w:r>
        <w:t xml:space="preserve"> of Section 4.2 directly to gonadal function. Vieira-Potter et al. (2026) describe the third. Falling </w:t>
      </w:r>
      <w:proofErr w:type="spellStart"/>
      <w:r>
        <w:t>oestrogen</w:t>
      </w:r>
      <w:proofErr w:type="spellEnd"/>
      <w:r>
        <w:t xml:space="preserve"> at menopause shifts deposition towards the visceral </w:t>
      </w:r>
      <w:r>
        <w:lastRenderedPageBreak/>
        <w:t xml:space="preserve">depot, and because adipose tissue is the only appreciable source of </w:t>
      </w:r>
      <w:proofErr w:type="spellStart"/>
      <w:r>
        <w:t>oestrogens</w:t>
      </w:r>
      <w:proofErr w:type="spellEnd"/>
      <w:r>
        <w:t xml:space="preserve"> after menopause, women with obesity carry higher circulating </w:t>
      </w:r>
      <w:proofErr w:type="spellStart"/>
      <w:r>
        <w:t>oestrogens</w:t>
      </w:r>
      <w:proofErr w:type="spellEnd"/>
      <w:r>
        <w:t xml:space="preserve"> than lean postmenopausal women. Whether that surplus contributes to the comorbidities of obesity is unresolved.</w:t>
      </w:r>
    </w:p>
    <w:p w14:paraId="70FAA29B" w14:textId="77777777" w:rsidR="009915A1" w:rsidRDefault="003B2196">
      <w:pPr>
        <w:spacing w:after="140"/>
        <w:jc w:val="both"/>
      </w:pPr>
      <w:r>
        <w:t>Sex, age and menopausal status should therefore be handled as effect modifiers and not as covariates to be adjusted away. Hormonal findings reported from mixed cohorts without stratification are difficult to interpret for that reason.</w:t>
      </w:r>
    </w:p>
    <w:p w14:paraId="5A3CF7BD" w14:textId="77777777" w:rsidR="009915A1" w:rsidRDefault="003B2196">
      <w:pPr>
        <w:spacing w:before="260" w:after="110"/>
      </w:pPr>
      <w:r>
        <w:rPr>
          <w:b/>
          <w:bCs/>
        </w:rPr>
        <w:t>4.11  Growth Hormone and IGF-1</w:t>
      </w:r>
    </w:p>
    <w:p w14:paraId="6FF8E8FF" w14:textId="77777777" w:rsidR="009915A1" w:rsidRDefault="003B2196">
      <w:pPr>
        <w:spacing w:after="140"/>
        <w:jc w:val="both"/>
      </w:pPr>
      <w:r>
        <w:t xml:space="preserve">Growth hormone (GH) secretion is markedly reduced in obesity, most so with abdominal adiposity, and </w:t>
      </w:r>
      <w:proofErr w:type="spellStart"/>
      <w:r>
        <w:t>Kreitschmann-Andermahr</w:t>
      </w:r>
      <w:proofErr w:type="spellEnd"/>
      <w:r>
        <w:t xml:space="preserve"> et al. (2010) </w:t>
      </w:r>
      <w:proofErr w:type="spellStart"/>
      <w:r>
        <w:t>characterise</w:t>
      </w:r>
      <w:proofErr w:type="spellEnd"/>
      <w:r>
        <w:t xml:space="preserve"> the suppression as profound but reversible, affecting both basal and stimulated release and resolving with weight </w:t>
      </w:r>
      <w:proofErr w:type="spellStart"/>
      <w:r>
        <w:t>normalisation</w:t>
      </w:r>
      <w:proofErr w:type="spellEnd"/>
      <w:r>
        <w:t>. Peripheral factors including IGF-1 and insulin act alongside central hypothalamic and pituitary modulators. Since GH promotes lipolysis and preserves lean mass, its suppression plausibly reinforces the fat accumulation that produced it, which makes this axis one of the better candidates for a self-reinforcing loop.</w:t>
      </w:r>
    </w:p>
    <w:p w14:paraId="3B0F6896" w14:textId="77777777" w:rsidR="009915A1" w:rsidRDefault="003B2196">
      <w:pPr>
        <w:spacing w:after="140"/>
        <w:jc w:val="both"/>
      </w:pPr>
      <w:r>
        <w:t xml:space="preserve">The practical difficulty is diagnostic. Obesity suppresses GH secretion, GH deficiency increases fat mass, and the two are consequently hard to separate. </w:t>
      </w:r>
      <w:proofErr w:type="spellStart"/>
      <w:r>
        <w:t>Kreitschmann-Andermahr</w:t>
      </w:r>
      <w:proofErr w:type="spellEnd"/>
      <w:r>
        <w:t xml:space="preserve"> et al. (2010) question the validity of the standard provocative tests in adults with excess weight, and a blunted response read as adult GH deficiency without accounting for adiposity risks a false-positive diagnosis. Insulin-like growth factor 1 (IGF-1) concentrations are frequently normal despite reduced GH, which argues against straightforward deficiency and points towards altered sensitivity or feedback. This axis has attracted much less study in </w:t>
      </w:r>
      <w:proofErr w:type="spellStart"/>
      <w:r>
        <w:t>normoglycaemic</w:t>
      </w:r>
      <w:proofErr w:type="spellEnd"/>
      <w:r>
        <w:t xml:space="preserve"> obesity specifically than the adipokine and incretin pathways.</w:t>
      </w:r>
    </w:p>
    <w:p w14:paraId="592C1656" w14:textId="77777777" w:rsidR="009915A1" w:rsidRDefault="003B2196">
      <w:pPr>
        <w:spacing w:before="260" w:after="110"/>
      </w:pPr>
      <w:r>
        <w:rPr>
          <w:b/>
          <w:bCs/>
          <w:sz w:val="26"/>
          <w:szCs w:val="26"/>
        </w:rPr>
        <w:t>5.  Metabolic Inflammation in Obesity</w:t>
      </w:r>
    </w:p>
    <w:p w14:paraId="0B61C4E6" w14:textId="77777777" w:rsidR="009915A1" w:rsidRDefault="003B2196">
      <w:pPr>
        <w:spacing w:after="140"/>
        <w:jc w:val="both"/>
      </w:pPr>
      <w:r>
        <w:t xml:space="preserve">Expanding adipose tissue is not a quiescent depot. It develops a chronic, low-grade inflammatory state that alters hormone </w:t>
      </w:r>
      <w:proofErr w:type="spellStart"/>
      <w:r>
        <w:t>signalling</w:t>
      </w:r>
      <w:proofErr w:type="spellEnd"/>
      <w:r>
        <w:t xml:space="preserve"> locally and systemically, and the relationship runs in both directions. Hormonal dysregulation promotes inflammation, and inflammation impairs hormone action. Which comes first is the unresolved question in this literature, and the sections below treat the two as mutually reinforcing.</w:t>
      </w:r>
    </w:p>
    <w:p w14:paraId="40CB755C" w14:textId="77777777" w:rsidR="009915A1" w:rsidRDefault="003B2196">
      <w:pPr>
        <w:spacing w:before="260" w:after="110"/>
      </w:pPr>
      <w:r>
        <w:rPr>
          <w:b/>
          <w:bCs/>
        </w:rPr>
        <w:t>5.1  Adipose Tissue Inflammation</w:t>
      </w:r>
    </w:p>
    <w:p w14:paraId="5862210A" w14:textId="77777777" w:rsidR="009915A1" w:rsidRDefault="003B2196">
      <w:pPr>
        <w:spacing w:after="140"/>
        <w:jc w:val="both"/>
      </w:pPr>
      <w:r>
        <w:t xml:space="preserve">The initiating events are intrinsic to the tissue. Guria et al. (2023) describe hypertrophic, lipid-laden adipocytes releasing chemotactic signals that recruit circulating monocytes, driven by adipocyte death, local hypoxia and mechanical stress inside a depot expanding faster than its blood supply. Nothing in that sequence requires </w:t>
      </w:r>
      <w:proofErr w:type="spellStart"/>
      <w:r>
        <w:t>hyperglycaemia</w:t>
      </w:r>
      <w:proofErr w:type="spellEnd"/>
      <w:r>
        <w:t xml:space="preserve">. Adipose inflammation is therefore expected in </w:t>
      </w:r>
      <w:proofErr w:type="spellStart"/>
      <w:r>
        <w:t>normoglycaemic</w:t>
      </w:r>
      <w:proofErr w:type="spellEnd"/>
      <w:r>
        <w:t xml:space="preserve"> obesity, and finding it does not indicate incipient diabetes.</w:t>
      </w:r>
    </w:p>
    <w:p w14:paraId="479A5593" w14:textId="77777777" w:rsidR="009915A1" w:rsidRDefault="003B2196">
      <w:pPr>
        <w:spacing w:after="140"/>
        <w:jc w:val="both"/>
      </w:pPr>
      <w:r>
        <w:t xml:space="preserve">The link back to Section 3.1 is worth drawing. Depots that expand by recruiting new adipocytes generate weaker hypertrophic signals, which offers one mechanism for the more </w:t>
      </w:r>
      <w:proofErr w:type="spellStart"/>
      <w:r>
        <w:t>favourable</w:t>
      </w:r>
      <w:proofErr w:type="spellEnd"/>
      <w:r>
        <w:t xml:space="preserve"> profile of the metabolically healthier phenotype.</w:t>
      </w:r>
    </w:p>
    <w:p w14:paraId="06D1B32F" w14:textId="77777777" w:rsidR="009915A1" w:rsidRDefault="003B2196">
      <w:pPr>
        <w:spacing w:before="260" w:after="110"/>
      </w:pPr>
      <w:r>
        <w:rPr>
          <w:b/>
          <w:bCs/>
        </w:rPr>
        <w:t>5.2  Immune Cell Infiltration</w:t>
      </w:r>
    </w:p>
    <w:p w14:paraId="35D3D031" w14:textId="77777777" w:rsidR="009915A1" w:rsidRDefault="003B2196">
      <w:pPr>
        <w:spacing w:after="140"/>
        <w:jc w:val="both"/>
      </w:pPr>
      <w:r>
        <w:lastRenderedPageBreak/>
        <w:t>Macrophages dominate the infiltrating population. Guria et al. (2023) report substantial heterogeneity among them and note that the familiar division into pro-inflammatory M1 and anti-inflammatory M2 subtypes has been superseded by several novel and intermediate phenotypes. The ratio shifts towards the pro-inflammatory end in obesity, and macrophages aggregate around dead adipocytes as crown-like structures, described in both rodent and human tissue.</w:t>
      </w:r>
    </w:p>
    <w:p w14:paraId="19E6B188" w14:textId="77777777" w:rsidR="009915A1" w:rsidRDefault="003B2196">
      <w:pPr>
        <w:spacing w:after="140"/>
        <w:jc w:val="both"/>
      </w:pPr>
      <w:r>
        <w:t>Most of what is known about recruitment comes from high-fat-diet rodent models. Crown-like structures do appear in human adipose tissue. The causal sequence does not: it has been worked out in mice and assumed in people. Nor are these cells uniformly harmful. Guria et al. (2023) describe beneficial roles alongside the damaging ones, which is why suppressing adipose macrophage content has never looked promising as a therapeutic aim on its own.</w:t>
      </w:r>
    </w:p>
    <w:p w14:paraId="42357E0E" w14:textId="77777777" w:rsidR="009915A1" w:rsidRDefault="003B2196">
      <w:pPr>
        <w:spacing w:before="260" w:after="110"/>
      </w:pPr>
      <w:r>
        <w:rPr>
          <w:b/>
          <w:bCs/>
        </w:rPr>
        <w:t>5.3  Pro-Inflammatory Cytokines</w:t>
      </w:r>
    </w:p>
    <w:p w14:paraId="1931BC26" w14:textId="77777777" w:rsidR="009915A1" w:rsidRDefault="003B2196">
      <w:pPr>
        <w:spacing w:after="140"/>
        <w:jc w:val="both"/>
      </w:pPr>
      <w:r>
        <w:t xml:space="preserve">Pro-inflammatory </w:t>
      </w:r>
      <w:proofErr w:type="spellStart"/>
      <w:r>
        <w:t>polarisation</w:t>
      </w:r>
      <w:proofErr w:type="spellEnd"/>
      <w:r>
        <w:t xml:space="preserve"> produces </w:t>
      </w:r>
      <w:proofErr w:type="spellStart"/>
      <w:r>
        <w:t>tumour</w:t>
      </w:r>
      <w:proofErr w:type="spellEnd"/>
      <w:r>
        <w:t xml:space="preserve"> necrosis factor alpha (TNF-α), interleukin 6 (IL-6), interleukin 1 beta (IL-1β) and monocyte chemoattractant protein 1 (MCP-1), acting locally and entering the circulation (Guria et al., 2023). These cytokines interfere with insulin </w:t>
      </w:r>
      <w:proofErr w:type="spellStart"/>
      <w:r>
        <w:t>signalling</w:t>
      </w:r>
      <w:proofErr w:type="spellEnd"/>
      <w:r>
        <w:t>, which is the mechanistic connection between adipose inflammation and the peripheral insulin resistance Hoddy et al. (2022) measured in adults meeting criteria for metabolic health.</w:t>
      </w:r>
    </w:p>
    <w:p w14:paraId="240BC836" w14:textId="77777777" w:rsidR="009915A1" w:rsidRDefault="003B2196">
      <w:pPr>
        <w:spacing w:after="140"/>
        <w:jc w:val="both"/>
      </w:pPr>
      <w:r>
        <w:t xml:space="preserve">Cytokine </w:t>
      </w:r>
      <w:proofErr w:type="spellStart"/>
      <w:r>
        <w:t>signalling</w:t>
      </w:r>
      <w:proofErr w:type="spellEnd"/>
      <w:r>
        <w:t xml:space="preserve"> also loops back to Section 4. Inflammatory </w:t>
      </w:r>
      <w:proofErr w:type="spellStart"/>
      <w:r>
        <w:t>signalling</w:t>
      </w:r>
      <w:proofErr w:type="spellEnd"/>
      <w:r>
        <w:t xml:space="preserve"> induces suppressor of cytokine </w:t>
      </w:r>
      <w:proofErr w:type="spellStart"/>
      <w:r>
        <w:t>signalling</w:t>
      </w:r>
      <w:proofErr w:type="spellEnd"/>
      <w:r>
        <w:t xml:space="preserve"> 3, among the intracellular inhibitors implicated in impaired leptin transduction (Hu et al., 2025). Adipose expansion produces inflammation, inflammation impairs leptin action, impaired leptin action permits further expansion. Describing a loop is not the same as demonstrating that it drives the process in humans, and where it starts remains unknown.</w:t>
      </w:r>
    </w:p>
    <w:p w14:paraId="730C8140" w14:textId="77777777" w:rsidR="009915A1" w:rsidRDefault="003B2196">
      <w:pPr>
        <w:spacing w:after="140"/>
        <w:jc w:val="both"/>
      </w:pPr>
      <w:r>
        <w:t>Verma et al. (2022) offer one observation consistent with the loop being modifiable. Semaglutide 2.4 mg reduced C-reactive protein (CRP) by roughly 40 to 50% against placebo across three trials, with reductions occurring alongside weight loss and correlating with falls in waist circumference, fasting insulin and HOMA-IR. The analysis was post hoc and exploratory, and CRP is a downstream systemic marker and not a measure of adipose tissue inflammation. Nothing here separates a direct anti-inflammatory effect from the consequences of weight loss.</w:t>
      </w:r>
    </w:p>
    <w:p w14:paraId="41C778F3" w14:textId="77777777" w:rsidR="009915A1" w:rsidRDefault="003B2196">
      <w:pPr>
        <w:spacing w:before="260" w:after="110"/>
      </w:pPr>
      <w:r>
        <w:rPr>
          <w:b/>
          <w:bCs/>
        </w:rPr>
        <w:t>5.4  Oxidative Stress</w:t>
      </w:r>
    </w:p>
    <w:p w14:paraId="1C77D021" w14:textId="77777777" w:rsidR="009915A1" w:rsidRDefault="003B2196">
      <w:pPr>
        <w:spacing w:after="140"/>
        <w:jc w:val="both"/>
      </w:pPr>
      <w:r>
        <w:t xml:space="preserve">Excess nutrient flux into adipocytes raises mitochondrial reactive oxygen species production. </w:t>
      </w:r>
      <w:proofErr w:type="spellStart"/>
      <w:r>
        <w:t>Masschelin</w:t>
      </w:r>
      <w:proofErr w:type="spellEnd"/>
      <w:r>
        <w:t xml:space="preserve"> et al. (2020) describe how raised plasma glucose and free fatty acids increase reactive oxygen species while antioxidant concentrations fall, with production arising both from cytoplasmic enzymes such as NADPH oxidase and from mitochondria. The consequence within the fat cell is reduced adipogenesis and altered adipokine secretion, which places oxidative stress upstream of the endocrine changes described in Section 4 rather than merely alongside them. Local hypoxia within an expanding depot is implicated as a further trigger. The therapeutic record is discouraging. Antioxidant supplementation has not improved metabolic outcomes, and reactive oxygen species also serve as physiological signals in healthy adipose expansion, so indiscriminate suppression may not be benign.</w:t>
      </w:r>
    </w:p>
    <w:p w14:paraId="3B785143" w14:textId="77777777" w:rsidR="009915A1" w:rsidRDefault="003B2196">
      <w:pPr>
        <w:spacing w:before="260" w:after="110"/>
      </w:pPr>
      <w:r>
        <w:rPr>
          <w:b/>
          <w:bCs/>
        </w:rPr>
        <w:t>5.5  Mitochondrial Dysfunction</w:t>
      </w:r>
    </w:p>
    <w:p w14:paraId="11D257ED" w14:textId="77777777" w:rsidR="009915A1" w:rsidRDefault="003B2196">
      <w:pPr>
        <w:spacing w:after="140"/>
        <w:jc w:val="both"/>
      </w:pPr>
      <w:r>
        <w:t xml:space="preserve">Reduced mitochondrial content and impaired oxidative capacity have been reported in adipose tissue and skeletal muscle in obesity. The relevance here is specific. Mitochondrial function sets </w:t>
      </w:r>
      <w:r>
        <w:lastRenderedPageBreak/>
        <w:t xml:space="preserve">the capacity of the thermogenic adipose tissue described in Section 3.3 to generate heat, which makes it the mechanistic bridge between adipose dysfunction and the reductions in energy expenditure examined in Section 6. </w:t>
      </w:r>
      <w:proofErr w:type="spellStart"/>
      <w:r>
        <w:t>Masschelin</w:t>
      </w:r>
      <w:proofErr w:type="spellEnd"/>
      <w:r>
        <w:t xml:space="preserve"> et al. (2020) place mitochondria at the </w:t>
      </w:r>
      <w:proofErr w:type="spellStart"/>
      <w:r>
        <w:t>centre</w:t>
      </w:r>
      <w:proofErr w:type="spellEnd"/>
      <w:r>
        <w:t xml:space="preserve"> of nutrient handling in the adipocyte and note that mitochondrial reactive oxygen species alter the activity of metabolic enzymes directly, by </w:t>
      </w:r>
      <w:proofErr w:type="spellStart"/>
      <w:r>
        <w:t>oxidising</w:t>
      </w:r>
      <w:proofErr w:type="spellEnd"/>
      <w:r>
        <w:t xml:space="preserve"> protein side chains, which offers a route by which impaired mitochondrial function and impaired hormone </w:t>
      </w:r>
      <w:proofErr w:type="spellStart"/>
      <w:r>
        <w:t>signalling</w:t>
      </w:r>
      <w:proofErr w:type="spellEnd"/>
      <w:r>
        <w:t xml:space="preserve"> could arise from the same event. Whether the dysfunction causes obesity or follows from the nutrient environment inside an expanded, inflamed depot cannot be settled from human evidence that is almost entirely cross-sectional.</w:t>
      </w:r>
    </w:p>
    <w:p w14:paraId="4D83D7BE" w14:textId="77777777" w:rsidR="009915A1" w:rsidRDefault="003B2196">
      <w:pPr>
        <w:spacing w:before="260" w:after="110"/>
      </w:pPr>
      <w:r>
        <w:rPr>
          <w:b/>
          <w:bCs/>
          <w:sz w:val="26"/>
          <w:szCs w:val="26"/>
        </w:rPr>
        <w:t>6.  Hormonal Crosstalk and Weight-Loss Resistance</w:t>
      </w:r>
    </w:p>
    <w:p w14:paraId="55F87A26" w14:textId="77777777" w:rsidR="009915A1" w:rsidRDefault="003B2196">
      <w:pPr>
        <w:spacing w:after="140"/>
        <w:jc w:val="both"/>
      </w:pPr>
      <w:r>
        <w:t>Why sustained weight loss proves so difficult in adults whose glucose regulation appears intact is the question this section addresses. The evidence points to a coordinated physiological response to energy deficit and not to a failure of adherence.</w:t>
      </w:r>
    </w:p>
    <w:p w14:paraId="3872F3C0" w14:textId="77777777" w:rsidR="009915A1" w:rsidRDefault="003B2196">
      <w:pPr>
        <w:spacing w:before="260" w:after="110"/>
      </w:pPr>
      <w:r>
        <w:rPr>
          <w:b/>
          <w:bCs/>
        </w:rPr>
        <w:t>6.1  Adaptive Metabolic Responses</w:t>
      </w:r>
    </w:p>
    <w:p w14:paraId="2CFDCE77" w14:textId="77777777" w:rsidR="009915A1" w:rsidRDefault="003B2196">
      <w:pPr>
        <w:spacing w:after="140"/>
        <w:jc w:val="both"/>
      </w:pPr>
      <w:r>
        <w:t>Resting metabolic rate (RMR) falls with weight loss by more than the change in body composition predicts. Fothergill et al. (2016) followed 14 participants from a televised weight-loss competition across six years. Mean weight loss at the end of the 30-week competition was 58.3 kg and RMR had fallen by 610 kcal/day. Six years later participants had regained a mean of 41.0 kg, and RMR remained 704 kcal/day below baseline, with metabolic adaptation, the residual after adjusting for body composition and age, at −499 kcal/day.</w:t>
      </w:r>
    </w:p>
    <w:p w14:paraId="1FE66A2C" w14:textId="77777777" w:rsidR="009915A1" w:rsidRDefault="003B2196">
      <w:pPr>
        <w:spacing w:after="140"/>
        <w:jc w:val="both"/>
      </w:pPr>
      <w:r>
        <w:t xml:space="preserve">The study is small, self-selected and built on an intervention no clinical service would replicate, and its findings have been contested. Weight regain did not correlate with metabolic adaptation measured at the end of the competition. Participants who maintained the greatest weight loss at six years showed the greatest concurrent metabolic slowing, which inverts the causal story usually told about these data. Kerns et al. (2017) examined the same cohort and found regain inversely associated with change in physical activity and not with change in energy intake, with maintainers having increased activity by 160% against 34% in </w:t>
      </w:r>
      <w:proofErr w:type="spellStart"/>
      <w:r>
        <w:t>regainers</w:t>
      </w:r>
      <w:proofErr w:type="spellEnd"/>
      <w:r>
        <w:t>. On that reading metabolic adaptation is a compensatory response to sustained large increases in activity and not a direct cause of regain. What survives is narrower than the popular account: adaptation is real and persistent, and it is proportional to the ongoing effort of holding a reduced weight.</w:t>
      </w:r>
    </w:p>
    <w:p w14:paraId="6583E3A3" w14:textId="77777777" w:rsidR="009915A1" w:rsidRDefault="003B2196">
      <w:pPr>
        <w:spacing w:before="260" w:after="110"/>
      </w:pPr>
      <w:r>
        <w:rPr>
          <w:b/>
          <w:bCs/>
        </w:rPr>
        <w:t>6.2  Hormonal Adaptations During Calorie Restriction</w:t>
      </w:r>
    </w:p>
    <w:p w14:paraId="0FC0D343" w14:textId="77777777" w:rsidR="009915A1" w:rsidRDefault="003B2196">
      <w:pPr>
        <w:spacing w:after="140"/>
        <w:jc w:val="both"/>
      </w:pPr>
      <w:r>
        <w:t>Sumithran et al. (2011) established the hormonal counterpart in 50 adults with overweight or obesity and without diabetes, which is what makes the study directly applicable here. A ten-week very-low-energy diet produced mean weight loss of 13.5 kg. Leptin, PYY, CCK, insulin and amylin all fell significantly, ghrelin rose, and subjective hunger increased. At 62 weeks leptin, PYY, CCK, insulin, ghrelin, GIP, pancreatic polypeptide and hunger all remained significantly different from baseline.</w:t>
      </w:r>
    </w:p>
    <w:p w14:paraId="73756C28" w14:textId="77777777" w:rsidR="009915A1" w:rsidRDefault="003B2196">
      <w:pPr>
        <w:spacing w:after="140"/>
        <w:jc w:val="both"/>
      </w:pPr>
      <w:r>
        <w:t>Every change ran in the direction of regain. Signals promoting intake strengthened. Signals promoting satiety weakened. The adiposity signal fell. None of it resolved within a year. Combined with the persistent RMR reduction of Section 6.1, the reduced-weight state carries increased drive to eat and reduced energy requirement at once.</w:t>
      </w:r>
    </w:p>
    <w:p w14:paraId="7AC32AEC" w14:textId="77777777" w:rsidR="009915A1" w:rsidRDefault="003B2196">
      <w:pPr>
        <w:spacing w:after="140"/>
        <w:jc w:val="both"/>
      </w:pPr>
      <w:r>
        <w:lastRenderedPageBreak/>
        <w:t>The design has one serious weakness. No weight-stable control group was included, which was raised in correspondence at the time, and it means the observed changes cannot be fully separated from the effect of maintained weight loss. Nor did the study find a consistent relationship between hormone concentrations and appetite ratings. The findings describe a well-</w:t>
      </w:r>
      <w:proofErr w:type="spellStart"/>
      <w:r>
        <w:t>characterised</w:t>
      </w:r>
      <w:proofErr w:type="spellEnd"/>
      <w:r>
        <w:t xml:space="preserve"> biological substrate for the difficulty of weight maintenance without demonstrating that it causes regain. A further qualification applies beyond this section. The persistence findings reported for insulin, ghrelin, GIP, PYY and CCK in Sections 4.2 to 4.6 all derive from this same cohort. Coordination across separately regulated peptides is what makes the result compelling, and it is also why independent replication is needed before the pattern can be treated as established.</w:t>
      </w:r>
    </w:p>
    <w:p w14:paraId="2C528B42" w14:textId="77777777" w:rsidR="009915A1" w:rsidRDefault="003B2196">
      <w:pPr>
        <w:spacing w:before="260" w:after="110"/>
      </w:pPr>
      <w:r>
        <w:rPr>
          <w:b/>
          <w:bCs/>
        </w:rPr>
        <w:t>6.3  Mechanisms Underlying Weight Regain</w:t>
      </w:r>
    </w:p>
    <w:p w14:paraId="75B52FA0" w14:textId="77777777" w:rsidR="009915A1" w:rsidRDefault="003B2196">
      <w:pPr>
        <w:spacing w:after="140"/>
        <w:jc w:val="both"/>
      </w:pPr>
      <w:r>
        <w:t xml:space="preserve">Regain converges from several directions at once. Energy expenditure is reduced relative to body size, orexigenic </w:t>
      </w:r>
      <w:proofErr w:type="spellStart"/>
      <w:r>
        <w:t>signalling</w:t>
      </w:r>
      <w:proofErr w:type="spellEnd"/>
      <w:r>
        <w:t xml:space="preserve"> is strengthened, satiety </w:t>
      </w:r>
      <w:proofErr w:type="spellStart"/>
      <w:r>
        <w:t>signalling</w:t>
      </w:r>
      <w:proofErr w:type="spellEnd"/>
      <w:r>
        <w:t xml:space="preserve"> is weakened, and leptin and insulin both fall while acting on hypothalamic circuits that were already resistant before weight loss began.</w:t>
      </w:r>
    </w:p>
    <w:p w14:paraId="42F1065C" w14:textId="77777777" w:rsidR="009915A1" w:rsidRDefault="003B2196">
      <w:pPr>
        <w:spacing w:after="140"/>
        <w:jc w:val="both"/>
      </w:pPr>
      <w:r>
        <w:t>Pharmacological withdrawal makes the point most clearly. Wilding et al. (2022) followed STEP 1 participants after both semaglutide and lifestyle intervention were withdrawn, and reported regain of approximately two-thirds of lost weight within a year, with cardiometabolic improvements reverting alongside. Incretin receptor agonism does not reset the regulatory system to a lower defended weight.</w:t>
      </w:r>
    </w:p>
    <w:p w14:paraId="338DCD5E" w14:textId="77777777" w:rsidR="009915A1" w:rsidRDefault="003B2196">
      <w:pPr>
        <w:spacing w:after="140"/>
        <w:jc w:val="both"/>
      </w:pPr>
      <w:proofErr w:type="spellStart"/>
      <w:r>
        <w:t>Behaviour</w:t>
      </w:r>
      <w:proofErr w:type="spellEnd"/>
      <w:r>
        <w:t xml:space="preserve"> is not irrelevant on this account. Kerns et al. (2017) found sustained increases in physical activity the strongest correlate of successful maintenance. </w:t>
      </w:r>
      <w:proofErr w:type="spellStart"/>
      <w:r>
        <w:t>Behaviour</w:t>
      </w:r>
      <w:proofErr w:type="spellEnd"/>
      <w:r>
        <w:t xml:space="preserve"> operates against a physiological gradient, which is a different claim from </w:t>
      </w:r>
      <w:proofErr w:type="spellStart"/>
      <w:r>
        <w:t>behaviour</w:t>
      </w:r>
      <w:proofErr w:type="spellEnd"/>
      <w:r>
        <w:t xml:space="preserve"> being the whole explanation, and the evidence reviewed here does not support the second.</w:t>
      </w:r>
    </w:p>
    <w:p w14:paraId="620C4FBC" w14:textId="77777777" w:rsidR="009915A1" w:rsidRDefault="003B2196">
      <w:pPr>
        <w:spacing w:before="260" w:after="110"/>
      </w:pPr>
      <w:r>
        <w:rPr>
          <w:b/>
          <w:bCs/>
          <w:sz w:val="26"/>
          <w:szCs w:val="26"/>
        </w:rPr>
        <w:t>7.  Clinical Implications</w:t>
      </w:r>
    </w:p>
    <w:p w14:paraId="0D5BCF2B" w14:textId="77777777" w:rsidR="009915A1" w:rsidRDefault="003B2196">
      <w:pPr>
        <w:spacing w:before="260" w:after="110"/>
      </w:pPr>
      <w:r>
        <w:rPr>
          <w:b/>
          <w:bCs/>
        </w:rPr>
        <w:t>7.1  Pharmacological Therapies</w:t>
      </w:r>
    </w:p>
    <w:p w14:paraId="16275F5E" w14:textId="77777777" w:rsidR="009915A1" w:rsidRDefault="003B2196">
      <w:pPr>
        <w:spacing w:after="140"/>
        <w:jc w:val="both"/>
      </w:pPr>
      <w:r>
        <w:t xml:space="preserve">Pharmacotherapy in this population targets appetite and energy intake. Shi et al. (2024) placed the available agents in order through a network meta-analysis of 132 </w:t>
      </w:r>
      <w:proofErr w:type="spellStart"/>
      <w:r>
        <w:t>randomised</w:t>
      </w:r>
      <w:proofErr w:type="spellEnd"/>
      <w:r>
        <w:t xml:space="preserve"> trials and 48,209 participants, finding phentermine-topiramate most effective in lowering weight, followed by GLP-1 receptor agonists, with semaglutide showing substantially larger effects than any other drug in post-hoc analysis. Orlistat sat well below both. Discontinuation for adverse events was raised across the class, most of all for naltrexone-bupropion and phentermine-topiramate. That analysis was retracted and republished in corrected form, and the 2024 version is the one cited here. Three principles from Section 6 apply whichever agent is chosen. Benefit persists while treatment continues. Weight returns when it stops. Adverse effects are predominantly gastrointestinal for the incretin agents and predominantly neuropsychiatric for the topiramate-containing combinations.</w:t>
      </w:r>
    </w:p>
    <w:p w14:paraId="7F825C35" w14:textId="77777777" w:rsidR="009915A1" w:rsidRDefault="003B2196">
      <w:pPr>
        <w:spacing w:before="260" w:after="110"/>
      </w:pPr>
      <w:r>
        <w:rPr>
          <w:b/>
          <w:bCs/>
        </w:rPr>
        <w:t>7.2  GLP-1 Receptor Agonists and Dual Agonists</w:t>
      </w:r>
    </w:p>
    <w:p w14:paraId="47184CE6" w14:textId="77777777" w:rsidR="009915A1" w:rsidRDefault="003B2196">
      <w:pPr>
        <w:spacing w:after="140"/>
        <w:jc w:val="both"/>
      </w:pPr>
      <w:r>
        <w:t xml:space="preserve">Wilding et al. (2021) </w:t>
      </w:r>
      <w:proofErr w:type="spellStart"/>
      <w:r>
        <w:t>randomised</w:t>
      </w:r>
      <w:proofErr w:type="spellEnd"/>
      <w:r>
        <w:t xml:space="preserve"> 1,961 adults with overweight or obesity, mostly without diabetes, to once-weekly semaglutide 2.4 mg or placebo with lifestyle intervention over 68 weeks, and reported mean weight change of −14.9% against −2.4%. </w:t>
      </w:r>
      <w:proofErr w:type="spellStart"/>
      <w:r>
        <w:t>Jastreboff</w:t>
      </w:r>
      <w:proofErr w:type="spellEnd"/>
      <w:r>
        <w:t xml:space="preserve"> et al. (2022) </w:t>
      </w:r>
      <w:proofErr w:type="spellStart"/>
      <w:r>
        <w:t>randomised</w:t>
      </w:r>
      <w:proofErr w:type="spellEnd"/>
      <w:r>
        <w:t xml:space="preserve"> 2,539 adults with obesity to tirzepatide, a dual GIP and GLP-1 receptor agonist, at 5, 10 or 15 mg weekly </w:t>
      </w:r>
      <w:r>
        <w:lastRenderedPageBreak/>
        <w:t>over 72 weeks, with mean reductions of approximately 16% to 22.5%. Both are large phase 3 trials with effect sizes no earlier pharmacological approach came close to.</w:t>
      </w:r>
    </w:p>
    <w:p w14:paraId="0A4ADFE9" w14:textId="77777777" w:rsidR="009915A1" w:rsidRDefault="003B2196">
      <w:pPr>
        <w:spacing w:after="140"/>
        <w:jc w:val="both"/>
      </w:pPr>
      <w:r>
        <w:t xml:space="preserve">Neither trial settles the mechanistic question raised in Section 4.4. Receptor agonism achieves supraphysiological exposure, so clinical efficacy tells us nothing about whether endogenous incretin </w:t>
      </w:r>
      <w:proofErr w:type="spellStart"/>
      <w:r>
        <w:t>signalling</w:t>
      </w:r>
      <w:proofErr w:type="spellEnd"/>
      <w:r>
        <w:t xml:space="preserve"> was inadequate to begin with. The durability data are more informative. Wilding et al. (2022) recorded roughly two-thirds of lost weight regained within a year of withdrawal, with cardiometabolic gains reverting alongside. These agents compensate for the regulatory abnormalities described in Sections 4 and 6. They do not correct them, and treatment is accordingly a long-term commitment.</w:t>
      </w:r>
    </w:p>
    <w:p w14:paraId="757CA4A4" w14:textId="77777777" w:rsidR="009915A1" w:rsidRDefault="003B2196">
      <w:pPr>
        <w:spacing w:after="140"/>
        <w:jc w:val="both"/>
      </w:pPr>
      <w:r>
        <w:t xml:space="preserve">Effects beyond weight are accumulating. Verma et al. (2022) reported CRP reductions with semaglutide across three trials, correlating with falls in weight, waist circumference and insulin resistance, which is consistent with an effect on the processes of Section 5 without proving one. The cardiovascular evidence for this class is a harder case. Marx et al. (2022) review the outcome trials showing that GLP-1 receptor agonists reduce major adverse cardiovascular events, but that evidence was generated almost entirely in populations with type 2 diabetes, which is the conflation this review set out to avoid. Whether the same protection extends to </w:t>
      </w:r>
      <w:proofErr w:type="spellStart"/>
      <w:r>
        <w:t>normoglycaemic</w:t>
      </w:r>
      <w:proofErr w:type="spellEnd"/>
      <w:r>
        <w:t xml:space="preserve"> adults with obesity is a separate question, and one the STEP and SURMOUNT </w:t>
      </w:r>
      <w:proofErr w:type="spellStart"/>
      <w:r>
        <w:t>programmes</w:t>
      </w:r>
      <w:proofErr w:type="spellEnd"/>
      <w:r>
        <w:t xml:space="preserve"> were not designed to answer. No treatment recommendations for individual patients are offered here.</w:t>
      </w:r>
    </w:p>
    <w:p w14:paraId="49C50DDB" w14:textId="77777777" w:rsidR="009915A1" w:rsidRDefault="003B2196">
      <w:pPr>
        <w:spacing w:before="260" w:after="110"/>
      </w:pPr>
      <w:r>
        <w:rPr>
          <w:b/>
          <w:bCs/>
        </w:rPr>
        <w:t>7.3  Emerging Endocrine Targets</w:t>
      </w:r>
    </w:p>
    <w:p w14:paraId="27B16227" w14:textId="77777777" w:rsidR="009915A1" w:rsidRDefault="003B2196">
      <w:pPr>
        <w:spacing w:after="140"/>
        <w:jc w:val="both"/>
      </w:pPr>
      <w:r>
        <w:t xml:space="preserve">Leptin </w:t>
      </w:r>
      <w:proofErr w:type="spellStart"/>
      <w:r>
        <w:t>sensitisation</w:t>
      </w:r>
      <w:proofErr w:type="spellEnd"/>
      <w:r>
        <w:t xml:space="preserve"> follows most directly from the mechanisms reviewed, since the defect in common obesity concerns responsiveness and not availability. Agents intended to restore central leptin </w:t>
      </w:r>
      <w:proofErr w:type="spellStart"/>
      <w:r>
        <w:t>signalling</w:t>
      </w:r>
      <w:proofErr w:type="spellEnd"/>
      <w:r>
        <w:t xml:space="preserve"> are under investigation, and none has been established as clinically effective (Hu et al., 2025). Selective 11β-HSD1 inhibition has a coherent rationale given the tissue-level glucocorticoid amplification of Section 4.8 and has not produced meaningful weight loss. Thermogenic adipose tissue remains under investigation as a route to increasing expenditure (</w:t>
      </w:r>
      <w:proofErr w:type="spellStart"/>
      <w:r>
        <w:t>Ghesmati</w:t>
      </w:r>
      <w:proofErr w:type="spellEnd"/>
      <w:r>
        <w:t xml:space="preserve"> et al., 2024; Magro &amp; Dias, 2024).</w:t>
      </w:r>
    </w:p>
    <w:p w14:paraId="5B0F329B" w14:textId="77777777" w:rsidR="009915A1" w:rsidRDefault="003B2196">
      <w:pPr>
        <w:spacing w:after="140"/>
        <w:jc w:val="both"/>
      </w:pPr>
      <w:r>
        <w:t xml:space="preserve">Evidence level should accompany every one of these. The mTOR-POMC mechanism of Tan et al. (2025) is a rodent finding, and systemic mTOR inhibition causes glucose intolerance, which rules it out in a </w:t>
      </w:r>
      <w:proofErr w:type="spellStart"/>
      <w:r>
        <w:t>normoglycaemic</w:t>
      </w:r>
      <w:proofErr w:type="spellEnd"/>
      <w:r>
        <w:t xml:space="preserve"> population unless the effect can be confined to the relevant neurons.</w:t>
      </w:r>
    </w:p>
    <w:p w14:paraId="7115463D" w14:textId="77777777" w:rsidR="009915A1" w:rsidRDefault="003B2196">
      <w:pPr>
        <w:spacing w:before="260" w:after="110"/>
      </w:pPr>
      <w:r>
        <w:rPr>
          <w:b/>
          <w:bCs/>
        </w:rPr>
        <w:t>7.4  Personalized Obesity Management</w:t>
      </w:r>
    </w:p>
    <w:p w14:paraId="58347B82" w14:textId="77777777" w:rsidR="009915A1" w:rsidRDefault="003B2196">
      <w:pPr>
        <w:spacing w:after="140"/>
        <w:jc w:val="both"/>
      </w:pPr>
      <w:r>
        <w:t>Uniform management is difficult to defend given the heterogeneity documented above. Adults sharing a BMI differ in insulin sensitivity (Hoddy et al., 2022), in fat distribution and adipose function (</w:t>
      </w:r>
      <w:proofErr w:type="spellStart"/>
      <w:r>
        <w:t>Blüher</w:t>
      </w:r>
      <w:proofErr w:type="spellEnd"/>
      <w:r>
        <w:t>, 2020), in adipokine profile (</w:t>
      </w:r>
      <w:proofErr w:type="spellStart"/>
      <w:r>
        <w:t>Castela</w:t>
      </w:r>
      <w:proofErr w:type="spellEnd"/>
      <w:r>
        <w:t xml:space="preserve"> et al., 2023) and in the sex- and age-related factors of Section 4.10. Assessment that incorporates metabolic phenotype, fat distribution, comorbidities, hormonal status and prior treatment response has a stronger rationale than assessment by BMI alone.</w:t>
      </w:r>
    </w:p>
    <w:p w14:paraId="7073130C" w14:textId="77777777" w:rsidR="009915A1" w:rsidRDefault="003B2196">
      <w:pPr>
        <w:spacing w:after="140"/>
        <w:jc w:val="both"/>
      </w:pPr>
      <w:r>
        <w:t>The case remains mechanistic, since no trial has shown phenotype-guided management to improve outcomes over standard management. And because the metabolically healthier phenotype tends to convert (</w:t>
      </w:r>
      <w:proofErr w:type="spellStart"/>
      <w:r>
        <w:t>Blüher</w:t>
      </w:r>
      <w:proofErr w:type="spellEnd"/>
      <w:r>
        <w:t>, 2020), identifying an adult as metabolically healthy is not a reason to withhold treatment.</w:t>
      </w:r>
    </w:p>
    <w:p w14:paraId="09AEB7FC" w14:textId="77777777" w:rsidR="009915A1" w:rsidRDefault="003B2196">
      <w:pPr>
        <w:spacing w:before="260" w:after="110"/>
      </w:pPr>
      <w:r>
        <w:rPr>
          <w:b/>
          <w:bCs/>
          <w:sz w:val="26"/>
          <w:szCs w:val="26"/>
        </w:rPr>
        <w:t>8.  Future Research Directions</w:t>
      </w:r>
    </w:p>
    <w:p w14:paraId="0ED50582" w14:textId="77777777" w:rsidR="009915A1" w:rsidRDefault="003B2196">
      <w:pPr>
        <w:spacing w:after="140"/>
        <w:jc w:val="both"/>
      </w:pPr>
      <w:r>
        <w:lastRenderedPageBreak/>
        <w:t>Definitions come first because they are the most tractable problem. No international definition of metabolically healthy obesity exists, and prevalence estimates vary widely with the criteria applied (</w:t>
      </w:r>
      <w:proofErr w:type="spellStart"/>
      <w:r>
        <w:t>Blüher</w:t>
      </w:r>
      <w:proofErr w:type="spellEnd"/>
      <w:r>
        <w:t>, 2020). Studies of non-diabetic obesity differ in whether they exclude prediabetes, whether they measure insulin sensitivity, and by what method. Findings cannot be compared reliably across studies until this converges, and the present review is limited by it as much as the literature is.</w:t>
      </w:r>
    </w:p>
    <w:p w14:paraId="1D41003B" w14:textId="77777777" w:rsidR="009915A1" w:rsidRDefault="003B2196">
      <w:pPr>
        <w:spacing w:after="140"/>
        <w:jc w:val="both"/>
      </w:pPr>
      <w:r>
        <w:t>Measurement is the second problem and the harder one. Leptin resistance in humans is inferred from failed therapy and rodent data because the accepted molecular readout requires hypothalamic tissue, and no validated clinical assay for leptin sensitivity exists. Tissue-level glucocorticoid exposure is similarly invisible to systemic cortisol measurement (</w:t>
      </w:r>
      <w:proofErr w:type="spellStart"/>
      <w:r>
        <w:t>Lengton</w:t>
      </w:r>
      <w:proofErr w:type="spellEnd"/>
      <w:r>
        <w:t xml:space="preserve"> et al., 2025). Accessible measures of hormone action, as distinct from hormone concentration, would change which questions can be answered.</w:t>
      </w:r>
    </w:p>
    <w:p w14:paraId="61B28D28" w14:textId="77777777" w:rsidR="009915A1" w:rsidRDefault="003B2196">
      <w:pPr>
        <w:spacing w:after="140"/>
        <w:jc w:val="both"/>
      </w:pPr>
      <w:r>
        <w:t>The evidence cited throughout this review comes overwhelmingly from European, North American and East Asian cohorts. African populations are barely represented, despite documented differences in body composition, fat distribution and the relationship between BMI and cardiometabolic risk that make extrapolation unsafe. Liu et al. (2025) project that a growing share of the global burden will fall in exactly the settings the evidence base does not cover.</w:t>
      </w:r>
    </w:p>
    <w:p w14:paraId="19DE1A70" w14:textId="77777777" w:rsidR="009915A1" w:rsidRDefault="003B2196">
      <w:pPr>
        <w:spacing w:after="140"/>
        <w:jc w:val="both"/>
      </w:pPr>
      <w:r>
        <w:t xml:space="preserve">Almost all human evidence linking endocrine abnormality to metabolic outcome in </w:t>
      </w:r>
      <w:proofErr w:type="spellStart"/>
      <w:r>
        <w:t>normoglycaemic</w:t>
      </w:r>
      <w:proofErr w:type="spellEnd"/>
      <w:r>
        <w:t xml:space="preserve"> obesity is cross-sectional (</w:t>
      </w:r>
      <w:proofErr w:type="spellStart"/>
      <w:r>
        <w:t>Castela</w:t>
      </w:r>
      <w:proofErr w:type="spellEnd"/>
      <w:r>
        <w:t xml:space="preserve"> et al., 2023). Whether particular hormonal abnormalities predict later progression to diabetes, response to treatment or risk of regain is unknown, and answering it requires cohorts recruited and followed from the </w:t>
      </w:r>
      <w:proofErr w:type="spellStart"/>
      <w:r>
        <w:t>normoglycaemic</w:t>
      </w:r>
      <w:proofErr w:type="spellEnd"/>
      <w:r>
        <w:t xml:space="preserve"> state.</w:t>
      </w:r>
    </w:p>
    <w:p w14:paraId="78A90B88" w14:textId="77777777" w:rsidR="009915A1" w:rsidRDefault="003B2196">
      <w:pPr>
        <w:spacing w:after="140"/>
        <w:jc w:val="both"/>
      </w:pPr>
      <w:r>
        <w:t xml:space="preserve">The last question is therapeutic and follows from Section 7.2. Incretin-based treatment opposes the regulatory changes described here without resetting them (Wilding et al., 2022). Whether any intervention can lower the defended weight instead of fighting its </w:t>
      </w:r>
      <w:proofErr w:type="spellStart"/>
      <w:r>
        <w:t>defence</w:t>
      </w:r>
      <w:proofErr w:type="spellEnd"/>
      <w:r>
        <w:t xml:space="preserve"> is the central unanswered question in the field.</w:t>
      </w:r>
    </w:p>
    <w:p w14:paraId="082C603D" w14:textId="77777777" w:rsidR="009915A1" w:rsidRDefault="003B2196">
      <w:pPr>
        <w:spacing w:before="260" w:after="110"/>
      </w:pPr>
      <w:r>
        <w:rPr>
          <w:b/>
          <w:bCs/>
          <w:sz w:val="26"/>
          <w:szCs w:val="26"/>
        </w:rPr>
        <w:t>9.  Conclusion</w:t>
      </w:r>
    </w:p>
    <w:p w14:paraId="2974B324" w14:textId="77777777" w:rsidR="009915A1" w:rsidRDefault="003B2196">
      <w:pPr>
        <w:spacing w:after="140"/>
        <w:jc w:val="both"/>
      </w:pPr>
      <w:r>
        <w:t>Adults with obesity and no diabetes diagnosis are not endocrinologically unremarkable. Clamp measurement finds insulin resistance in those meeting every criterion for metabolic health (Hoddy et al., 2022). Leptin is abundant and ineffective (Hu et al., 2025). Adiponectin is reduced, and its ratio to leptin tracks insulin resistance in exactly this population (</w:t>
      </w:r>
      <w:proofErr w:type="spellStart"/>
      <w:r>
        <w:t>Castela</w:t>
      </w:r>
      <w:proofErr w:type="spellEnd"/>
      <w:r>
        <w:t xml:space="preserve"> et al., 2023). Cortisol is amplified inside adipose tissue while circulating concentrations report nothing (</w:t>
      </w:r>
      <w:proofErr w:type="spellStart"/>
      <w:r>
        <w:t>Lengton</w:t>
      </w:r>
      <w:proofErr w:type="spellEnd"/>
      <w:r>
        <w:t xml:space="preserve"> et al., 2025). The tissue is chronically inflamed, and the mediators involved impair the hormone </w:t>
      </w:r>
      <w:proofErr w:type="spellStart"/>
      <w:r>
        <w:t>signalling</w:t>
      </w:r>
      <w:proofErr w:type="spellEnd"/>
      <w:r>
        <w:t xml:space="preserve"> that would otherwise limit its expansion (Guria et al., 2023). Normal fasting glucose reports the adequacy of beta-cell compensation and nothing more.</w:t>
      </w:r>
    </w:p>
    <w:p w14:paraId="7D0941A5" w14:textId="77777777" w:rsidR="009915A1" w:rsidRDefault="003B2196">
      <w:pPr>
        <w:spacing w:after="140"/>
        <w:jc w:val="both"/>
      </w:pPr>
      <w:r>
        <w:t>These processes are interconnected and not parallel. Hormonal dysregulation promotes adipose inflammation and inflammation impairs hormone action, in a relationship the available human evidence describes without resolving causally.</w:t>
      </w:r>
    </w:p>
    <w:p w14:paraId="6728416A" w14:textId="77777777" w:rsidR="009915A1" w:rsidRDefault="003B2196">
      <w:pPr>
        <w:spacing w:after="140"/>
        <w:jc w:val="both"/>
      </w:pPr>
      <w:r>
        <w:t xml:space="preserve">The consequence for weight loss is the clearest practical finding in this review. Energy restriction in adults without diabetes provokes a coordinated hormonal response </w:t>
      </w:r>
      <w:proofErr w:type="spellStart"/>
      <w:r>
        <w:t>favouring</w:t>
      </w:r>
      <w:proofErr w:type="spellEnd"/>
      <w:r>
        <w:t xml:space="preserve"> regain that persists at one year (Sumithran et al., 2011), alongside an RMR reduction beyond what body composition predicts and which persists despite regain (Fothergill et al., 2016). Weight-loss resistance in this </w:t>
      </w:r>
      <w:r>
        <w:lastRenderedPageBreak/>
        <w:t>population has a biological substrate, and explanations resting on willpower are inconsistent with the evidence.</w:t>
      </w:r>
    </w:p>
    <w:p w14:paraId="0E625DB2" w14:textId="77777777" w:rsidR="009915A1" w:rsidRDefault="003B2196">
      <w:pPr>
        <w:spacing w:after="140"/>
        <w:jc w:val="both"/>
      </w:pPr>
      <w:r>
        <w:t xml:space="preserve">Obesity in </w:t>
      </w:r>
      <w:proofErr w:type="spellStart"/>
      <w:r>
        <w:t>normoglycaemic</w:t>
      </w:r>
      <w:proofErr w:type="spellEnd"/>
      <w:r>
        <w:t xml:space="preserve"> adults warrants assessment and treatment rather than reassurance, since the phenotype is transient and regulation is already altered (</w:t>
      </w:r>
      <w:proofErr w:type="spellStart"/>
      <w:r>
        <w:t>Blüher</w:t>
      </w:r>
      <w:proofErr w:type="spellEnd"/>
      <w:r>
        <w:t>, 2020). And because effective pharmacotherapy compensates for that alteration without correcting it, with weight returning on withdrawal (Wilding et al., 2022), sustainable management is long-term by nature. The gaps that matter most are inconsistent definitions, the absence of clinical measures of hormone action, the underrepresentation of African and other populations, and the near-total lack of longitudinal data linking early endocrine change to later outcome.</w:t>
      </w:r>
    </w:p>
    <w:p w14:paraId="10F59ADE" w14:textId="77777777" w:rsidR="009915A1" w:rsidRDefault="009915A1">
      <w:pPr>
        <w:spacing w:after="140"/>
        <w:jc w:val="both"/>
      </w:pPr>
    </w:p>
    <w:p w14:paraId="3942EB19" w14:textId="77777777" w:rsidR="00AC05B0" w:rsidRDefault="003B2196" w:rsidP="00AC05B0">
      <w:pPr>
        <w:spacing w:before="260" w:after="110"/>
      </w:pPr>
      <w:r>
        <w:rPr>
          <w:b/>
          <w:bCs/>
          <w:sz w:val="26"/>
          <w:szCs w:val="26"/>
        </w:rPr>
        <w:t>Competing Interests</w:t>
      </w:r>
    </w:p>
    <w:p w14:paraId="5741FD9D" w14:textId="77777777" w:rsidR="009915A1" w:rsidRDefault="003B2196" w:rsidP="00AC05B0">
      <w:pPr>
        <w:spacing w:before="260" w:after="110"/>
      </w:pPr>
      <w:r>
        <w:t xml:space="preserve"> All Authors have declared that no competing interests exist.</w:t>
      </w:r>
    </w:p>
    <w:p w14:paraId="7653429E" w14:textId="77777777" w:rsidR="00AC05B0" w:rsidRDefault="00AC05B0">
      <w:pPr>
        <w:spacing w:before="260" w:after="110"/>
      </w:pPr>
    </w:p>
    <w:p w14:paraId="732F9A69" w14:textId="77777777" w:rsidR="009915A1" w:rsidRDefault="003B2196">
      <w:pPr>
        <w:spacing w:before="260" w:after="110"/>
      </w:pPr>
      <w:r>
        <w:rPr>
          <w:b/>
          <w:bCs/>
          <w:sz w:val="26"/>
          <w:szCs w:val="26"/>
        </w:rPr>
        <w:t>Consent</w:t>
      </w:r>
    </w:p>
    <w:p w14:paraId="0443A775" w14:textId="77777777" w:rsidR="009915A1" w:rsidRDefault="003B2196">
      <w:pPr>
        <w:spacing w:after="140"/>
        <w:jc w:val="both"/>
      </w:pPr>
      <w:r>
        <w:t>Not applicable. This article reviews previously published literature. It did not involve human participants, reports no individual patient data, and includes no images or case details relating to an identifiable person.</w:t>
      </w:r>
    </w:p>
    <w:p w14:paraId="327BE9FA" w14:textId="77777777" w:rsidR="009915A1" w:rsidRDefault="003B2196">
      <w:pPr>
        <w:spacing w:before="260" w:after="110"/>
      </w:pPr>
      <w:r>
        <w:rPr>
          <w:b/>
          <w:bCs/>
          <w:sz w:val="26"/>
          <w:szCs w:val="26"/>
        </w:rPr>
        <w:t>Ethical Approval</w:t>
      </w:r>
    </w:p>
    <w:p w14:paraId="56CBF7AE" w14:textId="77777777" w:rsidR="009915A1" w:rsidRDefault="003B2196">
      <w:pPr>
        <w:spacing w:after="140"/>
        <w:jc w:val="both"/>
      </w:pPr>
      <w:r>
        <w:t>Not applicable. This article reviews previously published literature and did not involve new studies of human or animal subjects performed by any of the authors. No institutional review board or ethics committee approval was required.</w:t>
      </w:r>
    </w:p>
    <w:p w14:paraId="22B32EDC" w14:textId="77777777" w:rsidR="0016516F" w:rsidRDefault="0016516F" w:rsidP="0016516F">
      <w:pPr>
        <w:spacing w:before="260" w:after="110"/>
      </w:pPr>
      <w:r>
        <w:rPr>
          <w:b/>
          <w:bCs/>
          <w:sz w:val="26"/>
          <w:szCs w:val="26"/>
        </w:rPr>
        <w:t>Abbreviations</w:t>
      </w:r>
    </w:p>
    <w:p w14:paraId="4F197687" w14:textId="77777777" w:rsidR="0016516F" w:rsidRDefault="0016516F" w:rsidP="0016516F">
      <w:pPr>
        <w:spacing w:after="30"/>
      </w:pPr>
      <w:r>
        <w:rPr>
          <w:sz w:val="22"/>
          <w:szCs w:val="22"/>
        </w:rPr>
        <w:t>11β-HSD</w:t>
      </w:r>
      <w:proofErr w:type="gramStart"/>
      <w:r>
        <w:rPr>
          <w:sz w:val="22"/>
          <w:szCs w:val="22"/>
        </w:rPr>
        <w:t>1  11</w:t>
      </w:r>
      <w:proofErr w:type="gramEnd"/>
      <w:r>
        <w:rPr>
          <w:sz w:val="22"/>
          <w:szCs w:val="22"/>
        </w:rPr>
        <w:t>-beta-hydroxysteroid dehydrogenase type 1</w:t>
      </w:r>
    </w:p>
    <w:p w14:paraId="1EE4F342" w14:textId="77777777" w:rsidR="0016516F" w:rsidRDefault="0016516F" w:rsidP="0016516F">
      <w:pPr>
        <w:spacing w:after="30"/>
      </w:pPr>
      <w:proofErr w:type="spellStart"/>
      <w:proofErr w:type="gramStart"/>
      <w:r>
        <w:rPr>
          <w:sz w:val="22"/>
          <w:szCs w:val="22"/>
        </w:rPr>
        <w:t>AgRP</w:t>
      </w:r>
      <w:proofErr w:type="spellEnd"/>
      <w:r>
        <w:rPr>
          <w:sz w:val="22"/>
          <w:szCs w:val="22"/>
        </w:rPr>
        <w:t xml:space="preserve">  Agouti</w:t>
      </w:r>
      <w:proofErr w:type="gramEnd"/>
      <w:r>
        <w:rPr>
          <w:sz w:val="22"/>
          <w:szCs w:val="22"/>
        </w:rPr>
        <w:t>-related peptide</w:t>
      </w:r>
    </w:p>
    <w:p w14:paraId="5054F920" w14:textId="77777777" w:rsidR="0016516F" w:rsidRDefault="0016516F" w:rsidP="0016516F">
      <w:pPr>
        <w:spacing w:after="30"/>
      </w:pPr>
      <w:proofErr w:type="gramStart"/>
      <w:r>
        <w:rPr>
          <w:sz w:val="22"/>
          <w:szCs w:val="22"/>
        </w:rPr>
        <w:t>ARC  Arcuate</w:t>
      </w:r>
      <w:proofErr w:type="gramEnd"/>
      <w:r>
        <w:rPr>
          <w:sz w:val="22"/>
          <w:szCs w:val="22"/>
        </w:rPr>
        <w:t xml:space="preserve"> nucleus</w:t>
      </w:r>
    </w:p>
    <w:p w14:paraId="66E62BC5" w14:textId="77777777" w:rsidR="0016516F" w:rsidRDefault="0016516F" w:rsidP="0016516F">
      <w:pPr>
        <w:spacing w:after="30"/>
      </w:pPr>
      <w:proofErr w:type="gramStart"/>
      <w:r>
        <w:rPr>
          <w:sz w:val="22"/>
          <w:szCs w:val="22"/>
        </w:rPr>
        <w:t>BAT  Brown</w:t>
      </w:r>
      <w:proofErr w:type="gramEnd"/>
      <w:r>
        <w:rPr>
          <w:sz w:val="22"/>
          <w:szCs w:val="22"/>
        </w:rPr>
        <w:t xml:space="preserve"> adipose tissue</w:t>
      </w:r>
    </w:p>
    <w:p w14:paraId="272A1B08" w14:textId="77777777" w:rsidR="0016516F" w:rsidRDefault="0016516F" w:rsidP="0016516F">
      <w:pPr>
        <w:spacing w:after="30"/>
      </w:pPr>
      <w:proofErr w:type="gramStart"/>
      <w:r>
        <w:rPr>
          <w:sz w:val="22"/>
          <w:szCs w:val="22"/>
        </w:rPr>
        <w:t>BMI  Body</w:t>
      </w:r>
      <w:proofErr w:type="gramEnd"/>
      <w:r>
        <w:rPr>
          <w:sz w:val="22"/>
          <w:szCs w:val="22"/>
        </w:rPr>
        <w:t xml:space="preserve"> mass index</w:t>
      </w:r>
    </w:p>
    <w:p w14:paraId="155BBC0E" w14:textId="77777777" w:rsidR="0016516F" w:rsidRDefault="0016516F" w:rsidP="0016516F">
      <w:pPr>
        <w:spacing w:after="30"/>
      </w:pPr>
      <w:proofErr w:type="gramStart"/>
      <w:r>
        <w:rPr>
          <w:sz w:val="22"/>
          <w:szCs w:val="22"/>
        </w:rPr>
        <w:t>CART  Cocaine</w:t>
      </w:r>
      <w:proofErr w:type="gramEnd"/>
      <w:r>
        <w:rPr>
          <w:sz w:val="22"/>
          <w:szCs w:val="22"/>
        </w:rPr>
        <w:t>- and amphetamine-regulated transcript</w:t>
      </w:r>
    </w:p>
    <w:p w14:paraId="7B4A16C3" w14:textId="77777777" w:rsidR="0016516F" w:rsidRDefault="0016516F" w:rsidP="0016516F">
      <w:pPr>
        <w:spacing w:after="30"/>
      </w:pPr>
      <w:proofErr w:type="gramStart"/>
      <w:r>
        <w:rPr>
          <w:sz w:val="22"/>
          <w:szCs w:val="22"/>
        </w:rPr>
        <w:t>CCK  Cholecystokinin</w:t>
      </w:r>
      <w:proofErr w:type="gramEnd"/>
    </w:p>
    <w:p w14:paraId="64582116" w14:textId="77777777" w:rsidR="0016516F" w:rsidRDefault="0016516F" w:rsidP="0016516F">
      <w:pPr>
        <w:spacing w:after="30"/>
      </w:pPr>
      <w:proofErr w:type="gramStart"/>
      <w:r>
        <w:rPr>
          <w:sz w:val="22"/>
          <w:szCs w:val="22"/>
        </w:rPr>
        <w:t>CRP  C</w:t>
      </w:r>
      <w:proofErr w:type="gramEnd"/>
      <w:r>
        <w:rPr>
          <w:sz w:val="22"/>
          <w:szCs w:val="22"/>
        </w:rPr>
        <w:t>-reactive protein</w:t>
      </w:r>
    </w:p>
    <w:p w14:paraId="23FA38B6" w14:textId="77777777" w:rsidR="0016516F" w:rsidRDefault="0016516F" w:rsidP="0016516F">
      <w:pPr>
        <w:spacing w:after="30"/>
      </w:pPr>
      <w:proofErr w:type="gramStart"/>
      <w:r>
        <w:rPr>
          <w:sz w:val="22"/>
          <w:szCs w:val="22"/>
        </w:rPr>
        <w:t>GH  Growth</w:t>
      </w:r>
      <w:proofErr w:type="gramEnd"/>
      <w:r>
        <w:rPr>
          <w:sz w:val="22"/>
          <w:szCs w:val="22"/>
        </w:rPr>
        <w:t xml:space="preserve"> hormone</w:t>
      </w:r>
    </w:p>
    <w:p w14:paraId="515E7149" w14:textId="77777777" w:rsidR="0016516F" w:rsidRDefault="0016516F" w:rsidP="0016516F">
      <w:pPr>
        <w:spacing w:after="30"/>
      </w:pPr>
      <w:proofErr w:type="gramStart"/>
      <w:r>
        <w:rPr>
          <w:sz w:val="22"/>
          <w:szCs w:val="22"/>
        </w:rPr>
        <w:t>GIP  Glucose</w:t>
      </w:r>
      <w:proofErr w:type="gramEnd"/>
      <w:r>
        <w:rPr>
          <w:sz w:val="22"/>
          <w:szCs w:val="22"/>
        </w:rPr>
        <w:t>-dependent insulinotropic polypeptide</w:t>
      </w:r>
    </w:p>
    <w:p w14:paraId="2F2CEF30" w14:textId="77777777" w:rsidR="0016516F" w:rsidRDefault="0016516F" w:rsidP="0016516F">
      <w:pPr>
        <w:spacing w:after="30"/>
      </w:pPr>
      <w:r>
        <w:rPr>
          <w:sz w:val="22"/>
          <w:szCs w:val="22"/>
        </w:rPr>
        <w:t>GLP-</w:t>
      </w:r>
      <w:proofErr w:type="gramStart"/>
      <w:r>
        <w:rPr>
          <w:sz w:val="22"/>
          <w:szCs w:val="22"/>
        </w:rPr>
        <w:t>1  Glucagon</w:t>
      </w:r>
      <w:proofErr w:type="gramEnd"/>
      <w:r>
        <w:rPr>
          <w:sz w:val="22"/>
          <w:szCs w:val="22"/>
        </w:rPr>
        <w:t>-like peptide 1</w:t>
      </w:r>
    </w:p>
    <w:p w14:paraId="69E0CCF7" w14:textId="77777777" w:rsidR="0016516F" w:rsidRDefault="0016516F" w:rsidP="0016516F">
      <w:pPr>
        <w:spacing w:after="30"/>
      </w:pPr>
      <w:r>
        <w:rPr>
          <w:sz w:val="22"/>
          <w:szCs w:val="22"/>
        </w:rPr>
        <w:t>HOMA-</w:t>
      </w:r>
      <w:proofErr w:type="gramStart"/>
      <w:r>
        <w:rPr>
          <w:sz w:val="22"/>
          <w:szCs w:val="22"/>
        </w:rPr>
        <w:t>IR  Homeostatic</w:t>
      </w:r>
      <w:proofErr w:type="gramEnd"/>
      <w:r>
        <w:rPr>
          <w:sz w:val="22"/>
          <w:szCs w:val="22"/>
        </w:rPr>
        <w:t xml:space="preserve"> model assessment of insulin resistance</w:t>
      </w:r>
    </w:p>
    <w:p w14:paraId="70241956" w14:textId="77777777" w:rsidR="0016516F" w:rsidRDefault="0016516F" w:rsidP="0016516F">
      <w:pPr>
        <w:spacing w:after="30"/>
      </w:pPr>
      <w:proofErr w:type="gramStart"/>
      <w:r>
        <w:rPr>
          <w:sz w:val="22"/>
          <w:szCs w:val="22"/>
        </w:rPr>
        <w:t>HPA  Hypothalamic</w:t>
      </w:r>
      <w:proofErr w:type="gramEnd"/>
      <w:r>
        <w:rPr>
          <w:sz w:val="22"/>
          <w:szCs w:val="22"/>
        </w:rPr>
        <w:t>-pituitary-adrenal</w:t>
      </w:r>
    </w:p>
    <w:p w14:paraId="33ECF0E1" w14:textId="77777777" w:rsidR="0016516F" w:rsidRDefault="0016516F" w:rsidP="0016516F">
      <w:pPr>
        <w:spacing w:after="30"/>
      </w:pPr>
      <w:r>
        <w:rPr>
          <w:sz w:val="22"/>
          <w:szCs w:val="22"/>
        </w:rPr>
        <w:t>IGF-</w:t>
      </w:r>
      <w:proofErr w:type="gramStart"/>
      <w:r>
        <w:rPr>
          <w:sz w:val="22"/>
          <w:szCs w:val="22"/>
        </w:rPr>
        <w:t>1  Insulin</w:t>
      </w:r>
      <w:proofErr w:type="gramEnd"/>
      <w:r>
        <w:rPr>
          <w:sz w:val="22"/>
          <w:szCs w:val="22"/>
        </w:rPr>
        <w:t>-like growth factor 1</w:t>
      </w:r>
    </w:p>
    <w:p w14:paraId="23E1AC4D" w14:textId="77777777" w:rsidR="0016516F" w:rsidRDefault="0016516F" w:rsidP="0016516F">
      <w:pPr>
        <w:spacing w:after="30"/>
      </w:pPr>
      <w:r>
        <w:rPr>
          <w:sz w:val="22"/>
          <w:szCs w:val="22"/>
        </w:rPr>
        <w:t>IL-1</w:t>
      </w:r>
      <w:proofErr w:type="gramStart"/>
      <w:r>
        <w:rPr>
          <w:sz w:val="22"/>
          <w:szCs w:val="22"/>
        </w:rPr>
        <w:t>β  Interleukin</w:t>
      </w:r>
      <w:proofErr w:type="gramEnd"/>
      <w:r>
        <w:rPr>
          <w:sz w:val="22"/>
          <w:szCs w:val="22"/>
        </w:rPr>
        <w:t xml:space="preserve"> 1 beta</w:t>
      </w:r>
    </w:p>
    <w:p w14:paraId="239BC12B" w14:textId="77777777" w:rsidR="0016516F" w:rsidRDefault="0016516F" w:rsidP="0016516F">
      <w:pPr>
        <w:spacing w:after="30"/>
      </w:pPr>
      <w:r>
        <w:rPr>
          <w:sz w:val="22"/>
          <w:szCs w:val="22"/>
        </w:rPr>
        <w:t>IL-</w:t>
      </w:r>
      <w:proofErr w:type="gramStart"/>
      <w:r>
        <w:rPr>
          <w:sz w:val="22"/>
          <w:szCs w:val="22"/>
        </w:rPr>
        <w:t>6  Interleukin</w:t>
      </w:r>
      <w:proofErr w:type="gramEnd"/>
      <w:r>
        <w:rPr>
          <w:sz w:val="22"/>
          <w:szCs w:val="22"/>
        </w:rPr>
        <w:t xml:space="preserve"> 6</w:t>
      </w:r>
    </w:p>
    <w:p w14:paraId="294E5521" w14:textId="77777777" w:rsidR="0016516F" w:rsidRDefault="0016516F" w:rsidP="0016516F">
      <w:pPr>
        <w:spacing w:after="30"/>
      </w:pPr>
      <w:proofErr w:type="gramStart"/>
      <w:r>
        <w:rPr>
          <w:sz w:val="22"/>
          <w:szCs w:val="22"/>
        </w:rPr>
        <w:lastRenderedPageBreak/>
        <w:t>LHA  Lateral</w:t>
      </w:r>
      <w:proofErr w:type="gramEnd"/>
      <w:r>
        <w:rPr>
          <w:sz w:val="22"/>
          <w:szCs w:val="22"/>
        </w:rPr>
        <w:t xml:space="preserve"> hypothalamic area</w:t>
      </w:r>
    </w:p>
    <w:p w14:paraId="3D24A9E8" w14:textId="77777777" w:rsidR="0016516F" w:rsidRDefault="0016516F" w:rsidP="0016516F">
      <w:pPr>
        <w:spacing w:after="30"/>
      </w:pPr>
      <w:r>
        <w:rPr>
          <w:sz w:val="22"/>
          <w:szCs w:val="22"/>
        </w:rPr>
        <w:t>MC4</w:t>
      </w:r>
      <w:proofErr w:type="gramStart"/>
      <w:r>
        <w:rPr>
          <w:sz w:val="22"/>
          <w:szCs w:val="22"/>
        </w:rPr>
        <w:t>R  Melanocortin</w:t>
      </w:r>
      <w:proofErr w:type="gramEnd"/>
      <w:r>
        <w:rPr>
          <w:sz w:val="22"/>
          <w:szCs w:val="22"/>
        </w:rPr>
        <w:t>-4 receptor</w:t>
      </w:r>
    </w:p>
    <w:p w14:paraId="4296F7BB" w14:textId="77777777" w:rsidR="0016516F" w:rsidRDefault="0016516F" w:rsidP="0016516F">
      <w:pPr>
        <w:spacing w:after="30"/>
      </w:pPr>
      <w:r>
        <w:rPr>
          <w:sz w:val="22"/>
          <w:szCs w:val="22"/>
        </w:rPr>
        <w:t>MCP-</w:t>
      </w:r>
      <w:proofErr w:type="gramStart"/>
      <w:r>
        <w:rPr>
          <w:sz w:val="22"/>
          <w:szCs w:val="22"/>
        </w:rPr>
        <w:t>1  Monocyte</w:t>
      </w:r>
      <w:proofErr w:type="gramEnd"/>
      <w:r>
        <w:rPr>
          <w:sz w:val="22"/>
          <w:szCs w:val="22"/>
        </w:rPr>
        <w:t xml:space="preserve"> chemoattractant protein 1</w:t>
      </w:r>
    </w:p>
    <w:p w14:paraId="34AAA198" w14:textId="77777777" w:rsidR="0016516F" w:rsidRDefault="0016516F" w:rsidP="0016516F">
      <w:pPr>
        <w:spacing w:after="30"/>
      </w:pPr>
      <w:proofErr w:type="gramStart"/>
      <w:r>
        <w:rPr>
          <w:sz w:val="22"/>
          <w:szCs w:val="22"/>
        </w:rPr>
        <w:t>MHO  Metabolically</w:t>
      </w:r>
      <w:proofErr w:type="gramEnd"/>
      <w:r>
        <w:rPr>
          <w:sz w:val="22"/>
          <w:szCs w:val="22"/>
        </w:rPr>
        <w:t xml:space="preserve"> healthy obesity</w:t>
      </w:r>
    </w:p>
    <w:p w14:paraId="110603D6" w14:textId="77777777" w:rsidR="0016516F" w:rsidRDefault="0016516F" w:rsidP="0016516F">
      <w:pPr>
        <w:spacing w:after="30"/>
      </w:pPr>
      <w:proofErr w:type="gramStart"/>
      <w:r>
        <w:rPr>
          <w:sz w:val="22"/>
          <w:szCs w:val="22"/>
        </w:rPr>
        <w:t>MSH  Melanocyte</w:t>
      </w:r>
      <w:proofErr w:type="gramEnd"/>
      <w:r>
        <w:rPr>
          <w:sz w:val="22"/>
          <w:szCs w:val="22"/>
        </w:rPr>
        <w:t>-stimulating hormone</w:t>
      </w:r>
    </w:p>
    <w:p w14:paraId="2ECDE463" w14:textId="77777777" w:rsidR="0016516F" w:rsidRDefault="0016516F" w:rsidP="0016516F">
      <w:pPr>
        <w:spacing w:after="30"/>
      </w:pPr>
      <w:proofErr w:type="gramStart"/>
      <w:r>
        <w:rPr>
          <w:sz w:val="22"/>
          <w:szCs w:val="22"/>
        </w:rPr>
        <w:t>MUO  Metabolically</w:t>
      </w:r>
      <w:proofErr w:type="gramEnd"/>
      <w:r>
        <w:rPr>
          <w:sz w:val="22"/>
          <w:szCs w:val="22"/>
        </w:rPr>
        <w:t xml:space="preserve"> unhealthy obesity</w:t>
      </w:r>
    </w:p>
    <w:p w14:paraId="2BBF73EC" w14:textId="77777777" w:rsidR="0016516F" w:rsidRDefault="0016516F" w:rsidP="0016516F">
      <w:pPr>
        <w:spacing w:after="30"/>
      </w:pPr>
      <w:proofErr w:type="gramStart"/>
      <w:r>
        <w:rPr>
          <w:sz w:val="22"/>
          <w:szCs w:val="22"/>
        </w:rPr>
        <w:t>NPY  Neuropeptide</w:t>
      </w:r>
      <w:proofErr w:type="gramEnd"/>
      <w:r>
        <w:rPr>
          <w:sz w:val="22"/>
          <w:szCs w:val="22"/>
        </w:rPr>
        <w:t xml:space="preserve"> Y</w:t>
      </w:r>
    </w:p>
    <w:p w14:paraId="6ACEE2EC" w14:textId="77777777" w:rsidR="0016516F" w:rsidRDefault="0016516F" w:rsidP="0016516F">
      <w:pPr>
        <w:spacing w:after="30"/>
      </w:pPr>
      <w:proofErr w:type="gramStart"/>
      <w:r>
        <w:rPr>
          <w:sz w:val="22"/>
          <w:szCs w:val="22"/>
        </w:rPr>
        <w:t>POMC  Pro</w:t>
      </w:r>
      <w:proofErr w:type="gramEnd"/>
      <w:r>
        <w:rPr>
          <w:sz w:val="22"/>
          <w:szCs w:val="22"/>
        </w:rPr>
        <w:t>-opiomelanocortin</w:t>
      </w:r>
    </w:p>
    <w:p w14:paraId="1DE46ECC" w14:textId="77777777" w:rsidR="0016516F" w:rsidRDefault="0016516F" w:rsidP="0016516F">
      <w:pPr>
        <w:spacing w:after="30"/>
      </w:pPr>
      <w:proofErr w:type="gramStart"/>
      <w:r>
        <w:rPr>
          <w:sz w:val="22"/>
          <w:szCs w:val="22"/>
        </w:rPr>
        <w:t>PVN  Paraventricular</w:t>
      </w:r>
      <w:proofErr w:type="gramEnd"/>
      <w:r>
        <w:rPr>
          <w:sz w:val="22"/>
          <w:szCs w:val="22"/>
        </w:rPr>
        <w:t xml:space="preserve"> nucleus</w:t>
      </w:r>
    </w:p>
    <w:p w14:paraId="5F7B53B6" w14:textId="77777777" w:rsidR="0016516F" w:rsidRDefault="0016516F" w:rsidP="0016516F">
      <w:pPr>
        <w:spacing w:after="30"/>
      </w:pPr>
      <w:proofErr w:type="gramStart"/>
      <w:r>
        <w:rPr>
          <w:sz w:val="22"/>
          <w:szCs w:val="22"/>
        </w:rPr>
        <w:t>PYY  Peptide</w:t>
      </w:r>
      <w:proofErr w:type="gramEnd"/>
      <w:r>
        <w:rPr>
          <w:sz w:val="22"/>
          <w:szCs w:val="22"/>
        </w:rPr>
        <w:t xml:space="preserve"> YY</w:t>
      </w:r>
    </w:p>
    <w:p w14:paraId="19475186" w14:textId="77777777" w:rsidR="0016516F" w:rsidRDefault="0016516F" w:rsidP="0016516F">
      <w:pPr>
        <w:spacing w:after="30"/>
      </w:pPr>
      <w:proofErr w:type="gramStart"/>
      <w:r>
        <w:rPr>
          <w:sz w:val="22"/>
          <w:szCs w:val="22"/>
        </w:rPr>
        <w:t>RMR  Resting</w:t>
      </w:r>
      <w:proofErr w:type="gramEnd"/>
      <w:r>
        <w:rPr>
          <w:sz w:val="22"/>
          <w:szCs w:val="22"/>
        </w:rPr>
        <w:t xml:space="preserve"> metabolic rate</w:t>
      </w:r>
    </w:p>
    <w:p w14:paraId="600F4470" w14:textId="77777777" w:rsidR="0016516F" w:rsidRDefault="0016516F" w:rsidP="0016516F">
      <w:pPr>
        <w:spacing w:after="30"/>
      </w:pPr>
      <w:proofErr w:type="gramStart"/>
      <w:r>
        <w:rPr>
          <w:sz w:val="22"/>
          <w:szCs w:val="22"/>
        </w:rPr>
        <w:t>SHBG  Sex</w:t>
      </w:r>
      <w:proofErr w:type="gramEnd"/>
      <w:r>
        <w:rPr>
          <w:sz w:val="22"/>
          <w:szCs w:val="22"/>
        </w:rPr>
        <w:t xml:space="preserve"> hormone-binding globulin</w:t>
      </w:r>
    </w:p>
    <w:p w14:paraId="44C176D2" w14:textId="77777777" w:rsidR="0016516F" w:rsidRDefault="0016516F" w:rsidP="0016516F">
      <w:pPr>
        <w:spacing w:after="30"/>
      </w:pPr>
      <w:r>
        <w:rPr>
          <w:sz w:val="22"/>
          <w:szCs w:val="22"/>
        </w:rPr>
        <w:t>STAT</w:t>
      </w:r>
      <w:proofErr w:type="gramStart"/>
      <w:r>
        <w:rPr>
          <w:sz w:val="22"/>
          <w:szCs w:val="22"/>
        </w:rPr>
        <w:t>3  Signal</w:t>
      </w:r>
      <w:proofErr w:type="gramEnd"/>
      <w:r>
        <w:rPr>
          <w:sz w:val="22"/>
          <w:szCs w:val="22"/>
        </w:rPr>
        <w:t xml:space="preserve"> transducer and activator of transcription 3</w:t>
      </w:r>
    </w:p>
    <w:p w14:paraId="4CF832FA" w14:textId="77777777" w:rsidR="0016516F" w:rsidRDefault="0016516F" w:rsidP="0016516F">
      <w:pPr>
        <w:spacing w:after="30"/>
      </w:pPr>
      <w:r>
        <w:rPr>
          <w:sz w:val="22"/>
          <w:szCs w:val="22"/>
        </w:rPr>
        <w:t>TNF-</w:t>
      </w:r>
      <w:proofErr w:type="gramStart"/>
      <w:r>
        <w:rPr>
          <w:sz w:val="22"/>
          <w:szCs w:val="22"/>
        </w:rPr>
        <w:t xml:space="preserve">α  </w:t>
      </w:r>
      <w:proofErr w:type="spellStart"/>
      <w:r>
        <w:rPr>
          <w:sz w:val="22"/>
          <w:szCs w:val="22"/>
        </w:rPr>
        <w:t>Tumour</w:t>
      </w:r>
      <w:proofErr w:type="spellEnd"/>
      <w:proofErr w:type="gramEnd"/>
      <w:r>
        <w:rPr>
          <w:sz w:val="22"/>
          <w:szCs w:val="22"/>
        </w:rPr>
        <w:t xml:space="preserve"> necrosis factor alpha</w:t>
      </w:r>
    </w:p>
    <w:p w14:paraId="68C86EBE" w14:textId="77777777" w:rsidR="0016516F" w:rsidRDefault="0016516F" w:rsidP="0016516F">
      <w:pPr>
        <w:spacing w:after="30"/>
      </w:pPr>
      <w:r>
        <w:rPr>
          <w:sz w:val="22"/>
          <w:szCs w:val="22"/>
        </w:rPr>
        <w:t>UCP</w:t>
      </w:r>
      <w:proofErr w:type="gramStart"/>
      <w:r>
        <w:rPr>
          <w:sz w:val="22"/>
          <w:szCs w:val="22"/>
        </w:rPr>
        <w:t>1  Uncoupling</w:t>
      </w:r>
      <w:proofErr w:type="gramEnd"/>
      <w:r>
        <w:rPr>
          <w:sz w:val="22"/>
          <w:szCs w:val="22"/>
        </w:rPr>
        <w:t xml:space="preserve"> protein 1</w:t>
      </w:r>
    </w:p>
    <w:p w14:paraId="6C4D6BA0" w14:textId="77777777" w:rsidR="0016516F" w:rsidRDefault="0016516F" w:rsidP="0016516F">
      <w:pPr>
        <w:spacing w:after="30"/>
      </w:pPr>
      <w:proofErr w:type="gramStart"/>
      <w:r>
        <w:rPr>
          <w:sz w:val="22"/>
          <w:szCs w:val="22"/>
        </w:rPr>
        <w:t>WAT  White</w:t>
      </w:r>
      <w:proofErr w:type="gramEnd"/>
      <w:r>
        <w:rPr>
          <w:sz w:val="22"/>
          <w:szCs w:val="22"/>
        </w:rPr>
        <w:t xml:space="preserve"> adipose tissue</w:t>
      </w:r>
    </w:p>
    <w:p w14:paraId="15D46654" w14:textId="77777777" w:rsidR="0016516F" w:rsidRDefault="0016516F" w:rsidP="0016516F">
      <w:pPr>
        <w:rPr>
          <w:b/>
        </w:rPr>
      </w:pPr>
      <w:r w:rsidRPr="000839CE">
        <w:rPr>
          <w:b/>
        </w:rPr>
        <w:t>Declaration of AI Use</w:t>
      </w:r>
    </w:p>
    <w:p w14:paraId="1066743E" w14:textId="77777777" w:rsidR="0016516F" w:rsidRDefault="0016516F" w:rsidP="0016516F">
      <w:pPr>
        <w:rPr>
          <w:b/>
        </w:rPr>
      </w:pPr>
    </w:p>
    <w:p w14:paraId="45862C30" w14:textId="77777777" w:rsidR="0016516F" w:rsidRDefault="0016516F" w:rsidP="0016516F">
      <w:pPr>
        <w:rPr>
          <w:b/>
        </w:rPr>
      </w:pPr>
    </w:p>
    <w:p w14:paraId="475A1A15" w14:textId="77777777" w:rsidR="0016516F" w:rsidRDefault="0016516F" w:rsidP="0016516F">
      <w:pPr>
        <w:rPr>
          <w:b/>
        </w:rPr>
      </w:pPr>
    </w:p>
    <w:p w14:paraId="66A78001" w14:textId="77777777" w:rsidR="0016516F" w:rsidRPr="002D08AC" w:rsidRDefault="0016516F" w:rsidP="0016516F">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FCDCE5" w14:textId="77777777" w:rsidR="0016516F" w:rsidRDefault="0016516F">
      <w:pPr>
        <w:spacing w:after="140"/>
        <w:jc w:val="both"/>
      </w:pPr>
    </w:p>
    <w:p w14:paraId="69E9C293" w14:textId="77777777" w:rsidR="009915A1" w:rsidRDefault="003B2196">
      <w:pPr>
        <w:spacing w:before="260" w:after="110"/>
      </w:pPr>
      <w:r>
        <w:rPr>
          <w:b/>
          <w:bCs/>
          <w:sz w:val="26"/>
          <w:szCs w:val="26"/>
        </w:rPr>
        <w:t>References</w:t>
      </w:r>
    </w:p>
    <w:p w14:paraId="47DA5E9D" w14:textId="77777777" w:rsidR="009915A1" w:rsidRDefault="003B2196">
      <w:pPr>
        <w:spacing w:after="100"/>
        <w:ind w:left="720" w:hanging="720"/>
      </w:pPr>
      <w:r>
        <w:rPr>
          <w:sz w:val="22"/>
          <w:szCs w:val="22"/>
        </w:rPr>
        <w:t xml:space="preserve">Ahmed, F., Hetty, S., </w:t>
      </w:r>
      <w:proofErr w:type="spellStart"/>
      <w:r>
        <w:rPr>
          <w:sz w:val="22"/>
          <w:szCs w:val="22"/>
        </w:rPr>
        <w:t>Laterveer</w:t>
      </w:r>
      <w:proofErr w:type="spellEnd"/>
      <w:r>
        <w:rPr>
          <w:sz w:val="22"/>
          <w:szCs w:val="22"/>
        </w:rPr>
        <w:t xml:space="preserve">, R., </w:t>
      </w:r>
      <w:proofErr w:type="spellStart"/>
      <w:r>
        <w:rPr>
          <w:sz w:val="22"/>
          <w:szCs w:val="22"/>
        </w:rPr>
        <w:t>Surucu</w:t>
      </w:r>
      <w:proofErr w:type="spellEnd"/>
      <w:r>
        <w:rPr>
          <w:sz w:val="22"/>
          <w:szCs w:val="22"/>
        </w:rPr>
        <w:t>, E. B., Mathioudaki, A., Hornbrinck, E., et al. (2025). Altered expression of aromatase and estrogen receptors in adipose tissue from men with obesity or type 2 diabetes. The Journal of Clinical Endocrinology &amp; Metabolism, 110(10), e3410–e3424. https://doi.org/10.1210/clinem/dgaf038</w:t>
      </w:r>
    </w:p>
    <w:p w14:paraId="1F6C8561" w14:textId="77777777" w:rsidR="009915A1" w:rsidRDefault="003B2196">
      <w:pPr>
        <w:spacing w:after="100"/>
        <w:ind w:left="720" w:hanging="720"/>
      </w:pPr>
      <w:r>
        <w:rPr>
          <w:sz w:val="22"/>
          <w:szCs w:val="22"/>
        </w:rPr>
        <w:t xml:space="preserve">Becher, T., Palanisamy, S., Kramer, D. J., </w:t>
      </w:r>
      <w:proofErr w:type="spellStart"/>
      <w:r>
        <w:rPr>
          <w:sz w:val="22"/>
          <w:szCs w:val="22"/>
        </w:rPr>
        <w:t>Eljalby</w:t>
      </w:r>
      <w:proofErr w:type="spellEnd"/>
      <w:r>
        <w:rPr>
          <w:sz w:val="22"/>
          <w:szCs w:val="22"/>
        </w:rPr>
        <w:t xml:space="preserve">, M., Marx, S. J., </w:t>
      </w:r>
      <w:proofErr w:type="spellStart"/>
      <w:r>
        <w:rPr>
          <w:sz w:val="22"/>
          <w:szCs w:val="22"/>
        </w:rPr>
        <w:t>Wibmer</w:t>
      </w:r>
      <w:proofErr w:type="spellEnd"/>
      <w:r>
        <w:rPr>
          <w:sz w:val="22"/>
          <w:szCs w:val="22"/>
        </w:rPr>
        <w:t>, A. G., et al. (2021). Brown adipose tissue is associated with cardiometabolic health. Nature Medicine, 27(1), 58–65. https://doi.org/10.1038/s41591-020-1126-7</w:t>
      </w:r>
    </w:p>
    <w:p w14:paraId="214593A3" w14:textId="77777777" w:rsidR="009915A1" w:rsidRDefault="003B2196">
      <w:pPr>
        <w:spacing w:after="100"/>
        <w:ind w:left="720" w:hanging="720"/>
      </w:pPr>
      <w:r>
        <w:rPr>
          <w:sz w:val="22"/>
          <w:szCs w:val="22"/>
        </w:rPr>
        <w:t>Biondi, B. (2024). Subclinical hypothyroidism in patients with obesity and metabolic syndrome: A narrative review. Nutrients, 16(1), 87. https://doi.org/10.3390/nu16010087</w:t>
      </w:r>
    </w:p>
    <w:p w14:paraId="053D8CF1" w14:textId="77777777" w:rsidR="009915A1" w:rsidRDefault="003B2196">
      <w:pPr>
        <w:spacing w:after="100"/>
        <w:ind w:left="720" w:hanging="720"/>
      </w:pPr>
      <w:proofErr w:type="spellStart"/>
      <w:r>
        <w:rPr>
          <w:sz w:val="22"/>
          <w:szCs w:val="22"/>
        </w:rPr>
        <w:t>Blüher</w:t>
      </w:r>
      <w:proofErr w:type="spellEnd"/>
      <w:r>
        <w:rPr>
          <w:sz w:val="22"/>
          <w:szCs w:val="22"/>
        </w:rPr>
        <w:t>, M. (2020). Metabolically healthy obesity. Endocrine Reviews, 41(3), bnaa004. https://doi.org/10.1210/endrev/bnaa004</w:t>
      </w:r>
    </w:p>
    <w:p w14:paraId="255499EC" w14:textId="77777777" w:rsidR="009915A1" w:rsidRDefault="003B2196">
      <w:pPr>
        <w:spacing w:after="100"/>
        <w:ind w:left="720" w:hanging="720"/>
      </w:pPr>
      <w:proofErr w:type="spellStart"/>
      <w:r>
        <w:rPr>
          <w:sz w:val="22"/>
          <w:szCs w:val="22"/>
        </w:rPr>
        <w:t>Castela</w:t>
      </w:r>
      <w:proofErr w:type="spellEnd"/>
      <w:r>
        <w:rPr>
          <w:sz w:val="22"/>
          <w:szCs w:val="22"/>
        </w:rPr>
        <w:t>, I., Morais, J., Barreiros-Mota, I., Silvestre, M. P., Marques, C., Rodrigues, C., et al. (2023). Decreased adiponectin/leptin ratio relates to insulin resistance in adults with obesity. American Journal of Physiology-Endocrinology and Metabolism, 324(2), E115–E119. https://doi.org/10.1152/ajpendo.00273.2022</w:t>
      </w:r>
    </w:p>
    <w:p w14:paraId="39A1B832" w14:textId="77777777" w:rsidR="009915A1" w:rsidRDefault="003B2196">
      <w:pPr>
        <w:spacing w:after="100"/>
        <w:ind w:left="720" w:hanging="720"/>
      </w:pPr>
      <w:r>
        <w:rPr>
          <w:sz w:val="22"/>
          <w:szCs w:val="22"/>
        </w:rPr>
        <w:t xml:space="preserve">Di Fusco, S. A., </w:t>
      </w:r>
      <w:proofErr w:type="spellStart"/>
      <w:r>
        <w:rPr>
          <w:sz w:val="22"/>
          <w:szCs w:val="22"/>
        </w:rPr>
        <w:t>Mocini</w:t>
      </w:r>
      <w:proofErr w:type="spellEnd"/>
      <w:r>
        <w:rPr>
          <w:sz w:val="22"/>
          <w:szCs w:val="22"/>
        </w:rPr>
        <w:t>, E., Gulizia, M. M., Gabrielli, D., Grimaldi, M., Oliva, F., et al. (2024). ANMCO (Italian Association of Hospital Cardiologists) scientific statement: Obesity in adults, an approach for cardiologists. Eating and Weight Disorders, 29(1), 1. https://doi.org/10.1007/s40519-023-01630-8</w:t>
      </w:r>
    </w:p>
    <w:p w14:paraId="0C241841" w14:textId="77777777" w:rsidR="009915A1" w:rsidRDefault="003B2196">
      <w:pPr>
        <w:spacing w:after="100"/>
        <w:ind w:left="720" w:hanging="720"/>
      </w:pPr>
      <w:r>
        <w:rPr>
          <w:sz w:val="22"/>
          <w:szCs w:val="22"/>
        </w:rPr>
        <w:lastRenderedPageBreak/>
        <w:t xml:space="preserve">Ferrario, C. R., </w:t>
      </w:r>
      <w:proofErr w:type="spellStart"/>
      <w:r>
        <w:rPr>
          <w:sz w:val="22"/>
          <w:szCs w:val="22"/>
        </w:rPr>
        <w:t>Münzberg</w:t>
      </w:r>
      <w:proofErr w:type="spellEnd"/>
      <w:r>
        <w:rPr>
          <w:sz w:val="22"/>
          <w:szCs w:val="22"/>
        </w:rPr>
        <w:t xml:space="preserve">-Gruening, H., Rinaman, L., </w:t>
      </w:r>
      <w:proofErr w:type="spellStart"/>
      <w:r>
        <w:rPr>
          <w:sz w:val="22"/>
          <w:szCs w:val="22"/>
        </w:rPr>
        <w:t>Betley</w:t>
      </w:r>
      <w:proofErr w:type="spellEnd"/>
      <w:r>
        <w:rPr>
          <w:sz w:val="22"/>
          <w:szCs w:val="22"/>
        </w:rPr>
        <w:t>, J. N., Borgland, S. L., Dus, M., et al. (2024). Obesity- and diet-induced plasticity in systems that control eating and energy balance. Obesity, 32(8), 1425–1440. https://doi.org/10.1002/oby.24060</w:t>
      </w:r>
    </w:p>
    <w:p w14:paraId="5FC33108" w14:textId="77777777" w:rsidR="009915A1" w:rsidRDefault="003B2196">
      <w:pPr>
        <w:spacing w:after="100"/>
        <w:ind w:left="720" w:hanging="720"/>
      </w:pPr>
      <w:r>
        <w:rPr>
          <w:sz w:val="22"/>
          <w:szCs w:val="22"/>
        </w:rPr>
        <w:t>Fothergill, E., Guo, J., Howard, L., Kerns, J. C., Knuth, N. D., Brychta, R., et al. (2016). Persistent metabolic adaptation 6 years after "The Biggest Loser" competition. Obesity, 24(8), 1612–1619. https://doi.org/10.1002/oby.21538</w:t>
      </w:r>
    </w:p>
    <w:p w14:paraId="5E3CDB51" w14:textId="77777777" w:rsidR="009915A1" w:rsidRDefault="003B2196">
      <w:pPr>
        <w:spacing w:after="100"/>
        <w:ind w:left="720" w:hanging="720"/>
      </w:pPr>
      <w:proofErr w:type="spellStart"/>
      <w:r>
        <w:rPr>
          <w:sz w:val="22"/>
          <w:szCs w:val="22"/>
        </w:rPr>
        <w:t>Ghesmati</w:t>
      </w:r>
      <w:proofErr w:type="spellEnd"/>
      <w:r>
        <w:rPr>
          <w:sz w:val="22"/>
          <w:szCs w:val="22"/>
        </w:rPr>
        <w:t xml:space="preserve">, Z., Rashid, M., </w:t>
      </w:r>
      <w:proofErr w:type="spellStart"/>
      <w:r>
        <w:rPr>
          <w:sz w:val="22"/>
          <w:szCs w:val="22"/>
        </w:rPr>
        <w:t>Fayezi</w:t>
      </w:r>
      <w:proofErr w:type="spellEnd"/>
      <w:r>
        <w:rPr>
          <w:sz w:val="22"/>
          <w:szCs w:val="22"/>
        </w:rPr>
        <w:t>, S., Gieseler, F., Alizadeh, E., &amp; Darabi, M. (2024). An update on the secretory functions of brown, white, and beige adipose tissue: Toward therapeutic applications. Reviews in Endocrine and Metabolic Disorders, 25(2), 279–308. https://doi.org/10.1007/s11154-023-09850-0</w:t>
      </w:r>
    </w:p>
    <w:p w14:paraId="5FB6A357" w14:textId="77777777" w:rsidR="009915A1" w:rsidRDefault="003B2196">
      <w:pPr>
        <w:spacing w:after="100"/>
        <w:ind w:left="720" w:hanging="720"/>
      </w:pPr>
      <w:r>
        <w:rPr>
          <w:sz w:val="22"/>
          <w:szCs w:val="22"/>
        </w:rPr>
        <w:t xml:space="preserve">Guria, S., </w:t>
      </w:r>
      <w:proofErr w:type="spellStart"/>
      <w:r>
        <w:rPr>
          <w:sz w:val="22"/>
          <w:szCs w:val="22"/>
        </w:rPr>
        <w:t>Hoory</w:t>
      </w:r>
      <w:proofErr w:type="spellEnd"/>
      <w:r>
        <w:rPr>
          <w:sz w:val="22"/>
          <w:szCs w:val="22"/>
        </w:rPr>
        <w:t>, A., Das, S., Chattopadhyay, D., &amp; Mukherjee, S. (2023). Adipose tissue macrophages and their role in obesity-associated insulin resistance: An overview of the complex dynamics at play. Bioscience Reports, 43(3), BSR20220200. https://doi.org/10.1042/BSR20220200</w:t>
      </w:r>
    </w:p>
    <w:p w14:paraId="7CA5368A" w14:textId="77777777" w:rsidR="009915A1" w:rsidRDefault="003B2196">
      <w:pPr>
        <w:spacing w:after="100"/>
        <w:ind w:left="720" w:hanging="720"/>
      </w:pPr>
      <w:r>
        <w:rPr>
          <w:sz w:val="22"/>
          <w:szCs w:val="22"/>
        </w:rPr>
        <w:t xml:space="preserve">Heeren, J., &amp; </w:t>
      </w:r>
      <w:proofErr w:type="spellStart"/>
      <w:r>
        <w:rPr>
          <w:sz w:val="22"/>
          <w:szCs w:val="22"/>
        </w:rPr>
        <w:t>Scheja</w:t>
      </w:r>
      <w:proofErr w:type="spellEnd"/>
      <w:r>
        <w:rPr>
          <w:sz w:val="22"/>
          <w:szCs w:val="22"/>
        </w:rPr>
        <w:t>, L. (2018). Brown adipose tissue and lipid metabolism. Current Opinion in Lipidology, 29(3), 180–185. https://doi.org/10.1097/MOL.0000000000000504</w:t>
      </w:r>
    </w:p>
    <w:p w14:paraId="692A4896" w14:textId="77777777" w:rsidR="009915A1" w:rsidRDefault="003B2196">
      <w:pPr>
        <w:spacing w:after="100"/>
        <w:ind w:left="720" w:hanging="720"/>
      </w:pPr>
      <w:r>
        <w:rPr>
          <w:sz w:val="22"/>
          <w:szCs w:val="22"/>
        </w:rPr>
        <w:t>Hoddy, K. K., Axelrod, C. L., Mey, J. T., Hari, A., Beyl, R. A., Blair, J. B., et al. (2022). Insulin resistance persists despite a metabolically healthy obesity phenotype. Obesity, 30(1), 39–44. https://doi.org/10.1002/oby.23312</w:t>
      </w:r>
    </w:p>
    <w:p w14:paraId="162F9775" w14:textId="77777777" w:rsidR="009915A1" w:rsidRDefault="003B2196">
      <w:pPr>
        <w:spacing w:after="100"/>
        <w:ind w:left="720" w:hanging="720"/>
      </w:pPr>
      <w:r>
        <w:rPr>
          <w:sz w:val="22"/>
          <w:szCs w:val="22"/>
        </w:rPr>
        <w:t>Hong, S.-H., &amp; Choi, K. M. (2024). Gut hormones and appetite regulation. Current Opinion in Endocrinology, Diabetes and Obesity, 31(3), 115–121. https://doi.org/10.1097/MED.0000000000000859</w:t>
      </w:r>
    </w:p>
    <w:p w14:paraId="3AD22BBC" w14:textId="77777777" w:rsidR="009915A1" w:rsidRDefault="003B2196">
      <w:pPr>
        <w:spacing w:after="100"/>
        <w:ind w:left="720" w:hanging="720"/>
      </w:pPr>
      <w:r>
        <w:rPr>
          <w:sz w:val="22"/>
          <w:szCs w:val="22"/>
        </w:rPr>
        <w:t>Hu, W., Zhu, H., &amp; Gong, F. (2025). Leptin and leptin resistance in obesity: Current evidence, mechanisms and future directions. Endocrine Connections, 14(9), e250521. https://doi.org/10.1530/EC-25-0521</w:t>
      </w:r>
    </w:p>
    <w:p w14:paraId="2BE4A909" w14:textId="77777777" w:rsidR="009915A1" w:rsidRDefault="003B2196">
      <w:pPr>
        <w:spacing w:after="100"/>
        <w:ind w:left="720" w:hanging="720"/>
      </w:pPr>
      <w:r>
        <w:rPr>
          <w:sz w:val="22"/>
          <w:szCs w:val="22"/>
        </w:rPr>
        <w:t>Jastreboff, A. M., Aronne, L. J., Ahmad, N. N., Wharton, S., Connery, L., Alves, B., et al. (2022). Tirzepatide once weekly for the treatment of obesity. New England Journal of Medicine, 387(3), 205–216. https://doi.org/10.1056/NEJMoa2206038</w:t>
      </w:r>
    </w:p>
    <w:p w14:paraId="7E357AA9" w14:textId="77777777" w:rsidR="009915A1" w:rsidRDefault="003B2196">
      <w:pPr>
        <w:spacing w:after="100"/>
        <w:ind w:left="720" w:hanging="720"/>
      </w:pPr>
      <w:r>
        <w:rPr>
          <w:sz w:val="22"/>
          <w:szCs w:val="22"/>
        </w:rPr>
        <w:t>Kerns, J. C., Guo, J., Fothergill, E., Howard, L., Knuth, N. D., Brychta, R., et al. (2017). Increased physical activity associated with less weight regain six years after "The Biggest Loser" competition. Obesity, 25(11), 1838–1843. https://doi.org/10.1002/oby.21986</w:t>
      </w:r>
    </w:p>
    <w:p w14:paraId="64AF8EAB" w14:textId="77777777" w:rsidR="009915A1" w:rsidRDefault="003B2196">
      <w:pPr>
        <w:spacing w:after="100"/>
        <w:ind w:left="720" w:hanging="720"/>
      </w:pPr>
      <w:proofErr w:type="spellStart"/>
      <w:r>
        <w:rPr>
          <w:sz w:val="22"/>
          <w:szCs w:val="22"/>
        </w:rPr>
        <w:t>Kreitschmann-Andermahr</w:t>
      </w:r>
      <w:proofErr w:type="spellEnd"/>
      <w:r>
        <w:rPr>
          <w:sz w:val="22"/>
          <w:szCs w:val="22"/>
        </w:rPr>
        <w:t xml:space="preserve">, I., Suarez, P., Jennings, R., Evers, N., &amp; Brabant, G. (2010). GH/IGF-I regulation in obesity: Mechanisms and practical consequences in children and adults. Hormone Research in </w:t>
      </w:r>
      <w:proofErr w:type="spellStart"/>
      <w:r>
        <w:rPr>
          <w:sz w:val="22"/>
          <w:szCs w:val="22"/>
        </w:rPr>
        <w:t>Paediatrics</w:t>
      </w:r>
      <w:proofErr w:type="spellEnd"/>
      <w:r>
        <w:rPr>
          <w:sz w:val="22"/>
          <w:szCs w:val="22"/>
        </w:rPr>
        <w:t>, 73(3), 153–160. https://doi.org/10.1159/000284355</w:t>
      </w:r>
    </w:p>
    <w:p w14:paraId="3E0117E7" w14:textId="77777777" w:rsidR="009915A1" w:rsidRDefault="003B2196">
      <w:pPr>
        <w:spacing w:after="100"/>
        <w:ind w:left="720" w:hanging="720"/>
      </w:pPr>
      <w:r>
        <w:rPr>
          <w:sz w:val="22"/>
          <w:szCs w:val="22"/>
        </w:rPr>
        <w:t>Kulkarni, S. S., Singh, O., &amp; Zigman, J. M. (2024). The intersection between ghrelin, metabolism and circadian rhythms. Nature Reviews Endocrinology, 20(4), 228–238. https://doi.org/10.1038/s41574-023-00927-z</w:t>
      </w:r>
    </w:p>
    <w:p w14:paraId="4AFED455" w14:textId="77777777" w:rsidR="009915A1" w:rsidRDefault="003B2196">
      <w:pPr>
        <w:spacing w:after="100"/>
        <w:ind w:left="720" w:hanging="720"/>
      </w:pPr>
      <w:proofErr w:type="spellStart"/>
      <w:r>
        <w:rPr>
          <w:sz w:val="22"/>
          <w:szCs w:val="22"/>
        </w:rPr>
        <w:t>Lengton</w:t>
      </w:r>
      <w:proofErr w:type="spellEnd"/>
      <w:r>
        <w:rPr>
          <w:sz w:val="22"/>
          <w:szCs w:val="22"/>
        </w:rPr>
        <w:t xml:space="preserve">, R., </w:t>
      </w:r>
      <w:proofErr w:type="spellStart"/>
      <w:r>
        <w:rPr>
          <w:sz w:val="22"/>
          <w:szCs w:val="22"/>
        </w:rPr>
        <w:t>Schoenmakers</w:t>
      </w:r>
      <w:proofErr w:type="spellEnd"/>
      <w:r>
        <w:rPr>
          <w:sz w:val="22"/>
          <w:szCs w:val="22"/>
        </w:rPr>
        <w:t xml:space="preserve">, M., </w:t>
      </w:r>
      <w:proofErr w:type="spellStart"/>
      <w:r>
        <w:rPr>
          <w:sz w:val="22"/>
          <w:szCs w:val="22"/>
        </w:rPr>
        <w:t>Penninx</w:t>
      </w:r>
      <w:proofErr w:type="spellEnd"/>
      <w:r>
        <w:rPr>
          <w:sz w:val="22"/>
          <w:szCs w:val="22"/>
        </w:rPr>
        <w:t xml:space="preserve">, B. W. J. H., Boon, M. R., &amp; van Rossum, E. F. C. (2025). Glucocorticoids and HPA axis regulation in the stress-obesity connection: A comprehensive overview of biological, physiological and </w:t>
      </w:r>
      <w:proofErr w:type="spellStart"/>
      <w:r>
        <w:rPr>
          <w:sz w:val="22"/>
          <w:szCs w:val="22"/>
        </w:rPr>
        <w:t>behavioural</w:t>
      </w:r>
      <w:proofErr w:type="spellEnd"/>
      <w:r>
        <w:rPr>
          <w:sz w:val="22"/>
          <w:szCs w:val="22"/>
        </w:rPr>
        <w:t xml:space="preserve"> dimensions. Clinical Obesity, 15(2), e12725. https://doi.org/10.1111/cob.12725</w:t>
      </w:r>
    </w:p>
    <w:p w14:paraId="2D248B6F" w14:textId="77777777" w:rsidR="009915A1" w:rsidRDefault="003B2196">
      <w:pPr>
        <w:spacing w:after="100"/>
        <w:ind w:left="720" w:hanging="720"/>
      </w:pPr>
      <w:r>
        <w:rPr>
          <w:sz w:val="22"/>
          <w:szCs w:val="22"/>
        </w:rPr>
        <w:t>Liu, J., Fang, Z., Lu, Q., Wang, Y., &amp; Zhang, L. (2025). Projecting global trends and inequalities in adult overweight and obesity, 2023–2040: Findings from the NCD-</w:t>
      </w:r>
      <w:proofErr w:type="spellStart"/>
      <w:r>
        <w:rPr>
          <w:sz w:val="22"/>
          <w:szCs w:val="22"/>
        </w:rPr>
        <w:t>RisC</w:t>
      </w:r>
      <w:proofErr w:type="spellEnd"/>
      <w:r>
        <w:rPr>
          <w:sz w:val="22"/>
          <w:szCs w:val="22"/>
        </w:rPr>
        <w:t xml:space="preserve"> database. Obesity, 33(10), 1955–1967. https://doi.org/10.1002/oby.24358</w:t>
      </w:r>
    </w:p>
    <w:p w14:paraId="6E05F0E5" w14:textId="77777777" w:rsidR="009915A1" w:rsidRDefault="003B2196">
      <w:pPr>
        <w:spacing w:after="100"/>
        <w:ind w:left="720" w:hanging="720"/>
      </w:pPr>
      <w:r>
        <w:rPr>
          <w:sz w:val="22"/>
          <w:szCs w:val="22"/>
        </w:rPr>
        <w:lastRenderedPageBreak/>
        <w:t>Magro, B. S., &amp; Dias, D. P. M. (2024). Brown and beige adipose tissue: New therapeutic targets for metabolic disorders. Health Sciences Review, 10, 100148. https://doi.org/10.1016/j.hsr.2024.100148</w:t>
      </w:r>
    </w:p>
    <w:p w14:paraId="74F77DA5" w14:textId="77777777" w:rsidR="009915A1" w:rsidRDefault="003B2196">
      <w:pPr>
        <w:spacing w:after="100"/>
        <w:ind w:left="720" w:hanging="720"/>
      </w:pPr>
      <w:r>
        <w:rPr>
          <w:sz w:val="22"/>
          <w:szCs w:val="22"/>
        </w:rPr>
        <w:t>Marx, N., Husain, M., Lehrke, M., Verma, S., &amp; Sattar, N. (2022). GLP-1 receptor agonists for the reduction of atherosclerotic cardiovascular risk in patients with type 2 diabetes. Circulation, 146(24), 1882–1894. https://doi.org/10.1161/CIRCULATIONAHA.122.059595</w:t>
      </w:r>
    </w:p>
    <w:p w14:paraId="559C17E7" w14:textId="77777777" w:rsidR="009915A1" w:rsidRDefault="003B2196">
      <w:pPr>
        <w:spacing w:after="100"/>
        <w:ind w:left="720" w:hanging="720"/>
      </w:pPr>
      <w:proofErr w:type="spellStart"/>
      <w:r>
        <w:rPr>
          <w:sz w:val="22"/>
          <w:szCs w:val="22"/>
        </w:rPr>
        <w:t>Masschelin</w:t>
      </w:r>
      <w:proofErr w:type="spellEnd"/>
      <w:r>
        <w:rPr>
          <w:sz w:val="22"/>
          <w:szCs w:val="22"/>
        </w:rPr>
        <w:t>, P. M., Cox, A. R., Chernis, N., &amp; Hartig, S. M. (2020). The impact of oxidative stress on adipose tissue energy balance. Frontiers in Physiology, 10, 1638. https://doi.org/10.3389/fphys.2019.01638</w:t>
      </w:r>
    </w:p>
    <w:p w14:paraId="604DE796" w14:textId="77777777" w:rsidR="009915A1" w:rsidRDefault="003B2196">
      <w:pPr>
        <w:spacing w:after="100"/>
        <w:ind w:left="720" w:hanging="720"/>
      </w:pPr>
      <w:r>
        <w:rPr>
          <w:sz w:val="22"/>
          <w:szCs w:val="22"/>
        </w:rPr>
        <w:t>Morton, G. J., Meek, T. H., &amp; Schwartz, M. W. (2014). Neurobiology of food intake in health and disease. Nature Reviews Neuroscience, 15(6), 367–378. https://doi.org/10.1038/nrn3745</w:t>
      </w:r>
    </w:p>
    <w:p w14:paraId="27BA4A33" w14:textId="77777777" w:rsidR="009915A1" w:rsidRDefault="003B2196">
      <w:pPr>
        <w:spacing w:after="100"/>
        <w:ind w:left="720" w:hanging="720"/>
      </w:pPr>
      <w:r>
        <w:rPr>
          <w:sz w:val="22"/>
          <w:szCs w:val="22"/>
        </w:rPr>
        <w:t xml:space="preserve">Obradović, M., Sudar-Milovanović, E., </w:t>
      </w:r>
      <w:proofErr w:type="spellStart"/>
      <w:r>
        <w:rPr>
          <w:sz w:val="22"/>
          <w:szCs w:val="22"/>
        </w:rPr>
        <w:t>Soskić</w:t>
      </w:r>
      <w:proofErr w:type="spellEnd"/>
      <w:r>
        <w:rPr>
          <w:sz w:val="22"/>
          <w:szCs w:val="22"/>
        </w:rPr>
        <w:t xml:space="preserve">, S., </w:t>
      </w:r>
      <w:proofErr w:type="spellStart"/>
      <w:r>
        <w:rPr>
          <w:sz w:val="22"/>
          <w:szCs w:val="22"/>
        </w:rPr>
        <w:t>Essack</w:t>
      </w:r>
      <w:proofErr w:type="spellEnd"/>
      <w:r>
        <w:rPr>
          <w:sz w:val="22"/>
          <w:szCs w:val="22"/>
        </w:rPr>
        <w:t>, M., Arya, S., Stewart, A. J., et al. (2021). Leptin and obesity: Role and clinical implication. Frontiers in Endocrinology, 12, 585887. https://doi.org/10.3389/fendo.2021.585887</w:t>
      </w:r>
    </w:p>
    <w:p w14:paraId="30BD3ECD" w14:textId="77777777" w:rsidR="009915A1" w:rsidRDefault="003B2196">
      <w:pPr>
        <w:spacing w:after="100"/>
        <w:ind w:left="720" w:hanging="720"/>
      </w:pPr>
      <w:r>
        <w:rPr>
          <w:sz w:val="22"/>
          <w:szCs w:val="22"/>
        </w:rPr>
        <w:t>Phelps, N. H., Singleton, R. K., Zhou, B., Heap, R. A., Mishra, A., Bennett, J. E., et al. (2024). Worldwide trends in underweight and obesity from 1990 to 2022: A pooled analysis of 3663 population-representative studies with 222 million children, adolescents, and adults. The Lancet, 403(10431), 1027–1050. https://doi.org/10.1016/S0140-6736(23)02750-2</w:t>
      </w:r>
    </w:p>
    <w:p w14:paraId="671F01C2" w14:textId="77777777" w:rsidR="009915A1" w:rsidRDefault="003B2196">
      <w:pPr>
        <w:spacing w:after="100"/>
        <w:ind w:left="720" w:hanging="720"/>
      </w:pPr>
      <w:r>
        <w:rPr>
          <w:sz w:val="22"/>
          <w:szCs w:val="22"/>
        </w:rPr>
        <w:t>Purnell, J. Q., &amp; le Roux, C. W. (2024). Hypothalamic control of body fat mass by food intake: The key to understanding why obesity should be treated as a disease. Diabetes, Obesity and Metabolism, 26(S2), 3–12. https://doi.org/10.1111/dom.15478</w:t>
      </w:r>
    </w:p>
    <w:p w14:paraId="2B934DAA" w14:textId="77777777" w:rsidR="009915A1" w:rsidRDefault="003B2196">
      <w:pPr>
        <w:spacing w:after="100"/>
        <w:ind w:left="720" w:hanging="720"/>
      </w:pPr>
      <w:r>
        <w:rPr>
          <w:sz w:val="22"/>
          <w:szCs w:val="22"/>
        </w:rPr>
        <w:t>Richard, D. (2015). Cognitive and autonomic determinants of energy homeostasis in obesity. Nature Reviews Endocrinology, 11(8), 489–501. https://doi.org/10.1038/nrendo.2015.103</w:t>
      </w:r>
    </w:p>
    <w:p w14:paraId="4D173299" w14:textId="77777777" w:rsidR="009915A1" w:rsidRDefault="003B2196">
      <w:pPr>
        <w:spacing w:after="100"/>
        <w:ind w:left="720" w:hanging="720"/>
      </w:pPr>
      <w:r>
        <w:rPr>
          <w:sz w:val="22"/>
          <w:szCs w:val="22"/>
        </w:rPr>
        <w:t>Sakaguchi, M. (2024). Adipose tissue dynamics, thermogenesis, and interorgan connections for preventing obesity and metabolic disorders. JMA Journal, 7(2), 172–177. https://doi.org/10.31662/jmaj.2023-0218</w:t>
      </w:r>
    </w:p>
    <w:p w14:paraId="0DFCE822" w14:textId="77777777" w:rsidR="009915A1" w:rsidRDefault="003B2196">
      <w:pPr>
        <w:spacing w:after="100"/>
        <w:ind w:left="720" w:hanging="720"/>
      </w:pPr>
      <w:r>
        <w:rPr>
          <w:sz w:val="22"/>
          <w:szCs w:val="22"/>
        </w:rPr>
        <w:t xml:space="preserve">Schwartz, M. W., Seeley, R. J., Zeltser, L. M., Drewnowski, A., </w:t>
      </w:r>
      <w:proofErr w:type="spellStart"/>
      <w:r>
        <w:rPr>
          <w:sz w:val="22"/>
          <w:szCs w:val="22"/>
        </w:rPr>
        <w:t>Ravussin</w:t>
      </w:r>
      <w:proofErr w:type="spellEnd"/>
      <w:r>
        <w:rPr>
          <w:sz w:val="22"/>
          <w:szCs w:val="22"/>
        </w:rPr>
        <w:t>, E., Redman, L. M., et al. (2017). Obesity pathogenesis: An Endocrine Society scientific statement. Endocrine Reviews, 38(4), 267–296. https://doi.org/10.1210/er.2017-00111</w:t>
      </w:r>
    </w:p>
    <w:p w14:paraId="3A621DF1" w14:textId="77777777" w:rsidR="009915A1" w:rsidRDefault="003B2196">
      <w:pPr>
        <w:spacing w:after="100"/>
        <w:ind w:left="720" w:hanging="720"/>
      </w:pPr>
      <w:r>
        <w:rPr>
          <w:sz w:val="22"/>
          <w:szCs w:val="22"/>
        </w:rPr>
        <w:t>Shamsi, F., Wang, C.-H., &amp; Tseng, Y.-H. (2021). The evolving view of thermogenic adipocytes: Ontogeny, niche and function. Nature Reviews Endocrinology, 17(12), 726–744. https://doi.org/10.1038/s41574-021-00562-6</w:t>
      </w:r>
    </w:p>
    <w:p w14:paraId="61238C3A" w14:textId="77777777" w:rsidR="009915A1" w:rsidRDefault="003B2196">
      <w:pPr>
        <w:spacing w:after="100"/>
        <w:ind w:left="720" w:hanging="720"/>
      </w:pPr>
      <w:r>
        <w:rPr>
          <w:sz w:val="22"/>
          <w:szCs w:val="22"/>
        </w:rPr>
        <w:t xml:space="preserve">Shi, Q., Wang, Y., Hao, Q., </w:t>
      </w:r>
      <w:proofErr w:type="spellStart"/>
      <w:r>
        <w:rPr>
          <w:sz w:val="22"/>
          <w:szCs w:val="22"/>
        </w:rPr>
        <w:t>Vandvik</w:t>
      </w:r>
      <w:proofErr w:type="spellEnd"/>
      <w:r>
        <w:rPr>
          <w:sz w:val="22"/>
          <w:szCs w:val="22"/>
        </w:rPr>
        <w:t xml:space="preserve">, P. O., Guyatt, G., Li, J., et al. (2024). Pharmacotherapy for adults with overweight and obesity: A systematic review and network meta-analysis of </w:t>
      </w:r>
      <w:proofErr w:type="spellStart"/>
      <w:r>
        <w:rPr>
          <w:sz w:val="22"/>
          <w:szCs w:val="22"/>
        </w:rPr>
        <w:t>randomised</w:t>
      </w:r>
      <w:proofErr w:type="spellEnd"/>
      <w:r>
        <w:rPr>
          <w:sz w:val="22"/>
          <w:szCs w:val="22"/>
        </w:rPr>
        <w:t xml:space="preserve"> controlled trials. The Lancet, 403(10434), e21–e31. https://doi.org/10.1016/S0140-6736(24)00351-9</w:t>
      </w:r>
    </w:p>
    <w:p w14:paraId="2BC77991" w14:textId="77777777" w:rsidR="009915A1" w:rsidRDefault="003B2196">
      <w:pPr>
        <w:spacing w:after="100"/>
        <w:ind w:left="720" w:hanging="720"/>
      </w:pPr>
      <w:r>
        <w:rPr>
          <w:sz w:val="22"/>
          <w:szCs w:val="22"/>
        </w:rPr>
        <w:t xml:space="preserve">Stefanakis, K., Upadhyay, J., Ramirez-Cisneros, A., Patel, N., Sahai, A., &amp; </w:t>
      </w:r>
      <w:proofErr w:type="spellStart"/>
      <w:r>
        <w:rPr>
          <w:sz w:val="22"/>
          <w:szCs w:val="22"/>
        </w:rPr>
        <w:t>Mantzoros</w:t>
      </w:r>
      <w:proofErr w:type="spellEnd"/>
      <w:r>
        <w:rPr>
          <w:sz w:val="22"/>
          <w:szCs w:val="22"/>
        </w:rPr>
        <w:t>, C. S. (2024). Leptin physiology and pathophysiology in energy homeostasis, immune function, neuroendocrine regulation and bone health. Metabolism, 161, 156056. https://doi.org/10.1016/j.metabol.2024.156056</w:t>
      </w:r>
    </w:p>
    <w:p w14:paraId="1E8F8A1E" w14:textId="77777777" w:rsidR="009915A1" w:rsidRDefault="003B2196">
      <w:pPr>
        <w:spacing w:after="100"/>
        <w:ind w:left="720" w:hanging="720"/>
      </w:pPr>
      <w:r>
        <w:rPr>
          <w:sz w:val="22"/>
          <w:szCs w:val="22"/>
        </w:rPr>
        <w:t xml:space="preserve">Sumithran, P., Prendergast, L. A., Delbridge, E., Purcell, K., </w:t>
      </w:r>
      <w:proofErr w:type="spellStart"/>
      <w:r>
        <w:rPr>
          <w:sz w:val="22"/>
          <w:szCs w:val="22"/>
        </w:rPr>
        <w:t>Shulkes</w:t>
      </w:r>
      <w:proofErr w:type="spellEnd"/>
      <w:r>
        <w:rPr>
          <w:sz w:val="22"/>
          <w:szCs w:val="22"/>
        </w:rPr>
        <w:t xml:space="preserve">, A., </w:t>
      </w:r>
      <w:proofErr w:type="spellStart"/>
      <w:r>
        <w:rPr>
          <w:sz w:val="22"/>
          <w:szCs w:val="22"/>
        </w:rPr>
        <w:t>Kriketos</w:t>
      </w:r>
      <w:proofErr w:type="spellEnd"/>
      <w:r>
        <w:rPr>
          <w:sz w:val="22"/>
          <w:szCs w:val="22"/>
        </w:rPr>
        <w:t>, A., et al. (2011). Long-term persistence of hormonal adaptations to weight loss. New England Journal of Medicine, 365(17), 1597–1604. https://doi.org/10.1056/NEJMoa1105816</w:t>
      </w:r>
    </w:p>
    <w:p w14:paraId="03B25D98" w14:textId="77777777" w:rsidR="009915A1" w:rsidRDefault="003B2196">
      <w:pPr>
        <w:spacing w:after="100"/>
        <w:ind w:left="720" w:hanging="720"/>
      </w:pPr>
      <w:r>
        <w:rPr>
          <w:sz w:val="22"/>
          <w:szCs w:val="22"/>
        </w:rPr>
        <w:lastRenderedPageBreak/>
        <w:t xml:space="preserve">Tan, B., </w:t>
      </w:r>
      <w:proofErr w:type="spellStart"/>
      <w:r>
        <w:rPr>
          <w:sz w:val="22"/>
          <w:szCs w:val="22"/>
        </w:rPr>
        <w:t>Hedbacker</w:t>
      </w:r>
      <w:proofErr w:type="spellEnd"/>
      <w:r>
        <w:rPr>
          <w:sz w:val="22"/>
          <w:szCs w:val="22"/>
        </w:rPr>
        <w:t>, K., Kelly, L., Zhang, Z., Moura-Assis, A., Luo, J.-D., et al. (2025). A cellular and molecular basis of leptin resistance. Cell Metabolism, 37(3), 723–741.e6. https://doi.org/10.1016/j.cmet.2025.01.001</w:t>
      </w:r>
    </w:p>
    <w:p w14:paraId="6CBD48A3" w14:textId="77777777" w:rsidR="009915A1" w:rsidRDefault="003B2196">
      <w:pPr>
        <w:spacing w:after="100"/>
        <w:ind w:left="720" w:hanging="720"/>
      </w:pPr>
      <w:r>
        <w:rPr>
          <w:sz w:val="22"/>
          <w:szCs w:val="22"/>
        </w:rPr>
        <w:t xml:space="preserve">Verma, S., Bhatta, M., Davies, M., </w:t>
      </w:r>
      <w:proofErr w:type="spellStart"/>
      <w:r>
        <w:rPr>
          <w:sz w:val="22"/>
          <w:szCs w:val="22"/>
        </w:rPr>
        <w:t>Deanfield</w:t>
      </w:r>
      <w:proofErr w:type="spellEnd"/>
      <w:r>
        <w:rPr>
          <w:sz w:val="22"/>
          <w:szCs w:val="22"/>
        </w:rPr>
        <w:t xml:space="preserve">, J. E., Garvey, W. T., Jensen, C., et al. (2022). Effects of once-weekly semaglutide 2.4 mg on C-reactive protein in adults with overweight or obesity (STEP 1, 2, and 3): Exploratory analyses of three </w:t>
      </w:r>
      <w:proofErr w:type="spellStart"/>
      <w:r>
        <w:rPr>
          <w:sz w:val="22"/>
          <w:szCs w:val="22"/>
        </w:rPr>
        <w:t>randomised</w:t>
      </w:r>
      <w:proofErr w:type="spellEnd"/>
      <w:r>
        <w:rPr>
          <w:sz w:val="22"/>
          <w:szCs w:val="22"/>
        </w:rPr>
        <w:t xml:space="preserve">, double-blind, placebo-controlled, phase 3 trials. </w:t>
      </w:r>
      <w:proofErr w:type="spellStart"/>
      <w:r>
        <w:rPr>
          <w:sz w:val="22"/>
          <w:szCs w:val="22"/>
        </w:rPr>
        <w:t>eClinicalMedicine</w:t>
      </w:r>
      <w:proofErr w:type="spellEnd"/>
      <w:r>
        <w:rPr>
          <w:sz w:val="22"/>
          <w:szCs w:val="22"/>
        </w:rPr>
        <w:t>, 55, 101737. https://doi.org/10.1016/j.eclinm.2022.101737</w:t>
      </w:r>
    </w:p>
    <w:p w14:paraId="34988CCD" w14:textId="77777777" w:rsidR="009915A1" w:rsidRDefault="003B2196">
      <w:pPr>
        <w:spacing w:after="100"/>
        <w:ind w:left="720" w:hanging="720"/>
      </w:pPr>
      <w:r>
        <w:rPr>
          <w:sz w:val="22"/>
          <w:szCs w:val="22"/>
        </w:rPr>
        <w:t xml:space="preserve">Vieira-Potter, V. J., Mishra, G., &amp; Townsend, K. L. (2026). Health of adipose tissue: </w:t>
      </w:r>
      <w:proofErr w:type="spellStart"/>
      <w:r>
        <w:rPr>
          <w:sz w:val="22"/>
          <w:szCs w:val="22"/>
        </w:rPr>
        <w:t>Oestrogen</w:t>
      </w:r>
      <w:proofErr w:type="spellEnd"/>
      <w:r>
        <w:rPr>
          <w:sz w:val="22"/>
          <w:szCs w:val="22"/>
        </w:rPr>
        <w:t xml:space="preserve"> matters. Nature Reviews Endocrinology, 22(2), 76–91. https://doi.org/10.1038/s41574-025-01180-2</w:t>
      </w:r>
    </w:p>
    <w:p w14:paraId="5B5E6A6A" w14:textId="77777777" w:rsidR="009915A1" w:rsidRDefault="003B2196">
      <w:pPr>
        <w:spacing w:after="100"/>
        <w:ind w:left="720" w:hanging="720"/>
      </w:pPr>
      <w:r>
        <w:rPr>
          <w:sz w:val="22"/>
          <w:szCs w:val="22"/>
        </w:rPr>
        <w:t>Walowski, C. O., Herpich, C., Enderle, J., Braun, W., Both, M., Hasler, M., et al. (2023). Analysis of the adiponectin paradox in healthy older people. Journal of Cachexia, Sarcopenia and Muscle, 14(1), 270–278. https://doi.org/10.1002/jcsm.13127</w:t>
      </w:r>
    </w:p>
    <w:p w14:paraId="50254B75" w14:textId="77777777" w:rsidR="009915A1" w:rsidRDefault="003B2196">
      <w:pPr>
        <w:spacing w:after="100"/>
        <w:ind w:left="720" w:hanging="720"/>
      </w:pPr>
      <w:r>
        <w:rPr>
          <w:sz w:val="22"/>
          <w:szCs w:val="22"/>
        </w:rPr>
        <w:t>Wang, W., &amp; Seale, P. (2016). Control of brown and beige fat development. Nature Reviews Molecular Cell Biology, 17(11), 691–702. https://doi.org/10.1038/nrm.2016.96</w:t>
      </w:r>
    </w:p>
    <w:p w14:paraId="41CCB75F" w14:textId="77777777" w:rsidR="009915A1" w:rsidRDefault="003B2196">
      <w:pPr>
        <w:spacing w:after="100"/>
        <w:ind w:left="720" w:hanging="720"/>
      </w:pPr>
      <w:r>
        <w:rPr>
          <w:sz w:val="22"/>
          <w:szCs w:val="22"/>
        </w:rPr>
        <w:t>Watkins, J. D., Carter, S., Atkinson, G., Koumanov, F., Betts, J. A., Holst, J. J., et al. (2023). Glucagon-like peptide-1 secretion in people with versus without type 2 diabetes: A systematic review and meta-analysis of cross-sectional studies. Metabolism, 140, 155375. https://doi.org/10.1016/j.metabol.2022.155375</w:t>
      </w:r>
    </w:p>
    <w:p w14:paraId="65A3989E" w14:textId="77777777" w:rsidR="009915A1" w:rsidRDefault="003B2196">
      <w:pPr>
        <w:spacing w:after="100"/>
        <w:ind w:left="720" w:hanging="720"/>
      </w:pPr>
      <w:r>
        <w:rPr>
          <w:sz w:val="22"/>
          <w:szCs w:val="22"/>
        </w:rPr>
        <w:t xml:space="preserve">Wilding, J. P. H., </w:t>
      </w:r>
      <w:proofErr w:type="spellStart"/>
      <w:r>
        <w:rPr>
          <w:sz w:val="22"/>
          <w:szCs w:val="22"/>
        </w:rPr>
        <w:t>Batterham</w:t>
      </w:r>
      <w:proofErr w:type="spellEnd"/>
      <w:r>
        <w:rPr>
          <w:sz w:val="22"/>
          <w:szCs w:val="22"/>
        </w:rPr>
        <w:t xml:space="preserve">, R. L., </w:t>
      </w:r>
      <w:proofErr w:type="spellStart"/>
      <w:r>
        <w:rPr>
          <w:sz w:val="22"/>
          <w:szCs w:val="22"/>
        </w:rPr>
        <w:t>Calanna</w:t>
      </w:r>
      <w:proofErr w:type="spellEnd"/>
      <w:r>
        <w:rPr>
          <w:sz w:val="22"/>
          <w:szCs w:val="22"/>
        </w:rPr>
        <w:t xml:space="preserve">, S., Davies, M., Van Gaal, L. F., </w:t>
      </w:r>
      <w:proofErr w:type="spellStart"/>
      <w:r>
        <w:rPr>
          <w:sz w:val="22"/>
          <w:szCs w:val="22"/>
        </w:rPr>
        <w:t>Lingvay</w:t>
      </w:r>
      <w:proofErr w:type="spellEnd"/>
      <w:r>
        <w:rPr>
          <w:sz w:val="22"/>
          <w:szCs w:val="22"/>
        </w:rPr>
        <w:t>, I., et al. (2021). Once-weekly semaglutide in adults with overweight or obesity. New England Journal of Medicine, 384(11), 989–1002. https://doi.org/10.1056/NEJMoa2032183</w:t>
      </w:r>
    </w:p>
    <w:p w14:paraId="5022CED2" w14:textId="77777777" w:rsidR="009915A1" w:rsidRDefault="003B2196">
      <w:pPr>
        <w:spacing w:after="100"/>
        <w:ind w:left="720" w:hanging="720"/>
      </w:pPr>
      <w:r>
        <w:rPr>
          <w:sz w:val="22"/>
          <w:szCs w:val="22"/>
        </w:rPr>
        <w:t xml:space="preserve">Wilding, J. P. H., </w:t>
      </w:r>
      <w:proofErr w:type="spellStart"/>
      <w:r>
        <w:rPr>
          <w:sz w:val="22"/>
          <w:szCs w:val="22"/>
        </w:rPr>
        <w:t>Batterham</w:t>
      </w:r>
      <w:proofErr w:type="spellEnd"/>
      <w:r>
        <w:rPr>
          <w:sz w:val="22"/>
          <w:szCs w:val="22"/>
        </w:rPr>
        <w:t xml:space="preserve">, R. L., Davies, M., Van Gaal, L. F., Kandler, K., </w:t>
      </w:r>
      <w:proofErr w:type="spellStart"/>
      <w:r>
        <w:rPr>
          <w:sz w:val="22"/>
          <w:szCs w:val="22"/>
        </w:rPr>
        <w:t>Konakli</w:t>
      </w:r>
      <w:proofErr w:type="spellEnd"/>
      <w:r>
        <w:rPr>
          <w:sz w:val="22"/>
          <w:szCs w:val="22"/>
        </w:rPr>
        <w:t>, K., et al. (2022). Weight regain and cardiometabolic effects after withdrawal of semaglutide: The STEP 1 trial extension. Diabetes, Obesity and Metabolism, 24(8), 1553–1564. https://doi.org/10.1111/dom.14725</w:t>
      </w:r>
    </w:p>
    <w:p w14:paraId="62653DEE" w14:textId="77777777" w:rsidR="009915A1" w:rsidRDefault="003B2196">
      <w:pPr>
        <w:spacing w:after="100"/>
        <w:ind w:left="720" w:hanging="720"/>
      </w:pPr>
      <w:r>
        <w:rPr>
          <w:sz w:val="22"/>
          <w:szCs w:val="22"/>
        </w:rPr>
        <w:t xml:space="preserve">Woolf, E. K., Cabre, H. E., </w:t>
      </w:r>
      <w:proofErr w:type="spellStart"/>
      <w:r>
        <w:rPr>
          <w:sz w:val="22"/>
          <w:szCs w:val="22"/>
        </w:rPr>
        <w:t>Niclou</w:t>
      </w:r>
      <w:proofErr w:type="spellEnd"/>
      <w:r>
        <w:rPr>
          <w:sz w:val="22"/>
          <w:szCs w:val="22"/>
        </w:rPr>
        <w:t xml:space="preserve">, A. N., &amp; Redman, L. M. (2024). Body weight regulation. In K. R. Feingold, B. Anawalt, M. R. Blackman, A. Boyce, G. </w:t>
      </w:r>
      <w:proofErr w:type="spellStart"/>
      <w:r>
        <w:rPr>
          <w:sz w:val="22"/>
          <w:szCs w:val="22"/>
        </w:rPr>
        <w:t>Chrousos</w:t>
      </w:r>
      <w:proofErr w:type="spellEnd"/>
      <w:r>
        <w:rPr>
          <w:sz w:val="22"/>
          <w:szCs w:val="22"/>
        </w:rPr>
        <w:t xml:space="preserve">, E. Corpas, et al. (Eds.), </w:t>
      </w:r>
      <w:proofErr w:type="spellStart"/>
      <w:r>
        <w:rPr>
          <w:sz w:val="22"/>
          <w:szCs w:val="22"/>
        </w:rPr>
        <w:t>Endotext</w:t>
      </w:r>
      <w:proofErr w:type="spellEnd"/>
      <w:r>
        <w:rPr>
          <w:sz w:val="22"/>
          <w:szCs w:val="22"/>
        </w:rPr>
        <w:t>. MDText.com. https://www.ncbi.nlm.nih.gov/books/NBK278932/</w:t>
      </w:r>
    </w:p>
    <w:p w14:paraId="6105C606" w14:textId="77777777" w:rsidR="009915A1" w:rsidRDefault="003B2196">
      <w:pPr>
        <w:spacing w:after="100"/>
        <w:ind w:left="720" w:hanging="720"/>
      </w:pPr>
      <w:r>
        <w:rPr>
          <w:sz w:val="22"/>
          <w:szCs w:val="22"/>
        </w:rPr>
        <w:t>World Health Organization. (2025). Obesity and overweight. https://www.who.int/news-room/fact-sheets/detail/obesity-and-overweight</w:t>
      </w:r>
    </w:p>
    <w:sectPr w:rsidR="009915A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E8620" w14:textId="77777777" w:rsidR="00BF156C" w:rsidRDefault="00BF156C" w:rsidP="00B83146">
      <w:r>
        <w:separator/>
      </w:r>
    </w:p>
  </w:endnote>
  <w:endnote w:type="continuationSeparator" w:id="0">
    <w:p w14:paraId="357A2A6A" w14:textId="77777777" w:rsidR="00BF156C" w:rsidRDefault="00BF156C" w:rsidP="00B83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E92C" w14:textId="77777777" w:rsidR="00B83146" w:rsidRDefault="00B831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3E9E" w14:textId="77777777" w:rsidR="00B83146" w:rsidRDefault="00B831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1C22" w14:textId="77777777" w:rsidR="00B83146" w:rsidRDefault="00B83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1BE33" w14:textId="77777777" w:rsidR="00BF156C" w:rsidRDefault="00BF156C" w:rsidP="00B83146">
      <w:r>
        <w:separator/>
      </w:r>
    </w:p>
  </w:footnote>
  <w:footnote w:type="continuationSeparator" w:id="0">
    <w:p w14:paraId="1D967665" w14:textId="77777777" w:rsidR="00BF156C" w:rsidRDefault="00BF156C" w:rsidP="00B83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BC04" w14:textId="1ED9D19B" w:rsidR="00B83146" w:rsidRDefault="00B83146">
    <w:pPr>
      <w:pStyle w:val="Header"/>
    </w:pPr>
    <w:r>
      <w:rPr>
        <w:noProof/>
      </w:rPr>
      <w:pict w14:anchorId="3EB773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54707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B650" w14:textId="08CB8727" w:rsidR="00B83146" w:rsidRDefault="00B83146">
    <w:pPr>
      <w:pStyle w:val="Header"/>
    </w:pPr>
    <w:r>
      <w:rPr>
        <w:noProof/>
      </w:rPr>
      <w:pict w14:anchorId="3F750E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54708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D0C2C" w14:textId="036589C9" w:rsidR="00B83146" w:rsidRDefault="00B83146">
    <w:pPr>
      <w:pStyle w:val="Header"/>
    </w:pPr>
    <w:r>
      <w:rPr>
        <w:noProof/>
      </w:rPr>
      <w:pict w14:anchorId="431E7B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54707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64EB3"/>
    <w:multiLevelType w:val="hybridMultilevel"/>
    <w:tmpl w:val="BD96CBD2"/>
    <w:lvl w:ilvl="0" w:tplc="CA4EC4B8">
      <w:start w:val="1"/>
      <w:numFmt w:val="bullet"/>
      <w:lvlText w:val="●"/>
      <w:lvlJc w:val="left"/>
      <w:pPr>
        <w:ind w:left="720" w:hanging="360"/>
      </w:pPr>
    </w:lvl>
    <w:lvl w:ilvl="1" w:tplc="7436DEC0">
      <w:start w:val="1"/>
      <w:numFmt w:val="bullet"/>
      <w:lvlText w:val="○"/>
      <w:lvlJc w:val="left"/>
      <w:pPr>
        <w:ind w:left="1440" w:hanging="360"/>
      </w:pPr>
    </w:lvl>
    <w:lvl w:ilvl="2" w:tplc="30F80BDC">
      <w:start w:val="1"/>
      <w:numFmt w:val="bullet"/>
      <w:lvlText w:val="■"/>
      <w:lvlJc w:val="left"/>
      <w:pPr>
        <w:ind w:left="2160" w:hanging="360"/>
      </w:pPr>
    </w:lvl>
    <w:lvl w:ilvl="3" w:tplc="412EF00C">
      <w:start w:val="1"/>
      <w:numFmt w:val="bullet"/>
      <w:lvlText w:val="●"/>
      <w:lvlJc w:val="left"/>
      <w:pPr>
        <w:ind w:left="2880" w:hanging="360"/>
      </w:pPr>
    </w:lvl>
    <w:lvl w:ilvl="4" w:tplc="C4964D08">
      <w:start w:val="1"/>
      <w:numFmt w:val="bullet"/>
      <w:lvlText w:val="○"/>
      <w:lvlJc w:val="left"/>
      <w:pPr>
        <w:ind w:left="3600" w:hanging="360"/>
      </w:pPr>
    </w:lvl>
    <w:lvl w:ilvl="5" w:tplc="91BA0A52">
      <w:start w:val="1"/>
      <w:numFmt w:val="bullet"/>
      <w:lvlText w:val="■"/>
      <w:lvlJc w:val="left"/>
      <w:pPr>
        <w:ind w:left="4320" w:hanging="360"/>
      </w:pPr>
    </w:lvl>
    <w:lvl w:ilvl="6" w:tplc="5B2C013C">
      <w:start w:val="1"/>
      <w:numFmt w:val="bullet"/>
      <w:lvlText w:val="●"/>
      <w:lvlJc w:val="left"/>
      <w:pPr>
        <w:ind w:left="5040" w:hanging="360"/>
      </w:pPr>
    </w:lvl>
    <w:lvl w:ilvl="7" w:tplc="C4D4901A">
      <w:start w:val="1"/>
      <w:numFmt w:val="bullet"/>
      <w:lvlText w:val="●"/>
      <w:lvlJc w:val="left"/>
      <w:pPr>
        <w:ind w:left="5760" w:hanging="360"/>
      </w:pPr>
    </w:lvl>
    <w:lvl w:ilvl="8" w:tplc="D4462E20">
      <w:start w:val="1"/>
      <w:numFmt w:val="bullet"/>
      <w:lvlText w:val="●"/>
      <w:lvlJc w:val="left"/>
      <w:pPr>
        <w:ind w:left="6480" w:hanging="360"/>
      </w:pPr>
    </w:lvl>
  </w:abstractNum>
  <w:num w:numId="1" w16cid:durableId="15701859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A1"/>
    <w:rsid w:val="00013CEF"/>
    <w:rsid w:val="00050541"/>
    <w:rsid w:val="00057DA5"/>
    <w:rsid w:val="0016516F"/>
    <w:rsid w:val="003B2196"/>
    <w:rsid w:val="00453030"/>
    <w:rsid w:val="00486253"/>
    <w:rsid w:val="00495BDF"/>
    <w:rsid w:val="0076647B"/>
    <w:rsid w:val="007C0A38"/>
    <w:rsid w:val="009069D7"/>
    <w:rsid w:val="009915A1"/>
    <w:rsid w:val="00AC05B0"/>
    <w:rsid w:val="00B83146"/>
    <w:rsid w:val="00B8606D"/>
    <w:rsid w:val="00BF156C"/>
    <w:rsid w:val="00EF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2F740"/>
  <w15:docId w15:val="{3086220E-D14A-4060-B482-AF115A1B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AC05B0"/>
    <w:pPr>
      <w:spacing w:before="100" w:beforeAutospacing="1" w:after="100" w:afterAutospacing="1"/>
    </w:pPr>
  </w:style>
  <w:style w:type="character" w:styleId="Strong">
    <w:name w:val="Strong"/>
    <w:basedOn w:val="DefaultParagraphFont"/>
    <w:uiPriority w:val="22"/>
    <w:qFormat/>
    <w:rsid w:val="00486253"/>
    <w:rPr>
      <w:b/>
      <w:bCs/>
    </w:rPr>
  </w:style>
  <w:style w:type="character" w:styleId="UnresolvedMention">
    <w:name w:val="Unresolved Mention"/>
    <w:basedOn w:val="DefaultParagraphFont"/>
    <w:uiPriority w:val="99"/>
    <w:semiHidden/>
    <w:unhideWhenUsed/>
    <w:rsid w:val="00495BDF"/>
    <w:rPr>
      <w:color w:val="605E5C"/>
      <w:shd w:val="clear" w:color="auto" w:fill="E1DFDD"/>
    </w:rPr>
  </w:style>
  <w:style w:type="paragraph" w:styleId="Header">
    <w:name w:val="header"/>
    <w:basedOn w:val="Normal"/>
    <w:link w:val="HeaderChar"/>
    <w:uiPriority w:val="99"/>
    <w:unhideWhenUsed/>
    <w:rsid w:val="00B83146"/>
    <w:pPr>
      <w:tabs>
        <w:tab w:val="center" w:pos="4680"/>
        <w:tab w:val="right" w:pos="9360"/>
      </w:tabs>
    </w:pPr>
  </w:style>
  <w:style w:type="character" w:customStyle="1" w:styleId="HeaderChar">
    <w:name w:val="Header Char"/>
    <w:basedOn w:val="DefaultParagraphFont"/>
    <w:link w:val="Header"/>
    <w:uiPriority w:val="99"/>
    <w:rsid w:val="00B83146"/>
  </w:style>
  <w:style w:type="paragraph" w:styleId="Footer">
    <w:name w:val="footer"/>
    <w:basedOn w:val="Normal"/>
    <w:link w:val="FooterChar"/>
    <w:uiPriority w:val="99"/>
    <w:unhideWhenUsed/>
    <w:rsid w:val="00B83146"/>
    <w:pPr>
      <w:tabs>
        <w:tab w:val="center" w:pos="4680"/>
        <w:tab w:val="right" w:pos="9360"/>
      </w:tabs>
    </w:pPr>
  </w:style>
  <w:style w:type="character" w:customStyle="1" w:styleId="FooterChar">
    <w:name w:val="Footer Char"/>
    <w:basedOn w:val="DefaultParagraphFont"/>
    <w:link w:val="Footer"/>
    <w:uiPriority w:val="99"/>
    <w:rsid w:val="00B83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180364">
      <w:bodyDiv w:val="1"/>
      <w:marLeft w:val="0"/>
      <w:marRight w:val="0"/>
      <w:marTop w:val="0"/>
      <w:marBottom w:val="0"/>
      <w:divBdr>
        <w:top w:val="none" w:sz="0" w:space="0" w:color="auto"/>
        <w:left w:val="none" w:sz="0" w:space="0" w:color="auto"/>
        <w:bottom w:val="none" w:sz="0" w:space="0" w:color="auto"/>
        <w:right w:val="none" w:sz="0" w:space="0" w:color="auto"/>
      </w:divBdr>
      <w:divsChild>
        <w:div w:id="593514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8379684">
      <w:bodyDiv w:val="1"/>
      <w:marLeft w:val="0"/>
      <w:marRight w:val="0"/>
      <w:marTop w:val="0"/>
      <w:marBottom w:val="0"/>
      <w:divBdr>
        <w:top w:val="none" w:sz="0" w:space="0" w:color="auto"/>
        <w:left w:val="none" w:sz="0" w:space="0" w:color="auto"/>
        <w:bottom w:val="none" w:sz="0" w:space="0" w:color="auto"/>
        <w:right w:val="none" w:sz="0" w:space="0" w:color="auto"/>
      </w:divBdr>
      <w:divsChild>
        <w:div w:id="161435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1321518">
      <w:bodyDiv w:val="1"/>
      <w:marLeft w:val="0"/>
      <w:marRight w:val="0"/>
      <w:marTop w:val="0"/>
      <w:marBottom w:val="0"/>
      <w:divBdr>
        <w:top w:val="none" w:sz="0" w:space="0" w:color="auto"/>
        <w:left w:val="none" w:sz="0" w:space="0" w:color="auto"/>
        <w:bottom w:val="none" w:sz="0" w:space="0" w:color="auto"/>
        <w:right w:val="none" w:sz="0" w:space="0" w:color="auto"/>
      </w:divBdr>
      <w:divsChild>
        <w:div w:id="4501268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220676">
      <w:bodyDiv w:val="1"/>
      <w:marLeft w:val="0"/>
      <w:marRight w:val="0"/>
      <w:marTop w:val="0"/>
      <w:marBottom w:val="0"/>
      <w:divBdr>
        <w:top w:val="none" w:sz="0" w:space="0" w:color="auto"/>
        <w:left w:val="none" w:sz="0" w:space="0" w:color="auto"/>
        <w:bottom w:val="none" w:sz="0" w:space="0" w:color="auto"/>
        <w:right w:val="none" w:sz="0" w:space="0" w:color="auto"/>
      </w:divBdr>
      <w:divsChild>
        <w:div w:id="6126349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7854975">
      <w:bodyDiv w:val="1"/>
      <w:marLeft w:val="0"/>
      <w:marRight w:val="0"/>
      <w:marTop w:val="0"/>
      <w:marBottom w:val="0"/>
      <w:divBdr>
        <w:top w:val="none" w:sz="0" w:space="0" w:color="auto"/>
        <w:left w:val="none" w:sz="0" w:space="0" w:color="auto"/>
        <w:bottom w:val="none" w:sz="0" w:space="0" w:color="auto"/>
        <w:right w:val="none" w:sz="0" w:space="0" w:color="auto"/>
      </w:divBdr>
      <w:divsChild>
        <w:div w:id="1941835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684839">
      <w:bodyDiv w:val="1"/>
      <w:marLeft w:val="0"/>
      <w:marRight w:val="0"/>
      <w:marTop w:val="0"/>
      <w:marBottom w:val="0"/>
      <w:divBdr>
        <w:top w:val="none" w:sz="0" w:space="0" w:color="auto"/>
        <w:left w:val="none" w:sz="0" w:space="0" w:color="auto"/>
        <w:bottom w:val="none" w:sz="0" w:space="0" w:color="auto"/>
        <w:right w:val="none" w:sz="0" w:space="0" w:color="auto"/>
      </w:divBdr>
      <w:divsChild>
        <w:div w:id="670255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8114527">
      <w:bodyDiv w:val="1"/>
      <w:marLeft w:val="0"/>
      <w:marRight w:val="0"/>
      <w:marTop w:val="0"/>
      <w:marBottom w:val="0"/>
      <w:divBdr>
        <w:top w:val="none" w:sz="0" w:space="0" w:color="auto"/>
        <w:left w:val="none" w:sz="0" w:space="0" w:color="auto"/>
        <w:bottom w:val="none" w:sz="0" w:space="0" w:color="auto"/>
        <w:right w:val="none" w:sz="0" w:space="0" w:color="auto"/>
      </w:divBdr>
      <w:divsChild>
        <w:div w:id="925697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9957">
      <w:bodyDiv w:val="1"/>
      <w:marLeft w:val="0"/>
      <w:marRight w:val="0"/>
      <w:marTop w:val="0"/>
      <w:marBottom w:val="0"/>
      <w:divBdr>
        <w:top w:val="none" w:sz="0" w:space="0" w:color="auto"/>
        <w:left w:val="none" w:sz="0" w:space="0" w:color="auto"/>
        <w:bottom w:val="none" w:sz="0" w:space="0" w:color="auto"/>
        <w:right w:val="none" w:sz="0" w:space="0" w:color="auto"/>
      </w:divBdr>
      <w:divsChild>
        <w:div w:id="281613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5683</TotalTime>
  <Pages>23</Pages>
  <Words>11019</Words>
  <Characters>62813</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10</cp:revision>
  <dcterms:created xsi:type="dcterms:W3CDTF">2026-08-29T11:54:00Z</dcterms:created>
  <dcterms:modified xsi:type="dcterms:W3CDTF">2026-09-03T10:49:00Z</dcterms:modified>
</cp:coreProperties>
</file>