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8DC19" w14:textId="77777777" w:rsidR="00392B36" w:rsidRPr="00392B36" w:rsidRDefault="00392B36" w:rsidP="00392B36">
      <w:pPr>
        <w:spacing w:after="280" w:line="288" w:lineRule="auto"/>
        <w:jc w:val="center"/>
        <w:rPr>
          <w:b/>
          <w:bCs/>
          <w:i/>
          <w:iCs/>
          <w:sz w:val="30"/>
          <w:szCs w:val="30"/>
          <w:u w:val="single"/>
          <w:lang w:val="en-US"/>
        </w:rPr>
      </w:pPr>
      <w:r w:rsidRPr="00392B36">
        <w:rPr>
          <w:b/>
          <w:bCs/>
          <w:i/>
          <w:iCs/>
          <w:sz w:val="30"/>
          <w:szCs w:val="30"/>
          <w:u w:val="single"/>
          <w:lang w:val="en-US"/>
        </w:rPr>
        <w:t>Systematic Review</w:t>
      </w:r>
    </w:p>
    <w:p w14:paraId="7B0C5691" w14:textId="77777777" w:rsidR="0039479F" w:rsidRDefault="00000000">
      <w:pPr>
        <w:spacing w:after="280" w:line="288" w:lineRule="auto"/>
        <w:jc w:val="center"/>
      </w:pPr>
      <w:r>
        <w:rPr>
          <w:b/>
          <w:bCs/>
          <w:sz w:val="30"/>
          <w:szCs w:val="30"/>
        </w:rPr>
        <w:t>Rapid Differential Diagnosis of Non-Traumatic Headache in the Emergency Department: A Systematic Review and Evidence-Based Diagnostic Algorithm for Identifying Life-Threatening Secondary Headaches</w:t>
      </w:r>
    </w:p>
    <w:p w14:paraId="5AC26A53" w14:textId="77777777" w:rsidR="00E064B9" w:rsidRDefault="00E064B9">
      <w:pPr>
        <w:pStyle w:val="Heading1"/>
        <w:keepNext/>
        <w:spacing w:before="280" w:after="140"/>
      </w:pPr>
    </w:p>
    <w:p w14:paraId="76F8F4B8" w14:textId="51F5B8E1" w:rsidR="0039479F" w:rsidRDefault="00000000">
      <w:pPr>
        <w:pStyle w:val="Heading1"/>
        <w:keepNext/>
        <w:spacing w:before="280" w:after="140"/>
      </w:pPr>
      <w:r>
        <w:t>Abstract</w:t>
      </w:r>
    </w:p>
    <w:p w14:paraId="47D1255D" w14:textId="77777777" w:rsidR="0039479F" w:rsidRDefault="00000000">
      <w:pPr>
        <w:spacing w:after="140"/>
        <w:jc w:val="both"/>
      </w:pPr>
      <w:r>
        <w:rPr>
          <w:b/>
          <w:bCs/>
        </w:rPr>
        <w:t>Background.</w:t>
      </w:r>
      <w:r>
        <w:t xml:space="preserve"> Non-traumatic headache accounts for a substantial minority of emergency department (ED) attendances. Only a small proportion of these presentations arise from a life-threatening secondary cause, but the consequences of a missed diagnosis are severe. Guidance concentrates heavily on subarachnoid haemorrhage, and it is unclear how the wider differential should be structured at the bedside.</w:t>
      </w:r>
    </w:p>
    <w:p w14:paraId="3D9337A1" w14:textId="77777777" w:rsidR="0039479F" w:rsidRDefault="00000000">
      <w:pPr>
        <w:spacing w:after="140"/>
        <w:jc w:val="both"/>
      </w:pPr>
      <w:r>
        <w:rPr>
          <w:b/>
          <w:bCs/>
        </w:rPr>
        <w:t>Objective.</w:t>
      </w:r>
      <w:r>
        <w:t xml:space="preserve"> To synthesise, without meta-analysis, the accuracy and diagnostic yield of clinical features, decision rules, imaging, cerebrospinal fluid analysis, biomarkers and bedside adjunct tests for identifying life-threatening secondary headache in adults presenting to the ED with non-traumatic headache, and to derive an evidence-based diagnostic algorithm.</w:t>
      </w:r>
    </w:p>
    <w:p w14:paraId="53C9E2F8" w14:textId="3C76546D" w:rsidR="0039479F" w:rsidRDefault="00000000">
      <w:pPr>
        <w:spacing w:after="140"/>
        <w:jc w:val="both"/>
      </w:pPr>
      <w:r>
        <w:rPr>
          <w:b/>
          <w:bCs/>
        </w:rPr>
        <w:t>Methods.</w:t>
      </w:r>
      <w:r>
        <w:t xml:space="preserve"> PubMed/MEDLINE (two strands), Europe PMC and ClinicalTrials.gov were searched on 30 June 2026 for reports published between 1 January 2000 and 30 June 2026, supplemented by forward and backward citation searching. Eligible studies enrolled adults presenting to an ED or equivalent acute assessment setting with non-traumatic headache and reported diagnostic accuracy, or the frequency of a serious secondary cause within a defined denominator or index-test stratum. One reviewer screened records, extracted data and appraised studies using QUADAS-2. Synthesis was by structured tabulation and narrative comparison grouped by index test, with no statistical pooling. Confidence in the body of evidence was assessed using a structured, explicitly labelled framework.</w:t>
      </w:r>
    </w:p>
    <w:p w14:paraId="031528E0" w14:textId="77777777" w:rsidR="0039479F" w:rsidRDefault="00000000">
      <w:pPr>
        <w:spacing w:after="140"/>
        <w:jc w:val="both"/>
      </w:pPr>
      <w:r>
        <w:rPr>
          <w:b/>
          <w:bCs/>
        </w:rPr>
        <w:t>Results.</w:t>
      </w:r>
      <w:r>
        <w:t xml:space="preserve"> Of 6,465 unique records screened, 199 studies (210 reports) were included, conducted in 34 countries; 57 reports described prospective designs and 128 retrospective designs. A serious secondary cause was identified in approximately 5% to 13% of ED non-traumatic headache populations, and in 10.9% of thunderclap presentations. A normal neurological examination did not exclude a serious cause (4.8% of such patients). Composite decision rules were highly sensitive but poorly specific: the Ottawa Subarachnoid Haemorrhage Rule reached 100% sensitivity in several validation cohorts with specificity of 13.6% to 37.0%, and applied to fewer than one quarter of ED headache presentations. Non-contrast CT performed within six hours of headache onset reached sensitivities of 97% to 100% with negative predictive values of 99.6% to 99.9%, falling to approximately 90% beyond six hours. After a negative CT, the diagnostic yield of lumbar puncture was 0.4% to 1%, against a complication rate of about 6%, although 7% of confirmed haemorrhages were still identified only by lumbar puncture. Jolt accentuation of headache showed sensitivities from 21% to 75% and cannot exclude meningitis. Selected adjuncts, including D-dimer combined with a clinical probability score for cerebral venous thrombosis and non-mydriatic fundus photography for papilloedema, showed useful rule-out or detection properties. Only 5 of 210 reports were at low risk of bias across all four QUADAS-2 domains; index-test blinding was unclear in 182 reports.</w:t>
      </w:r>
    </w:p>
    <w:p w14:paraId="5DCDD89D" w14:textId="77777777" w:rsidR="0039479F" w:rsidRDefault="00000000">
      <w:pPr>
        <w:spacing w:after="140"/>
        <w:jc w:val="both"/>
      </w:pPr>
      <w:r>
        <w:rPr>
          <w:b/>
          <w:bCs/>
        </w:rPr>
        <w:t>Conclusions.</w:t>
      </w:r>
      <w:r>
        <w:t xml:space="preserve"> The evidence supports a staged, time-anchored diagnostic pathway in which a validated rule determines who requires investigation, early non-contrast CT does most of the diagnostic work for subarachnoid haemorrhage, and phenotype-directed second-line tests address the conditions a normal CT does not exclude. Confidence in the underlying evidence is low to moderate, dominated by single-centre retrospective studies with incomplete reporting, and the proposed algorithm requires prospective external validation before implementation.</w:t>
      </w:r>
    </w:p>
    <w:p w14:paraId="3CFBE491" w14:textId="77777777" w:rsidR="0039479F" w:rsidRDefault="00000000">
      <w:pPr>
        <w:spacing w:after="140"/>
        <w:jc w:val="both"/>
      </w:pPr>
      <w:r>
        <w:rPr>
          <w:b/>
          <w:bCs/>
        </w:rPr>
        <w:t>Funding.</w:t>
      </w:r>
      <w:r>
        <w:t xml:space="preserve"> No funding was received.</w:t>
      </w:r>
    </w:p>
    <w:p w14:paraId="267C5DE0" w14:textId="77777777" w:rsidR="0039479F" w:rsidRDefault="00000000">
      <w:pPr>
        <w:spacing w:after="140"/>
        <w:jc w:val="both"/>
      </w:pPr>
      <w:r>
        <w:rPr>
          <w:b/>
          <w:bCs/>
        </w:rPr>
        <w:lastRenderedPageBreak/>
        <w:t>Registration.</w:t>
      </w:r>
      <w:r>
        <w:t xml:space="preserve"> The review was not registered and no prospective public protocol was available.</w:t>
      </w:r>
    </w:p>
    <w:p w14:paraId="4A19540A" w14:textId="77777777" w:rsidR="0039479F" w:rsidRDefault="00000000">
      <w:pPr>
        <w:pStyle w:val="Heading1"/>
        <w:keepNext/>
        <w:spacing w:before="280" w:after="140"/>
      </w:pPr>
      <w:r>
        <w:t>Keywords</w:t>
      </w:r>
    </w:p>
    <w:p w14:paraId="48B9E963" w14:textId="77777777" w:rsidR="0039479F" w:rsidRDefault="00000000">
      <w:pPr>
        <w:spacing w:after="140"/>
        <w:jc w:val="both"/>
      </w:pPr>
      <w:r>
        <w:t>Headache; Emergency Service, Hospital; Subarachnoid Hemorrhage; Diagnosis, Differential; Sensitivity and Specificity; Clinical Decision Rules; Neuroimaging; Spinal Puncture</w:t>
      </w:r>
    </w:p>
    <w:p w14:paraId="1F3B4812" w14:textId="1897D8FC" w:rsidR="0039479F" w:rsidRDefault="0039479F"/>
    <w:p w14:paraId="40488A7E" w14:textId="77777777" w:rsidR="0039479F" w:rsidRDefault="00000000">
      <w:pPr>
        <w:pStyle w:val="Heading1"/>
        <w:keepNext/>
        <w:spacing w:before="280" w:after="140"/>
      </w:pPr>
      <w:r>
        <w:t>1. Introduction</w:t>
      </w:r>
    </w:p>
    <w:p w14:paraId="39F5E734" w14:textId="77777777" w:rsidR="0039479F" w:rsidRDefault="00000000">
      <w:pPr>
        <w:spacing w:after="140"/>
        <w:jc w:val="both"/>
      </w:pPr>
      <w:r>
        <w:t>Headache is among the most frequent reasons for attendance at emergency departments (EDs) worldwide. In a multinational cross-sectional study of 4,536 adults across 67 hospitals in 10 countries, non-traumatic headache was the main presenting complaint in a consistent share of attendances, and more than 30 distinct discharge diagnoses were recorded (Kelly et al., 2021). In single-centre and statewide series, headache has accounted for between 0.5% and 10.1% of ED presentations (Handschin et al., 2020; Locker et al., 2004; Rueda-Sánchez et al., 2005). The overwhelming majority of these presentations are caused by primary headache disorders that carry no threat to life, and the central task of the emergency clinician is therefore not to diagnose the headache but to exclude the minority of secondary causes in which delay produces death or permanent disability.</w:t>
      </w:r>
    </w:p>
    <w:p w14:paraId="29B39128" w14:textId="77777777" w:rsidR="0039479F" w:rsidRDefault="00000000">
      <w:pPr>
        <w:spacing w:after="140"/>
        <w:jc w:val="both"/>
      </w:pPr>
      <w:r>
        <w:t>That minority is small but consequential. Aneurysmal subarachnoid haemorrhage (SAH) is the archetype: in a population-based linked-data study in Queensland, Australia, SAH was found in 1.9% (95% CI 1.8–2.0) of ED patients presenting with headache, with an in-hospital mortality of 23.8% (95% CI 22.0–25.8) (Chu et al., 2018b). Yet SAH is only one of a family of time-critical diagnoses that present with headache, including cerebral venous thrombosis, cervical artery dissection, bacterial meningitis and encephalitis, reversible cerebral vasoconstriction syndrome, posterior reversible encephalopathy syndrome, pituitary apoplexy, raised intracranial pressure, giant cell arteritis and carbon monoxide poisoning. Each has a different optimal test, and several are not excluded by the test that dominates ED practice, namely non-contrast computed tomography (CT) of the head.</w:t>
      </w:r>
    </w:p>
    <w:p w14:paraId="68D46825" w14:textId="77777777" w:rsidR="0039479F" w:rsidRDefault="00000000">
      <w:pPr>
        <w:spacing w:after="140"/>
        <w:jc w:val="both"/>
      </w:pPr>
      <w:r>
        <w:t>Three features make this a difficult diagnostic problem. First, the pre-test probability of serious disease is low, so tests with even modest false-positive rates generate large numbers of unnecessary downstream investigations. Second, the discriminating clinical features overlap substantially between benign and dangerous causes: in a prospective diagnostic work-up of patients investigated for suspected SAH, patient characteristics, conditions at onset and accompanying symptoms were similar across 30 different diagnostic groups (Bø et al., 2008). Third, the accuracy of the principal rule-out test is time-dependent, so a decision that is safe at four hours from onset may not be safe at twelve.</w:t>
      </w:r>
    </w:p>
    <w:p w14:paraId="37AC519F" w14:textId="77777777" w:rsidR="0039479F" w:rsidRDefault="00000000">
      <w:pPr>
        <w:spacing w:after="140"/>
        <w:jc w:val="both"/>
      </w:pPr>
      <w:r>
        <w:t>Existing guidance addresses part of this problem. Clinical policies and classification systems provide criteria for investigating suspected SAH and for classifying headache disorders (American College of Emergency Physicians, 2019; Anonymous, 2018), and consensus red-flag lists such as SNNOOP10 propose features that should prompt further evaluation (Do et al., 2019). However, these instruments are largely oriented towards a single target condition or towards classification rather than triage, and the evidence underpinning the wider differential has not been synthesised in a form that maps onto the sequence of decisions an emergency clinician actually makes. Previous syntheses have concentrated on SAH decision rules or on the sensitivity of early CT, leaving the accuracy of second-line and condition-specific tests, and the interaction between them, largely uncollated.</w:t>
      </w:r>
    </w:p>
    <w:p w14:paraId="68C4161A" w14:textId="77777777" w:rsidR="0039479F" w:rsidRDefault="00000000">
      <w:pPr>
        <w:spacing w:after="140"/>
        <w:jc w:val="both"/>
      </w:pPr>
      <w:r>
        <w:t xml:space="preserve">This review therefore had two objectives. The primary objective was to determine, in adults presenting to an ED with non-traumatic headache, the diagnostic accuracy and diagnostic yield of clinical features, composite clinical decision rules, neuroimaging, cerebrospinal fluid (CSF) analysis, blood biomarkers and bedside adjunct tests for identifying a life-threatening secondary headache. The secondary objective was to use that synthesis to derive an explicit, staged diagnostic algorithm, and to state the confidence that can reasonably be placed in each of its components. Because the eligible studies differ fundamentally in population definition, index test, threshold, </w:t>
      </w:r>
      <w:r>
        <w:lastRenderedPageBreak/>
        <w:t>reference standard and target condition, the review was conducted and reported as a systematic review without meta-analysis.</w:t>
      </w:r>
    </w:p>
    <w:p w14:paraId="4590DF60" w14:textId="77777777" w:rsidR="0039479F" w:rsidRDefault="00000000">
      <w:pPr>
        <w:pStyle w:val="Heading1"/>
        <w:keepNext/>
        <w:spacing w:before="280" w:after="140"/>
      </w:pPr>
      <w:r>
        <w:t>2. Methods</w:t>
      </w:r>
    </w:p>
    <w:p w14:paraId="61D65059" w14:textId="77777777" w:rsidR="0039479F" w:rsidRDefault="00000000">
      <w:pPr>
        <w:pStyle w:val="Heading2"/>
        <w:keepNext/>
        <w:spacing w:before="220" w:after="110"/>
      </w:pPr>
      <w:r>
        <w:t>2.1 Reporting frameworks</w:t>
      </w:r>
    </w:p>
    <w:p w14:paraId="75D54470" w14:textId="77777777" w:rsidR="0039479F" w:rsidRDefault="00000000">
      <w:pPr>
        <w:spacing w:after="140"/>
        <w:jc w:val="both"/>
      </w:pPr>
      <w:r>
        <w:t>The review was conducted and reported in accordance with the PRISMA 2020 statement (Page et al., 2021), the PRISMA extension for diagnostic test accuracy reviews (McInnes et al., 2018), PRISMA-S for the reporting of literature searches (Rethlefsen et al., 2021), PRISMA for Abstracts (Beller et al., 2013), and the SWiM reporting guideline for synthesis without meta-analysis (Campbell et al., 2020). Completed checklists are provided in Supplementary material S7.</w:t>
      </w:r>
    </w:p>
    <w:p w14:paraId="11AF824A" w14:textId="77777777" w:rsidR="0039479F" w:rsidRDefault="00000000">
      <w:pPr>
        <w:pStyle w:val="Heading2"/>
        <w:keepNext/>
        <w:spacing w:before="220" w:after="110"/>
      </w:pPr>
      <w:r>
        <w:t>2.2 Protocol and registration</w:t>
      </w:r>
    </w:p>
    <w:p w14:paraId="1525FF44" w14:textId="77777777" w:rsidR="0039479F" w:rsidRDefault="00000000">
      <w:pPr>
        <w:spacing w:after="140"/>
        <w:jc w:val="both"/>
      </w:pPr>
      <w:r>
        <w:t>The review was not registered and no prospective public protocol was available. All methodological decisions described below were specified before the corresponding step was executed, and the two substantive deviations that arose during conduct are reported explicitly in Section 2.13.</w:t>
      </w:r>
    </w:p>
    <w:p w14:paraId="6DBE97E3" w14:textId="77777777" w:rsidR="0039479F" w:rsidRDefault="00000000">
      <w:pPr>
        <w:pStyle w:val="Heading2"/>
        <w:keepNext/>
        <w:spacing w:before="220" w:after="110"/>
      </w:pPr>
      <w:r>
        <w:t>2.3 Review question and framework</w:t>
      </w:r>
    </w:p>
    <w:p w14:paraId="43D5C48B" w14:textId="77777777" w:rsidR="0039479F" w:rsidRDefault="00000000">
      <w:pPr>
        <w:spacing w:after="140"/>
        <w:jc w:val="both"/>
      </w:pPr>
      <w:r>
        <w:t>The review type is diagnostic accuracy, and the question was framed using the participants, index test, comparator, reference standard and target condition structure recommended for such reviews. The primary review question was: among adults presenting to an emergency department with non-traumatic headache, what is the accuracy of clinical features, composite clinical decision rules, neuroimaging, cerebrospinal fluid analysis, blood biomarkers and bedside adjunct tests for identifying a life-threatening secondary headache? Secondary questions addressed the pre-test probability of a serious secondary cause in this population, the frequency and character of missed diagnoses after ED discharge, and the extent to which the available evidence supports a staged diagnostic algorithm.</w:t>
      </w:r>
    </w:p>
    <w:p w14:paraId="7AE1E3AE" w14:textId="77777777" w:rsidR="0039479F" w:rsidRDefault="00000000">
      <w:pPr>
        <w:spacing w:after="140"/>
        <w:jc w:val="both"/>
      </w:pPr>
      <w:r>
        <w:t>Life-threatening secondary headache was defined a priori as any secondary headache disorder in which delayed recognition could reasonably result in death or permanent neurological, visual or systemic disability. The conditions falling within this definition were subarachnoid haemorrhage and other intracranial haemorrhage, ischaemic stroke presenting with headache, cerebral venous thrombosis, cervical or intracranial arterial dissection, bacterial and viral meningitis and encephalitis, brain abscess, reversible cerebral vasoconstriction syndrome, posterior reversible encephalopathy syndrome, pituitary apoplexy, intracranial neoplasm, acute hydrocephalus and shunt malfunction, raised intracranial pressure including idiopathic intracranial hypertension, hypertensive emergency, giant cell arteritis, acute angle-closure glaucoma and carbon monoxide poisoning.</w:t>
      </w:r>
    </w:p>
    <w:p w14:paraId="46E88C96" w14:textId="77777777" w:rsidR="0039479F" w:rsidRDefault="00000000">
      <w:pPr>
        <w:pStyle w:val="Heading2"/>
        <w:keepNext/>
        <w:spacing w:before="220" w:after="110"/>
      </w:pPr>
      <w:r>
        <w:t>2.4 Eligibility criteria</w:t>
      </w:r>
    </w:p>
    <w:p w14:paraId="6266326D" w14:textId="77777777" w:rsidR="0039479F" w:rsidRDefault="00000000">
      <w:pPr>
        <w:spacing w:after="140"/>
        <w:jc w:val="both"/>
      </w:pPr>
      <w:r>
        <w:t>Eligibility criteria were derived from the review question and are set out in full in Table 1. Several criteria warrant justification. The review was restricted to adults because the differential diagnosis, the applicable decision rules and the reference standards for paediatric non-traumatic headache differ materially from those in adults, and combining the two would have produced a clinically incoherent synthesis. Studies were required to define their population by the presenting complaint of non-traumatic headache, or to report results separately for such a subgroup, so that the reported accuracy reflects the decision an emergency clinician actually faces. Studies whose population was defined by having already received an investigation, or by having a confirmed diagnosis, were eligible only where an interpretable denominator was retained, because designs that enrol only confirmed cases can estimate sensitivity but not specificity or predictive values, and are prone to spectrum bias. Case reports, narrative and systematic reviews, editorials, decision-analytic and economic models, physician surveys and preprints were excluded as designs that cannot contribute primary accuracy data, although systematic reviews and clinical policies were retained as sources for citation searching.</w:t>
      </w:r>
    </w:p>
    <w:p w14:paraId="05A97AEF" w14:textId="77777777" w:rsidR="0039479F" w:rsidRDefault="00000000">
      <w:pPr>
        <w:spacing w:after="140"/>
        <w:jc w:val="both"/>
      </w:pPr>
      <w:r>
        <w:lastRenderedPageBreak/>
        <w:t>Table 1 states each criterion and its justification. Applying it consistently is what makes the boundary of the evidence base auditable, and several of the exclusions it generated (for example, studies of giant cell arteritis conducted outside emergency settings) are themselves informative about where evidence for this clinical problem is missing.</w:t>
      </w:r>
    </w:p>
    <w:p w14:paraId="51DDD58D" w14:textId="77777777" w:rsidR="0039479F" w:rsidRDefault="00000000">
      <w:pPr>
        <w:keepNext/>
        <w:spacing w:before="200" w:after="90"/>
      </w:pPr>
      <w:r>
        <w:rPr>
          <w:b/>
          <w:bCs/>
          <w:sz w:val="21"/>
          <w:szCs w:val="21"/>
        </w:rPr>
        <w:t>Table 1. Eligibility criteria and their justification</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183"/>
        <w:gridCol w:w="2959"/>
        <w:gridCol w:w="2565"/>
        <w:gridCol w:w="3159"/>
      </w:tblGrid>
      <w:tr w:rsidR="0039479F" w14:paraId="727908F7" w14:textId="77777777">
        <w:trPr>
          <w:tblHeader/>
        </w:trPr>
        <w:tc>
          <w:tcPr>
            <w:tcW w:w="1183" w:type="dxa"/>
            <w:shd w:val="clear" w:color="auto" w:fill="F2F2F2"/>
            <w:tcMar>
              <w:top w:w="40" w:type="dxa"/>
              <w:left w:w="70" w:type="dxa"/>
              <w:bottom w:w="40" w:type="dxa"/>
              <w:right w:w="70" w:type="dxa"/>
            </w:tcMar>
          </w:tcPr>
          <w:p w14:paraId="46565AF0" w14:textId="77777777" w:rsidR="0039479F" w:rsidRDefault="00000000">
            <w:pPr>
              <w:spacing w:line="216" w:lineRule="auto"/>
            </w:pPr>
            <w:r>
              <w:rPr>
                <w:b/>
                <w:bCs/>
                <w:sz w:val="16"/>
                <w:szCs w:val="16"/>
              </w:rPr>
              <w:t>Domain</w:t>
            </w:r>
          </w:p>
        </w:tc>
        <w:tc>
          <w:tcPr>
            <w:tcW w:w="2959" w:type="dxa"/>
            <w:shd w:val="clear" w:color="auto" w:fill="F2F2F2"/>
            <w:tcMar>
              <w:top w:w="40" w:type="dxa"/>
              <w:left w:w="70" w:type="dxa"/>
              <w:bottom w:w="40" w:type="dxa"/>
              <w:right w:w="70" w:type="dxa"/>
            </w:tcMar>
          </w:tcPr>
          <w:p w14:paraId="79EB856C" w14:textId="77777777" w:rsidR="0039479F" w:rsidRDefault="00000000">
            <w:pPr>
              <w:spacing w:line="216" w:lineRule="auto"/>
            </w:pPr>
            <w:r>
              <w:rPr>
                <w:b/>
                <w:bCs/>
                <w:sz w:val="16"/>
                <w:szCs w:val="16"/>
              </w:rPr>
              <w:t>Inclusion criteria</w:t>
            </w:r>
          </w:p>
        </w:tc>
        <w:tc>
          <w:tcPr>
            <w:tcW w:w="2565" w:type="dxa"/>
            <w:shd w:val="clear" w:color="auto" w:fill="F2F2F2"/>
            <w:tcMar>
              <w:top w:w="40" w:type="dxa"/>
              <w:left w:w="70" w:type="dxa"/>
              <w:bottom w:w="40" w:type="dxa"/>
              <w:right w:w="70" w:type="dxa"/>
            </w:tcMar>
          </w:tcPr>
          <w:p w14:paraId="5B6A7113" w14:textId="77777777" w:rsidR="0039479F" w:rsidRDefault="00000000">
            <w:pPr>
              <w:spacing w:line="216" w:lineRule="auto"/>
            </w:pPr>
            <w:r>
              <w:rPr>
                <w:b/>
                <w:bCs/>
                <w:sz w:val="16"/>
                <w:szCs w:val="16"/>
              </w:rPr>
              <w:t>Exclusion criteria</w:t>
            </w:r>
          </w:p>
        </w:tc>
        <w:tc>
          <w:tcPr>
            <w:tcW w:w="3159" w:type="dxa"/>
            <w:shd w:val="clear" w:color="auto" w:fill="F2F2F2"/>
            <w:tcMar>
              <w:top w:w="40" w:type="dxa"/>
              <w:left w:w="70" w:type="dxa"/>
              <w:bottom w:w="40" w:type="dxa"/>
              <w:right w:w="70" w:type="dxa"/>
            </w:tcMar>
          </w:tcPr>
          <w:p w14:paraId="1D80D506" w14:textId="77777777" w:rsidR="0039479F" w:rsidRDefault="00000000">
            <w:pPr>
              <w:spacing w:line="216" w:lineRule="auto"/>
            </w:pPr>
            <w:r>
              <w:rPr>
                <w:b/>
                <w:bCs/>
                <w:sz w:val="16"/>
                <w:szCs w:val="16"/>
              </w:rPr>
              <w:t>Justification</w:t>
            </w:r>
          </w:p>
        </w:tc>
      </w:tr>
      <w:tr w:rsidR="0039479F" w14:paraId="3D379DDF" w14:textId="77777777">
        <w:tc>
          <w:tcPr>
            <w:tcW w:w="1183" w:type="dxa"/>
            <w:tcMar>
              <w:top w:w="40" w:type="dxa"/>
              <w:left w:w="70" w:type="dxa"/>
              <w:bottom w:w="40" w:type="dxa"/>
              <w:right w:w="70" w:type="dxa"/>
            </w:tcMar>
          </w:tcPr>
          <w:p w14:paraId="2859D801" w14:textId="77777777" w:rsidR="0039479F" w:rsidRDefault="00000000">
            <w:pPr>
              <w:spacing w:line="216" w:lineRule="auto"/>
            </w:pPr>
            <w:r>
              <w:rPr>
                <w:sz w:val="16"/>
                <w:szCs w:val="16"/>
              </w:rPr>
              <w:t>Population</w:t>
            </w:r>
          </w:p>
        </w:tc>
        <w:tc>
          <w:tcPr>
            <w:tcW w:w="2959" w:type="dxa"/>
            <w:tcMar>
              <w:top w:w="40" w:type="dxa"/>
              <w:left w:w="70" w:type="dxa"/>
              <w:bottom w:w="40" w:type="dxa"/>
              <w:right w:w="70" w:type="dxa"/>
            </w:tcMar>
          </w:tcPr>
          <w:p w14:paraId="19C063F9" w14:textId="77777777" w:rsidR="0039479F" w:rsidRDefault="00000000">
            <w:pPr>
              <w:spacing w:line="216" w:lineRule="auto"/>
            </w:pPr>
            <w:r>
              <w:rPr>
                <w:sz w:val="16"/>
                <w:szCs w:val="16"/>
              </w:rPr>
              <w:t>Adults (aged 16 years or older, or a study population described as adult) presenting to an emergency department or an equivalent acute assessment unit with non-traumatic headache as the presenting complaint; or a broader acute population in which results for the non-traumatic headache subgroup are reported separately.</w:t>
            </w:r>
          </w:p>
        </w:tc>
        <w:tc>
          <w:tcPr>
            <w:tcW w:w="2565" w:type="dxa"/>
            <w:tcMar>
              <w:top w:w="40" w:type="dxa"/>
              <w:left w:w="70" w:type="dxa"/>
              <w:bottom w:w="40" w:type="dxa"/>
              <w:right w:w="70" w:type="dxa"/>
            </w:tcMar>
          </w:tcPr>
          <w:p w14:paraId="04C8177C" w14:textId="77777777" w:rsidR="0039479F" w:rsidRDefault="00000000">
            <w:pPr>
              <w:spacing w:line="216" w:lineRule="auto"/>
            </w:pPr>
            <w:r>
              <w:rPr>
                <w:sz w:val="16"/>
                <w:szCs w:val="16"/>
              </w:rPr>
              <w:t>Paediatric-only populations; populations defined by head trauma; populations defined by another presenting complaint (for example vertigo, delirium, syncope) without separate headache results; populations defined by a comorbidity (for example HIV infection, hypertension) rather than by headache.</w:t>
            </w:r>
          </w:p>
        </w:tc>
        <w:tc>
          <w:tcPr>
            <w:tcW w:w="3159" w:type="dxa"/>
            <w:tcMar>
              <w:top w:w="40" w:type="dxa"/>
              <w:left w:w="70" w:type="dxa"/>
              <w:bottom w:w="40" w:type="dxa"/>
              <w:right w:w="70" w:type="dxa"/>
            </w:tcMar>
          </w:tcPr>
          <w:p w14:paraId="0B39A33A" w14:textId="77777777" w:rsidR="0039479F" w:rsidRDefault="00000000">
            <w:pPr>
              <w:spacing w:line="216" w:lineRule="auto"/>
            </w:pPr>
            <w:r>
              <w:rPr>
                <w:sz w:val="16"/>
                <w:szCs w:val="16"/>
              </w:rPr>
              <w:t>The differential diagnosis, applicable decision rules and reference standards differ between adults and children. Defining the population by presenting complaint preserves the clinical decision that the review is intended to inform.</w:t>
            </w:r>
          </w:p>
        </w:tc>
      </w:tr>
      <w:tr w:rsidR="0039479F" w14:paraId="699BDFB6" w14:textId="77777777">
        <w:tc>
          <w:tcPr>
            <w:tcW w:w="1183" w:type="dxa"/>
            <w:tcMar>
              <w:top w:w="40" w:type="dxa"/>
              <w:left w:w="70" w:type="dxa"/>
              <w:bottom w:w="40" w:type="dxa"/>
              <w:right w:w="70" w:type="dxa"/>
            </w:tcMar>
          </w:tcPr>
          <w:p w14:paraId="19B03786" w14:textId="77777777" w:rsidR="0039479F" w:rsidRDefault="00000000">
            <w:pPr>
              <w:spacing w:line="216" w:lineRule="auto"/>
            </w:pPr>
            <w:r>
              <w:rPr>
                <w:sz w:val="16"/>
                <w:szCs w:val="16"/>
              </w:rPr>
              <w:t>Setting</w:t>
            </w:r>
          </w:p>
        </w:tc>
        <w:tc>
          <w:tcPr>
            <w:tcW w:w="2959" w:type="dxa"/>
            <w:tcMar>
              <w:top w:w="40" w:type="dxa"/>
              <w:left w:w="70" w:type="dxa"/>
              <w:bottom w:w="40" w:type="dxa"/>
              <w:right w:w="70" w:type="dxa"/>
            </w:tcMar>
          </w:tcPr>
          <w:p w14:paraId="184EDC69" w14:textId="77777777" w:rsidR="0039479F" w:rsidRDefault="00000000">
            <w:pPr>
              <w:spacing w:line="216" w:lineRule="auto"/>
            </w:pPr>
            <w:r>
              <w:rPr>
                <w:sz w:val="16"/>
                <w:szCs w:val="16"/>
              </w:rPr>
              <w:t>Emergency department, emergency medical assessment unit, clinical decision unit, or an equivalent acute assessment service to which patients present without prior specialist selection.</w:t>
            </w:r>
          </w:p>
        </w:tc>
        <w:tc>
          <w:tcPr>
            <w:tcW w:w="2565" w:type="dxa"/>
            <w:tcMar>
              <w:top w:w="40" w:type="dxa"/>
              <w:left w:w="70" w:type="dxa"/>
              <w:bottom w:w="40" w:type="dxa"/>
              <w:right w:w="70" w:type="dxa"/>
            </w:tcMar>
          </w:tcPr>
          <w:p w14:paraId="246A5B9F" w14:textId="77777777" w:rsidR="0039479F" w:rsidRDefault="00000000">
            <w:pPr>
              <w:spacing w:line="216" w:lineRule="auto"/>
            </w:pPr>
            <w:r>
              <w:rPr>
                <w:sz w:val="16"/>
                <w:szCs w:val="16"/>
              </w:rPr>
              <w:t>Prehospital and dispatch settings; outpatient headache clinics; primary care; inpatient wards; radiology-defined populations with no emergency denominator.</w:t>
            </w:r>
          </w:p>
        </w:tc>
        <w:tc>
          <w:tcPr>
            <w:tcW w:w="3159" w:type="dxa"/>
            <w:tcMar>
              <w:top w:w="40" w:type="dxa"/>
              <w:left w:w="70" w:type="dxa"/>
              <w:bottom w:w="40" w:type="dxa"/>
              <w:right w:w="70" w:type="dxa"/>
            </w:tcMar>
          </w:tcPr>
          <w:p w14:paraId="1F49B470" w14:textId="77777777" w:rsidR="0039479F" w:rsidRDefault="00000000">
            <w:pPr>
              <w:spacing w:line="216" w:lineRule="auto"/>
            </w:pPr>
            <w:r>
              <w:rPr>
                <w:sz w:val="16"/>
                <w:szCs w:val="16"/>
              </w:rPr>
              <w:t>Test performance depends on the spectrum of disease at the point of presentation. Prehospital and specialist-clinic populations have different pre-test probabilities.</w:t>
            </w:r>
          </w:p>
        </w:tc>
      </w:tr>
      <w:tr w:rsidR="0039479F" w14:paraId="6F6FC272" w14:textId="77777777">
        <w:tc>
          <w:tcPr>
            <w:tcW w:w="1183" w:type="dxa"/>
            <w:tcMar>
              <w:top w:w="40" w:type="dxa"/>
              <w:left w:w="70" w:type="dxa"/>
              <w:bottom w:w="40" w:type="dxa"/>
              <w:right w:w="70" w:type="dxa"/>
            </w:tcMar>
          </w:tcPr>
          <w:p w14:paraId="1BE23DB5" w14:textId="77777777" w:rsidR="0039479F" w:rsidRDefault="00000000">
            <w:pPr>
              <w:spacing w:line="216" w:lineRule="auto"/>
            </w:pPr>
            <w:r>
              <w:rPr>
                <w:sz w:val="16"/>
                <w:szCs w:val="16"/>
              </w:rPr>
              <w:t>Index test</w:t>
            </w:r>
          </w:p>
        </w:tc>
        <w:tc>
          <w:tcPr>
            <w:tcW w:w="2959" w:type="dxa"/>
            <w:tcMar>
              <w:top w:w="40" w:type="dxa"/>
              <w:left w:w="70" w:type="dxa"/>
              <w:bottom w:w="40" w:type="dxa"/>
              <w:right w:w="70" w:type="dxa"/>
            </w:tcMar>
          </w:tcPr>
          <w:p w14:paraId="51661481" w14:textId="77777777" w:rsidR="0039479F" w:rsidRDefault="00000000">
            <w:pPr>
              <w:spacing w:line="216" w:lineRule="auto"/>
            </w:pPr>
            <w:r>
              <w:rPr>
                <w:sz w:val="16"/>
                <w:szCs w:val="16"/>
              </w:rPr>
              <w:t>Any clinical feature, red-flag criterion or red-flag list; any composite clinical decision rule or triage instrument; non-contrast CT; CT angiography; CT or MR venography; MRI; lumbar puncture and cerebrospinal fluid analysis; blood biomarkers; bedside adjunct tests including ocular fundus imaging, optic nerve sheath ultrasonography and pulse CO-oximetry.</w:t>
            </w:r>
          </w:p>
        </w:tc>
        <w:tc>
          <w:tcPr>
            <w:tcW w:w="2565" w:type="dxa"/>
            <w:tcMar>
              <w:top w:w="40" w:type="dxa"/>
              <w:left w:w="70" w:type="dxa"/>
              <w:bottom w:w="40" w:type="dxa"/>
              <w:right w:w="70" w:type="dxa"/>
            </w:tcMar>
          </w:tcPr>
          <w:p w14:paraId="542D8B34" w14:textId="77777777" w:rsidR="0039479F" w:rsidRDefault="00000000">
            <w:pPr>
              <w:spacing w:line="216" w:lineRule="auto"/>
            </w:pPr>
            <w:r>
              <w:rPr>
                <w:sz w:val="16"/>
                <w:szCs w:val="16"/>
              </w:rPr>
              <w:t>Tests applied only after the target condition was already established; therapeutic interventions.</w:t>
            </w:r>
          </w:p>
        </w:tc>
        <w:tc>
          <w:tcPr>
            <w:tcW w:w="3159" w:type="dxa"/>
            <w:tcMar>
              <w:top w:w="40" w:type="dxa"/>
              <w:left w:w="70" w:type="dxa"/>
              <w:bottom w:w="40" w:type="dxa"/>
              <w:right w:w="70" w:type="dxa"/>
            </w:tcMar>
          </w:tcPr>
          <w:p w14:paraId="72422AC5" w14:textId="77777777" w:rsidR="0039479F" w:rsidRDefault="00000000">
            <w:pPr>
              <w:spacing w:line="216" w:lineRule="auto"/>
            </w:pPr>
            <w:r>
              <w:rPr>
                <w:sz w:val="16"/>
                <w:szCs w:val="16"/>
              </w:rPr>
              <w:t>The review addresses the whole diagnostic pathway rather than a single modality, because the pathway is what determines patient safety.</w:t>
            </w:r>
          </w:p>
        </w:tc>
      </w:tr>
      <w:tr w:rsidR="0039479F" w14:paraId="5A62543A" w14:textId="77777777">
        <w:tc>
          <w:tcPr>
            <w:tcW w:w="1183" w:type="dxa"/>
            <w:tcMar>
              <w:top w:w="40" w:type="dxa"/>
              <w:left w:w="70" w:type="dxa"/>
              <w:bottom w:w="40" w:type="dxa"/>
              <w:right w:w="70" w:type="dxa"/>
            </w:tcMar>
          </w:tcPr>
          <w:p w14:paraId="2D838B6C" w14:textId="77777777" w:rsidR="0039479F" w:rsidRDefault="00000000">
            <w:pPr>
              <w:spacing w:line="216" w:lineRule="auto"/>
            </w:pPr>
            <w:r>
              <w:rPr>
                <w:sz w:val="16"/>
                <w:szCs w:val="16"/>
              </w:rPr>
              <w:t>Reference standard</w:t>
            </w:r>
          </w:p>
        </w:tc>
        <w:tc>
          <w:tcPr>
            <w:tcW w:w="2959" w:type="dxa"/>
            <w:tcMar>
              <w:top w:w="40" w:type="dxa"/>
              <w:left w:w="70" w:type="dxa"/>
              <w:bottom w:w="40" w:type="dxa"/>
              <w:right w:w="70" w:type="dxa"/>
            </w:tcMar>
          </w:tcPr>
          <w:p w14:paraId="2A887964" w14:textId="77777777" w:rsidR="0039479F" w:rsidRDefault="00000000">
            <w:pPr>
              <w:spacing w:line="216" w:lineRule="auto"/>
            </w:pPr>
            <w:r>
              <w:rPr>
                <w:sz w:val="16"/>
                <w:szCs w:val="16"/>
              </w:rPr>
              <w:t>A composite reference standard appropriate to the target condition, comprising neuroimaging, cerebrospinal fluid analysis, angiography, venography, biopsy, expert or specialist diagnosis, and structured clinical follow-up where applied.</w:t>
            </w:r>
          </w:p>
        </w:tc>
        <w:tc>
          <w:tcPr>
            <w:tcW w:w="2565" w:type="dxa"/>
            <w:tcMar>
              <w:top w:w="40" w:type="dxa"/>
              <w:left w:w="70" w:type="dxa"/>
              <w:bottom w:w="40" w:type="dxa"/>
              <w:right w:w="70" w:type="dxa"/>
            </w:tcMar>
          </w:tcPr>
          <w:p w14:paraId="50A5ABEC" w14:textId="77777777" w:rsidR="0039479F" w:rsidRDefault="00000000">
            <w:pPr>
              <w:spacing w:line="216" w:lineRule="auto"/>
            </w:pPr>
            <w:r>
              <w:rPr>
                <w:sz w:val="16"/>
                <w:szCs w:val="16"/>
              </w:rPr>
              <w:t>No stated reference standard; reference standard consisting solely of the index test.</w:t>
            </w:r>
          </w:p>
        </w:tc>
        <w:tc>
          <w:tcPr>
            <w:tcW w:w="3159" w:type="dxa"/>
            <w:tcMar>
              <w:top w:w="40" w:type="dxa"/>
              <w:left w:w="70" w:type="dxa"/>
              <w:bottom w:w="40" w:type="dxa"/>
              <w:right w:w="70" w:type="dxa"/>
            </w:tcMar>
          </w:tcPr>
          <w:p w14:paraId="7EC15838" w14:textId="77777777" w:rsidR="0039479F" w:rsidRDefault="00000000">
            <w:pPr>
              <w:spacing w:line="216" w:lineRule="auto"/>
            </w:pPr>
            <w:r>
              <w:rPr>
                <w:sz w:val="16"/>
                <w:szCs w:val="16"/>
              </w:rPr>
              <w:t>Composite reference standards are unavoidable in this field because no single test defines all target conditions.</w:t>
            </w:r>
          </w:p>
        </w:tc>
      </w:tr>
      <w:tr w:rsidR="0039479F" w14:paraId="55337000" w14:textId="77777777">
        <w:tc>
          <w:tcPr>
            <w:tcW w:w="1183" w:type="dxa"/>
            <w:tcMar>
              <w:top w:w="40" w:type="dxa"/>
              <w:left w:w="70" w:type="dxa"/>
              <w:bottom w:w="40" w:type="dxa"/>
              <w:right w:w="70" w:type="dxa"/>
            </w:tcMar>
          </w:tcPr>
          <w:p w14:paraId="094626E4" w14:textId="77777777" w:rsidR="0039479F" w:rsidRDefault="00000000">
            <w:pPr>
              <w:spacing w:line="216" w:lineRule="auto"/>
            </w:pPr>
            <w:r>
              <w:rPr>
                <w:sz w:val="16"/>
                <w:szCs w:val="16"/>
              </w:rPr>
              <w:t>Target condition</w:t>
            </w:r>
          </w:p>
        </w:tc>
        <w:tc>
          <w:tcPr>
            <w:tcW w:w="2959" w:type="dxa"/>
            <w:tcMar>
              <w:top w:w="40" w:type="dxa"/>
              <w:left w:w="70" w:type="dxa"/>
              <w:bottom w:w="40" w:type="dxa"/>
              <w:right w:w="70" w:type="dxa"/>
            </w:tcMar>
          </w:tcPr>
          <w:p w14:paraId="634EA8EE" w14:textId="77777777" w:rsidR="0039479F" w:rsidRDefault="00000000">
            <w:pPr>
              <w:spacing w:line="216" w:lineRule="auto"/>
            </w:pPr>
            <w:r>
              <w:rPr>
                <w:sz w:val="16"/>
                <w:szCs w:val="16"/>
              </w:rPr>
              <w:t>Any life-threatening secondary headache, as defined in Section 2.3, or a specified condition within that group.</w:t>
            </w:r>
          </w:p>
        </w:tc>
        <w:tc>
          <w:tcPr>
            <w:tcW w:w="2565" w:type="dxa"/>
            <w:tcMar>
              <w:top w:w="40" w:type="dxa"/>
              <w:left w:w="70" w:type="dxa"/>
              <w:bottom w:w="40" w:type="dxa"/>
              <w:right w:w="70" w:type="dxa"/>
            </w:tcMar>
          </w:tcPr>
          <w:p w14:paraId="5BB3A3D3" w14:textId="77777777" w:rsidR="0039479F" w:rsidRDefault="00000000">
            <w:pPr>
              <w:spacing w:line="216" w:lineRule="auto"/>
            </w:pPr>
            <w:r>
              <w:rPr>
                <w:sz w:val="16"/>
                <w:szCs w:val="16"/>
              </w:rPr>
              <w:t>Outcomes limited to primary headache classification, procedural complications, incidental findings, or non-life-threatening secondary causes such as rhinosinusitis.</w:t>
            </w:r>
          </w:p>
        </w:tc>
        <w:tc>
          <w:tcPr>
            <w:tcW w:w="3159" w:type="dxa"/>
            <w:tcMar>
              <w:top w:w="40" w:type="dxa"/>
              <w:left w:w="70" w:type="dxa"/>
              <w:bottom w:w="40" w:type="dxa"/>
              <w:right w:w="70" w:type="dxa"/>
            </w:tcMar>
          </w:tcPr>
          <w:p w14:paraId="15A0CF0A" w14:textId="77777777" w:rsidR="0039479F" w:rsidRDefault="00000000">
            <w:pPr>
              <w:spacing w:line="216" w:lineRule="auto"/>
            </w:pPr>
            <w:r>
              <w:rPr>
                <w:sz w:val="16"/>
                <w:szCs w:val="16"/>
              </w:rPr>
              <w:t>The clinical question is the identification of causes in which delay is harmful.</w:t>
            </w:r>
          </w:p>
        </w:tc>
      </w:tr>
      <w:tr w:rsidR="0039479F" w14:paraId="54B08C93" w14:textId="77777777">
        <w:tc>
          <w:tcPr>
            <w:tcW w:w="1183" w:type="dxa"/>
            <w:tcMar>
              <w:top w:w="40" w:type="dxa"/>
              <w:left w:w="70" w:type="dxa"/>
              <w:bottom w:w="40" w:type="dxa"/>
              <w:right w:w="70" w:type="dxa"/>
            </w:tcMar>
          </w:tcPr>
          <w:p w14:paraId="315C80C6" w14:textId="77777777" w:rsidR="0039479F" w:rsidRDefault="00000000">
            <w:pPr>
              <w:spacing w:line="216" w:lineRule="auto"/>
            </w:pPr>
            <w:r>
              <w:rPr>
                <w:sz w:val="16"/>
                <w:szCs w:val="16"/>
              </w:rPr>
              <w:t>Outcomes</w:t>
            </w:r>
          </w:p>
        </w:tc>
        <w:tc>
          <w:tcPr>
            <w:tcW w:w="2959" w:type="dxa"/>
            <w:tcMar>
              <w:top w:w="40" w:type="dxa"/>
              <w:left w:w="70" w:type="dxa"/>
              <w:bottom w:w="40" w:type="dxa"/>
              <w:right w:w="70" w:type="dxa"/>
            </w:tcMar>
          </w:tcPr>
          <w:p w14:paraId="44C4FE6D" w14:textId="77777777" w:rsidR="0039479F" w:rsidRDefault="00000000">
            <w:pPr>
              <w:spacing w:line="216" w:lineRule="auto"/>
            </w:pPr>
            <w:r>
              <w:rPr>
                <w:sz w:val="16"/>
                <w:szCs w:val="16"/>
              </w:rPr>
              <w:t>Quantitative diagnostic accuracy (sensitivity, specificity, predictive values, likelihood ratios, area under the curve), or the frequency of a life-threatening secondary cause within a defined denominator or within a stratum defined by an index-test result, or the frequency of missed serious diagnosis after emergency discharge.</w:t>
            </w:r>
          </w:p>
        </w:tc>
        <w:tc>
          <w:tcPr>
            <w:tcW w:w="2565" w:type="dxa"/>
            <w:tcMar>
              <w:top w:w="40" w:type="dxa"/>
              <w:left w:w="70" w:type="dxa"/>
              <w:bottom w:w="40" w:type="dxa"/>
              <w:right w:w="70" w:type="dxa"/>
            </w:tcMar>
          </w:tcPr>
          <w:p w14:paraId="546174E9" w14:textId="77777777" w:rsidR="0039479F" w:rsidRDefault="00000000">
            <w:pPr>
              <w:spacing w:line="216" w:lineRule="auto"/>
            </w:pPr>
            <w:r>
              <w:rPr>
                <w:sz w:val="16"/>
                <w:szCs w:val="16"/>
              </w:rPr>
              <w:t>Studies reporting only utilisation, cost, adherence to guidance, documentation quality or clinician behaviour.</w:t>
            </w:r>
          </w:p>
        </w:tc>
        <w:tc>
          <w:tcPr>
            <w:tcW w:w="3159" w:type="dxa"/>
            <w:tcMar>
              <w:top w:w="40" w:type="dxa"/>
              <w:left w:w="70" w:type="dxa"/>
              <w:bottom w:w="40" w:type="dxa"/>
              <w:right w:w="70" w:type="dxa"/>
            </w:tcMar>
          </w:tcPr>
          <w:p w14:paraId="39CEFC44" w14:textId="77777777" w:rsidR="0039479F" w:rsidRDefault="00000000">
            <w:pPr>
              <w:spacing w:line="216" w:lineRule="auto"/>
            </w:pPr>
            <w:r>
              <w:rPr>
                <w:sz w:val="16"/>
                <w:szCs w:val="16"/>
              </w:rPr>
              <w:t>Only these outcomes inform the probability revisions on which the diagnostic pathway depends.</w:t>
            </w:r>
          </w:p>
        </w:tc>
      </w:tr>
      <w:tr w:rsidR="0039479F" w14:paraId="73C18500" w14:textId="77777777">
        <w:tc>
          <w:tcPr>
            <w:tcW w:w="1183" w:type="dxa"/>
            <w:tcMar>
              <w:top w:w="40" w:type="dxa"/>
              <w:left w:w="70" w:type="dxa"/>
              <w:bottom w:w="40" w:type="dxa"/>
              <w:right w:w="70" w:type="dxa"/>
            </w:tcMar>
          </w:tcPr>
          <w:p w14:paraId="140DD55F" w14:textId="77777777" w:rsidR="0039479F" w:rsidRDefault="00000000">
            <w:pPr>
              <w:spacing w:line="216" w:lineRule="auto"/>
            </w:pPr>
            <w:r>
              <w:rPr>
                <w:sz w:val="16"/>
                <w:szCs w:val="16"/>
              </w:rPr>
              <w:t>Study design</w:t>
            </w:r>
          </w:p>
        </w:tc>
        <w:tc>
          <w:tcPr>
            <w:tcW w:w="2959" w:type="dxa"/>
            <w:tcMar>
              <w:top w:w="40" w:type="dxa"/>
              <w:left w:w="70" w:type="dxa"/>
              <w:bottom w:w="40" w:type="dxa"/>
              <w:right w:w="70" w:type="dxa"/>
            </w:tcMar>
          </w:tcPr>
          <w:p w14:paraId="71BF5B8D" w14:textId="77777777" w:rsidR="0039479F" w:rsidRDefault="00000000">
            <w:pPr>
              <w:spacing w:line="216" w:lineRule="auto"/>
            </w:pPr>
            <w:r>
              <w:rPr>
                <w:sz w:val="16"/>
                <w:szCs w:val="16"/>
              </w:rPr>
              <w:t>Prospective or retrospective cohort studies, cross-sectional studies, diagnostic case-control studies, consecutive series and population-based linked-data studies.</w:t>
            </w:r>
          </w:p>
        </w:tc>
        <w:tc>
          <w:tcPr>
            <w:tcW w:w="2565" w:type="dxa"/>
            <w:tcMar>
              <w:top w:w="40" w:type="dxa"/>
              <w:left w:w="70" w:type="dxa"/>
              <w:bottom w:w="40" w:type="dxa"/>
              <w:right w:w="70" w:type="dxa"/>
            </w:tcMar>
          </w:tcPr>
          <w:p w14:paraId="55281959" w14:textId="77777777" w:rsidR="0039479F" w:rsidRDefault="00000000">
            <w:pPr>
              <w:spacing w:line="216" w:lineRule="auto"/>
            </w:pPr>
            <w:r>
              <w:rPr>
                <w:sz w:val="16"/>
                <w:szCs w:val="16"/>
              </w:rPr>
              <w:t>Case reports; case series of confirmed cases without an interpretable denominator; narrative and systematic reviews; editorials, letters and commentaries; decision-analytic and economic models; clinician surveys; qualitative studies; preprints.</w:t>
            </w:r>
          </w:p>
        </w:tc>
        <w:tc>
          <w:tcPr>
            <w:tcW w:w="3159" w:type="dxa"/>
            <w:tcMar>
              <w:top w:w="40" w:type="dxa"/>
              <w:left w:w="70" w:type="dxa"/>
              <w:bottom w:w="40" w:type="dxa"/>
              <w:right w:w="70" w:type="dxa"/>
            </w:tcMar>
          </w:tcPr>
          <w:p w14:paraId="7E613F2C" w14:textId="77777777" w:rsidR="0039479F" w:rsidRDefault="00000000">
            <w:pPr>
              <w:spacing w:line="216" w:lineRule="auto"/>
            </w:pPr>
            <w:r>
              <w:rPr>
                <w:sz w:val="16"/>
                <w:szCs w:val="16"/>
              </w:rPr>
              <w:t>Excluded designs cannot yield primary accuracy estimates for the population of interest. Reviews and clinical policies were retained as sources for citation searching.</w:t>
            </w:r>
          </w:p>
        </w:tc>
      </w:tr>
      <w:tr w:rsidR="0039479F" w14:paraId="25747C21" w14:textId="77777777">
        <w:tc>
          <w:tcPr>
            <w:tcW w:w="1183" w:type="dxa"/>
            <w:tcMar>
              <w:top w:w="40" w:type="dxa"/>
              <w:left w:w="70" w:type="dxa"/>
              <w:bottom w:w="40" w:type="dxa"/>
              <w:right w:w="70" w:type="dxa"/>
            </w:tcMar>
          </w:tcPr>
          <w:p w14:paraId="62184151" w14:textId="77777777" w:rsidR="0039479F" w:rsidRDefault="00000000">
            <w:pPr>
              <w:spacing w:line="216" w:lineRule="auto"/>
            </w:pPr>
            <w:r>
              <w:rPr>
                <w:sz w:val="16"/>
                <w:szCs w:val="16"/>
              </w:rPr>
              <w:t>Publication period and language</w:t>
            </w:r>
          </w:p>
        </w:tc>
        <w:tc>
          <w:tcPr>
            <w:tcW w:w="2959" w:type="dxa"/>
            <w:tcMar>
              <w:top w:w="40" w:type="dxa"/>
              <w:left w:w="70" w:type="dxa"/>
              <w:bottom w:w="40" w:type="dxa"/>
              <w:right w:w="70" w:type="dxa"/>
            </w:tcMar>
          </w:tcPr>
          <w:p w14:paraId="578EA50E" w14:textId="77777777" w:rsidR="0039479F" w:rsidRDefault="00000000">
            <w:pPr>
              <w:spacing w:line="216" w:lineRule="auto"/>
            </w:pPr>
            <w:r>
              <w:rPr>
                <w:sz w:val="16"/>
                <w:szCs w:val="16"/>
              </w:rPr>
              <w:t>Published between 1 January 2000 and 30 June 2026. No language restriction was applied at the search stage.</w:t>
            </w:r>
          </w:p>
        </w:tc>
        <w:tc>
          <w:tcPr>
            <w:tcW w:w="2565" w:type="dxa"/>
            <w:tcMar>
              <w:top w:w="40" w:type="dxa"/>
              <w:left w:w="70" w:type="dxa"/>
              <w:bottom w:w="40" w:type="dxa"/>
              <w:right w:w="70" w:type="dxa"/>
            </w:tcMar>
          </w:tcPr>
          <w:p w14:paraId="165EE1C1" w14:textId="77777777" w:rsidR="0039479F" w:rsidRDefault="00000000">
            <w:pPr>
              <w:spacing w:line="216" w:lineRule="auto"/>
            </w:pPr>
            <w:r>
              <w:rPr>
                <w:sz w:val="16"/>
                <w:szCs w:val="16"/>
              </w:rPr>
              <w:t>Publication dated outside the eligible period.</w:t>
            </w:r>
          </w:p>
        </w:tc>
        <w:tc>
          <w:tcPr>
            <w:tcW w:w="3159" w:type="dxa"/>
            <w:tcMar>
              <w:top w:w="40" w:type="dxa"/>
              <w:left w:w="70" w:type="dxa"/>
              <w:bottom w:w="40" w:type="dxa"/>
              <w:right w:w="70" w:type="dxa"/>
            </w:tcMar>
          </w:tcPr>
          <w:p w14:paraId="51077085" w14:textId="77777777" w:rsidR="0039479F" w:rsidRDefault="00000000">
            <w:pPr>
              <w:spacing w:line="216" w:lineRule="auto"/>
            </w:pPr>
            <w:r>
              <w:rPr>
                <w:sz w:val="16"/>
                <w:szCs w:val="16"/>
              </w:rPr>
              <w:t>The period corresponds to the era of multidetector CT, over which the accuracy of the principal rule-out test has changed materially.</w:t>
            </w:r>
          </w:p>
        </w:tc>
      </w:tr>
    </w:tbl>
    <w:p w14:paraId="00CAC15A" w14:textId="77777777" w:rsidR="0039479F" w:rsidRDefault="00000000">
      <w:pPr>
        <w:pStyle w:val="Heading2"/>
        <w:keepNext/>
        <w:spacing w:before="220" w:after="110"/>
      </w:pPr>
      <w:r>
        <w:t>2.5 Information sources and search strategy</w:t>
      </w:r>
    </w:p>
    <w:p w14:paraId="7D68587B" w14:textId="77777777" w:rsidR="0039479F" w:rsidRDefault="00000000">
      <w:pPr>
        <w:spacing w:after="140"/>
        <w:jc w:val="both"/>
      </w:pPr>
      <w:r>
        <w:t>Searches were executed on 30 June 2026. The information sources actually searched were PubMed/MEDLINE (through the NCBI E-utilities interface), Europe PMC (through its RESTful web service) and ClinicalTrials.gov (through API version 2), supplemented by forward and backward citation searching. Crossref and the DOI resolver were used solely to verify reference metadata and were not used as bibliographic search sources.</w:t>
      </w:r>
    </w:p>
    <w:p w14:paraId="27176F22" w14:textId="77777777" w:rsidR="0039479F" w:rsidRDefault="00000000">
      <w:pPr>
        <w:spacing w:after="140"/>
        <w:jc w:val="both"/>
      </w:pPr>
      <w:r>
        <w:t xml:space="preserve">Two subscription resources were sought but could not be searched: the Cochrane Library and the WHO International Clinical Trials Registry Platform both refused access (HTTP 403) at the time of searching. No counts are reported for these sources, and no claim is made that they were searched. Embase, Scopus, Web of </w:t>
      </w:r>
      <w:r>
        <w:lastRenderedPageBreak/>
        <w:t>Science, CINAHL and PsycINFO were not searched because access was unavailable. This is an openly accessible evidence search rather than a comprehensive subscription-database search, and the resulting limitation is discussed in Section 5.</w:t>
      </w:r>
    </w:p>
    <w:p w14:paraId="490F2186" w14:textId="77777777" w:rsidR="0039479F" w:rsidRDefault="00000000">
      <w:pPr>
        <w:spacing w:after="140"/>
        <w:jc w:val="both"/>
      </w:pPr>
      <w:r>
        <w:t>Search strategies combined controlled vocabulary and free-text terms for the headache concept, the emergency-care setting, diagnostic accuracy and decision-support concepts, the target conditions, and the relevant imaging and CSF modalities. Table 2 gives the sources, platforms, execution date, limits and exact retrieved counts; complete source-specific strategies are reproduced verbatim in Supplementary material S1 and in the Search ledger of the evidence ledger. The search was not peer reviewed by a second information specialist, and no PRESS peer review was performed.</w:t>
      </w:r>
    </w:p>
    <w:p w14:paraId="6485F808" w14:textId="77777777" w:rsidR="0039479F" w:rsidRDefault="00000000">
      <w:pPr>
        <w:spacing w:after="140"/>
        <w:jc w:val="both"/>
      </w:pPr>
      <w:r>
        <w:t>Table 2 makes the boundary of the search explicit, including the two sources that could not be reached. The counts in the final column are the exact numbers returned by each interface and are the numbers that flow into the PRISMA diagram.</w:t>
      </w:r>
    </w:p>
    <w:p w14:paraId="02892965" w14:textId="77777777" w:rsidR="0039479F" w:rsidRDefault="00000000">
      <w:pPr>
        <w:keepNext/>
        <w:spacing w:before="200" w:after="90"/>
      </w:pPr>
      <w:r>
        <w:rPr>
          <w:b/>
          <w:bCs/>
          <w:sz w:val="21"/>
          <w:szCs w:val="21"/>
        </w:rPr>
        <w:t>Table 2. Information sources, search execution and retrieved counts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2041"/>
        <w:gridCol w:w="2551"/>
        <w:gridCol w:w="1020"/>
        <w:gridCol w:w="2721"/>
        <w:gridCol w:w="1533"/>
      </w:tblGrid>
      <w:tr w:rsidR="0039479F" w14:paraId="561EF09D" w14:textId="77777777">
        <w:trPr>
          <w:tblHeader/>
        </w:trPr>
        <w:tc>
          <w:tcPr>
            <w:tcW w:w="2041" w:type="dxa"/>
            <w:shd w:val="clear" w:color="auto" w:fill="F2F2F2"/>
            <w:tcMar>
              <w:top w:w="40" w:type="dxa"/>
              <w:left w:w="70" w:type="dxa"/>
              <w:bottom w:w="40" w:type="dxa"/>
              <w:right w:w="70" w:type="dxa"/>
            </w:tcMar>
          </w:tcPr>
          <w:p w14:paraId="6305BD0A" w14:textId="77777777" w:rsidR="0039479F" w:rsidRDefault="00000000">
            <w:pPr>
              <w:spacing w:line="216" w:lineRule="auto"/>
            </w:pPr>
            <w:r>
              <w:rPr>
                <w:b/>
                <w:bCs/>
                <w:sz w:val="16"/>
                <w:szCs w:val="16"/>
              </w:rPr>
              <w:t>Source</w:t>
            </w:r>
          </w:p>
        </w:tc>
        <w:tc>
          <w:tcPr>
            <w:tcW w:w="2551" w:type="dxa"/>
            <w:shd w:val="clear" w:color="auto" w:fill="F2F2F2"/>
            <w:tcMar>
              <w:top w:w="40" w:type="dxa"/>
              <w:left w:w="70" w:type="dxa"/>
              <w:bottom w:w="40" w:type="dxa"/>
              <w:right w:w="70" w:type="dxa"/>
            </w:tcMar>
          </w:tcPr>
          <w:p w14:paraId="6E320F0F" w14:textId="77777777" w:rsidR="0039479F" w:rsidRDefault="00000000">
            <w:pPr>
              <w:spacing w:line="216" w:lineRule="auto"/>
            </w:pPr>
            <w:r>
              <w:rPr>
                <w:b/>
                <w:bCs/>
                <w:sz w:val="16"/>
                <w:szCs w:val="16"/>
              </w:rPr>
              <w:t>Platform or interface</w:t>
            </w:r>
          </w:p>
        </w:tc>
        <w:tc>
          <w:tcPr>
            <w:tcW w:w="1020" w:type="dxa"/>
            <w:shd w:val="clear" w:color="auto" w:fill="F2F2F2"/>
            <w:tcMar>
              <w:top w:w="40" w:type="dxa"/>
              <w:left w:w="70" w:type="dxa"/>
              <w:bottom w:w="40" w:type="dxa"/>
              <w:right w:w="70" w:type="dxa"/>
            </w:tcMar>
          </w:tcPr>
          <w:p w14:paraId="1178AEE9" w14:textId="77777777" w:rsidR="0039479F" w:rsidRDefault="00000000">
            <w:pPr>
              <w:spacing w:line="216" w:lineRule="auto"/>
            </w:pPr>
            <w:r>
              <w:rPr>
                <w:b/>
                <w:bCs/>
                <w:sz w:val="16"/>
                <w:szCs w:val="16"/>
              </w:rPr>
              <w:t>Execution date</w:t>
            </w:r>
          </w:p>
        </w:tc>
        <w:tc>
          <w:tcPr>
            <w:tcW w:w="2721" w:type="dxa"/>
            <w:shd w:val="clear" w:color="auto" w:fill="F2F2F2"/>
            <w:tcMar>
              <w:top w:w="40" w:type="dxa"/>
              <w:left w:w="70" w:type="dxa"/>
              <w:bottom w:w="40" w:type="dxa"/>
              <w:right w:w="70" w:type="dxa"/>
            </w:tcMar>
          </w:tcPr>
          <w:p w14:paraId="5DDAC8E1" w14:textId="77777777" w:rsidR="0039479F" w:rsidRDefault="00000000">
            <w:pPr>
              <w:spacing w:line="216" w:lineRule="auto"/>
            </w:pPr>
            <w:r>
              <w:rPr>
                <w:b/>
                <w:bCs/>
                <w:sz w:val="16"/>
                <w:szCs w:val="16"/>
              </w:rPr>
              <w:t>Limits applied</w:t>
            </w:r>
          </w:p>
        </w:tc>
        <w:tc>
          <w:tcPr>
            <w:tcW w:w="1533" w:type="dxa"/>
            <w:shd w:val="clear" w:color="auto" w:fill="F2F2F2"/>
            <w:tcMar>
              <w:top w:w="40" w:type="dxa"/>
              <w:left w:w="70" w:type="dxa"/>
              <w:bottom w:w="40" w:type="dxa"/>
              <w:right w:w="70" w:type="dxa"/>
            </w:tcMar>
          </w:tcPr>
          <w:p w14:paraId="2D594E55" w14:textId="77777777" w:rsidR="0039479F" w:rsidRDefault="00000000">
            <w:pPr>
              <w:spacing w:line="216" w:lineRule="auto"/>
            </w:pPr>
            <w:r>
              <w:rPr>
                <w:b/>
                <w:bCs/>
                <w:sz w:val="16"/>
                <w:szCs w:val="16"/>
              </w:rPr>
              <w:t>Records retrieved</w:t>
            </w:r>
          </w:p>
        </w:tc>
      </w:tr>
      <w:tr w:rsidR="0039479F" w14:paraId="5448FE86" w14:textId="77777777">
        <w:tc>
          <w:tcPr>
            <w:tcW w:w="2041" w:type="dxa"/>
            <w:tcMar>
              <w:top w:w="40" w:type="dxa"/>
              <w:left w:w="70" w:type="dxa"/>
              <w:bottom w:w="40" w:type="dxa"/>
              <w:right w:w="70" w:type="dxa"/>
            </w:tcMar>
          </w:tcPr>
          <w:p w14:paraId="7C0199CA" w14:textId="77777777" w:rsidR="0039479F" w:rsidRDefault="00000000">
            <w:pPr>
              <w:spacing w:line="216" w:lineRule="auto"/>
            </w:pPr>
            <w:r>
              <w:rPr>
                <w:sz w:val="16"/>
                <w:szCs w:val="16"/>
              </w:rPr>
              <w:t>PubMed/MEDLINE (strand 1)</w:t>
            </w:r>
          </w:p>
        </w:tc>
        <w:tc>
          <w:tcPr>
            <w:tcW w:w="2551" w:type="dxa"/>
            <w:tcMar>
              <w:top w:w="40" w:type="dxa"/>
              <w:left w:w="70" w:type="dxa"/>
              <w:bottom w:w="40" w:type="dxa"/>
              <w:right w:w="70" w:type="dxa"/>
            </w:tcMar>
          </w:tcPr>
          <w:p w14:paraId="6475C3A8" w14:textId="77777777" w:rsidR="0039479F" w:rsidRDefault="00000000">
            <w:pPr>
              <w:spacing w:line="216" w:lineRule="auto"/>
            </w:pPr>
            <w:r>
              <w:rPr>
                <w:sz w:val="16"/>
                <w:szCs w:val="16"/>
              </w:rPr>
              <w:t>NCBI E-utilities</w:t>
            </w:r>
          </w:p>
        </w:tc>
        <w:tc>
          <w:tcPr>
            <w:tcW w:w="1020" w:type="dxa"/>
            <w:tcMar>
              <w:top w:w="40" w:type="dxa"/>
              <w:left w:w="70" w:type="dxa"/>
              <w:bottom w:w="40" w:type="dxa"/>
              <w:right w:w="70" w:type="dxa"/>
            </w:tcMar>
          </w:tcPr>
          <w:p w14:paraId="14DFE5D1"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6C8037F9" w14:textId="77777777" w:rsidR="0039479F" w:rsidRDefault="00000000">
            <w:pPr>
              <w:spacing w:line="216" w:lineRule="auto"/>
            </w:pPr>
            <w:r>
              <w:rPr>
                <w:sz w:val="16"/>
                <w:szCs w:val="16"/>
              </w:rPr>
              <w:t>Publication date 1 January 2000 to 30 June 2026; no language limit</w:t>
            </w:r>
          </w:p>
        </w:tc>
        <w:tc>
          <w:tcPr>
            <w:tcW w:w="1533" w:type="dxa"/>
            <w:tcMar>
              <w:top w:w="40" w:type="dxa"/>
              <w:left w:w="70" w:type="dxa"/>
              <w:bottom w:w="40" w:type="dxa"/>
              <w:right w:w="70" w:type="dxa"/>
            </w:tcMar>
          </w:tcPr>
          <w:p w14:paraId="0DF03C61" w14:textId="77777777" w:rsidR="0039479F" w:rsidRDefault="00000000">
            <w:pPr>
              <w:spacing w:line="216" w:lineRule="auto"/>
            </w:pPr>
            <w:r>
              <w:rPr>
                <w:sz w:val="16"/>
                <w:szCs w:val="16"/>
              </w:rPr>
              <w:t>2,883</w:t>
            </w:r>
          </w:p>
        </w:tc>
      </w:tr>
      <w:tr w:rsidR="0039479F" w14:paraId="36167D1D" w14:textId="77777777">
        <w:tc>
          <w:tcPr>
            <w:tcW w:w="2041" w:type="dxa"/>
            <w:tcMar>
              <w:top w:w="40" w:type="dxa"/>
              <w:left w:w="70" w:type="dxa"/>
              <w:bottom w:w="40" w:type="dxa"/>
              <w:right w:w="70" w:type="dxa"/>
            </w:tcMar>
          </w:tcPr>
          <w:p w14:paraId="0F5937BE" w14:textId="77777777" w:rsidR="0039479F" w:rsidRDefault="00000000">
            <w:pPr>
              <w:spacing w:line="216" w:lineRule="auto"/>
            </w:pPr>
            <w:r>
              <w:rPr>
                <w:sz w:val="16"/>
                <w:szCs w:val="16"/>
              </w:rPr>
              <w:t>PubMed/MEDLINE (strand 2)</w:t>
            </w:r>
          </w:p>
        </w:tc>
        <w:tc>
          <w:tcPr>
            <w:tcW w:w="2551" w:type="dxa"/>
            <w:tcMar>
              <w:top w:w="40" w:type="dxa"/>
              <w:left w:w="70" w:type="dxa"/>
              <w:bottom w:w="40" w:type="dxa"/>
              <w:right w:w="70" w:type="dxa"/>
            </w:tcMar>
          </w:tcPr>
          <w:p w14:paraId="6CBC3E6D" w14:textId="77777777" w:rsidR="0039479F" w:rsidRDefault="00000000">
            <w:pPr>
              <w:spacing w:line="216" w:lineRule="auto"/>
            </w:pPr>
            <w:r>
              <w:rPr>
                <w:sz w:val="16"/>
                <w:szCs w:val="16"/>
              </w:rPr>
              <w:t>NCBI E-utilities</w:t>
            </w:r>
          </w:p>
        </w:tc>
        <w:tc>
          <w:tcPr>
            <w:tcW w:w="1020" w:type="dxa"/>
            <w:tcMar>
              <w:top w:w="40" w:type="dxa"/>
              <w:left w:w="70" w:type="dxa"/>
              <w:bottom w:w="40" w:type="dxa"/>
              <w:right w:w="70" w:type="dxa"/>
            </w:tcMar>
          </w:tcPr>
          <w:p w14:paraId="0CB3C39A"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6763A2EA" w14:textId="77777777" w:rsidR="0039479F" w:rsidRDefault="00000000">
            <w:pPr>
              <w:spacing w:line="216" w:lineRule="auto"/>
            </w:pPr>
            <w:r>
              <w:rPr>
                <w:sz w:val="16"/>
                <w:szCs w:val="16"/>
              </w:rPr>
              <w:t>Publication date 1 January 2000 to 30 June 2026; no language limit</w:t>
            </w:r>
          </w:p>
        </w:tc>
        <w:tc>
          <w:tcPr>
            <w:tcW w:w="1533" w:type="dxa"/>
            <w:tcMar>
              <w:top w:w="40" w:type="dxa"/>
              <w:left w:w="70" w:type="dxa"/>
              <w:bottom w:w="40" w:type="dxa"/>
              <w:right w:w="70" w:type="dxa"/>
            </w:tcMar>
          </w:tcPr>
          <w:p w14:paraId="746DDF25" w14:textId="77777777" w:rsidR="0039479F" w:rsidRDefault="00000000">
            <w:pPr>
              <w:spacing w:line="216" w:lineRule="auto"/>
            </w:pPr>
            <w:r>
              <w:rPr>
                <w:sz w:val="16"/>
                <w:szCs w:val="16"/>
              </w:rPr>
              <w:t>3,558</w:t>
            </w:r>
          </w:p>
        </w:tc>
      </w:tr>
      <w:tr w:rsidR="0039479F" w14:paraId="2714A533" w14:textId="77777777">
        <w:tc>
          <w:tcPr>
            <w:tcW w:w="2041" w:type="dxa"/>
            <w:tcMar>
              <w:top w:w="40" w:type="dxa"/>
              <w:left w:w="70" w:type="dxa"/>
              <w:bottom w:w="40" w:type="dxa"/>
              <w:right w:w="70" w:type="dxa"/>
            </w:tcMar>
          </w:tcPr>
          <w:p w14:paraId="17CA7FF4" w14:textId="77777777" w:rsidR="0039479F" w:rsidRDefault="00000000">
            <w:pPr>
              <w:spacing w:line="216" w:lineRule="auto"/>
            </w:pPr>
            <w:r>
              <w:rPr>
                <w:sz w:val="16"/>
                <w:szCs w:val="16"/>
              </w:rPr>
              <w:t>Europe PMC</w:t>
            </w:r>
          </w:p>
        </w:tc>
        <w:tc>
          <w:tcPr>
            <w:tcW w:w="2551" w:type="dxa"/>
            <w:tcMar>
              <w:top w:w="40" w:type="dxa"/>
              <w:left w:w="70" w:type="dxa"/>
              <w:bottom w:w="40" w:type="dxa"/>
              <w:right w:w="70" w:type="dxa"/>
            </w:tcMar>
          </w:tcPr>
          <w:p w14:paraId="4E9B72E1" w14:textId="77777777" w:rsidR="0039479F" w:rsidRDefault="00000000">
            <w:pPr>
              <w:spacing w:line="216" w:lineRule="auto"/>
            </w:pPr>
            <w:r>
              <w:rPr>
                <w:sz w:val="16"/>
                <w:szCs w:val="16"/>
              </w:rPr>
              <w:t>Europe PMC RESTful web service</w:t>
            </w:r>
          </w:p>
        </w:tc>
        <w:tc>
          <w:tcPr>
            <w:tcW w:w="1020" w:type="dxa"/>
            <w:tcMar>
              <w:top w:w="40" w:type="dxa"/>
              <w:left w:w="70" w:type="dxa"/>
              <w:bottom w:w="40" w:type="dxa"/>
              <w:right w:w="70" w:type="dxa"/>
            </w:tcMar>
          </w:tcPr>
          <w:p w14:paraId="3C930744"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6F8A9A43" w14:textId="77777777" w:rsidR="0039479F" w:rsidRDefault="00000000">
            <w:pPr>
              <w:spacing w:line="216" w:lineRule="auto"/>
            </w:pPr>
            <w:r>
              <w:rPr>
                <w:sz w:val="16"/>
                <w:szCs w:val="16"/>
              </w:rPr>
              <w:t>First publication date 1 January 2000 to 30 June 2026; no language limit</w:t>
            </w:r>
          </w:p>
        </w:tc>
        <w:tc>
          <w:tcPr>
            <w:tcW w:w="1533" w:type="dxa"/>
            <w:tcMar>
              <w:top w:w="40" w:type="dxa"/>
              <w:left w:w="70" w:type="dxa"/>
              <w:bottom w:w="40" w:type="dxa"/>
              <w:right w:w="70" w:type="dxa"/>
            </w:tcMar>
          </w:tcPr>
          <w:p w14:paraId="334CDF06" w14:textId="77777777" w:rsidR="0039479F" w:rsidRDefault="00000000">
            <w:pPr>
              <w:spacing w:line="216" w:lineRule="auto"/>
            </w:pPr>
            <w:r>
              <w:rPr>
                <w:sz w:val="16"/>
                <w:szCs w:val="16"/>
              </w:rPr>
              <w:t>1,684</w:t>
            </w:r>
          </w:p>
        </w:tc>
      </w:tr>
      <w:tr w:rsidR="0039479F" w14:paraId="505DA272" w14:textId="77777777">
        <w:tc>
          <w:tcPr>
            <w:tcW w:w="2041" w:type="dxa"/>
            <w:tcMar>
              <w:top w:w="40" w:type="dxa"/>
              <w:left w:w="70" w:type="dxa"/>
              <w:bottom w:w="40" w:type="dxa"/>
              <w:right w:w="70" w:type="dxa"/>
            </w:tcMar>
          </w:tcPr>
          <w:p w14:paraId="5E125BF5" w14:textId="77777777" w:rsidR="0039479F" w:rsidRDefault="00000000">
            <w:pPr>
              <w:spacing w:line="216" w:lineRule="auto"/>
            </w:pPr>
            <w:r>
              <w:rPr>
                <w:sz w:val="16"/>
                <w:szCs w:val="16"/>
              </w:rPr>
              <w:t>ClinicalTrials.gov</w:t>
            </w:r>
          </w:p>
        </w:tc>
        <w:tc>
          <w:tcPr>
            <w:tcW w:w="2551" w:type="dxa"/>
            <w:tcMar>
              <w:top w:w="40" w:type="dxa"/>
              <w:left w:w="70" w:type="dxa"/>
              <w:bottom w:w="40" w:type="dxa"/>
              <w:right w:w="70" w:type="dxa"/>
            </w:tcMar>
          </w:tcPr>
          <w:p w14:paraId="015EBC52" w14:textId="77777777" w:rsidR="0039479F" w:rsidRDefault="00000000">
            <w:pPr>
              <w:spacing w:line="216" w:lineRule="auto"/>
            </w:pPr>
            <w:r>
              <w:rPr>
                <w:sz w:val="16"/>
                <w:szCs w:val="16"/>
              </w:rPr>
              <w:t>ClinicalTrials.gov API v2</w:t>
            </w:r>
          </w:p>
        </w:tc>
        <w:tc>
          <w:tcPr>
            <w:tcW w:w="1020" w:type="dxa"/>
            <w:tcMar>
              <w:top w:w="40" w:type="dxa"/>
              <w:left w:w="70" w:type="dxa"/>
              <w:bottom w:w="40" w:type="dxa"/>
              <w:right w:w="70" w:type="dxa"/>
            </w:tcMar>
          </w:tcPr>
          <w:p w14:paraId="2A6B4200"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6FCFB3EB" w14:textId="77777777" w:rsidR="0039479F" w:rsidRDefault="00000000">
            <w:pPr>
              <w:spacing w:line="216" w:lineRule="auto"/>
            </w:pPr>
            <w:r>
              <w:rPr>
                <w:sz w:val="16"/>
                <w:szCs w:val="16"/>
              </w:rPr>
              <w:t>No register-level date limit; records screened against the same eligibility criteria</w:t>
            </w:r>
          </w:p>
        </w:tc>
        <w:tc>
          <w:tcPr>
            <w:tcW w:w="1533" w:type="dxa"/>
            <w:tcMar>
              <w:top w:w="40" w:type="dxa"/>
              <w:left w:w="70" w:type="dxa"/>
              <w:bottom w:w="40" w:type="dxa"/>
              <w:right w:w="70" w:type="dxa"/>
            </w:tcMar>
          </w:tcPr>
          <w:p w14:paraId="0E363360" w14:textId="77777777" w:rsidR="0039479F" w:rsidRDefault="00000000">
            <w:pPr>
              <w:spacing w:line="216" w:lineRule="auto"/>
            </w:pPr>
            <w:r>
              <w:rPr>
                <w:sz w:val="16"/>
                <w:szCs w:val="16"/>
              </w:rPr>
              <w:t>157</w:t>
            </w:r>
          </w:p>
        </w:tc>
      </w:tr>
      <w:tr w:rsidR="0039479F" w14:paraId="3E1590B0" w14:textId="77777777">
        <w:tc>
          <w:tcPr>
            <w:tcW w:w="2041" w:type="dxa"/>
            <w:tcMar>
              <w:top w:w="40" w:type="dxa"/>
              <w:left w:w="70" w:type="dxa"/>
              <w:bottom w:w="40" w:type="dxa"/>
              <w:right w:w="70" w:type="dxa"/>
            </w:tcMar>
          </w:tcPr>
          <w:p w14:paraId="332DCE93" w14:textId="77777777" w:rsidR="0039479F" w:rsidRDefault="00000000">
            <w:pPr>
              <w:spacing w:line="216" w:lineRule="auto"/>
            </w:pPr>
            <w:r>
              <w:rPr>
                <w:sz w:val="16"/>
                <w:szCs w:val="16"/>
              </w:rPr>
              <w:t>Forward citation searching</w:t>
            </w:r>
          </w:p>
        </w:tc>
        <w:tc>
          <w:tcPr>
            <w:tcW w:w="2551" w:type="dxa"/>
            <w:tcMar>
              <w:top w:w="40" w:type="dxa"/>
              <w:left w:w="70" w:type="dxa"/>
              <w:bottom w:w="40" w:type="dxa"/>
              <w:right w:w="70" w:type="dxa"/>
            </w:tcMar>
          </w:tcPr>
          <w:p w14:paraId="7F5AAB19" w14:textId="77777777" w:rsidR="0039479F" w:rsidRDefault="00000000">
            <w:pPr>
              <w:spacing w:line="216" w:lineRule="auto"/>
            </w:pPr>
            <w:r>
              <w:rPr>
                <w:sz w:val="16"/>
                <w:szCs w:val="16"/>
              </w:rPr>
              <w:t>Europe PMC citations service, applied to 16 seed reports</w:t>
            </w:r>
          </w:p>
        </w:tc>
        <w:tc>
          <w:tcPr>
            <w:tcW w:w="1020" w:type="dxa"/>
            <w:tcMar>
              <w:top w:w="40" w:type="dxa"/>
              <w:left w:w="70" w:type="dxa"/>
              <w:bottom w:w="40" w:type="dxa"/>
              <w:right w:w="70" w:type="dxa"/>
            </w:tcMar>
          </w:tcPr>
          <w:p w14:paraId="5462EC25"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720A3043" w14:textId="77777777" w:rsidR="0039479F" w:rsidRDefault="00000000">
            <w:pPr>
              <w:spacing w:line="216" w:lineRule="auto"/>
            </w:pPr>
            <w:r>
              <w:rPr>
                <w:sz w:val="16"/>
                <w:szCs w:val="16"/>
              </w:rPr>
              <w:t>Records restricted to the eligible publication period at screening</w:t>
            </w:r>
          </w:p>
        </w:tc>
        <w:tc>
          <w:tcPr>
            <w:tcW w:w="1533" w:type="dxa"/>
            <w:tcMar>
              <w:top w:w="40" w:type="dxa"/>
              <w:left w:w="70" w:type="dxa"/>
              <w:bottom w:w="40" w:type="dxa"/>
              <w:right w:w="70" w:type="dxa"/>
            </w:tcMar>
          </w:tcPr>
          <w:p w14:paraId="0BEA7EF7" w14:textId="77777777" w:rsidR="0039479F" w:rsidRDefault="00000000">
            <w:pPr>
              <w:spacing w:line="216" w:lineRule="auto"/>
            </w:pPr>
            <w:r>
              <w:rPr>
                <w:sz w:val="16"/>
                <w:szCs w:val="16"/>
              </w:rPr>
              <w:t>346</w:t>
            </w:r>
          </w:p>
        </w:tc>
      </w:tr>
      <w:tr w:rsidR="0039479F" w14:paraId="7B437A94" w14:textId="77777777">
        <w:tc>
          <w:tcPr>
            <w:tcW w:w="2041" w:type="dxa"/>
            <w:tcMar>
              <w:top w:w="40" w:type="dxa"/>
              <w:left w:w="70" w:type="dxa"/>
              <w:bottom w:w="40" w:type="dxa"/>
              <w:right w:w="70" w:type="dxa"/>
            </w:tcMar>
          </w:tcPr>
          <w:p w14:paraId="5C5C8A4D" w14:textId="77777777" w:rsidR="0039479F" w:rsidRDefault="00000000">
            <w:pPr>
              <w:spacing w:line="216" w:lineRule="auto"/>
            </w:pPr>
            <w:r>
              <w:rPr>
                <w:sz w:val="16"/>
                <w:szCs w:val="16"/>
              </w:rPr>
              <w:t>Backward citation searching</w:t>
            </w:r>
          </w:p>
        </w:tc>
        <w:tc>
          <w:tcPr>
            <w:tcW w:w="2551" w:type="dxa"/>
            <w:tcMar>
              <w:top w:w="40" w:type="dxa"/>
              <w:left w:w="70" w:type="dxa"/>
              <w:bottom w:w="40" w:type="dxa"/>
              <w:right w:w="70" w:type="dxa"/>
            </w:tcMar>
          </w:tcPr>
          <w:p w14:paraId="6532880F" w14:textId="77777777" w:rsidR="0039479F" w:rsidRDefault="00000000">
            <w:pPr>
              <w:spacing w:line="216" w:lineRule="auto"/>
            </w:pPr>
            <w:r>
              <w:rPr>
                <w:sz w:val="16"/>
                <w:szCs w:val="16"/>
              </w:rPr>
              <w:t>Reference lists of 3 open-access seed reports retrieved as full text from Europe PMC</w:t>
            </w:r>
          </w:p>
        </w:tc>
        <w:tc>
          <w:tcPr>
            <w:tcW w:w="1020" w:type="dxa"/>
            <w:tcMar>
              <w:top w:w="40" w:type="dxa"/>
              <w:left w:w="70" w:type="dxa"/>
              <w:bottom w:w="40" w:type="dxa"/>
              <w:right w:w="70" w:type="dxa"/>
            </w:tcMar>
          </w:tcPr>
          <w:p w14:paraId="5E9A8A5A"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69BA95E7" w14:textId="77777777" w:rsidR="0039479F" w:rsidRDefault="00000000">
            <w:pPr>
              <w:spacing w:line="216" w:lineRule="auto"/>
            </w:pPr>
            <w:r>
              <w:rPr>
                <w:sz w:val="16"/>
                <w:szCs w:val="16"/>
              </w:rPr>
              <w:t>Records restricted to the eligible publication period at screening</w:t>
            </w:r>
          </w:p>
        </w:tc>
        <w:tc>
          <w:tcPr>
            <w:tcW w:w="1533" w:type="dxa"/>
            <w:tcMar>
              <w:top w:w="40" w:type="dxa"/>
              <w:left w:w="70" w:type="dxa"/>
              <w:bottom w:w="40" w:type="dxa"/>
              <w:right w:w="70" w:type="dxa"/>
            </w:tcMar>
          </w:tcPr>
          <w:p w14:paraId="3615BEBF" w14:textId="77777777" w:rsidR="0039479F" w:rsidRDefault="00000000">
            <w:pPr>
              <w:spacing w:line="216" w:lineRule="auto"/>
            </w:pPr>
            <w:r>
              <w:rPr>
                <w:sz w:val="16"/>
                <w:szCs w:val="16"/>
              </w:rPr>
              <w:t>38</w:t>
            </w:r>
          </w:p>
        </w:tc>
      </w:tr>
      <w:tr w:rsidR="0039479F" w14:paraId="0EE50B56" w14:textId="77777777">
        <w:tc>
          <w:tcPr>
            <w:tcW w:w="2041" w:type="dxa"/>
            <w:tcMar>
              <w:top w:w="40" w:type="dxa"/>
              <w:left w:w="70" w:type="dxa"/>
              <w:bottom w:w="40" w:type="dxa"/>
              <w:right w:w="70" w:type="dxa"/>
            </w:tcMar>
          </w:tcPr>
          <w:p w14:paraId="66C26DC2" w14:textId="77777777" w:rsidR="0039479F" w:rsidRDefault="00000000">
            <w:pPr>
              <w:spacing w:line="216" w:lineRule="auto"/>
            </w:pPr>
            <w:r>
              <w:rPr>
                <w:sz w:val="16"/>
                <w:szCs w:val="16"/>
              </w:rPr>
              <w:t>Cochrane Library</w:t>
            </w:r>
          </w:p>
        </w:tc>
        <w:tc>
          <w:tcPr>
            <w:tcW w:w="2551" w:type="dxa"/>
            <w:tcMar>
              <w:top w:w="40" w:type="dxa"/>
              <w:left w:w="70" w:type="dxa"/>
              <w:bottom w:w="40" w:type="dxa"/>
              <w:right w:w="70" w:type="dxa"/>
            </w:tcMar>
          </w:tcPr>
          <w:p w14:paraId="4BF99E31" w14:textId="77777777" w:rsidR="0039479F" w:rsidRDefault="00000000">
            <w:pPr>
              <w:spacing w:line="216" w:lineRule="auto"/>
            </w:pPr>
            <w:r>
              <w:rPr>
                <w:sz w:val="16"/>
                <w:szCs w:val="16"/>
              </w:rPr>
              <w:t>www.cochranelibrary.com</w:t>
            </w:r>
          </w:p>
        </w:tc>
        <w:tc>
          <w:tcPr>
            <w:tcW w:w="1020" w:type="dxa"/>
            <w:tcMar>
              <w:top w:w="40" w:type="dxa"/>
              <w:left w:w="70" w:type="dxa"/>
              <w:bottom w:w="40" w:type="dxa"/>
              <w:right w:w="70" w:type="dxa"/>
            </w:tcMar>
          </w:tcPr>
          <w:p w14:paraId="42369B29"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43EB5A2C" w14:textId="77777777" w:rsidR="0039479F" w:rsidRDefault="00000000">
            <w:pPr>
              <w:spacing w:line="216" w:lineRule="auto"/>
            </w:pPr>
            <w:r>
              <w:rPr>
                <w:sz w:val="16"/>
                <w:szCs w:val="16"/>
              </w:rPr>
              <w:t>Not applicable</w:t>
            </w:r>
          </w:p>
        </w:tc>
        <w:tc>
          <w:tcPr>
            <w:tcW w:w="1533" w:type="dxa"/>
            <w:tcMar>
              <w:top w:w="40" w:type="dxa"/>
              <w:left w:w="70" w:type="dxa"/>
              <w:bottom w:w="40" w:type="dxa"/>
              <w:right w:w="70" w:type="dxa"/>
            </w:tcMar>
          </w:tcPr>
          <w:p w14:paraId="36EF2180" w14:textId="77777777" w:rsidR="0039479F" w:rsidRDefault="00000000">
            <w:pPr>
              <w:spacing w:line="216" w:lineRule="auto"/>
            </w:pPr>
            <w:r>
              <w:rPr>
                <w:sz w:val="16"/>
                <w:szCs w:val="16"/>
              </w:rPr>
              <w:t>Not searched: access refused (HTTP 403)</w:t>
            </w:r>
          </w:p>
        </w:tc>
      </w:tr>
      <w:tr w:rsidR="0039479F" w14:paraId="45364A40" w14:textId="77777777">
        <w:tc>
          <w:tcPr>
            <w:tcW w:w="2041" w:type="dxa"/>
            <w:tcMar>
              <w:top w:w="40" w:type="dxa"/>
              <w:left w:w="70" w:type="dxa"/>
              <w:bottom w:w="40" w:type="dxa"/>
              <w:right w:w="70" w:type="dxa"/>
            </w:tcMar>
          </w:tcPr>
          <w:p w14:paraId="03F0A1EF" w14:textId="77777777" w:rsidR="0039479F" w:rsidRDefault="00000000">
            <w:pPr>
              <w:spacing w:line="216" w:lineRule="auto"/>
            </w:pPr>
            <w:r>
              <w:rPr>
                <w:sz w:val="16"/>
                <w:szCs w:val="16"/>
              </w:rPr>
              <w:t>WHO ICTRP</w:t>
            </w:r>
          </w:p>
        </w:tc>
        <w:tc>
          <w:tcPr>
            <w:tcW w:w="2551" w:type="dxa"/>
            <w:tcMar>
              <w:top w:w="40" w:type="dxa"/>
              <w:left w:w="70" w:type="dxa"/>
              <w:bottom w:w="40" w:type="dxa"/>
              <w:right w:w="70" w:type="dxa"/>
            </w:tcMar>
          </w:tcPr>
          <w:p w14:paraId="41811070" w14:textId="77777777" w:rsidR="0039479F" w:rsidRDefault="00000000">
            <w:pPr>
              <w:spacing w:line="216" w:lineRule="auto"/>
            </w:pPr>
            <w:r>
              <w:rPr>
                <w:sz w:val="16"/>
                <w:szCs w:val="16"/>
              </w:rPr>
              <w:t>trialsearch.who.int</w:t>
            </w:r>
          </w:p>
        </w:tc>
        <w:tc>
          <w:tcPr>
            <w:tcW w:w="1020" w:type="dxa"/>
            <w:tcMar>
              <w:top w:w="40" w:type="dxa"/>
              <w:left w:w="70" w:type="dxa"/>
              <w:bottom w:w="40" w:type="dxa"/>
              <w:right w:w="70" w:type="dxa"/>
            </w:tcMar>
          </w:tcPr>
          <w:p w14:paraId="0F605E86"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7F16F93E" w14:textId="77777777" w:rsidR="0039479F" w:rsidRDefault="00000000">
            <w:pPr>
              <w:spacing w:line="216" w:lineRule="auto"/>
            </w:pPr>
            <w:r>
              <w:rPr>
                <w:sz w:val="16"/>
                <w:szCs w:val="16"/>
              </w:rPr>
              <w:t>Not applicable</w:t>
            </w:r>
          </w:p>
        </w:tc>
        <w:tc>
          <w:tcPr>
            <w:tcW w:w="1533" w:type="dxa"/>
            <w:tcMar>
              <w:top w:w="40" w:type="dxa"/>
              <w:left w:w="70" w:type="dxa"/>
              <w:bottom w:w="40" w:type="dxa"/>
              <w:right w:w="70" w:type="dxa"/>
            </w:tcMar>
          </w:tcPr>
          <w:p w14:paraId="2F64B310" w14:textId="77777777" w:rsidR="0039479F" w:rsidRDefault="00000000">
            <w:pPr>
              <w:spacing w:line="216" w:lineRule="auto"/>
            </w:pPr>
            <w:r>
              <w:rPr>
                <w:sz w:val="16"/>
                <w:szCs w:val="16"/>
              </w:rPr>
              <w:t>Not searched: access refused (HTTP 403)</w:t>
            </w:r>
          </w:p>
        </w:tc>
      </w:tr>
    </w:tbl>
    <w:p w14:paraId="4ECB4022" w14:textId="77777777" w:rsidR="0039479F" w:rsidRDefault="00000000">
      <w:pPr>
        <w:spacing w:before="90" w:after="220" w:line="240" w:lineRule="auto"/>
      </w:pPr>
      <w:r>
        <w:rPr>
          <w:sz w:val="17"/>
          <w:szCs w:val="17"/>
        </w:rPr>
        <w:t>Note. Counts are the exact numbers of records returned by each interface on the execution date. Complete strategies are reproduced in Supplementary material S1.</w:t>
      </w:r>
    </w:p>
    <w:p w14:paraId="66682BBF" w14:textId="77777777" w:rsidR="0039479F" w:rsidRDefault="00000000">
      <w:pPr>
        <w:pStyle w:val="Heading2"/>
        <w:keepNext/>
        <w:spacing w:before="220" w:after="110"/>
      </w:pPr>
      <w:r>
        <w:t>2.6 Amendment to the search strategy</w:t>
      </w:r>
    </w:p>
    <w:p w14:paraId="45631E98" w14:textId="77777777" w:rsidR="0039479F" w:rsidRDefault="00000000">
      <w:pPr>
        <w:spacing w:after="140"/>
        <w:jc w:val="both"/>
      </w:pPr>
      <w:r>
        <w:t>A sentinel-study check was performed before screening, as a search-quality safeguard. The first PubMed strand, which required an explicit emergency-care setting concept, failed to retrieve several reports known to be eligible, including the multicentre Canadian derivation cohort for high-risk clinical characteristics for subarachnoid haemorrhage (Perry et al., 2010) and a validation of the Ottawa Subarachnoid Haemorrhage Rule in an Asian Chinese cohort (Cheung et al., 2018). Inspection showed that the emergency-setting concept block was over-restrictive for reports that describe their setting only in the full text.</w:t>
      </w:r>
    </w:p>
    <w:p w14:paraId="06998FC1" w14:textId="77777777" w:rsidR="0039479F" w:rsidRDefault="00000000">
      <w:pPr>
        <w:spacing w:after="140"/>
        <w:jc w:val="both"/>
      </w:pPr>
      <w:r>
        <w:t>A second PubMed strand was therefore developed and executed on the same date, in which the setting requirement was replaced by acute-headache terminology combined with the diagnostic and target-condition concepts. The sentinel check was repeated against the amended strategy, which retrieved all recoverable sentinel reports. Both strands are reported separately throughout, so that the effect of the amendment on the yield is visible. This amendment is recorded as a deviation in Section 2.13.</w:t>
      </w:r>
    </w:p>
    <w:p w14:paraId="4C2C8D1E" w14:textId="77777777" w:rsidR="0039479F" w:rsidRDefault="00000000">
      <w:pPr>
        <w:pStyle w:val="Heading2"/>
        <w:keepNext/>
        <w:spacing w:before="220" w:after="110"/>
      </w:pPr>
      <w:r>
        <w:t>2.7 Record management and study selection</w:t>
      </w:r>
    </w:p>
    <w:p w14:paraId="642EA5F7" w14:textId="77777777" w:rsidR="0039479F" w:rsidRDefault="00000000">
      <w:pPr>
        <w:spacing w:after="140"/>
        <w:jc w:val="both"/>
      </w:pPr>
      <w:r>
        <w:t xml:space="preserve">Records were retrieved programmatically and deduplicated using a deterministic procedure that first merged records sharing a PubMed identifier, a DOI, a PubMed Central identifier or a register identifier, and then merged records sharing an identical normalised title only where the first author surname also matched and the publication years differed by no more than three, so that distinct articles with generic titles were not merged. Every merge </w:t>
      </w:r>
      <w:r>
        <w:lastRenderedPageBreak/>
        <w:t>was retained in an audit trail and each duplicate group is recorded in the evidence ledger. During development of the deduplication procedure an error was detected and corrected in which DOIs were being extracted from the reference lists embedded in PubMed records rather than from the article record itself; the corrected extraction produced no duplicated DOIs across the record set.</w:t>
      </w:r>
    </w:p>
    <w:p w14:paraId="6CA1EE69" w14:textId="77777777" w:rsidR="0039479F" w:rsidRDefault="00000000">
      <w:pPr>
        <w:spacing w:after="140"/>
        <w:jc w:val="both"/>
      </w:pPr>
      <w:r>
        <w:t>Records were screened on title and abstract against the eligibility criteria. Records whose publication type was recorded as a case report, editorial, letter, comment, news item, congress abstract, book chapter or erratum were excluded at this stage under a prespecified rule; to verify that this rule did not remove eligible primary studies, the titles of all records typed as case reports were inspected and none described an eligible cohort. Records advancing beyond title and abstract screening were assessed for eligibility against the best accessible source, and one primary reason for exclusion was assigned to each excluded report using a prespecified hierarchy (population and setting, then design and publication type, then index test and outcome). Full-text exclusions with reasons are listed in Supplementary material S3 and in the evidence ledger.</w:t>
      </w:r>
    </w:p>
    <w:p w14:paraId="1B4431C0" w14:textId="7F1CECD0" w:rsidR="0039479F" w:rsidRDefault="00000000">
      <w:pPr>
        <w:spacing w:after="140"/>
        <w:jc w:val="both"/>
      </w:pPr>
      <w:r>
        <w:t xml:space="preserve">Screening, eligibility assessment, data extraction and risk-of-bias appraisal were performed by one reviewer working with computer assistance. There was no second independent </w:t>
      </w:r>
      <w:r w:rsidR="00E064B9">
        <w:t>r</w:t>
      </w:r>
      <w:r>
        <w:t>eviewer, and no duplicate independent screening, extraction or appraisal was performed. This is a material limitation and is discussed in Section 5.</w:t>
      </w:r>
    </w:p>
    <w:p w14:paraId="2235531E" w14:textId="77777777" w:rsidR="0039479F" w:rsidRDefault="00000000">
      <w:pPr>
        <w:pStyle w:val="Heading2"/>
        <w:keepNext/>
        <w:spacing w:before="220" w:after="110"/>
      </w:pPr>
      <w:r>
        <w:t>2.8 Data extraction and source of extraction</w:t>
      </w:r>
    </w:p>
    <w:p w14:paraId="72C25A7F" w14:textId="77777777" w:rsidR="0039479F" w:rsidRDefault="00000000">
      <w:pPr>
        <w:spacing w:after="140"/>
        <w:jc w:val="both"/>
      </w:pPr>
      <w:r>
        <w:t>A structured extraction form recorded the study identifier, country, design, setting and number of centres, number of participants analysed, population definition, index test and threshold, reference standard, target condition and the quantitative results as reported by the study authors. Values were extracted only where the accessed source supported them; where the accessed source did not report an item, the item is recorded as 'Not reported' rather than inferred.</w:t>
      </w:r>
    </w:p>
    <w:p w14:paraId="2516A79C" w14:textId="77777777" w:rsidR="0039479F" w:rsidRDefault="00000000">
      <w:pPr>
        <w:spacing w:after="140"/>
        <w:jc w:val="both"/>
      </w:pPr>
      <w:r>
        <w:t>Because this was an openly accessible evidence search, full reports could not be obtained for every included study. The source of extraction is therefore recorded for every report: the full report was retrieved through Europe PMC open-access full text for 66 reports, and for the remaining 144 reports only the published, peer-reviewed abstract record could be accessed. Extraction for those 144 reports was limited to abstract-level information and is labelled as such throughout the evidence ledger. No attempt was made to infer unreported study detail.</w:t>
      </w:r>
    </w:p>
    <w:p w14:paraId="7128CDAE" w14:textId="77777777" w:rsidR="0039479F" w:rsidRDefault="00000000">
      <w:pPr>
        <w:pStyle w:val="Heading2"/>
        <w:keepNext/>
        <w:spacing w:before="220" w:after="110"/>
      </w:pPr>
      <w:r>
        <w:t>2.9 Outcomes</w:t>
      </w:r>
    </w:p>
    <w:p w14:paraId="45678D63" w14:textId="77777777" w:rsidR="0039479F" w:rsidRDefault="00000000">
      <w:pPr>
        <w:spacing w:after="140"/>
        <w:jc w:val="both"/>
      </w:pPr>
      <w:r>
        <w:t>The primary outcome was the accuracy of an index test for identifying a life-threatening secondary headache, expressed as sensitivity and specificity with confidence intervals where reported, and supplemented by predictive values and likelihood ratios where the study reported them. Because a missed life-threatening cause is the harm the pathway exists to prevent, sensitivity and negative predictive value were prioritised over specificity when tests were compared. Secondary outcomes were the prevalence of a life-threatening secondary cause within a defined ED denominator; the diagnostic yield of an index test, defined as the proportion of tested patients in whom a target condition was identified; and the frequency of a serious neurological diagnosis identified after emergency discharge. Where a study reported several time points or thresholds, the value corresponding to the clinical decision point stated by the authors was extracted, and time-stratified estimates were retained separately because the accuracy of non-contrast CT is explicitly time-dependent.</w:t>
      </w:r>
    </w:p>
    <w:p w14:paraId="30A7EE80" w14:textId="77777777" w:rsidR="0039479F" w:rsidRDefault="00000000">
      <w:pPr>
        <w:pStyle w:val="Heading2"/>
        <w:keepNext/>
        <w:spacing w:before="220" w:after="110"/>
      </w:pPr>
      <w:r>
        <w:t>2.10 Risk of bias and applicability</w:t>
      </w:r>
    </w:p>
    <w:p w14:paraId="35756EAE" w14:textId="77777777" w:rsidR="0039479F" w:rsidRDefault="00000000">
      <w:pPr>
        <w:spacing w:after="140"/>
        <w:jc w:val="both"/>
      </w:pPr>
      <w:r>
        <w:t xml:space="preserve">Risk of bias and applicability were assessed with QUADAS-2 (Whiting et al., 2011), using the four risk-of-bias domains (patient selection, index test, reference standard, and flow and timing) and the three applicability domains. Signalling questions were operationalised as prespecified rules applied to the information available in the accessed report: patient selection was rated low where enrolment was consecutive or unselected from an eligible emergency population, and high where the design was a case-control study, enrolled only patients with the target condition, or defined the population by receipt of an investigation; the index-test domain was rated low only where interpretation or scoring was explicitly independent of the reference standard; the reference-standard domain was rated low where the standard combined imaging, cerebrospinal fluid analysis, angiography, specialist </w:t>
      </w:r>
      <w:r>
        <w:lastRenderedPageBreak/>
        <w:t>diagnosis or structured follow-up, and high where classification rested on routine coding, discharge diagnosis or an imaging report alone; and flow and timing was rated low where all participants were verified by the reference standard or by structured clinical follow-up, and high where verification was differential.</w:t>
      </w:r>
    </w:p>
    <w:p w14:paraId="7523DC4E" w14:textId="77777777" w:rsidR="0039479F" w:rsidRDefault="00000000">
      <w:pPr>
        <w:spacing w:after="140"/>
        <w:jc w:val="both"/>
      </w:pPr>
      <w:r>
        <w:t>Where the accessed report did not provide the information required by a signalling question, the domain was rated unclear rather than assumed. This is a consequence of the access limitation described in Section 2.8 as much as of study reporting, and the two contributions cannot be separated. Domain-level judgements with supporting rationale for every included report are given in the evidence ledger and summarised in Supplementary material S4.</w:t>
      </w:r>
    </w:p>
    <w:p w14:paraId="7BC78708" w14:textId="77777777" w:rsidR="0039479F" w:rsidRDefault="00000000">
      <w:pPr>
        <w:pStyle w:val="Heading2"/>
        <w:keepNext/>
        <w:spacing w:before="220" w:after="110"/>
      </w:pPr>
      <w:r>
        <w:t>2.11 Synthesis without meta-analysis</w:t>
      </w:r>
    </w:p>
    <w:p w14:paraId="309430EC" w14:textId="77777777" w:rsidR="0039479F" w:rsidRDefault="00000000">
      <w:pPr>
        <w:spacing w:after="140"/>
        <w:jc w:val="both"/>
      </w:pPr>
      <w:r>
        <w:t>Synthesis without meta-analysis was selected before data extraction and is reported in accordance with SWiM (Campbell et al., 2020). No pooled sensitivity, specificity, summary receiver operating characteristic curve, pooled prevalence, heterogeneity statistic or pooled P value was calculated, and no summary estimate is displayed or implied.</w:t>
      </w:r>
    </w:p>
    <w:p w14:paraId="4025A0AE" w14:textId="77777777" w:rsidR="0039479F" w:rsidRDefault="00000000">
      <w:pPr>
        <w:spacing w:after="140"/>
        <w:jc w:val="both"/>
      </w:pPr>
      <w:r>
        <w:t>The decision not to pool was based on demonstrable incompatibility of the contributing studies rather than on an assertion of statistical heterogeneity. Included studies differed in the population sampled (all ED headache presentations, thunderclap presentations only, patients selected for imaging, or patients selected for lumbar puncture); in the index test and its threshold (for example, cerebrospinal fluid red cell cut-points of 5, 2,000 and 3,667 per microlitre across different studies); in the reference standard (imaging alone, imaging with cerebrospinal fluid analysis, angiography, or structured follow-up of varying duration); in the target condition (aneurysmal subarachnoid haemorrhage, any subarachnoid haemorrhage, any intracranial pathology, or any serious secondary headache); and in the estimand reported (sensitivity in confirmed cases only, versus full two-by-two accuracy in a consecutive cohort). Pooling estimates across these differences would produce a number without a defensible clinical interpretation.</w:t>
      </w:r>
    </w:p>
    <w:p w14:paraId="7E920FF8" w14:textId="77777777" w:rsidR="0039479F" w:rsidRDefault="00000000">
      <w:pPr>
        <w:spacing w:after="140"/>
        <w:jc w:val="both"/>
      </w:pPr>
      <w:r>
        <w:t>Studies were grouped for synthesis by index test into ten prespecified domains: aetiological spectrum and pre-test probability; clinical features, red flags and decision rules; neuroimaging yield and selection scores; non-contrast CT for subarachnoid haemorrhage; lumbar puncture and cerebrospinal fluid analysis; CT angiography and MRI-based imaging; blood-based biomarkers; bedside adjunct tests; meningitis bedside signs and lumbar-puncture decisions; and triage tools and missed diagnosis. Within each domain, results are presented by structured tabulation with the direction and magnitude of each estimate and its uncertainty as reported, and are compared narratively with explicit attention to study size, design, risk of bias and the population sampled. Vote counting based on statistical significance was not used. Where studies disagreed, the range across studies is reported and the sources of disagreement are examined rather than averaged away.</w:t>
      </w:r>
    </w:p>
    <w:p w14:paraId="447B985A" w14:textId="77777777" w:rsidR="0039479F" w:rsidRDefault="00000000">
      <w:pPr>
        <w:pStyle w:val="Heading2"/>
        <w:keepNext/>
        <w:spacing w:before="220" w:after="110"/>
      </w:pPr>
      <w:r>
        <w:t>2.12 Confidence in the body of evidence</w:t>
      </w:r>
    </w:p>
    <w:p w14:paraId="549086E4" w14:textId="77777777" w:rsidR="0039479F" w:rsidRDefault="00000000">
      <w:pPr>
        <w:spacing w:after="140"/>
        <w:jc w:val="both"/>
      </w:pPr>
      <w:r>
        <w:t>A formal GRADE assessment for diagnostic tests requires linked evidence on test accuracy and on the downstream consequences of testing, and the certainty rating is anchored to patient-important outcomes (Schünemann et al., 2008). For most index tests in this review, that linked evidence does not exist and the included studies do not permit the required judgements. A full GRADE profile would therefore have conveyed more precision than the evidence supports. Instead, a structured and explicitly labelled confidence assessment was applied to each synthesis domain, considering risk of bias, consistency of estimates across studies, directness of the population and target condition, precision as reported, and the risk of missing evidence. This assessment is labelled as a structured confidence assessment throughout and is not a GRADE certainty rating.</w:t>
      </w:r>
    </w:p>
    <w:p w14:paraId="4793BCA2" w14:textId="77777777" w:rsidR="0039479F" w:rsidRDefault="00000000">
      <w:pPr>
        <w:pStyle w:val="Heading2"/>
        <w:keepNext/>
        <w:spacing w:before="220" w:after="110"/>
      </w:pPr>
      <w:r>
        <w:t>2.13 Deviations from the intended methods</w:t>
      </w:r>
    </w:p>
    <w:p w14:paraId="09B86A99" w14:textId="77777777" w:rsidR="0039479F" w:rsidRDefault="00000000">
      <w:pPr>
        <w:spacing w:after="140"/>
        <w:jc w:val="both"/>
      </w:pPr>
      <w:r>
        <w:t xml:space="preserve">Two substantive deviations occurred. First, the search strategy was amended during conduct after a sentinel-study check demonstrated that the initial emergency-setting concept block was insufficiently sensitive; a second PubMed strand was added and executed on the same date, and both strands are reported separately (Section 2.6). Second, formal GRADE certainty rating was replaced by a structured confidence assessment for the reasons given </w:t>
      </w:r>
      <w:r>
        <w:lastRenderedPageBreak/>
        <w:t>in Section 2.12. In addition, preprints were excluded once it became apparent during eligibility assessment that peer-review status could not be verified for the records concerned; this criterion is stated in Table 1 and the two affected records are listed among the full-text exclusions.</w:t>
      </w:r>
    </w:p>
    <w:p w14:paraId="02DE1799" w14:textId="77777777" w:rsidR="0039479F" w:rsidRDefault="00000000">
      <w:pPr>
        <w:pStyle w:val="Heading2"/>
        <w:keepNext/>
        <w:spacing w:before="220" w:after="110"/>
      </w:pPr>
      <w:r>
        <w:t>2.14 Reference verification</w:t>
      </w:r>
    </w:p>
    <w:p w14:paraId="1D3BFBE9" w14:textId="77777777" w:rsidR="0039479F" w:rsidRDefault="00000000">
      <w:pPr>
        <w:spacing w:after="140"/>
        <w:jc w:val="both"/>
      </w:pPr>
      <w:r>
        <w:t>Every included report was verified against its authoritative PubMed record, and the DOI recorded in that record was resolved through the Crossref API or the DOI resolver. The title returned by the resolved DOI was compared with the title in the bibliographic record. Correction, erratum, expression-of-concern and retraction notices were checked for every included report. Where a DOI could not be resolved after authoritative checking, the DOI was omitted from the reference rather than reproduced unverified. The complete verification log is provided in the evidence ledger and in Supplementary material S6.</w:t>
      </w:r>
    </w:p>
    <w:p w14:paraId="213BDD62" w14:textId="77777777" w:rsidR="0039479F" w:rsidRDefault="00000000">
      <w:pPr>
        <w:pStyle w:val="Heading1"/>
        <w:keepNext/>
        <w:spacing w:before="280" w:after="140"/>
      </w:pPr>
      <w:r>
        <w:t>3. Results</w:t>
      </w:r>
    </w:p>
    <w:p w14:paraId="10A8CAE0" w14:textId="77777777" w:rsidR="0039479F" w:rsidRDefault="00000000">
      <w:pPr>
        <w:pStyle w:val="Heading2"/>
        <w:keepNext/>
        <w:spacing w:before="220" w:after="110"/>
      </w:pPr>
      <w:r>
        <w:t>3.1 Search and study selection</w:t>
      </w:r>
    </w:p>
    <w:p w14:paraId="367BB7C9" w14:textId="77777777" w:rsidR="0039479F" w:rsidRDefault="00000000">
      <w:pPr>
        <w:spacing w:after="140"/>
        <w:jc w:val="both"/>
      </w:pPr>
      <w:r>
        <w:t>The two PubMed/MEDLINE strands, Europe PMC and ClinicalTrials.gov together yielded 8,282 records; forward and backward citation searching yielded a further 384. After removal of 2,133 duplicate records within the database and register arm and 68 records already identified from those sources, 6,465 unique records were screened. Screening on title and abstract excluded 6,042 records. Of the 423 reports sought for retrieval, one could not be retrieved in any accessible form and was not assessed further; 422 reports were assessed for eligibility and 212 were excluded, the commonest reasons being absence of an eligible index test or accuracy outcome (n = 68), an ineligible population or setting (n = 58) and an ineligible study design or publication type (n = 55).</w:t>
      </w:r>
    </w:p>
    <w:p w14:paraId="43466DA4" w14:textId="77777777" w:rsidR="0039479F" w:rsidRDefault="00000000">
      <w:pPr>
        <w:spacing w:after="140"/>
        <w:jc w:val="both"/>
      </w:pPr>
      <w:r>
        <w:t>Two hundred and ten reports met all eligibility criteria. After grouping companion reports of the same underlying investigation, these corresponded to 199 unique studies. Five groups of companion reports were identified: seven reports of the HEAD and HEAD-Colombia international multicentre cohort, three reports of the FOTO-ED prospective fundus photography study, and two reports each of the Canadian multicentre subarachnoid haemorrhage cohort recruited between 2000 and 2009, the Queensland statewide emergency department snapshot, and a single-centre Norwegian sudden-severe-headache cohort. Figure 1 shows the flow of records; the counts in the figure are derived by formula from the record-level ledger, so that every number reconciles with the underlying records.</w:t>
      </w:r>
    </w:p>
    <w:p w14:paraId="7FE8FB53" w14:textId="77777777" w:rsidR="0039479F" w:rsidRDefault="00000000">
      <w:pPr>
        <w:keepNext/>
        <w:spacing w:before="200" w:after="120" w:line="240" w:lineRule="auto"/>
        <w:jc w:val="center"/>
      </w:pPr>
      <w:r>
        <w:rPr>
          <w:noProof/>
        </w:rPr>
        <w:lastRenderedPageBreak/>
        <w:drawing>
          <wp:inline distT="0" distB="0" distL="0" distR="0" wp14:anchorId="3F01AA11" wp14:editId="3DE62B2A">
            <wp:extent cx="6191250" cy="423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0" cy="4238625"/>
                    </a:xfrm>
                    <a:prstGeom prst="rect">
                      <a:avLst/>
                    </a:prstGeom>
                  </pic:spPr>
                </pic:pic>
              </a:graphicData>
            </a:graphic>
          </wp:inline>
        </w:drawing>
      </w:r>
    </w:p>
    <w:p w14:paraId="27FE9BAF" w14:textId="77777777" w:rsidR="0039479F" w:rsidRDefault="00000000">
      <w:pPr>
        <w:spacing w:after="80" w:line="252" w:lineRule="auto"/>
      </w:pPr>
      <w:r>
        <w:rPr>
          <w:sz w:val="21"/>
          <w:szCs w:val="21"/>
        </w:rPr>
        <w:t>Figure 1. PRISMA 2020 flow diagram for the identification, screening and inclusion of studies</w:t>
      </w:r>
    </w:p>
    <w:p w14:paraId="6DA75E37" w14:textId="77777777" w:rsidR="0039479F" w:rsidRDefault="00000000">
      <w:pPr>
        <w:spacing w:after="240" w:line="240" w:lineRule="auto"/>
      </w:pPr>
      <w:r>
        <w:rPr>
          <w:sz w:val="17"/>
          <w:szCs w:val="17"/>
        </w:rPr>
        <w:t>Note. Reports are individual publications; studies are unique underlying investigations, with companion reports of the same study counted once. All counts reconcile arithmetically with the record-level evidence ledger.</w:t>
      </w:r>
    </w:p>
    <w:p w14:paraId="48D6556C" w14:textId="77777777" w:rsidR="0039479F" w:rsidRDefault="00000000">
      <w:pPr>
        <w:pStyle w:val="Heading2"/>
        <w:keepNext/>
        <w:spacing w:before="220" w:after="110"/>
      </w:pPr>
      <w:r>
        <w:t>3.2 Characteristics of the included studies</w:t>
      </w:r>
    </w:p>
    <w:p w14:paraId="6197EA5F" w14:textId="77777777" w:rsidR="0039479F" w:rsidRDefault="00000000">
      <w:pPr>
        <w:spacing w:after="140"/>
        <w:jc w:val="both"/>
      </w:pPr>
      <w:r>
        <w:t>The included studies span the full eligible period, from 2001 to 2026, with a median publication year of 2018; 29 reports were published between 2000 and 2009, 97 between 2010 and 2019 and 84 from 2020 onwards. They were conducted in 34 countries, most frequently the United States (46 reports), the United Kingdom (21), Australia (15), Türkiye (15), Canada (12), the Netherlands (10), Spain (9) and Japan (9); seven reports described multinational cohorts and one a cohort spanning the United Kingdom and Ireland. One hundred and twenty-eight reports described retrospective designs and 57 prospective designs; three described mixed prospective and retrospective components, and for 22 the accessed source did not state whether the design was prospective or retrospective. Table 3 summarises the distribution of studies, designs and extraction sources across the ten synthesis domains, and shows immediately where the evidence base is concentrated and where it is thin.</w:t>
      </w:r>
    </w:p>
    <w:p w14:paraId="1C072C0F" w14:textId="77777777" w:rsidR="0039479F" w:rsidRDefault="00000000">
      <w:pPr>
        <w:spacing w:after="140"/>
        <w:jc w:val="both"/>
      </w:pPr>
      <w:r>
        <w:t>Two features of Table 3 shape everything that follows. First, the evidence is heavily concentrated on subarachnoid haemorrhage: the domains covering non-contrast CT, cerebrospinal fluid analysis and composite decision rules together account for 94 of the 210 reports, whereas the conditions that a normal CT does not exclude are addressed by far fewer studies. Second, the full report could be retrieved for only 66 reports, so most of the evidence base has been characterised from published abstracts, which constrains both extraction detail and risk-of-bias appraisal.</w:t>
      </w:r>
    </w:p>
    <w:p w14:paraId="5A32045A" w14:textId="77777777" w:rsidR="0039479F" w:rsidRDefault="00000000">
      <w:pPr>
        <w:keepNext/>
        <w:spacing w:before="200" w:after="90"/>
      </w:pPr>
      <w:r>
        <w:rPr>
          <w:b/>
          <w:bCs/>
          <w:sz w:val="21"/>
          <w:szCs w:val="21"/>
        </w:rPr>
        <w:t>Table 3. Distribution of included reports across synthesis domains, by design and source of extraction</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3288"/>
        <w:gridCol w:w="783"/>
        <w:gridCol w:w="939"/>
        <w:gridCol w:w="1017"/>
        <w:gridCol w:w="1331"/>
        <w:gridCol w:w="1252"/>
        <w:gridCol w:w="1256"/>
      </w:tblGrid>
      <w:tr w:rsidR="0039479F" w14:paraId="443A9986" w14:textId="77777777">
        <w:trPr>
          <w:tblHeader/>
        </w:trPr>
        <w:tc>
          <w:tcPr>
            <w:tcW w:w="3288" w:type="dxa"/>
            <w:shd w:val="clear" w:color="auto" w:fill="F2F2F2"/>
            <w:tcMar>
              <w:top w:w="40" w:type="dxa"/>
              <w:left w:w="70" w:type="dxa"/>
              <w:bottom w:w="40" w:type="dxa"/>
              <w:right w:w="70" w:type="dxa"/>
            </w:tcMar>
          </w:tcPr>
          <w:p w14:paraId="4BDDE6C8" w14:textId="77777777" w:rsidR="0039479F" w:rsidRDefault="00000000">
            <w:pPr>
              <w:spacing w:line="216" w:lineRule="auto"/>
            </w:pPr>
            <w:r>
              <w:rPr>
                <w:b/>
                <w:bCs/>
                <w:sz w:val="16"/>
                <w:szCs w:val="16"/>
              </w:rPr>
              <w:t>Synthesis domain</w:t>
            </w:r>
          </w:p>
        </w:tc>
        <w:tc>
          <w:tcPr>
            <w:tcW w:w="783" w:type="dxa"/>
            <w:shd w:val="clear" w:color="auto" w:fill="F2F2F2"/>
            <w:tcMar>
              <w:top w:w="40" w:type="dxa"/>
              <w:left w:w="70" w:type="dxa"/>
              <w:bottom w:w="40" w:type="dxa"/>
              <w:right w:w="70" w:type="dxa"/>
            </w:tcMar>
          </w:tcPr>
          <w:p w14:paraId="1AEB6AB0" w14:textId="77777777" w:rsidR="0039479F" w:rsidRDefault="00000000">
            <w:pPr>
              <w:spacing w:line="216" w:lineRule="auto"/>
            </w:pPr>
            <w:r>
              <w:rPr>
                <w:b/>
                <w:bCs/>
                <w:sz w:val="16"/>
                <w:szCs w:val="16"/>
              </w:rPr>
              <w:t>Reports</w:t>
            </w:r>
          </w:p>
        </w:tc>
        <w:tc>
          <w:tcPr>
            <w:tcW w:w="939" w:type="dxa"/>
            <w:shd w:val="clear" w:color="auto" w:fill="F2F2F2"/>
            <w:tcMar>
              <w:top w:w="40" w:type="dxa"/>
              <w:left w:w="70" w:type="dxa"/>
              <w:bottom w:w="40" w:type="dxa"/>
              <w:right w:w="70" w:type="dxa"/>
            </w:tcMar>
          </w:tcPr>
          <w:p w14:paraId="5468A838" w14:textId="77777777" w:rsidR="0039479F" w:rsidRDefault="00000000">
            <w:pPr>
              <w:spacing w:line="216" w:lineRule="auto"/>
            </w:pPr>
            <w:r>
              <w:rPr>
                <w:b/>
                <w:bCs/>
                <w:sz w:val="16"/>
                <w:szCs w:val="16"/>
              </w:rPr>
              <w:t>Prospective</w:t>
            </w:r>
          </w:p>
        </w:tc>
        <w:tc>
          <w:tcPr>
            <w:tcW w:w="1017" w:type="dxa"/>
            <w:shd w:val="clear" w:color="auto" w:fill="F2F2F2"/>
            <w:tcMar>
              <w:top w:w="40" w:type="dxa"/>
              <w:left w:w="70" w:type="dxa"/>
              <w:bottom w:w="40" w:type="dxa"/>
              <w:right w:w="70" w:type="dxa"/>
            </w:tcMar>
          </w:tcPr>
          <w:p w14:paraId="4E0A54B8" w14:textId="77777777" w:rsidR="0039479F" w:rsidRDefault="00000000">
            <w:pPr>
              <w:spacing w:line="216" w:lineRule="auto"/>
            </w:pPr>
            <w:r>
              <w:rPr>
                <w:b/>
                <w:bCs/>
                <w:sz w:val="16"/>
                <w:szCs w:val="16"/>
              </w:rPr>
              <w:t>Retrospective</w:t>
            </w:r>
          </w:p>
        </w:tc>
        <w:tc>
          <w:tcPr>
            <w:tcW w:w="1331" w:type="dxa"/>
            <w:shd w:val="clear" w:color="auto" w:fill="F2F2F2"/>
            <w:tcMar>
              <w:top w:w="40" w:type="dxa"/>
              <w:left w:w="70" w:type="dxa"/>
              <w:bottom w:w="40" w:type="dxa"/>
              <w:right w:w="70" w:type="dxa"/>
            </w:tcMar>
          </w:tcPr>
          <w:p w14:paraId="7D60F1A7" w14:textId="77777777" w:rsidR="0039479F" w:rsidRDefault="00000000">
            <w:pPr>
              <w:spacing w:line="216" w:lineRule="auto"/>
            </w:pPr>
            <w:r>
              <w:rPr>
                <w:b/>
                <w:bCs/>
                <w:sz w:val="16"/>
                <w:szCs w:val="16"/>
              </w:rPr>
              <w:t>Mixed or not classifiable</w:t>
            </w:r>
          </w:p>
        </w:tc>
        <w:tc>
          <w:tcPr>
            <w:tcW w:w="1252" w:type="dxa"/>
            <w:shd w:val="clear" w:color="auto" w:fill="F2F2F2"/>
            <w:tcMar>
              <w:top w:w="40" w:type="dxa"/>
              <w:left w:w="70" w:type="dxa"/>
              <w:bottom w:w="40" w:type="dxa"/>
              <w:right w:w="70" w:type="dxa"/>
            </w:tcMar>
          </w:tcPr>
          <w:p w14:paraId="0B239992" w14:textId="77777777" w:rsidR="0039479F" w:rsidRDefault="00000000">
            <w:pPr>
              <w:spacing w:line="216" w:lineRule="auto"/>
            </w:pPr>
            <w:r>
              <w:rPr>
                <w:b/>
                <w:bCs/>
                <w:sz w:val="16"/>
                <w:szCs w:val="16"/>
              </w:rPr>
              <w:t>Full report retrieved</w:t>
            </w:r>
          </w:p>
        </w:tc>
        <w:tc>
          <w:tcPr>
            <w:tcW w:w="1256" w:type="dxa"/>
            <w:shd w:val="clear" w:color="auto" w:fill="F2F2F2"/>
            <w:tcMar>
              <w:top w:w="40" w:type="dxa"/>
              <w:left w:w="70" w:type="dxa"/>
              <w:bottom w:w="40" w:type="dxa"/>
              <w:right w:w="70" w:type="dxa"/>
            </w:tcMar>
          </w:tcPr>
          <w:p w14:paraId="6FC719ED" w14:textId="77777777" w:rsidR="0039479F" w:rsidRDefault="00000000">
            <w:pPr>
              <w:spacing w:line="216" w:lineRule="auto"/>
            </w:pPr>
            <w:r>
              <w:rPr>
                <w:b/>
                <w:bCs/>
                <w:sz w:val="16"/>
                <w:szCs w:val="16"/>
              </w:rPr>
              <w:t>Abstract record only</w:t>
            </w:r>
          </w:p>
        </w:tc>
      </w:tr>
      <w:tr w:rsidR="0039479F" w14:paraId="4639312A" w14:textId="77777777">
        <w:tc>
          <w:tcPr>
            <w:tcW w:w="3288" w:type="dxa"/>
            <w:tcMar>
              <w:top w:w="40" w:type="dxa"/>
              <w:left w:w="70" w:type="dxa"/>
              <w:bottom w:w="40" w:type="dxa"/>
              <w:right w:w="70" w:type="dxa"/>
            </w:tcMar>
          </w:tcPr>
          <w:p w14:paraId="17209069" w14:textId="77777777" w:rsidR="0039479F" w:rsidRDefault="00000000">
            <w:pPr>
              <w:spacing w:line="216" w:lineRule="auto"/>
            </w:pPr>
            <w:r>
              <w:rPr>
                <w:sz w:val="16"/>
                <w:szCs w:val="16"/>
              </w:rPr>
              <w:t>A. Aetiological spectrum and pre-test probability</w:t>
            </w:r>
          </w:p>
        </w:tc>
        <w:tc>
          <w:tcPr>
            <w:tcW w:w="783" w:type="dxa"/>
            <w:tcMar>
              <w:top w:w="40" w:type="dxa"/>
              <w:left w:w="70" w:type="dxa"/>
              <w:bottom w:w="40" w:type="dxa"/>
              <w:right w:w="70" w:type="dxa"/>
            </w:tcMar>
          </w:tcPr>
          <w:p w14:paraId="5750C0BE" w14:textId="77777777" w:rsidR="0039479F" w:rsidRDefault="00000000">
            <w:pPr>
              <w:spacing w:line="216" w:lineRule="auto"/>
            </w:pPr>
            <w:r>
              <w:rPr>
                <w:sz w:val="16"/>
                <w:szCs w:val="16"/>
              </w:rPr>
              <w:t>37</w:t>
            </w:r>
          </w:p>
        </w:tc>
        <w:tc>
          <w:tcPr>
            <w:tcW w:w="939" w:type="dxa"/>
            <w:tcMar>
              <w:top w:w="40" w:type="dxa"/>
              <w:left w:w="70" w:type="dxa"/>
              <w:bottom w:w="40" w:type="dxa"/>
              <w:right w:w="70" w:type="dxa"/>
            </w:tcMar>
          </w:tcPr>
          <w:p w14:paraId="4FFF267E" w14:textId="77777777" w:rsidR="0039479F" w:rsidRDefault="00000000">
            <w:pPr>
              <w:spacing w:line="216" w:lineRule="auto"/>
            </w:pPr>
            <w:r>
              <w:rPr>
                <w:sz w:val="16"/>
                <w:szCs w:val="16"/>
              </w:rPr>
              <w:t>14</w:t>
            </w:r>
          </w:p>
        </w:tc>
        <w:tc>
          <w:tcPr>
            <w:tcW w:w="1017" w:type="dxa"/>
            <w:tcMar>
              <w:top w:w="40" w:type="dxa"/>
              <w:left w:w="70" w:type="dxa"/>
              <w:bottom w:w="40" w:type="dxa"/>
              <w:right w:w="70" w:type="dxa"/>
            </w:tcMar>
          </w:tcPr>
          <w:p w14:paraId="0A749814" w14:textId="77777777" w:rsidR="0039479F" w:rsidRDefault="00000000">
            <w:pPr>
              <w:spacing w:line="216" w:lineRule="auto"/>
            </w:pPr>
            <w:r>
              <w:rPr>
                <w:sz w:val="16"/>
                <w:szCs w:val="16"/>
              </w:rPr>
              <w:t>15</w:t>
            </w:r>
          </w:p>
        </w:tc>
        <w:tc>
          <w:tcPr>
            <w:tcW w:w="1331" w:type="dxa"/>
            <w:tcMar>
              <w:top w:w="40" w:type="dxa"/>
              <w:left w:w="70" w:type="dxa"/>
              <w:bottom w:w="40" w:type="dxa"/>
              <w:right w:w="70" w:type="dxa"/>
            </w:tcMar>
          </w:tcPr>
          <w:p w14:paraId="35FAE4BF" w14:textId="77777777" w:rsidR="0039479F" w:rsidRDefault="00000000">
            <w:pPr>
              <w:spacing w:line="216" w:lineRule="auto"/>
            </w:pPr>
            <w:r>
              <w:rPr>
                <w:sz w:val="16"/>
                <w:szCs w:val="16"/>
              </w:rPr>
              <w:t>8</w:t>
            </w:r>
          </w:p>
        </w:tc>
        <w:tc>
          <w:tcPr>
            <w:tcW w:w="1252" w:type="dxa"/>
            <w:tcMar>
              <w:top w:w="40" w:type="dxa"/>
              <w:left w:w="70" w:type="dxa"/>
              <w:bottom w:w="40" w:type="dxa"/>
              <w:right w:w="70" w:type="dxa"/>
            </w:tcMar>
          </w:tcPr>
          <w:p w14:paraId="7526570A" w14:textId="77777777" w:rsidR="0039479F" w:rsidRDefault="00000000">
            <w:pPr>
              <w:spacing w:line="216" w:lineRule="auto"/>
            </w:pPr>
            <w:r>
              <w:rPr>
                <w:sz w:val="16"/>
                <w:szCs w:val="16"/>
              </w:rPr>
              <w:t>10</w:t>
            </w:r>
          </w:p>
        </w:tc>
        <w:tc>
          <w:tcPr>
            <w:tcW w:w="1256" w:type="dxa"/>
            <w:tcMar>
              <w:top w:w="40" w:type="dxa"/>
              <w:left w:w="70" w:type="dxa"/>
              <w:bottom w:w="40" w:type="dxa"/>
              <w:right w:w="70" w:type="dxa"/>
            </w:tcMar>
          </w:tcPr>
          <w:p w14:paraId="5AE60ACD" w14:textId="77777777" w:rsidR="0039479F" w:rsidRDefault="00000000">
            <w:pPr>
              <w:spacing w:line="216" w:lineRule="auto"/>
            </w:pPr>
            <w:r>
              <w:rPr>
                <w:sz w:val="16"/>
                <w:szCs w:val="16"/>
              </w:rPr>
              <w:t>27</w:t>
            </w:r>
          </w:p>
        </w:tc>
      </w:tr>
      <w:tr w:rsidR="0039479F" w14:paraId="3CBA773B" w14:textId="77777777">
        <w:tc>
          <w:tcPr>
            <w:tcW w:w="3288" w:type="dxa"/>
            <w:tcMar>
              <w:top w:w="40" w:type="dxa"/>
              <w:left w:w="70" w:type="dxa"/>
              <w:bottom w:w="40" w:type="dxa"/>
              <w:right w:w="70" w:type="dxa"/>
            </w:tcMar>
          </w:tcPr>
          <w:p w14:paraId="1B1FF82B" w14:textId="77777777" w:rsidR="0039479F" w:rsidRDefault="00000000">
            <w:pPr>
              <w:spacing w:line="216" w:lineRule="auto"/>
            </w:pPr>
            <w:r>
              <w:rPr>
                <w:sz w:val="16"/>
                <w:szCs w:val="16"/>
              </w:rPr>
              <w:t>C. Clinical features, red flags and decision rules</w:t>
            </w:r>
          </w:p>
        </w:tc>
        <w:tc>
          <w:tcPr>
            <w:tcW w:w="783" w:type="dxa"/>
            <w:tcMar>
              <w:top w:w="40" w:type="dxa"/>
              <w:left w:w="70" w:type="dxa"/>
              <w:bottom w:w="40" w:type="dxa"/>
              <w:right w:w="70" w:type="dxa"/>
            </w:tcMar>
          </w:tcPr>
          <w:p w14:paraId="34805048" w14:textId="77777777" w:rsidR="0039479F" w:rsidRDefault="00000000">
            <w:pPr>
              <w:spacing w:line="216" w:lineRule="auto"/>
            </w:pPr>
            <w:r>
              <w:rPr>
                <w:sz w:val="16"/>
                <w:szCs w:val="16"/>
              </w:rPr>
              <w:t>43</w:t>
            </w:r>
          </w:p>
        </w:tc>
        <w:tc>
          <w:tcPr>
            <w:tcW w:w="939" w:type="dxa"/>
            <w:tcMar>
              <w:top w:w="40" w:type="dxa"/>
              <w:left w:w="70" w:type="dxa"/>
              <w:bottom w:w="40" w:type="dxa"/>
              <w:right w:w="70" w:type="dxa"/>
            </w:tcMar>
          </w:tcPr>
          <w:p w14:paraId="399498A6" w14:textId="77777777" w:rsidR="0039479F" w:rsidRDefault="00000000">
            <w:pPr>
              <w:spacing w:line="216" w:lineRule="auto"/>
            </w:pPr>
            <w:r>
              <w:rPr>
                <w:sz w:val="16"/>
                <w:szCs w:val="16"/>
              </w:rPr>
              <w:t>10</w:t>
            </w:r>
          </w:p>
        </w:tc>
        <w:tc>
          <w:tcPr>
            <w:tcW w:w="1017" w:type="dxa"/>
            <w:tcMar>
              <w:top w:w="40" w:type="dxa"/>
              <w:left w:w="70" w:type="dxa"/>
              <w:bottom w:w="40" w:type="dxa"/>
              <w:right w:w="70" w:type="dxa"/>
            </w:tcMar>
          </w:tcPr>
          <w:p w14:paraId="14B0DE84" w14:textId="77777777" w:rsidR="0039479F" w:rsidRDefault="00000000">
            <w:pPr>
              <w:spacing w:line="216" w:lineRule="auto"/>
            </w:pPr>
            <w:r>
              <w:rPr>
                <w:sz w:val="16"/>
                <w:szCs w:val="16"/>
              </w:rPr>
              <w:t>29</w:t>
            </w:r>
          </w:p>
        </w:tc>
        <w:tc>
          <w:tcPr>
            <w:tcW w:w="1331" w:type="dxa"/>
            <w:tcMar>
              <w:top w:w="40" w:type="dxa"/>
              <w:left w:w="70" w:type="dxa"/>
              <w:bottom w:w="40" w:type="dxa"/>
              <w:right w:w="70" w:type="dxa"/>
            </w:tcMar>
          </w:tcPr>
          <w:p w14:paraId="605528FF" w14:textId="77777777" w:rsidR="0039479F" w:rsidRDefault="00000000">
            <w:pPr>
              <w:spacing w:line="216" w:lineRule="auto"/>
            </w:pPr>
            <w:r>
              <w:rPr>
                <w:sz w:val="16"/>
                <w:szCs w:val="16"/>
              </w:rPr>
              <w:t>4</w:t>
            </w:r>
          </w:p>
        </w:tc>
        <w:tc>
          <w:tcPr>
            <w:tcW w:w="1252" w:type="dxa"/>
            <w:tcMar>
              <w:top w:w="40" w:type="dxa"/>
              <w:left w:w="70" w:type="dxa"/>
              <w:bottom w:w="40" w:type="dxa"/>
              <w:right w:w="70" w:type="dxa"/>
            </w:tcMar>
          </w:tcPr>
          <w:p w14:paraId="3E129D92" w14:textId="77777777" w:rsidR="0039479F" w:rsidRDefault="00000000">
            <w:pPr>
              <w:spacing w:line="216" w:lineRule="auto"/>
            </w:pPr>
            <w:r>
              <w:rPr>
                <w:sz w:val="16"/>
                <w:szCs w:val="16"/>
              </w:rPr>
              <w:t>15</w:t>
            </w:r>
          </w:p>
        </w:tc>
        <w:tc>
          <w:tcPr>
            <w:tcW w:w="1256" w:type="dxa"/>
            <w:tcMar>
              <w:top w:w="40" w:type="dxa"/>
              <w:left w:w="70" w:type="dxa"/>
              <w:bottom w:w="40" w:type="dxa"/>
              <w:right w:w="70" w:type="dxa"/>
            </w:tcMar>
          </w:tcPr>
          <w:p w14:paraId="6B33C932" w14:textId="77777777" w:rsidR="0039479F" w:rsidRDefault="00000000">
            <w:pPr>
              <w:spacing w:line="216" w:lineRule="auto"/>
            </w:pPr>
            <w:r>
              <w:rPr>
                <w:sz w:val="16"/>
                <w:szCs w:val="16"/>
              </w:rPr>
              <w:t>28</w:t>
            </w:r>
          </w:p>
        </w:tc>
      </w:tr>
      <w:tr w:rsidR="0039479F" w14:paraId="5A6C3DFA" w14:textId="77777777">
        <w:tc>
          <w:tcPr>
            <w:tcW w:w="3288" w:type="dxa"/>
            <w:tcMar>
              <w:top w:w="40" w:type="dxa"/>
              <w:left w:w="70" w:type="dxa"/>
              <w:bottom w:w="40" w:type="dxa"/>
              <w:right w:w="70" w:type="dxa"/>
            </w:tcMar>
          </w:tcPr>
          <w:p w14:paraId="587CD3D8" w14:textId="77777777" w:rsidR="0039479F" w:rsidRDefault="00000000">
            <w:pPr>
              <w:spacing w:line="216" w:lineRule="auto"/>
            </w:pPr>
            <w:r>
              <w:rPr>
                <w:sz w:val="16"/>
                <w:szCs w:val="16"/>
              </w:rPr>
              <w:t>D. Neuroimaging yield and selection scores</w:t>
            </w:r>
          </w:p>
        </w:tc>
        <w:tc>
          <w:tcPr>
            <w:tcW w:w="783" w:type="dxa"/>
            <w:tcMar>
              <w:top w:w="40" w:type="dxa"/>
              <w:left w:w="70" w:type="dxa"/>
              <w:bottom w:w="40" w:type="dxa"/>
              <w:right w:w="70" w:type="dxa"/>
            </w:tcMar>
          </w:tcPr>
          <w:p w14:paraId="47D7F543" w14:textId="77777777" w:rsidR="0039479F" w:rsidRDefault="00000000">
            <w:pPr>
              <w:spacing w:line="216" w:lineRule="auto"/>
            </w:pPr>
            <w:r>
              <w:rPr>
                <w:sz w:val="16"/>
                <w:szCs w:val="16"/>
              </w:rPr>
              <w:t>18</w:t>
            </w:r>
          </w:p>
        </w:tc>
        <w:tc>
          <w:tcPr>
            <w:tcW w:w="939" w:type="dxa"/>
            <w:tcMar>
              <w:top w:w="40" w:type="dxa"/>
              <w:left w:w="70" w:type="dxa"/>
              <w:bottom w:w="40" w:type="dxa"/>
              <w:right w:w="70" w:type="dxa"/>
            </w:tcMar>
          </w:tcPr>
          <w:p w14:paraId="42E8E57B" w14:textId="77777777" w:rsidR="0039479F" w:rsidRDefault="00000000">
            <w:pPr>
              <w:spacing w:line="216" w:lineRule="auto"/>
            </w:pPr>
            <w:r>
              <w:rPr>
                <w:sz w:val="16"/>
                <w:szCs w:val="16"/>
              </w:rPr>
              <w:t>2</w:t>
            </w:r>
          </w:p>
        </w:tc>
        <w:tc>
          <w:tcPr>
            <w:tcW w:w="1017" w:type="dxa"/>
            <w:tcMar>
              <w:top w:w="40" w:type="dxa"/>
              <w:left w:w="70" w:type="dxa"/>
              <w:bottom w:w="40" w:type="dxa"/>
              <w:right w:w="70" w:type="dxa"/>
            </w:tcMar>
          </w:tcPr>
          <w:p w14:paraId="7BB866DD" w14:textId="77777777" w:rsidR="0039479F" w:rsidRDefault="00000000">
            <w:pPr>
              <w:spacing w:line="216" w:lineRule="auto"/>
            </w:pPr>
            <w:r>
              <w:rPr>
                <w:sz w:val="16"/>
                <w:szCs w:val="16"/>
              </w:rPr>
              <w:t>15</w:t>
            </w:r>
          </w:p>
        </w:tc>
        <w:tc>
          <w:tcPr>
            <w:tcW w:w="1331" w:type="dxa"/>
            <w:tcMar>
              <w:top w:w="40" w:type="dxa"/>
              <w:left w:w="70" w:type="dxa"/>
              <w:bottom w:w="40" w:type="dxa"/>
              <w:right w:w="70" w:type="dxa"/>
            </w:tcMar>
          </w:tcPr>
          <w:p w14:paraId="6C4F1B8D" w14:textId="77777777" w:rsidR="0039479F" w:rsidRDefault="00000000">
            <w:pPr>
              <w:spacing w:line="216" w:lineRule="auto"/>
            </w:pPr>
            <w:r>
              <w:rPr>
                <w:sz w:val="16"/>
                <w:szCs w:val="16"/>
              </w:rPr>
              <w:t>1</w:t>
            </w:r>
          </w:p>
        </w:tc>
        <w:tc>
          <w:tcPr>
            <w:tcW w:w="1252" w:type="dxa"/>
            <w:tcMar>
              <w:top w:w="40" w:type="dxa"/>
              <w:left w:w="70" w:type="dxa"/>
              <w:bottom w:w="40" w:type="dxa"/>
              <w:right w:w="70" w:type="dxa"/>
            </w:tcMar>
          </w:tcPr>
          <w:p w14:paraId="31E0E663" w14:textId="77777777" w:rsidR="0039479F" w:rsidRDefault="00000000">
            <w:pPr>
              <w:spacing w:line="216" w:lineRule="auto"/>
            </w:pPr>
            <w:r>
              <w:rPr>
                <w:sz w:val="16"/>
                <w:szCs w:val="16"/>
              </w:rPr>
              <w:t>6</w:t>
            </w:r>
          </w:p>
        </w:tc>
        <w:tc>
          <w:tcPr>
            <w:tcW w:w="1256" w:type="dxa"/>
            <w:tcMar>
              <w:top w:w="40" w:type="dxa"/>
              <w:left w:w="70" w:type="dxa"/>
              <w:bottom w:w="40" w:type="dxa"/>
              <w:right w:w="70" w:type="dxa"/>
            </w:tcMar>
          </w:tcPr>
          <w:p w14:paraId="1BF328AD" w14:textId="77777777" w:rsidR="0039479F" w:rsidRDefault="00000000">
            <w:pPr>
              <w:spacing w:line="216" w:lineRule="auto"/>
            </w:pPr>
            <w:r>
              <w:rPr>
                <w:sz w:val="16"/>
                <w:szCs w:val="16"/>
              </w:rPr>
              <w:t>12</w:t>
            </w:r>
          </w:p>
        </w:tc>
      </w:tr>
      <w:tr w:rsidR="0039479F" w14:paraId="0F16FE17" w14:textId="77777777">
        <w:tc>
          <w:tcPr>
            <w:tcW w:w="3288" w:type="dxa"/>
            <w:tcMar>
              <w:top w:w="40" w:type="dxa"/>
              <w:left w:w="70" w:type="dxa"/>
              <w:bottom w:w="40" w:type="dxa"/>
              <w:right w:w="70" w:type="dxa"/>
            </w:tcMar>
          </w:tcPr>
          <w:p w14:paraId="05928474" w14:textId="77777777" w:rsidR="0039479F" w:rsidRDefault="00000000">
            <w:pPr>
              <w:spacing w:line="216" w:lineRule="auto"/>
            </w:pPr>
            <w:r>
              <w:rPr>
                <w:sz w:val="16"/>
                <w:szCs w:val="16"/>
              </w:rPr>
              <w:lastRenderedPageBreak/>
              <w:t>E. Non-contrast CT for subarachnoid haemorrhage</w:t>
            </w:r>
          </w:p>
        </w:tc>
        <w:tc>
          <w:tcPr>
            <w:tcW w:w="783" w:type="dxa"/>
            <w:tcMar>
              <w:top w:w="40" w:type="dxa"/>
              <w:left w:w="70" w:type="dxa"/>
              <w:bottom w:w="40" w:type="dxa"/>
              <w:right w:w="70" w:type="dxa"/>
            </w:tcMar>
          </w:tcPr>
          <w:p w14:paraId="60F00771" w14:textId="77777777" w:rsidR="0039479F" w:rsidRDefault="00000000">
            <w:pPr>
              <w:spacing w:line="216" w:lineRule="auto"/>
            </w:pPr>
            <w:r>
              <w:rPr>
                <w:sz w:val="16"/>
                <w:szCs w:val="16"/>
              </w:rPr>
              <w:t>10</w:t>
            </w:r>
          </w:p>
        </w:tc>
        <w:tc>
          <w:tcPr>
            <w:tcW w:w="939" w:type="dxa"/>
            <w:tcMar>
              <w:top w:w="40" w:type="dxa"/>
              <w:left w:w="70" w:type="dxa"/>
              <w:bottom w:w="40" w:type="dxa"/>
              <w:right w:w="70" w:type="dxa"/>
            </w:tcMar>
          </w:tcPr>
          <w:p w14:paraId="735A67D1" w14:textId="77777777" w:rsidR="0039479F" w:rsidRDefault="00000000">
            <w:pPr>
              <w:spacing w:line="216" w:lineRule="auto"/>
            </w:pPr>
            <w:r>
              <w:rPr>
                <w:sz w:val="16"/>
                <w:szCs w:val="16"/>
              </w:rPr>
              <w:t>3</w:t>
            </w:r>
          </w:p>
        </w:tc>
        <w:tc>
          <w:tcPr>
            <w:tcW w:w="1017" w:type="dxa"/>
            <w:tcMar>
              <w:top w:w="40" w:type="dxa"/>
              <w:left w:w="70" w:type="dxa"/>
              <w:bottom w:w="40" w:type="dxa"/>
              <w:right w:w="70" w:type="dxa"/>
            </w:tcMar>
          </w:tcPr>
          <w:p w14:paraId="6E4DC119" w14:textId="77777777" w:rsidR="0039479F" w:rsidRDefault="00000000">
            <w:pPr>
              <w:spacing w:line="216" w:lineRule="auto"/>
            </w:pPr>
            <w:r>
              <w:rPr>
                <w:sz w:val="16"/>
                <w:szCs w:val="16"/>
              </w:rPr>
              <w:t>7</w:t>
            </w:r>
          </w:p>
        </w:tc>
        <w:tc>
          <w:tcPr>
            <w:tcW w:w="1331" w:type="dxa"/>
            <w:tcMar>
              <w:top w:w="40" w:type="dxa"/>
              <w:left w:w="70" w:type="dxa"/>
              <w:bottom w:w="40" w:type="dxa"/>
              <w:right w:w="70" w:type="dxa"/>
            </w:tcMar>
          </w:tcPr>
          <w:p w14:paraId="37F5C5CF" w14:textId="77777777" w:rsidR="0039479F" w:rsidRDefault="00000000">
            <w:pPr>
              <w:spacing w:line="216" w:lineRule="auto"/>
            </w:pPr>
            <w:r>
              <w:rPr>
                <w:sz w:val="16"/>
                <w:szCs w:val="16"/>
              </w:rPr>
              <w:t>0</w:t>
            </w:r>
          </w:p>
        </w:tc>
        <w:tc>
          <w:tcPr>
            <w:tcW w:w="1252" w:type="dxa"/>
            <w:tcMar>
              <w:top w:w="40" w:type="dxa"/>
              <w:left w:w="70" w:type="dxa"/>
              <w:bottom w:w="40" w:type="dxa"/>
              <w:right w:w="70" w:type="dxa"/>
            </w:tcMar>
          </w:tcPr>
          <w:p w14:paraId="6AB25510" w14:textId="77777777" w:rsidR="0039479F" w:rsidRDefault="00000000">
            <w:pPr>
              <w:spacing w:line="216" w:lineRule="auto"/>
            </w:pPr>
            <w:r>
              <w:rPr>
                <w:sz w:val="16"/>
                <w:szCs w:val="16"/>
              </w:rPr>
              <w:t>1</w:t>
            </w:r>
          </w:p>
        </w:tc>
        <w:tc>
          <w:tcPr>
            <w:tcW w:w="1256" w:type="dxa"/>
            <w:tcMar>
              <w:top w:w="40" w:type="dxa"/>
              <w:left w:w="70" w:type="dxa"/>
              <w:bottom w:w="40" w:type="dxa"/>
              <w:right w:w="70" w:type="dxa"/>
            </w:tcMar>
          </w:tcPr>
          <w:p w14:paraId="56762FDC" w14:textId="77777777" w:rsidR="0039479F" w:rsidRDefault="00000000">
            <w:pPr>
              <w:spacing w:line="216" w:lineRule="auto"/>
            </w:pPr>
            <w:r>
              <w:rPr>
                <w:sz w:val="16"/>
                <w:szCs w:val="16"/>
              </w:rPr>
              <w:t>9</w:t>
            </w:r>
          </w:p>
        </w:tc>
      </w:tr>
      <w:tr w:rsidR="0039479F" w14:paraId="04891994" w14:textId="77777777">
        <w:tc>
          <w:tcPr>
            <w:tcW w:w="3288" w:type="dxa"/>
            <w:tcMar>
              <w:top w:w="40" w:type="dxa"/>
              <w:left w:w="70" w:type="dxa"/>
              <w:bottom w:w="40" w:type="dxa"/>
              <w:right w:w="70" w:type="dxa"/>
            </w:tcMar>
          </w:tcPr>
          <w:p w14:paraId="001E72CE" w14:textId="77777777" w:rsidR="0039479F" w:rsidRDefault="00000000">
            <w:pPr>
              <w:spacing w:line="216" w:lineRule="auto"/>
            </w:pPr>
            <w:r>
              <w:rPr>
                <w:sz w:val="16"/>
                <w:szCs w:val="16"/>
              </w:rPr>
              <w:t>F. Lumbar puncture and cerebrospinal fluid analysis</w:t>
            </w:r>
          </w:p>
        </w:tc>
        <w:tc>
          <w:tcPr>
            <w:tcW w:w="783" w:type="dxa"/>
            <w:tcMar>
              <w:top w:w="40" w:type="dxa"/>
              <w:left w:w="70" w:type="dxa"/>
              <w:bottom w:w="40" w:type="dxa"/>
              <w:right w:w="70" w:type="dxa"/>
            </w:tcMar>
          </w:tcPr>
          <w:p w14:paraId="2B26F006" w14:textId="77777777" w:rsidR="0039479F" w:rsidRDefault="00000000">
            <w:pPr>
              <w:spacing w:line="216" w:lineRule="auto"/>
            </w:pPr>
            <w:r>
              <w:rPr>
                <w:sz w:val="16"/>
                <w:szCs w:val="16"/>
              </w:rPr>
              <w:t>41</w:t>
            </w:r>
          </w:p>
        </w:tc>
        <w:tc>
          <w:tcPr>
            <w:tcW w:w="939" w:type="dxa"/>
            <w:tcMar>
              <w:top w:w="40" w:type="dxa"/>
              <w:left w:w="70" w:type="dxa"/>
              <w:bottom w:w="40" w:type="dxa"/>
              <w:right w:w="70" w:type="dxa"/>
            </w:tcMar>
          </w:tcPr>
          <w:p w14:paraId="0FD2EFF3" w14:textId="77777777" w:rsidR="0039479F" w:rsidRDefault="00000000">
            <w:pPr>
              <w:spacing w:line="216" w:lineRule="auto"/>
            </w:pPr>
            <w:r>
              <w:rPr>
                <w:sz w:val="16"/>
                <w:szCs w:val="16"/>
              </w:rPr>
              <w:t>4</w:t>
            </w:r>
          </w:p>
        </w:tc>
        <w:tc>
          <w:tcPr>
            <w:tcW w:w="1017" w:type="dxa"/>
            <w:tcMar>
              <w:top w:w="40" w:type="dxa"/>
              <w:left w:w="70" w:type="dxa"/>
              <w:bottom w:w="40" w:type="dxa"/>
              <w:right w:w="70" w:type="dxa"/>
            </w:tcMar>
          </w:tcPr>
          <w:p w14:paraId="2A4BF001" w14:textId="77777777" w:rsidR="0039479F" w:rsidRDefault="00000000">
            <w:pPr>
              <w:spacing w:line="216" w:lineRule="auto"/>
            </w:pPr>
            <w:r>
              <w:rPr>
                <w:sz w:val="16"/>
                <w:szCs w:val="16"/>
              </w:rPr>
              <w:t>29</w:t>
            </w:r>
          </w:p>
        </w:tc>
        <w:tc>
          <w:tcPr>
            <w:tcW w:w="1331" w:type="dxa"/>
            <w:tcMar>
              <w:top w:w="40" w:type="dxa"/>
              <w:left w:w="70" w:type="dxa"/>
              <w:bottom w:w="40" w:type="dxa"/>
              <w:right w:w="70" w:type="dxa"/>
            </w:tcMar>
          </w:tcPr>
          <w:p w14:paraId="3E432F14" w14:textId="77777777" w:rsidR="0039479F" w:rsidRDefault="00000000">
            <w:pPr>
              <w:spacing w:line="216" w:lineRule="auto"/>
            </w:pPr>
            <w:r>
              <w:rPr>
                <w:sz w:val="16"/>
                <w:szCs w:val="16"/>
              </w:rPr>
              <w:t>8</w:t>
            </w:r>
          </w:p>
        </w:tc>
        <w:tc>
          <w:tcPr>
            <w:tcW w:w="1252" w:type="dxa"/>
            <w:tcMar>
              <w:top w:w="40" w:type="dxa"/>
              <w:left w:w="70" w:type="dxa"/>
              <w:bottom w:w="40" w:type="dxa"/>
              <w:right w:w="70" w:type="dxa"/>
            </w:tcMar>
          </w:tcPr>
          <w:p w14:paraId="3271EE81" w14:textId="77777777" w:rsidR="0039479F" w:rsidRDefault="00000000">
            <w:pPr>
              <w:spacing w:line="216" w:lineRule="auto"/>
            </w:pPr>
            <w:r>
              <w:rPr>
                <w:sz w:val="16"/>
                <w:szCs w:val="16"/>
              </w:rPr>
              <w:t>9</w:t>
            </w:r>
          </w:p>
        </w:tc>
        <w:tc>
          <w:tcPr>
            <w:tcW w:w="1256" w:type="dxa"/>
            <w:tcMar>
              <w:top w:w="40" w:type="dxa"/>
              <w:left w:w="70" w:type="dxa"/>
              <w:bottom w:w="40" w:type="dxa"/>
              <w:right w:w="70" w:type="dxa"/>
            </w:tcMar>
          </w:tcPr>
          <w:p w14:paraId="57D79557" w14:textId="77777777" w:rsidR="0039479F" w:rsidRDefault="00000000">
            <w:pPr>
              <w:spacing w:line="216" w:lineRule="auto"/>
            </w:pPr>
            <w:r>
              <w:rPr>
                <w:sz w:val="16"/>
                <w:szCs w:val="16"/>
              </w:rPr>
              <w:t>32</w:t>
            </w:r>
          </w:p>
        </w:tc>
      </w:tr>
      <w:tr w:rsidR="0039479F" w14:paraId="13EDE31C" w14:textId="77777777">
        <w:tc>
          <w:tcPr>
            <w:tcW w:w="3288" w:type="dxa"/>
            <w:tcMar>
              <w:top w:w="40" w:type="dxa"/>
              <w:left w:w="70" w:type="dxa"/>
              <w:bottom w:w="40" w:type="dxa"/>
              <w:right w:w="70" w:type="dxa"/>
            </w:tcMar>
          </w:tcPr>
          <w:p w14:paraId="1AA6F69E" w14:textId="77777777" w:rsidR="0039479F" w:rsidRDefault="00000000">
            <w:pPr>
              <w:spacing w:line="216" w:lineRule="auto"/>
            </w:pPr>
            <w:r>
              <w:rPr>
                <w:sz w:val="16"/>
                <w:szCs w:val="16"/>
              </w:rPr>
              <w:t>G. CT angiography and MRI-based imaging</w:t>
            </w:r>
          </w:p>
        </w:tc>
        <w:tc>
          <w:tcPr>
            <w:tcW w:w="783" w:type="dxa"/>
            <w:tcMar>
              <w:top w:w="40" w:type="dxa"/>
              <w:left w:w="70" w:type="dxa"/>
              <w:bottom w:w="40" w:type="dxa"/>
              <w:right w:w="70" w:type="dxa"/>
            </w:tcMar>
          </w:tcPr>
          <w:p w14:paraId="124FD98D" w14:textId="77777777" w:rsidR="0039479F" w:rsidRDefault="00000000">
            <w:pPr>
              <w:spacing w:line="216" w:lineRule="auto"/>
            </w:pPr>
            <w:r>
              <w:rPr>
                <w:sz w:val="16"/>
                <w:szCs w:val="16"/>
              </w:rPr>
              <w:t>11</w:t>
            </w:r>
          </w:p>
        </w:tc>
        <w:tc>
          <w:tcPr>
            <w:tcW w:w="939" w:type="dxa"/>
            <w:tcMar>
              <w:top w:w="40" w:type="dxa"/>
              <w:left w:w="70" w:type="dxa"/>
              <w:bottom w:w="40" w:type="dxa"/>
              <w:right w:w="70" w:type="dxa"/>
            </w:tcMar>
          </w:tcPr>
          <w:p w14:paraId="1C59BB02" w14:textId="77777777" w:rsidR="0039479F" w:rsidRDefault="00000000">
            <w:pPr>
              <w:spacing w:line="216" w:lineRule="auto"/>
            </w:pPr>
            <w:r>
              <w:rPr>
                <w:sz w:val="16"/>
                <w:szCs w:val="16"/>
              </w:rPr>
              <w:t>2</w:t>
            </w:r>
          </w:p>
        </w:tc>
        <w:tc>
          <w:tcPr>
            <w:tcW w:w="1017" w:type="dxa"/>
            <w:tcMar>
              <w:top w:w="40" w:type="dxa"/>
              <w:left w:w="70" w:type="dxa"/>
              <w:bottom w:w="40" w:type="dxa"/>
              <w:right w:w="70" w:type="dxa"/>
            </w:tcMar>
          </w:tcPr>
          <w:p w14:paraId="39680BD3" w14:textId="77777777" w:rsidR="0039479F" w:rsidRDefault="00000000">
            <w:pPr>
              <w:spacing w:line="216" w:lineRule="auto"/>
            </w:pPr>
            <w:r>
              <w:rPr>
                <w:sz w:val="16"/>
                <w:szCs w:val="16"/>
              </w:rPr>
              <w:t>8</w:t>
            </w:r>
          </w:p>
        </w:tc>
        <w:tc>
          <w:tcPr>
            <w:tcW w:w="1331" w:type="dxa"/>
            <w:tcMar>
              <w:top w:w="40" w:type="dxa"/>
              <w:left w:w="70" w:type="dxa"/>
              <w:bottom w:w="40" w:type="dxa"/>
              <w:right w:w="70" w:type="dxa"/>
            </w:tcMar>
          </w:tcPr>
          <w:p w14:paraId="679A7E28" w14:textId="77777777" w:rsidR="0039479F" w:rsidRDefault="00000000">
            <w:pPr>
              <w:spacing w:line="216" w:lineRule="auto"/>
            </w:pPr>
            <w:r>
              <w:rPr>
                <w:sz w:val="16"/>
                <w:szCs w:val="16"/>
              </w:rPr>
              <w:t>1</w:t>
            </w:r>
          </w:p>
        </w:tc>
        <w:tc>
          <w:tcPr>
            <w:tcW w:w="1252" w:type="dxa"/>
            <w:tcMar>
              <w:top w:w="40" w:type="dxa"/>
              <w:left w:w="70" w:type="dxa"/>
              <w:bottom w:w="40" w:type="dxa"/>
              <w:right w:w="70" w:type="dxa"/>
            </w:tcMar>
          </w:tcPr>
          <w:p w14:paraId="2CE6C2F0" w14:textId="77777777" w:rsidR="0039479F" w:rsidRDefault="00000000">
            <w:pPr>
              <w:spacing w:line="216" w:lineRule="auto"/>
            </w:pPr>
            <w:r>
              <w:rPr>
                <w:sz w:val="16"/>
                <w:szCs w:val="16"/>
              </w:rPr>
              <w:t>4</w:t>
            </w:r>
          </w:p>
        </w:tc>
        <w:tc>
          <w:tcPr>
            <w:tcW w:w="1256" w:type="dxa"/>
            <w:tcMar>
              <w:top w:w="40" w:type="dxa"/>
              <w:left w:w="70" w:type="dxa"/>
              <w:bottom w:w="40" w:type="dxa"/>
              <w:right w:w="70" w:type="dxa"/>
            </w:tcMar>
          </w:tcPr>
          <w:p w14:paraId="2BD13513" w14:textId="77777777" w:rsidR="0039479F" w:rsidRDefault="00000000">
            <w:pPr>
              <w:spacing w:line="216" w:lineRule="auto"/>
            </w:pPr>
            <w:r>
              <w:rPr>
                <w:sz w:val="16"/>
                <w:szCs w:val="16"/>
              </w:rPr>
              <w:t>7</w:t>
            </w:r>
          </w:p>
        </w:tc>
      </w:tr>
      <w:tr w:rsidR="0039479F" w14:paraId="5AD817CC" w14:textId="77777777">
        <w:tc>
          <w:tcPr>
            <w:tcW w:w="3288" w:type="dxa"/>
            <w:tcMar>
              <w:top w:w="40" w:type="dxa"/>
              <w:left w:w="70" w:type="dxa"/>
              <w:bottom w:w="40" w:type="dxa"/>
              <w:right w:w="70" w:type="dxa"/>
            </w:tcMar>
          </w:tcPr>
          <w:p w14:paraId="282E6E68" w14:textId="77777777" w:rsidR="0039479F" w:rsidRDefault="00000000">
            <w:pPr>
              <w:spacing w:line="216" w:lineRule="auto"/>
            </w:pPr>
            <w:r>
              <w:rPr>
                <w:sz w:val="16"/>
                <w:szCs w:val="16"/>
              </w:rPr>
              <w:t>H. Blood-based biomarkers</w:t>
            </w:r>
          </w:p>
        </w:tc>
        <w:tc>
          <w:tcPr>
            <w:tcW w:w="783" w:type="dxa"/>
            <w:tcMar>
              <w:top w:w="40" w:type="dxa"/>
              <w:left w:w="70" w:type="dxa"/>
              <w:bottom w:w="40" w:type="dxa"/>
              <w:right w:w="70" w:type="dxa"/>
            </w:tcMar>
          </w:tcPr>
          <w:p w14:paraId="184E5F54" w14:textId="77777777" w:rsidR="0039479F" w:rsidRDefault="00000000">
            <w:pPr>
              <w:spacing w:line="216" w:lineRule="auto"/>
            </w:pPr>
            <w:r>
              <w:rPr>
                <w:sz w:val="16"/>
                <w:szCs w:val="16"/>
              </w:rPr>
              <w:t>16</w:t>
            </w:r>
          </w:p>
        </w:tc>
        <w:tc>
          <w:tcPr>
            <w:tcW w:w="939" w:type="dxa"/>
            <w:tcMar>
              <w:top w:w="40" w:type="dxa"/>
              <w:left w:w="70" w:type="dxa"/>
              <w:bottom w:w="40" w:type="dxa"/>
              <w:right w:w="70" w:type="dxa"/>
            </w:tcMar>
          </w:tcPr>
          <w:p w14:paraId="11ABE14D" w14:textId="77777777" w:rsidR="0039479F" w:rsidRDefault="00000000">
            <w:pPr>
              <w:spacing w:line="216" w:lineRule="auto"/>
            </w:pPr>
            <w:r>
              <w:rPr>
                <w:sz w:val="16"/>
                <w:szCs w:val="16"/>
              </w:rPr>
              <w:t>7</w:t>
            </w:r>
          </w:p>
        </w:tc>
        <w:tc>
          <w:tcPr>
            <w:tcW w:w="1017" w:type="dxa"/>
            <w:tcMar>
              <w:top w:w="40" w:type="dxa"/>
              <w:left w:w="70" w:type="dxa"/>
              <w:bottom w:w="40" w:type="dxa"/>
              <w:right w:w="70" w:type="dxa"/>
            </w:tcMar>
          </w:tcPr>
          <w:p w14:paraId="09EEFAE7" w14:textId="77777777" w:rsidR="0039479F" w:rsidRDefault="00000000">
            <w:pPr>
              <w:spacing w:line="216" w:lineRule="auto"/>
            </w:pPr>
            <w:r>
              <w:rPr>
                <w:sz w:val="16"/>
                <w:szCs w:val="16"/>
              </w:rPr>
              <w:t>9</w:t>
            </w:r>
          </w:p>
        </w:tc>
        <w:tc>
          <w:tcPr>
            <w:tcW w:w="1331" w:type="dxa"/>
            <w:tcMar>
              <w:top w:w="40" w:type="dxa"/>
              <w:left w:w="70" w:type="dxa"/>
              <w:bottom w:w="40" w:type="dxa"/>
              <w:right w:w="70" w:type="dxa"/>
            </w:tcMar>
          </w:tcPr>
          <w:p w14:paraId="301C1EAD" w14:textId="77777777" w:rsidR="0039479F" w:rsidRDefault="00000000">
            <w:pPr>
              <w:spacing w:line="216" w:lineRule="auto"/>
            </w:pPr>
            <w:r>
              <w:rPr>
                <w:sz w:val="16"/>
                <w:szCs w:val="16"/>
              </w:rPr>
              <w:t>0</w:t>
            </w:r>
          </w:p>
        </w:tc>
        <w:tc>
          <w:tcPr>
            <w:tcW w:w="1252" w:type="dxa"/>
            <w:tcMar>
              <w:top w:w="40" w:type="dxa"/>
              <w:left w:w="70" w:type="dxa"/>
              <w:bottom w:w="40" w:type="dxa"/>
              <w:right w:w="70" w:type="dxa"/>
            </w:tcMar>
          </w:tcPr>
          <w:p w14:paraId="41D19383" w14:textId="77777777" w:rsidR="0039479F" w:rsidRDefault="00000000">
            <w:pPr>
              <w:spacing w:line="216" w:lineRule="auto"/>
            </w:pPr>
            <w:r>
              <w:rPr>
                <w:sz w:val="16"/>
                <w:szCs w:val="16"/>
              </w:rPr>
              <w:t>6</w:t>
            </w:r>
          </w:p>
        </w:tc>
        <w:tc>
          <w:tcPr>
            <w:tcW w:w="1256" w:type="dxa"/>
            <w:tcMar>
              <w:top w:w="40" w:type="dxa"/>
              <w:left w:w="70" w:type="dxa"/>
              <w:bottom w:w="40" w:type="dxa"/>
              <w:right w:w="70" w:type="dxa"/>
            </w:tcMar>
          </w:tcPr>
          <w:p w14:paraId="2014D911" w14:textId="77777777" w:rsidR="0039479F" w:rsidRDefault="00000000">
            <w:pPr>
              <w:spacing w:line="216" w:lineRule="auto"/>
            </w:pPr>
            <w:r>
              <w:rPr>
                <w:sz w:val="16"/>
                <w:szCs w:val="16"/>
              </w:rPr>
              <w:t>10</w:t>
            </w:r>
          </w:p>
        </w:tc>
      </w:tr>
      <w:tr w:rsidR="0039479F" w14:paraId="54EDEBA5" w14:textId="77777777">
        <w:tc>
          <w:tcPr>
            <w:tcW w:w="3288" w:type="dxa"/>
            <w:tcMar>
              <w:top w:w="40" w:type="dxa"/>
              <w:left w:w="70" w:type="dxa"/>
              <w:bottom w:w="40" w:type="dxa"/>
              <w:right w:w="70" w:type="dxa"/>
            </w:tcMar>
          </w:tcPr>
          <w:p w14:paraId="2F15D6E9" w14:textId="77777777" w:rsidR="0039479F" w:rsidRDefault="00000000">
            <w:pPr>
              <w:spacing w:line="216" w:lineRule="auto"/>
            </w:pPr>
            <w:r>
              <w:rPr>
                <w:sz w:val="16"/>
                <w:szCs w:val="16"/>
              </w:rPr>
              <w:t>I. Bedside adjunct tests</w:t>
            </w:r>
          </w:p>
        </w:tc>
        <w:tc>
          <w:tcPr>
            <w:tcW w:w="783" w:type="dxa"/>
            <w:tcMar>
              <w:top w:w="40" w:type="dxa"/>
              <w:left w:w="70" w:type="dxa"/>
              <w:bottom w:w="40" w:type="dxa"/>
              <w:right w:w="70" w:type="dxa"/>
            </w:tcMar>
          </w:tcPr>
          <w:p w14:paraId="73E26E66" w14:textId="77777777" w:rsidR="0039479F" w:rsidRDefault="00000000">
            <w:pPr>
              <w:spacing w:line="216" w:lineRule="auto"/>
            </w:pPr>
            <w:r>
              <w:rPr>
                <w:sz w:val="16"/>
                <w:szCs w:val="16"/>
              </w:rPr>
              <w:t>12</w:t>
            </w:r>
          </w:p>
        </w:tc>
        <w:tc>
          <w:tcPr>
            <w:tcW w:w="939" w:type="dxa"/>
            <w:tcMar>
              <w:top w:w="40" w:type="dxa"/>
              <w:left w:w="70" w:type="dxa"/>
              <w:bottom w:w="40" w:type="dxa"/>
              <w:right w:w="70" w:type="dxa"/>
            </w:tcMar>
          </w:tcPr>
          <w:p w14:paraId="50B24361" w14:textId="77777777" w:rsidR="0039479F" w:rsidRDefault="00000000">
            <w:pPr>
              <w:spacing w:line="216" w:lineRule="auto"/>
            </w:pPr>
            <w:r>
              <w:rPr>
                <w:sz w:val="16"/>
                <w:szCs w:val="16"/>
              </w:rPr>
              <w:t>10</w:t>
            </w:r>
          </w:p>
        </w:tc>
        <w:tc>
          <w:tcPr>
            <w:tcW w:w="1017" w:type="dxa"/>
            <w:tcMar>
              <w:top w:w="40" w:type="dxa"/>
              <w:left w:w="70" w:type="dxa"/>
              <w:bottom w:w="40" w:type="dxa"/>
              <w:right w:w="70" w:type="dxa"/>
            </w:tcMar>
          </w:tcPr>
          <w:p w14:paraId="61CFB1AF" w14:textId="77777777" w:rsidR="0039479F" w:rsidRDefault="00000000">
            <w:pPr>
              <w:spacing w:line="216" w:lineRule="auto"/>
            </w:pPr>
            <w:r>
              <w:rPr>
                <w:sz w:val="16"/>
                <w:szCs w:val="16"/>
              </w:rPr>
              <w:t>0</w:t>
            </w:r>
          </w:p>
        </w:tc>
        <w:tc>
          <w:tcPr>
            <w:tcW w:w="1331" w:type="dxa"/>
            <w:tcMar>
              <w:top w:w="40" w:type="dxa"/>
              <w:left w:w="70" w:type="dxa"/>
              <w:bottom w:w="40" w:type="dxa"/>
              <w:right w:w="70" w:type="dxa"/>
            </w:tcMar>
          </w:tcPr>
          <w:p w14:paraId="77E0716B" w14:textId="77777777" w:rsidR="0039479F" w:rsidRDefault="00000000">
            <w:pPr>
              <w:spacing w:line="216" w:lineRule="auto"/>
            </w:pPr>
            <w:r>
              <w:rPr>
                <w:sz w:val="16"/>
                <w:szCs w:val="16"/>
              </w:rPr>
              <w:t>2</w:t>
            </w:r>
          </w:p>
        </w:tc>
        <w:tc>
          <w:tcPr>
            <w:tcW w:w="1252" w:type="dxa"/>
            <w:tcMar>
              <w:top w:w="40" w:type="dxa"/>
              <w:left w:w="70" w:type="dxa"/>
              <w:bottom w:w="40" w:type="dxa"/>
              <w:right w:w="70" w:type="dxa"/>
            </w:tcMar>
          </w:tcPr>
          <w:p w14:paraId="786C16D2" w14:textId="77777777" w:rsidR="0039479F" w:rsidRDefault="00000000">
            <w:pPr>
              <w:spacing w:line="216" w:lineRule="auto"/>
            </w:pPr>
            <w:r>
              <w:rPr>
                <w:sz w:val="16"/>
                <w:szCs w:val="16"/>
              </w:rPr>
              <w:t>5</w:t>
            </w:r>
          </w:p>
        </w:tc>
        <w:tc>
          <w:tcPr>
            <w:tcW w:w="1256" w:type="dxa"/>
            <w:tcMar>
              <w:top w:w="40" w:type="dxa"/>
              <w:left w:w="70" w:type="dxa"/>
              <w:bottom w:w="40" w:type="dxa"/>
              <w:right w:w="70" w:type="dxa"/>
            </w:tcMar>
          </w:tcPr>
          <w:p w14:paraId="65B4675B" w14:textId="77777777" w:rsidR="0039479F" w:rsidRDefault="00000000">
            <w:pPr>
              <w:spacing w:line="216" w:lineRule="auto"/>
            </w:pPr>
            <w:r>
              <w:rPr>
                <w:sz w:val="16"/>
                <w:szCs w:val="16"/>
              </w:rPr>
              <w:t>7</w:t>
            </w:r>
          </w:p>
        </w:tc>
      </w:tr>
      <w:tr w:rsidR="0039479F" w14:paraId="4001480F" w14:textId="77777777">
        <w:tc>
          <w:tcPr>
            <w:tcW w:w="3288" w:type="dxa"/>
            <w:tcMar>
              <w:top w:w="40" w:type="dxa"/>
              <w:left w:w="70" w:type="dxa"/>
              <w:bottom w:w="40" w:type="dxa"/>
              <w:right w:w="70" w:type="dxa"/>
            </w:tcMar>
          </w:tcPr>
          <w:p w14:paraId="4675EDC3" w14:textId="77777777" w:rsidR="0039479F" w:rsidRDefault="00000000">
            <w:pPr>
              <w:spacing w:line="216" w:lineRule="auto"/>
            </w:pPr>
            <w:r>
              <w:rPr>
                <w:sz w:val="16"/>
                <w:szCs w:val="16"/>
              </w:rPr>
              <w:t>J. Meningitis bedside signs and lumbar-puncture decisions</w:t>
            </w:r>
          </w:p>
        </w:tc>
        <w:tc>
          <w:tcPr>
            <w:tcW w:w="783" w:type="dxa"/>
            <w:tcMar>
              <w:top w:w="40" w:type="dxa"/>
              <w:left w:w="70" w:type="dxa"/>
              <w:bottom w:w="40" w:type="dxa"/>
              <w:right w:w="70" w:type="dxa"/>
            </w:tcMar>
          </w:tcPr>
          <w:p w14:paraId="352F1CFE" w14:textId="77777777" w:rsidR="0039479F" w:rsidRDefault="00000000">
            <w:pPr>
              <w:spacing w:line="216" w:lineRule="auto"/>
            </w:pPr>
            <w:r>
              <w:rPr>
                <w:sz w:val="16"/>
                <w:szCs w:val="16"/>
              </w:rPr>
              <w:t>11</w:t>
            </w:r>
          </w:p>
        </w:tc>
        <w:tc>
          <w:tcPr>
            <w:tcW w:w="939" w:type="dxa"/>
            <w:tcMar>
              <w:top w:w="40" w:type="dxa"/>
              <w:left w:w="70" w:type="dxa"/>
              <w:bottom w:w="40" w:type="dxa"/>
              <w:right w:w="70" w:type="dxa"/>
            </w:tcMar>
          </w:tcPr>
          <w:p w14:paraId="6B781D3A" w14:textId="77777777" w:rsidR="0039479F" w:rsidRDefault="00000000">
            <w:pPr>
              <w:spacing w:line="216" w:lineRule="auto"/>
            </w:pPr>
            <w:r>
              <w:rPr>
                <w:sz w:val="16"/>
                <w:szCs w:val="16"/>
              </w:rPr>
              <w:t>5</w:t>
            </w:r>
          </w:p>
        </w:tc>
        <w:tc>
          <w:tcPr>
            <w:tcW w:w="1017" w:type="dxa"/>
            <w:tcMar>
              <w:top w:w="40" w:type="dxa"/>
              <w:left w:w="70" w:type="dxa"/>
              <w:bottom w:w="40" w:type="dxa"/>
              <w:right w:w="70" w:type="dxa"/>
            </w:tcMar>
          </w:tcPr>
          <w:p w14:paraId="7A063BEB" w14:textId="77777777" w:rsidR="0039479F" w:rsidRDefault="00000000">
            <w:pPr>
              <w:spacing w:line="216" w:lineRule="auto"/>
            </w:pPr>
            <w:r>
              <w:rPr>
                <w:sz w:val="16"/>
                <w:szCs w:val="16"/>
              </w:rPr>
              <w:t>6</w:t>
            </w:r>
          </w:p>
        </w:tc>
        <w:tc>
          <w:tcPr>
            <w:tcW w:w="1331" w:type="dxa"/>
            <w:tcMar>
              <w:top w:w="40" w:type="dxa"/>
              <w:left w:w="70" w:type="dxa"/>
              <w:bottom w:w="40" w:type="dxa"/>
              <w:right w:w="70" w:type="dxa"/>
            </w:tcMar>
          </w:tcPr>
          <w:p w14:paraId="5C359E54" w14:textId="77777777" w:rsidR="0039479F" w:rsidRDefault="00000000">
            <w:pPr>
              <w:spacing w:line="216" w:lineRule="auto"/>
            </w:pPr>
            <w:r>
              <w:rPr>
                <w:sz w:val="16"/>
                <w:szCs w:val="16"/>
              </w:rPr>
              <w:t>0</w:t>
            </w:r>
          </w:p>
        </w:tc>
        <w:tc>
          <w:tcPr>
            <w:tcW w:w="1252" w:type="dxa"/>
            <w:tcMar>
              <w:top w:w="40" w:type="dxa"/>
              <w:left w:w="70" w:type="dxa"/>
              <w:bottom w:w="40" w:type="dxa"/>
              <w:right w:w="70" w:type="dxa"/>
            </w:tcMar>
          </w:tcPr>
          <w:p w14:paraId="1007F561" w14:textId="77777777" w:rsidR="0039479F" w:rsidRDefault="00000000">
            <w:pPr>
              <w:spacing w:line="216" w:lineRule="auto"/>
            </w:pPr>
            <w:r>
              <w:rPr>
                <w:sz w:val="16"/>
                <w:szCs w:val="16"/>
              </w:rPr>
              <w:t>4</w:t>
            </w:r>
          </w:p>
        </w:tc>
        <w:tc>
          <w:tcPr>
            <w:tcW w:w="1256" w:type="dxa"/>
            <w:tcMar>
              <w:top w:w="40" w:type="dxa"/>
              <w:left w:w="70" w:type="dxa"/>
              <w:bottom w:w="40" w:type="dxa"/>
              <w:right w:w="70" w:type="dxa"/>
            </w:tcMar>
          </w:tcPr>
          <w:p w14:paraId="1C5D3D31" w14:textId="77777777" w:rsidR="0039479F" w:rsidRDefault="00000000">
            <w:pPr>
              <w:spacing w:line="216" w:lineRule="auto"/>
            </w:pPr>
            <w:r>
              <w:rPr>
                <w:sz w:val="16"/>
                <w:szCs w:val="16"/>
              </w:rPr>
              <w:t>7</w:t>
            </w:r>
          </w:p>
        </w:tc>
      </w:tr>
      <w:tr w:rsidR="0039479F" w14:paraId="186487B5" w14:textId="77777777">
        <w:tc>
          <w:tcPr>
            <w:tcW w:w="3288" w:type="dxa"/>
            <w:tcMar>
              <w:top w:w="40" w:type="dxa"/>
              <w:left w:w="70" w:type="dxa"/>
              <w:bottom w:w="40" w:type="dxa"/>
              <w:right w:w="70" w:type="dxa"/>
            </w:tcMar>
          </w:tcPr>
          <w:p w14:paraId="0C363754" w14:textId="77777777" w:rsidR="0039479F" w:rsidRDefault="00000000">
            <w:pPr>
              <w:spacing w:line="216" w:lineRule="auto"/>
            </w:pPr>
            <w:r>
              <w:rPr>
                <w:sz w:val="16"/>
                <w:szCs w:val="16"/>
              </w:rPr>
              <w:t>K. Triage tools and missed diagnosis</w:t>
            </w:r>
          </w:p>
        </w:tc>
        <w:tc>
          <w:tcPr>
            <w:tcW w:w="783" w:type="dxa"/>
            <w:tcMar>
              <w:top w:w="40" w:type="dxa"/>
              <w:left w:w="70" w:type="dxa"/>
              <w:bottom w:w="40" w:type="dxa"/>
              <w:right w:w="70" w:type="dxa"/>
            </w:tcMar>
          </w:tcPr>
          <w:p w14:paraId="16F536C2" w14:textId="77777777" w:rsidR="0039479F" w:rsidRDefault="00000000">
            <w:pPr>
              <w:spacing w:line="216" w:lineRule="auto"/>
            </w:pPr>
            <w:r>
              <w:rPr>
                <w:sz w:val="16"/>
                <w:szCs w:val="16"/>
              </w:rPr>
              <w:t>11</w:t>
            </w:r>
          </w:p>
        </w:tc>
        <w:tc>
          <w:tcPr>
            <w:tcW w:w="939" w:type="dxa"/>
            <w:tcMar>
              <w:top w:w="40" w:type="dxa"/>
              <w:left w:w="70" w:type="dxa"/>
              <w:bottom w:w="40" w:type="dxa"/>
              <w:right w:w="70" w:type="dxa"/>
            </w:tcMar>
          </w:tcPr>
          <w:p w14:paraId="58426E84" w14:textId="77777777" w:rsidR="0039479F" w:rsidRDefault="00000000">
            <w:pPr>
              <w:spacing w:line="216" w:lineRule="auto"/>
            </w:pPr>
            <w:r>
              <w:rPr>
                <w:sz w:val="16"/>
                <w:szCs w:val="16"/>
              </w:rPr>
              <w:t>0</w:t>
            </w:r>
          </w:p>
        </w:tc>
        <w:tc>
          <w:tcPr>
            <w:tcW w:w="1017" w:type="dxa"/>
            <w:tcMar>
              <w:top w:w="40" w:type="dxa"/>
              <w:left w:w="70" w:type="dxa"/>
              <w:bottom w:w="40" w:type="dxa"/>
              <w:right w:w="70" w:type="dxa"/>
            </w:tcMar>
          </w:tcPr>
          <w:p w14:paraId="0796A715" w14:textId="77777777" w:rsidR="0039479F" w:rsidRDefault="00000000">
            <w:pPr>
              <w:spacing w:line="216" w:lineRule="auto"/>
            </w:pPr>
            <w:r>
              <w:rPr>
                <w:sz w:val="16"/>
                <w:szCs w:val="16"/>
              </w:rPr>
              <w:t>10</w:t>
            </w:r>
          </w:p>
        </w:tc>
        <w:tc>
          <w:tcPr>
            <w:tcW w:w="1331" w:type="dxa"/>
            <w:tcMar>
              <w:top w:w="40" w:type="dxa"/>
              <w:left w:w="70" w:type="dxa"/>
              <w:bottom w:w="40" w:type="dxa"/>
              <w:right w:w="70" w:type="dxa"/>
            </w:tcMar>
          </w:tcPr>
          <w:p w14:paraId="39947E09" w14:textId="77777777" w:rsidR="0039479F" w:rsidRDefault="00000000">
            <w:pPr>
              <w:spacing w:line="216" w:lineRule="auto"/>
            </w:pPr>
            <w:r>
              <w:rPr>
                <w:sz w:val="16"/>
                <w:szCs w:val="16"/>
              </w:rPr>
              <w:t>1</w:t>
            </w:r>
          </w:p>
        </w:tc>
        <w:tc>
          <w:tcPr>
            <w:tcW w:w="1252" w:type="dxa"/>
            <w:tcMar>
              <w:top w:w="40" w:type="dxa"/>
              <w:left w:w="70" w:type="dxa"/>
              <w:bottom w:w="40" w:type="dxa"/>
              <w:right w:w="70" w:type="dxa"/>
            </w:tcMar>
          </w:tcPr>
          <w:p w14:paraId="10B3FBF6" w14:textId="77777777" w:rsidR="0039479F" w:rsidRDefault="00000000">
            <w:pPr>
              <w:spacing w:line="216" w:lineRule="auto"/>
            </w:pPr>
            <w:r>
              <w:rPr>
                <w:sz w:val="16"/>
                <w:szCs w:val="16"/>
              </w:rPr>
              <w:t>6</w:t>
            </w:r>
          </w:p>
        </w:tc>
        <w:tc>
          <w:tcPr>
            <w:tcW w:w="1256" w:type="dxa"/>
            <w:tcMar>
              <w:top w:w="40" w:type="dxa"/>
              <w:left w:w="70" w:type="dxa"/>
              <w:bottom w:w="40" w:type="dxa"/>
              <w:right w:w="70" w:type="dxa"/>
            </w:tcMar>
          </w:tcPr>
          <w:p w14:paraId="63D5B3ED" w14:textId="77777777" w:rsidR="0039479F" w:rsidRDefault="00000000">
            <w:pPr>
              <w:spacing w:line="216" w:lineRule="auto"/>
            </w:pPr>
            <w:r>
              <w:rPr>
                <w:sz w:val="16"/>
                <w:szCs w:val="16"/>
              </w:rPr>
              <w:t>5</w:t>
            </w:r>
          </w:p>
        </w:tc>
      </w:tr>
      <w:tr w:rsidR="0039479F" w14:paraId="4A2C216D" w14:textId="77777777">
        <w:tc>
          <w:tcPr>
            <w:tcW w:w="3288" w:type="dxa"/>
            <w:tcMar>
              <w:top w:w="40" w:type="dxa"/>
              <w:left w:w="70" w:type="dxa"/>
              <w:bottom w:w="40" w:type="dxa"/>
              <w:right w:w="70" w:type="dxa"/>
            </w:tcMar>
          </w:tcPr>
          <w:p w14:paraId="63B6E0DA" w14:textId="77777777" w:rsidR="0039479F" w:rsidRDefault="00000000">
            <w:pPr>
              <w:spacing w:line="216" w:lineRule="auto"/>
            </w:pPr>
            <w:r>
              <w:rPr>
                <w:sz w:val="16"/>
                <w:szCs w:val="16"/>
              </w:rPr>
              <w:t>Total</w:t>
            </w:r>
          </w:p>
        </w:tc>
        <w:tc>
          <w:tcPr>
            <w:tcW w:w="783" w:type="dxa"/>
            <w:tcMar>
              <w:top w:w="40" w:type="dxa"/>
              <w:left w:w="70" w:type="dxa"/>
              <w:bottom w:w="40" w:type="dxa"/>
              <w:right w:w="70" w:type="dxa"/>
            </w:tcMar>
          </w:tcPr>
          <w:p w14:paraId="79DCEA93" w14:textId="77777777" w:rsidR="0039479F" w:rsidRDefault="00000000">
            <w:pPr>
              <w:spacing w:line="216" w:lineRule="auto"/>
            </w:pPr>
            <w:r>
              <w:rPr>
                <w:sz w:val="16"/>
                <w:szCs w:val="16"/>
              </w:rPr>
              <w:t>210</w:t>
            </w:r>
          </w:p>
        </w:tc>
        <w:tc>
          <w:tcPr>
            <w:tcW w:w="939" w:type="dxa"/>
            <w:tcMar>
              <w:top w:w="40" w:type="dxa"/>
              <w:left w:w="70" w:type="dxa"/>
              <w:bottom w:w="40" w:type="dxa"/>
              <w:right w:w="70" w:type="dxa"/>
            </w:tcMar>
          </w:tcPr>
          <w:p w14:paraId="2B20125F" w14:textId="77777777" w:rsidR="0039479F" w:rsidRDefault="00000000">
            <w:pPr>
              <w:spacing w:line="216" w:lineRule="auto"/>
            </w:pPr>
            <w:r>
              <w:rPr>
                <w:sz w:val="16"/>
                <w:szCs w:val="16"/>
              </w:rPr>
              <w:t>57</w:t>
            </w:r>
          </w:p>
        </w:tc>
        <w:tc>
          <w:tcPr>
            <w:tcW w:w="1017" w:type="dxa"/>
            <w:tcMar>
              <w:top w:w="40" w:type="dxa"/>
              <w:left w:w="70" w:type="dxa"/>
              <w:bottom w:w="40" w:type="dxa"/>
              <w:right w:w="70" w:type="dxa"/>
            </w:tcMar>
          </w:tcPr>
          <w:p w14:paraId="086DA1DA" w14:textId="77777777" w:rsidR="0039479F" w:rsidRDefault="00000000">
            <w:pPr>
              <w:spacing w:line="216" w:lineRule="auto"/>
            </w:pPr>
            <w:r>
              <w:rPr>
                <w:sz w:val="16"/>
                <w:szCs w:val="16"/>
              </w:rPr>
              <w:t>128</w:t>
            </w:r>
          </w:p>
        </w:tc>
        <w:tc>
          <w:tcPr>
            <w:tcW w:w="1331" w:type="dxa"/>
            <w:tcMar>
              <w:top w:w="40" w:type="dxa"/>
              <w:left w:w="70" w:type="dxa"/>
              <w:bottom w:w="40" w:type="dxa"/>
              <w:right w:w="70" w:type="dxa"/>
            </w:tcMar>
          </w:tcPr>
          <w:p w14:paraId="70E6EBC7" w14:textId="77777777" w:rsidR="0039479F" w:rsidRDefault="00000000">
            <w:pPr>
              <w:spacing w:line="216" w:lineRule="auto"/>
            </w:pPr>
            <w:r>
              <w:rPr>
                <w:sz w:val="16"/>
                <w:szCs w:val="16"/>
              </w:rPr>
              <w:t>25</w:t>
            </w:r>
          </w:p>
        </w:tc>
        <w:tc>
          <w:tcPr>
            <w:tcW w:w="1252" w:type="dxa"/>
            <w:tcMar>
              <w:top w:w="40" w:type="dxa"/>
              <w:left w:w="70" w:type="dxa"/>
              <w:bottom w:w="40" w:type="dxa"/>
              <w:right w:w="70" w:type="dxa"/>
            </w:tcMar>
          </w:tcPr>
          <w:p w14:paraId="65F02B59" w14:textId="77777777" w:rsidR="0039479F" w:rsidRDefault="00000000">
            <w:pPr>
              <w:spacing w:line="216" w:lineRule="auto"/>
            </w:pPr>
            <w:r>
              <w:rPr>
                <w:sz w:val="16"/>
                <w:szCs w:val="16"/>
              </w:rPr>
              <w:t>66</w:t>
            </w:r>
          </w:p>
        </w:tc>
        <w:tc>
          <w:tcPr>
            <w:tcW w:w="1256" w:type="dxa"/>
            <w:tcMar>
              <w:top w:w="40" w:type="dxa"/>
              <w:left w:w="70" w:type="dxa"/>
              <w:bottom w:w="40" w:type="dxa"/>
              <w:right w:w="70" w:type="dxa"/>
            </w:tcMar>
          </w:tcPr>
          <w:p w14:paraId="49BBF17D" w14:textId="77777777" w:rsidR="0039479F" w:rsidRDefault="00000000">
            <w:pPr>
              <w:spacing w:line="216" w:lineRule="auto"/>
            </w:pPr>
            <w:r>
              <w:rPr>
                <w:sz w:val="16"/>
                <w:szCs w:val="16"/>
              </w:rPr>
              <w:t>144</w:t>
            </w:r>
          </w:p>
        </w:tc>
      </w:tr>
    </w:tbl>
    <w:p w14:paraId="1A0B2459" w14:textId="77777777" w:rsidR="0039479F" w:rsidRDefault="00000000">
      <w:pPr>
        <w:spacing w:before="90" w:after="220" w:line="240" w:lineRule="auto"/>
      </w:pPr>
      <w:r>
        <w:rPr>
          <w:sz w:val="17"/>
          <w:szCs w:val="17"/>
        </w:rPr>
        <w:t>Note. Reports rather than studies are counted, because companion reports of one study may contribute to different domains. Design was classified from the accessed source. 'Mixed or not classifiable' covers reports describing both prospective and retrospective components (n = 3) and reports whose accessed source did not state a prospective or retrospective design (n = 22).</w:t>
      </w:r>
    </w:p>
    <w:p w14:paraId="387E2454" w14:textId="77777777" w:rsidR="0039479F" w:rsidRDefault="00000000">
      <w:pPr>
        <w:pStyle w:val="Heading2"/>
        <w:keepNext/>
        <w:spacing w:before="220" w:after="110"/>
      </w:pPr>
      <w:r>
        <w:t>3.3 Risk of bias and applicability</w:t>
      </w:r>
    </w:p>
    <w:p w14:paraId="5A44749E" w14:textId="77777777" w:rsidR="0039479F" w:rsidRDefault="00000000">
      <w:pPr>
        <w:spacing w:after="140"/>
        <w:jc w:val="both"/>
      </w:pPr>
      <w:r>
        <w:t xml:space="preserve">Risk of bias was substantial and, for most domains, indeterminate. Of 210 reports, only 5 were rated at low risk of bias across all four QUADAS-2 domains, while 93 were rated at high risk of bias in at least one domain. The pattern of judgements is as informative as their distribution: patient selection could be rated low in 81 reports because enrolment was consecutive or unselected, but was rated high in 53, most often because the study enrolled only patients with a confirmed target condition or defined its population by receipt of an investigation. Blinding of index-test interpretation to the reference standard was reported in only 28 reports and was unclear in 182. Flow and timing </w:t>
      </w:r>
      <w:proofErr w:type="gramStart"/>
      <w:r>
        <w:t>was</w:t>
      </w:r>
      <w:proofErr w:type="gramEnd"/>
      <w:r>
        <w:t xml:space="preserve"> unclear in 166 reports, predominantly because the accessed source did not state whether all participants were verified.</w:t>
      </w:r>
    </w:p>
    <w:p w14:paraId="0F3AC3E4" w14:textId="77777777" w:rsidR="0039479F" w:rsidRDefault="00000000">
      <w:pPr>
        <w:spacing w:after="140"/>
        <w:jc w:val="both"/>
      </w:pPr>
      <w:r>
        <w:t>These judgements must be read alongside the access limitation: an unclear rating means that the accessed report did not supply the information, and for 144 reports the accessed source was an abstract. The unclear ratings therefore reflect a combination of incomplete study reporting and incomplete access, and the two cannot be separated. Applicability was more reassuring, with the population domain rated low concern in 147 reports and the index-test domain rated low concern in all 210, reflecting the eligibility criteria. Table 4 summarises the domain-level judgements.</w:t>
      </w:r>
    </w:p>
    <w:p w14:paraId="5C79CA48" w14:textId="77777777" w:rsidR="0039479F" w:rsidRDefault="00000000">
      <w:pPr>
        <w:keepNext/>
        <w:spacing w:before="200" w:after="90"/>
      </w:pPr>
      <w:r>
        <w:rPr>
          <w:b/>
          <w:bCs/>
          <w:sz w:val="21"/>
          <w:szCs w:val="21"/>
        </w:rPr>
        <w:t>Table 4. QUADAS-2 risk-of-bias and applicability judgements across 210 included reports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5534"/>
        <w:gridCol w:w="1443"/>
        <w:gridCol w:w="1443"/>
        <w:gridCol w:w="1446"/>
      </w:tblGrid>
      <w:tr w:rsidR="0039479F" w14:paraId="140B4419" w14:textId="77777777">
        <w:trPr>
          <w:tblHeader/>
        </w:trPr>
        <w:tc>
          <w:tcPr>
            <w:tcW w:w="5534" w:type="dxa"/>
            <w:shd w:val="clear" w:color="auto" w:fill="F2F2F2"/>
            <w:tcMar>
              <w:top w:w="40" w:type="dxa"/>
              <w:left w:w="70" w:type="dxa"/>
              <w:bottom w:w="40" w:type="dxa"/>
              <w:right w:w="70" w:type="dxa"/>
            </w:tcMar>
          </w:tcPr>
          <w:p w14:paraId="47521ECC" w14:textId="77777777" w:rsidR="0039479F" w:rsidRDefault="00000000">
            <w:pPr>
              <w:spacing w:line="216" w:lineRule="auto"/>
            </w:pPr>
            <w:r>
              <w:rPr>
                <w:b/>
                <w:bCs/>
                <w:sz w:val="16"/>
                <w:szCs w:val="16"/>
              </w:rPr>
              <w:t>QUADAS-2 domain</w:t>
            </w:r>
          </w:p>
        </w:tc>
        <w:tc>
          <w:tcPr>
            <w:tcW w:w="1443" w:type="dxa"/>
            <w:shd w:val="clear" w:color="auto" w:fill="F2F2F2"/>
            <w:tcMar>
              <w:top w:w="40" w:type="dxa"/>
              <w:left w:w="70" w:type="dxa"/>
              <w:bottom w:w="40" w:type="dxa"/>
              <w:right w:w="70" w:type="dxa"/>
            </w:tcMar>
          </w:tcPr>
          <w:p w14:paraId="34744E81" w14:textId="77777777" w:rsidR="0039479F" w:rsidRDefault="00000000">
            <w:pPr>
              <w:spacing w:line="216" w:lineRule="auto"/>
            </w:pPr>
            <w:r>
              <w:rPr>
                <w:b/>
                <w:bCs/>
                <w:sz w:val="16"/>
                <w:szCs w:val="16"/>
              </w:rPr>
              <w:t>Low</w:t>
            </w:r>
          </w:p>
        </w:tc>
        <w:tc>
          <w:tcPr>
            <w:tcW w:w="1443" w:type="dxa"/>
            <w:shd w:val="clear" w:color="auto" w:fill="F2F2F2"/>
            <w:tcMar>
              <w:top w:w="40" w:type="dxa"/>
              <w:left w:w="70" w:type="dxa"/>
              <w:bottom w:w="40" w:type="dxa"/>
              <w:right w:w="70" w:type="dxa"/>
            </w:tcMar>
          </w:tcPr>
          <w:p w14:paraId="6CF46EE5" w14:textId="77777777" w:rsidR="0039479F" w:rsidRDefault="00000000">
            <w:pPr>
              <w:spacing w:line="216" w:lineRule="auto"/>
            </w:pPr>
            <w:r>
              <w:rPr>
                <w:b/>
                <w:bCs/>
                <w:sz w:val="16"/>
                <w:szCs w:val="16"/>
              </w:rPr>
              <w:t>High</w:t>
            </w:r>
          </w:p>
        </w:tc>
        <w:tc>
          <w:tcPr>
            <w:tcW w:w="1446" w:type="dxa"/>
            <w:shd w:val="clear" w:color="auto" w:fill="F2F2F2"/>
            <w:tcMar>
              <w:top w:w="40" w:type="dxa"/>
              <w:left w:w="70" w:type="dxa"/>
              <w:bottom w:w="40" w:type="dxa"/>
              <w:right w:w="70" w:type="dxa"/>
            </w:tcMar>
          </w:tcPr>
          <w:p w14:paraId="784F44B1" w14:textId="77777777" w:rsidR="0039479F" w:rsidRDefault="00000000">
            <w:pPr>
              <w:spacing w:line="216" w:lineRule="auto"/>
            </w:pPr>
            <w:r>
              <w:rPr>
                <w:b/>
                <w:bCs/>
                <w:sz w:val="16"/>
                <w:szCs w:val="16"/>
              </w:rPr>
              <w:t>Unclear</w:t>
            </w:r>
          </w:p>
        </w:tc>
      </w:tr>
      <w:tr w:rsidR="0039479F" w14:paraId="692825D2" w14:textId="77777777">
        <w:tc>
          <w:tcPr>
            <w:tcW w:w="5534" w:type="dxa"/>
            <w:tcMar>
              <w:top w:w="40" w:type="dxa"/>
              <w:left w:w="70" w:type="dxa"/>
              <w:bottom w:w="40" w:type="dxa"/>
              <w:right w:w="70" w:type="dxa"/>
            </w:tcMar>
          </w:tcPr>
          <w:p w14:paraId="0F40280F" w14:textId="77777777" w:rsidR="0039479F" w:rsidRDefault="00000000">
            <w:pPr>
              <w:spacing w:line="216" w:lineRule="auto"/>
            </w:pPr>
            <w:r>
              <w:rPr>
                <w:sz w:val="16"/>
                <w:szCs w:val="16"/>
              </w:rPr>
              <w:t>Patient selection (risk of bias)</w:t>
            </w:r>
          </w:p>
        </w:tc>
        <w:tc>
          <w:tcPr>
            <w:tcW w:w="1443" w:type="dxa"/>
            <w:tcMar>
              <w:top w:w="40" w:type="dxa"/>
              <w:left w:w="70" w:type="dxa"/>
              <w:bottom w:w="40" w:type="dxa"/>
              <w:right w:w="70" w:type="dxa"/>
            </w:tcMar>
          </w:tcPr>
          <w:p w14:paraId="2B4D8B09" w14:textId="77777777" w:rsidR="0039479F" w:rsidRDefault="00000000">
            <w:pPr>
              <w:spacing w:line="216" w:lineRule="auto"/>
            </w:pPr>
            <w:r>
              <w:rPr>
                <w:sz w:val="16"/>
                <w:szCs w:val="16"/>
              </w:rPr>
              <w:t>81</w:t>
            </w:r>
          </w:p>
        </w:tc>
        <w:tc>
          <w:tcPr>
            <w:tcW w:w="1443" w:type="dxa"/>
            <w:tcMar>
              <w:top w:w="40" w:type="dxa"/>
              <w:left w:w="70" w:type="dxa"/>
              <w:bottom w:w="40" w:type="dxa"/>
              <w:right w:w="70" w:type="dxa"/>
            </w:tcMar>
          </w:tcPr>
          <w:p w14:paraId="58DBABF7" w14:textId="77777777" w:rsidR="0039479F" w:rsidRDefault="00000000">
            <w:pPr>
              <w:spacing w:line="216" w:lineRule="auto"/>
            </w:pPr>
            <w:r>
              <w:rPr>
                <w:sz w:val="16"/>
                <w:szCs w:val="16"/>
              </w:rPr>
              <w:t>53</w:t>
            </w:r>
          </w:p>
        </w:tc>
        <w:tc>
          <w:tcPr>
            <w:tcW w:w="1446" w:type="dxa"/>
            <w:tcMar>
              <w:top w:w="40" w:type="dxa"/>
              <w:left w:w="70" w:type="dxa"/>
              <w:bottom w:w="40" w:type="dxa"/>
              <w:right w:w="70" w:type="dxa"/>
            </w:tcMar>
          </w:tcPr>
          <w:p w14:paraId="7E60F872" w14:textId="77777777" w:rsidR="0039479F" w:rsidRDefault="00000000">
            <w:pPr>
              <w:spacing w:line="216" w:lineRule="auto"/>
            </w:pPr>
            <w:r>
              <w:rPr>
                <w:sz w:val="16"/>
                <w:szCs w:val="16"/>
              </w:rPr>
              <w:t>76</w:t>
            </w:r>
          </w:p>
        </w:tc>
      </w:tr>
      <w:tr w:rsidR="0039479F" w14:paraId="7587E160" w14:textId="77777777">
        <w:tc>
          <w:tcPr>
            <w:tcW w:w="5534" w:type="dxa"/>
            <w:tcMar>
              <w:top w:w="40" w:type="dxa"/>
              <w:left w:w="70" w:type="dxa"/>
              <w:bottom w:w="40" w:type="dxa"/>
              <w:right w:w="70" w:type="dxa"/>
            </w:tcMar>
          </w:tcPr>
          <w:p w14:paraId="443FE598" w14:textId="77777777" w:rsidR="0039479F" w:rsidRDefault="00000000">
            <w:pPr>
              <w:spacing w:line="216" w:lineRule="auto"/>
            </w:pPr>
            <w:r>
              <w:rPr>
                <w:sz w:val="16"/>
                <w:szCs w:val="16"/>
              </w:rPr>
              <w:t>Index test (risk of bias)</w:t>
            </w:r>
          </w:p>
        </w:tc>
        <w:tc>
          <w:tcPr>
            <w:tcW w:w="1443" w:type="dxa"/>
            <w:tcMar>
              <w:top w:w="40" w:type="dxa"/>
              <w:left w:w="70" w:type="dxa"/>
              <w:bottom w:w="40" w:type="dxa"/>
              <w:right w:w="70" w:type="dxa"/>
            </w:tcMar>
          </w:tcPr>
          <w:p w14:paraId="6257DF2B" w14:textId="77777777" w:rsidR="0039479F" w:rsidRDefault="00000000">
            <w:pPr>
              <w:spacing w:line="216" w:lineRule="auto"/>
            </w:pPr>
            <w:r>
              <w:rPr>
                <w:sz w:val="16"/>
                <w:szCs w:val="16"/>
              </w:rPr>
              <w:t>28</w:t>
            </w:r>
          </w:p>
        </w:tc>
        <w:tc>
          <w:tcPr>
            <w:tcW w:w="1443" w:type="dxa"/>
            <w:tcMar>
              <w:top w:w="40" w:type="dxa"/>
              <w:left w:w="70" w:type="dxa"/>
              <w:bottom w:w="40" w:type="dxa"/>
              <w:right w:w="70" w:type="dxa"/>
            </w:tcMar>
          </w:tcPr>
          <w:p w14:paraId="6019647D" w14:textId="77777777" w:rsidR="0039479F" w:rsidRDefault="00000000">
            <w:pPr>
              <w:spacing w:line="216" w:lineRule="auto"/>
            </w:pPr>
            <w:r>
              <w:rPr>
                <w:sz w:val="16"/>
                <w:szCs w:val="16"/>
              </w:rPr>
              <w:t>0</w:t>
            </w:r>
          </w:p>
        </w:tc>
        <w:tc>
          <w:tcPr>
            <w:tcW w:w="1446" w:type="dxa"/>
            <w:tcMar>
              <w:top w:w="40" w:type="dxa"/>
              <w:left w:w="70" w:type="dxa"/>
              <w:bottom w:w="40" w:type="dxa"/>
              <w:right w:w="70" w:type="dxa"/>
            </w:tcMar>
          </w:tcPr>
          <w:p w14:paraId="4930F084" w14:textId="77777777" w:rsidR="0039479F" w:rsidRDefault="00000000">
            <w:pPr>
              <w:spacing w:line="216" w:lineRule="auto"/>
            </w:pPr>
            <w:r>
              <w:rPr>
                <w:sz w:val="16"/>
                <w:szCs w:val="16"/>
              </w:rPr>
              <w:t>182</w:t>
            </w:r>
          </w:p>
        </w:tc>
      </w:tr>
      <w:tr w:rsidR="0039479F" w14:paraId="551C88A5" w14:textId="77777777">
        <w:tc>
          <w:tcPr>
            <w:tcW w:w="5534" w:type="dxa"/>
            <w:tcMar>
              <w:top w:w="40" w:type="dxa"/>
              <w:left w:w="70" w:type="dxa"/>
              <w:bottom w:w="40" w:type="dxa"/>
              <w:right w:w="70" w:type="dxa"/>
            </w:tcMar>
          </w:tcPr>
          <w:p w14:paraId="78DE0F84" w14:textId="77777777" w:rsidR="0039479F" w:rsidRDefault="00000000">
            <w:pPr>
              <w:spacing w:line="216" w:lineRule="auto"/>
            </w:pPr>
            <w:r>
              <w:rPr>
                <w:sz w:val="16"/>
                <w:szCs w:val="16"/>
              </w:rPr>
              <w:t>Reference standard (risk of bias)</w:t>
            </w:r>
          </w:p>
        </w:tc>
        <w:tc>
          <w:tcPr>
            <w:tcW w:w="1443" w:type="dxa"/>
            <w:tcMar>
              <w:top w:w="40" w:type="dxa"/>
              <w:left w:w="70" w:type="dxa"/>
              <w:bottom w:w="40" w:type="dxa"/>
              <w:right w:w="70" w:type="dxa"/>
            </w:tcMar>
          </w:tcPr>
          <w:p w14:paraId="7A062DAA" w14:textId="77777777" w:rsidR="0039479F" w:rsidRDefault="00000000">
            <w:pPr>
              <w:spacing w:line="216" w:lineRule="auto"/>
            </w:pPr>
            <w:r>
              <w:rPr>
                <w:sz w:val="16"/>
                <w:szCs w:val="16"/>
              </w:rPr>
              <w:t>84</w:t>
            </w:r>
          </w:p>
        </w:tc>
        <w:tc>
          <w:tcPr>
            <w:tcW w:w="1443" w:type="dxa"/>
            <w:tcMar>
              <w:top w:w="40" w:type="dxa"/>
              <w:left w:w="70" w:type="dxa"/>
              <w:bottom w:w="40" w:type="dxa"/>
              <w:right w:w="70" w:type="dxa"/>
            </w:tcMar>
          </w:tcPr>
          <w:p w14:paraId="5A12D68E" w14:textId="77777777" w:rsidR="0039479F" w:rsidRDefault="00000000">
            <w:pPr>
              <w:spacing w:line="216" w:lineRule="auto"/>
            </w:pPr>
            <w:r>
              <w:rPr>
                <w:sz w:val="16"/>
                <w:szCs w:val="16"/>
              </w:rPr>
              <w:t>52</w:t>
            </w:r>
          </w:p>
        </w:tc>
        <w:tc>
          <w:tcPr>
            <w:tcW w:w="1446" w:type="dxa"/>
            <w:tcMar>
              <w:top w:w="40" w:type="dxa"/>
              <w:left w:w="70" w:type="dxa"/>
              <w:bottom w:w="40" w:type="dxa"/>
              <w:right w:w="70" w:type="dxa"/>
            </w:tcMar>
          </w:tcPr>
          <w:p w14:paraId="1FBDF2E9" w14:textId="77777777" w:rsidR="0039479F" w:rsidRDefault="00000000">
            <w:pPr>
              <w:spacing w:line="216" w:lineRule="auto"/>
            </w:pPr>
            <w:r>
              <w:rPr>
                <w:sz w:val="16"/>
                <w:szCs w:val="16"/>
              </w:rPr>
              <w:t>74</w:t>
            </w:r>
          </w:p>
        </w:tc>
      </w:tr>
      <w:tr w:rsidR="0039479F" w14:paraId="7B9A920C" w14:textId="77777777">
        <w:tc>
          <w:tcPr>
            <w:tcW w:w="5534" w:type="dxa"/>
            <w:tcMar>
              <w:top w:w="40" w:type="dxa"/>
              <w:left w:w="70" w:type="dxa"/>
              <w:bottom w:w="40" w:type="dxa"/>
              <w:right w:w="70" w:type="dxa"/>
            </w:tcMar>
          </w:tcPr>
          <w:p w14:paraId="42B2FE07" w14:textId="77777777" w:rsidR="0039479F" w:rsidRDefault="00000000">
            <w:pPr>
              <w:spacing w:line="216" w:lineRule="auto"/>
            </w:pPr>
            <w:r>
              <w:rPr>
                <w:sz w:val="16"/>
                <w:szCs w:val="16"/>
              </w:rPr>
              <w:t>Flow and timing (risk of bias)</w:t>
            </w:r>
          </w:p>
        </w:tc>
        <w:tc>
          <w:tcPr>
            <w:tcW w:w="1443" w:type="dxa"/>
            <w:tcMar>
              <w:top w:w="40" w:type="dxa"/>
              <w:left w:w="70" w:type="dxa"/>
              <w:bottom w:w="40" w:type="dxa"/>
              <w:right w:w="70" w:type="dxa"/>
            </w:tcMar>
          </w:tcPr>
          <w:p w14:paraId="67C83572" w14:textId="77777777" w:rsidR="0039479F" w:rsidRDefault="00000000">
            <w:pPr>
              <w:spacing w:line="216" w:lineRule="auto"/>
            </w:pPr>
            <w:r>
              <w:rPr>
                <w:sz w:val="16"/>
                <w:szCs w:val="16"/>
              </w:rPr>
              <w:t>42</w:t>
            </w:r>
          </w:p>
        </w:tc>
        <w:tc>
          <w:tcPr>
            <w:tcW w:w="1443" w:type="dxa"/>
            <w:tcMar>
              <w:top w:w="40" w:type="dxa"/>
              <w:left w:w="70" w:type="dxa"/>
              <w:bottom w:w="40" w:type="dxa"/>
              <w:right w:w="70" w:type="dxa"/>
            </w:tcMar>
          </w:tcPr>
          <w:p w14:paraId="06B74DA1" w14:textId="77777777" w:rsidR="0039479F" w:rsidRDefault="00000000">
            <w:pPr>
              <w:spacing w:line="216" w:lineRule="auto"/>
            </w:pPr>
            <w:r>
              <w:rPr>
                <w:sz w:val="16"/>
                <w:szCs w:val="16"/>
              </w:rPr>
              <w:t>2</w:t>
            </w:r>
          </w:p>
        </w:tc>
        <w:tc>
          <w:tcPr>
            <w:tcW w:w="1446" w:type="dxa"/>
            <w:tcMar>
              <w:top w:w="40" w:type="dxa"/>
              <w:left w:w="70" w:type="dxa"/>
              <w:bottom w:w="40" w:type="dxa"/>
              <w:right w:w="70" w:type="dxa"/>
            </w:tcMar>
          </w:tcPr>
          <w:p w14:paraId="4129CC97" w14:textId="77777777" w:rsidR="0039479F" w:rsidRDefault="00000000">
            <w:pPr>
              <w:spacing w:line="216" w:lineRule="auto"/>
            </w:pPr>
            <w:r>
              <w:rPr>
                <w:sz w:val="16"/>
                <w:szCs w:val="16"/>
              </w:rPr>
              <w:t>166</w:t>
            </w:r>
          </w:p>
        </w:tc>
      </w:tr>
      <w:tr w:rsidR="0039479F" w14:paraId="56A2657C" w14:textId="77777777">
        <w:tc>
          <w:tcPr>
            <w:tcW w:w="5534" w:type="dxa"/>
            <w:tcMar>
              <w:top w:w="40" w:type="dxa"/>
              <w:left w:w="70" w:type="dxa"/>
              <w:bottom w:w="40" w:type="dxa"/>
              <w:right w:w="70" w:type="dxa"/>
            </w:tcMar>
          </w:tcPr>
          <w:p w14:paraId="73E1C45A" w14:textId="77777777" w:rsidR="0039479F" w:rsidRDefault="00000000">
            <w:pPr>
              <w:spacing w:line="216" w:lineRule="auto"/>
            </w:pPr>
            <w:r>
              <w:rPr>
                <w:sz w:val="16"/>
                <w:szCs w:val="16"/>
              </w:rPr>
              <w:t>Patient selection (applicability concerns)</w:t>
            </w:r>
          </w:p>
        </w:tc>
        <w:tc>
          <w:tcPr>
            <w:tcW w:w="1443" w:type="dxa"/>
            <w:tcMar>
              <w:top w:w="40" w:type="dxa"/>
              <w:left w:w="70" w:type="dxa"/>
              <w:bottom w:w="40" w:type="dxa"/>
              <w:right w:w="70" w:type="dxa"/>
            </w:tcMar>
          </w:tcPr>
          <w:p w14:paraId="3736A369" w14:textId="77777777" w:rsidR="0039479F" w:rsidRDefault="00000000">
            <w:pPr>
              <w:spacing w:line="216" w:lineRule="auto"/>
            </w:pPr>
            <w:r>
              <w:rPr>
                <w:sz w:val="16"/>
                <w:szCs w:val="16"/>
              </w:rPr>
              <w:t>147</w:t>
            </w:r>
          </w:p>
        </w:tc>
        <w:tc>
          <w:tcPr>
            <w:tcW w:w="1443" w:type="dxa"/>
            <w:tcMar>
              <w:top w:w="40" w:type="dxa"/>
              <w:left w:w="70" w:type="dxa"/>
              <w:bottom w:w="40" w:type="dxa"/>
              <w:right w:w="70" w:type="dxa"/>
            </w:tcMar>
          </w:tcPr>
          <w:p w14:paraId="4627D094" w14:textId="77777777" w:rsidR="0039479F" w:rsidRDefault="00000000">
            <w:pPr>
              <w:spacing w:line="216" w:lineRule="auto"/>
            </w:pPr>
            <w:r>
              <w:rPr>
                <w:sz w:val="16"/>
                <w:szCs w:val="16"/>
              </w:rPr>
              <w:t>63</w:t>
            </w:r>
          </w:p>
        </w:tc>
        <w:tc>
          <w:tcPr>
            <w:tcW w:w="1446" w:type="dxa"/>
            <w:tcMar>
              <w:top w:w="40" w:type="dxa"/>
              <w:left w:w="70" w:type="dxa"/>
              <w:bottom w:w="40" w:type="dxa"/>
              <w:right w:w="70" w:type="dxa"/>
            </w:tcMar>
          </w:tcPr>
          <w:p w14:paraId="0079AB04" w14:textId="77777777" w:rsidR="0039479F" w:rsidRDefault="00000000">
            <w:pPr>
              <w:spacing w:line="216" w:lineRule="auto"/>
            </w:pPr>
            <w:r>
              <w:rPr>
                <w:sz w:val="16"/>
                <w:szCs w:val="16"/>
              </w:rPr>
              <w:t>0</w:t>
            </w:r>
          </w:p>
        </w:tc>
      </w:tr>
      <w:tr w:rsidR="0039479F" w14:paraId="49021D8F" w14:textId="77777777">
        <w:tc>
          <w:tcPr>
            <w:tcW w:w="5534" w:type="dxa"/>
            <w:tcMar>
              <w:top w:w="40" w:type="dxa"/>
              <w:left w:w="70" w:type="dxa"/>
              <w:bottom w:w="40" w:type="dxa"/>
              <w:right w:w="70" w:type="dxa"/>
            </w:tcMar>
          </w:tcPr>
          <w:p w14:paraId="2F1C2642" w14:textId="77777777" w:rsidR="0039479F" w:rsidRDefault="00000000">
            <w:pPr>
              <w:spacing w:line="216" w:lineRule="auto"/>
            </w:pPr>
            <w:r>
              <w:rPr>
                <w:sz w:val="16"/>
                <w:szCs w:val="16"/>
              </w:rPr>
              <w:t>Index test (applicability concerns)</w:t>
            </w:r>
          </w:p>
        </w:tc>
        <w:tc>
          <w:tcPr>
            <w:tcW w:w="1443" w:type="dxa"/>
            <w:tcMar>
              <w:top w:w="40" w:type="dxa"/>
              <w:left w:w="70" w:type="dxa"/>
              <w:bottom w:w="40" w:type="dxa"/>
              <w:right w:w="70" w:type="dxa"/>
            </w:tcMar>
          </w:tcPr>
          <w:p w14:paraId="65F4799B" w14:textId="77777777" w:rsidR="0039479F" w:rsidRDefault="00000000">
            <w:pPr>
              <w:spacing w:line="216" w:lineRule="auto"/>
            </w:pPr>
            <w:r>
              <w:rPr>
                <w:sz w:val="16"/>
                <w:szCs w:val="16"/>
              </w:rPr>
              <w:t>210</w:t>
            </w:r>
          </w:p>
        </w:tc>
        <w:tc>
          <w:tcPr>
            <w:tcW w:w="1443" w:type="dxa"/>
            <w:tcMar>
              <w:top w:w="40" w:type="dxa"/>
              <w:left w:w="70" w:type="dxa"/>
              <w:bottom w:w="40" w:type="dxa"/>
              <w:right w:w="70" w:type="dxa"/>
            </w:tcMar>
          </w:tcPr>
          <w:p w14:paraId="6EEA2205" w14:textId="77777777" w:rsidR="0039479F" w:rsidRDefault="00000000">
            <w:pPr>
              <w:spacing w:line="216" w:lineRule="auto"/>
            </w:pPr>
            <w:r>
              <w:rPr>
                <w:sz w:val="16"/>
                <w:szCs w:val="16"/>
              </w:rPr>
              <w:t>0</w:t>
            </w:r>
          </w:p>
        </w:tc>
        <w:tc>
          <w:tcPr>
            <w:tcW w:w="1446" w:type="dxa"/>
            <w:tcMar>
              <w:top w:w="40" w:type="dxa"/>
              <w:left w:w="70" w:type="dxa"/>
              <w:bottom w:w="40" w:type="dxa"/>
              <w:right w:w="70" w:type="dxa"/>
            </w:tcMar>
          </w:tcPr>
          <w:p w14:paraId="27281D8B" w14:textId="77777777" w:rsidR="0039479F" w:rsidRDefault="00000000">
            <w:pPr>
              <w:spacing w:line="216" w:lineRule="auto"/>
            </w:pPr>
            <w:r>
              <w:rPr>
                <w:sz w:val="16"/>
                <w:szCs w:val="16"/>
              </w:rPr>
              <w:t>0</w:t>
            </w:r>
          </w:p>
        </w:tc>
      </w:tr>
      <w:tr w:rsidR="0039479F" w14:paraId="2C5CD9B3" w14:textId="77777777">
        <w:tc>
          <w:tcPr>
            <w:tcW w:w="5534" w:type="dxa"/>
            <w:tcMar>
              <w:top w:w="40" w:type="dxa"/>
              <w:left w:w="70" w:type="dxa"/>
              <w:bottom w:w="40" w:type="dxa"/>
              <w:right w:w="70" w:type="dxa"/>
            </w:tcMar>
          </w:tcPr>
          <w:p w14:paraId="7134DC66" w14:textId="77777777" w:rsidR="0039479F" w:rsidRDefault="00000000">
            <w:pPr>
              <w:spacing w:line="216" w:lineRule="auto"/>
            </w:pPr>
            <w:r>
              <w:rPr>
                <w:sz w:val="16"/>
                <w:szCs w:val="16"/>
              </w:rPr>
              <w:t>Target condition (applicability concerns)</w:t>
            </w:r>
          </w:p>
        </w:tc>
        <w:tc>
          <w:tcPr>
            <w:tcW w:w="1443" w:type="dxa"/>
            <w:tcMar>
              <w:top w:w="40" w:type="dxa"/>
              <w:left w:w="70" w:type="dxa"/>
              <w:bottom w:w="40" w:type="dxa"/>
              <w:right w:w="70" w:type="dxa"/>
            </w:tcMar>
          </w:tcPr>
          <w:p w14:paraId="13F83303" w14:textId="77777777" w:rsidR="0039479F" w:rsidRDefault="00000000">
            <w:pPr>
              <w:spacing w:line="216" w:lineRule="auto"/>
            </w:pPr>
            <w:r>
              <w:rPr>
                <w:sz w:val="16"/>
                <w:szCs w:val="16"/>
              </w:rPr>
              <w:t>84</w:t>
            </w:r>
          </w:p>
        </w:tc>
        <w:tc>
          <w:tcPr>
            <w:tcW w:w="1443" w:type="dxa"/>
            <w:tcMar>
              <w:top w:w="40" w:type="dxa"/>
              <w:left w:w="70" w:type="dxa"/>
              <w:bottom w:w="40" w:type="dxa"/>
              <w:right w:w="70" w:type="dxa"/>
            </w:tcMar>
          </w:tcPr>
          <w:p w14:paraId="33C9BA9B" w14:textId="77777777" w:rsidR="0039479F" w:rsidRDefault="00000000">
            <w:pPr>
              <w:spacing w:line="216" w:lineRule="auto"/>
            </w:pPr>
            <w:r>
              <w:rPr>
                <w:sz w:val="16"/>
                <w:szCs w:val="16"/>
              </w:rPr>
              <w:t>0</w:t>
            </w:r>
          </w:p>
        </w:tc>
        <w:tc>
          <w:tcPr>
            <w:tcW w:w="1446" w:type="dxa"/>
            <w:tcMar>
              <w:top w:w="40" w:type="dxa"/>
              <w:left w:w="70" w:type="dxa"/>
              <w:bottom w:w="40" w:type="dxa"/>
              <w:right w:w="70" w:type="dxa"/>
            </w:tcMar>
          </w:tcPr>
          <w:p w14:paraId="5D088ED8" w14:textId="77777777" w:rsidR="0039479F" w:rsidRDefault="00000000">
            <w:pPr>
              <w:spacing w:line="216" w:lineRule="auto"/>
            </w:pPr>
            <w:r>
              <w:rPr>
                <w:sz w:val="16"/>
                <w:szCs w:val="16"/>
              </w:rPr>
              <w:t>126</w:t>
            </w:r>
          </w:p>
        </w:tc>
      </w:tr>
    </w:tbl>
    <w:p w14:paraId="01186AB8" w14:textId="77777777" w:rsidR="0039479F" w:rsidRDefault="00000000">
      <w:pPr>
        <w:spacing w:before="90" w:after="220" w:line="240" w:lineRule="auto"/>
      </w:pPr>
      <w:r>
        <w:rPr>
          <w:sz w:val="17"/>
          <w:szCs w:val="17"/>
        </w:rPr>
        <w:t>Note. Judgements were made from the source actually accessed. An unclear rating indicates that the accessed report did not provide the information required by the signalling question, which for 144 reports was a published abstract. Domain-level rationale for every report is given in the evidence ledger.</w:t>
      </w:r>
    </w:p>
    <w:p w14:paraId="20C2BB49" w14:textId="77777777" w:rsidR="0039479F" w:rsidRDefault="00000000">
      <w:pPr>
        <w:pStyle w:val="Heading2"/>
        <w:keepNext/>
        <w:spacing w:before="220" w:after="110"/>
      </w:pPr>
      <w:r>
        <w:t xml:space="preserve">3.4 </w:t>
      </w:r>
      <w:proofErr w:type="gramStart"/>
      <w:r>
        <w:t>Pre-test</w:t>
      </w:r>
      <w:proofErr w:type="gramEnd"/>
      <w:r>
        <w:t xml:space="preserve"> probability of a life-threatening secondary headache</w:t>
      </w:r>
    </w:p>
    <w:p w14:paraId="699799F6" w14:textId="77777777" w:rsidR="0039479F" w:rsidRDefault="00000000">
      <w:pPr>
        <w:spacing w:after="140"/>
        <w:jc w:val="both"/>
      </w:pPr>
      <w:r>
        <w:t xml:space="preserve">Thirty-seven reports characterised the aetiological spectrum of ED non-traumatic headache and the frequency of serious secondary causes. Across unselected or consecutive adult ED populations, the proportion with a serious secondary cause clustered between about 5% and 13%. In the largest multinational cohort, a serious cause was identified in 6.1% (95% CI 5.5–6.8) of 5,293 adults (Chu et al., 2024); a single-centre prospective study that systematically interviewed all ED presenters found significant intracranial abnormality in 6.2% of all headache patients and in 23.1% of those imaged (Handschin et al., 2020); and a prospective UK cohort with three-month follow-up found a serious pathological cause in 75 of 558 patients (13.4%) (Locker et al., 2006). Retrospective cohorts restricted to patients selected for imaging reported substantially higher proportions, for example 17.3% </w:t>
      </w:r>
      <w:r>
        <w:lastRenderedPageBreak/>
        <w:t>(Alghamdi et al., 2025) and 31.9% (Alanazy et al., 2023), which reflects selection for testing rather than a higher underlying risk.</w:t>
      </w:r>
    </w:p>
    <w:p w14:paraId="77FA71C8" w14:textId="77777777" w:rsidR="0039479F" w:rsidRDefault="00000000">
      <w:pPr>
        <w:spacing w:after="140"/>
        <w:jc w:val="both"/>
      </w:pPr>
      <w:r>
        <w:t>Two findings from this domain constrain the whole pathway. The first is that headache phenotype shifts probability but does not resolve it: in a planned secondary analysis of 4,536 ED headache presentations, serious pathology was identified in 10.9% (95% CI 8.7–13.5) of those describing thunderclap onset compared with 6.6% of those with a different onset (Roberts et al., 2022), and in a prospective consecutive series of 137 patients with sudden-onset headache, 11.3% had subarachnoid haemorrhage (Landtblom et al., 2002). The second is that a normal examination does not confer safety: among 3,951 ED headache patients without a known cerebral condition and with a normal neurological assessment, 4.8% (95% CI 4.2–5.5) were nevertheless diagnosed with a serious secondary cause (Kelly et al., 2025).</w:t>
      </w:r>
    </w:p>
    <w:p w14:paraId="5DEBEE1B" w14:textId="77777777" w:rsidR="0039479F" w:rsidRDefault="00000000">
      <w:pPr>
        <w:spacing w:after="140"/>
        <w:jc w:val="both"/>
      </w:pPr>
      <w:r>
        <w:t>Age and pregnancy behave differently from the way red-flag lists imply. Serious secondary headache was diagnosed in 18% of ED patients aged 75 years or older compared with 6% of younger patients (Beck et al., 2022), whereas among 3,643 ED headache patients aged 18 to 50 years, the proportion with a serious cause did not differ significantly between pregnant women, non-pregnant women and men (Kelly et al., 2022). Table 5 sets out the population-level estimates that establish the pre-test probability against which every subsequent test must be interpreted.</w:t>
      </w:r>
    </w:p>
    <w:p w14:paraId="3F1A63BE" w14:textId="77777777" w:rsidR="0039479F" w:rsidRDefault="00000000">
      <w:pPr>
        <w:keepNext/>
        <w:spacing w:before="200" w:after="90"/>
      </w:pPr>
      <w:r>
        <w:rPr>
          <w:b/>
          <w:bCs/>
          <w:sz w:val="21"/>
          <w:szCs w:val="21"/>
        </w:rPr>
        <w:t>Table 5. Pre-test probability of a serious secondary headache in emergency department populations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669"/>
        <w:gridCol w:w="1138"/>
        <w:gridCol w:w="1062"/>
        <w:gridCol w:w="2200"/>
        <w:gridCol w:w="3797"/>
      </w:tblGrid>
      <w:tr w:rsidR="0039479F" w14:paraId="036EA63C" w14:textId="77777777">
        <w:trPr>
          <w:tblHeader/>
        </w:trPr>
        <w:tc>
          <w:tcPr>
            <w:tcW w:w="1669" w:type="dxa"/>
            <w:shd w:val="clear" w:color="auto" w:fill="F2F2F2"/>
            <w:tcMar>
              <w:top w:w="40" w:type="dxa"/>
              <w:left w:w="70" w:type="dxa"/>
              <w:bottom w:w="40" w:type="dxa"/>
              <w:right w:w="70" w:type="dxa"/>
            </w:tcMar>
          </w:tcPr>
          <w:p w14:paraId="72713302" w14:textId="77777777" w:rsidR="0039479F" w:rsidRDefault="00000000">
            <w:pPr>
              <w:spacing w:line="216" w:lineRule="auto"/>
            </w:pPr>
            <w:r>
              <w:rPr>
                <w:b/>
                <w:bCs/>
                <w:sz w:val="16"/>
                <w:szCs w:val="16"/>
              </w:rPr>
              <w:t>Study</w:t>
            </w:r>
          </w:p>
        </w:tc>
        <w:tc>
          <w:tcPr>
            <w:tcW w:w="1138" w:type="dxa"/>
            <w:shd w:val="clear" w:color="auto" w:fill="F2F2F2"/>
            <w:tcMar>
              <w:top w:w="40" w:type="dxa"/>
              <w:left w:w="70" w:type="dxa"/>
              <w:bottom w:w="40" w:type="dxa"/>
              <w:right w:w="70" w:type="dxa"/>
            </w:tcMar>
          </w:tcPr>
          <w:p w14:paraId="7BBEBC66" w14:textId="77777777" w:rsidR="0039479F" w:rsidRDefault="00000000">
            <w:pPr>
              <w:spacing w:line="216" w:lineRule="auto"/>
            </w:pPr>
            <w:r>
              <w:rPr>
                <w:b/>
                <w:bCs/>
                <w:sz w:val="16"/>
                <w:szCs w:val="16"/>
              </w:rPr>
              <w:t>Country</w:t>
            </w:r>
          </w:p>
        </w:tc>
        <w:tc>
          <w:tcPr>
            <w:tcW w:w="1062" w:type="dxa"/>
            <w:shd w:val="clear" w:color="auto" w:fill="F2F2F2"/>
            <w:tcMar>
              <w:top w:w="40" w:type="dxa"/>
              <w:left w:w="70" w:type="dxa"/>
              <w:bottom w:w="40" w:type="dxa"/>
              <w:right w:w="70" w:type="dxa"/>
            </w:tcMar>
          </w:tcPr>
          <w:p w14:paraId="5F4E8BD0" w14:textId="77777777" w:rsidR="0039479F" w:rsidRDefault="00000000">
            <w:pPr>
              <w:spacing w:line="216" w:lineRule="auto"/>
            </w:pPr>
            <w:r>
              <w:rPr>
                <w:b/>
                <w:bCs/>
                <w:sz w:val="16"/>
                <w:szCs w:val="16"/>
              </w:rPr>
              <w:t>Participants</w:t>
            </w:r>
          </w:p>
        </w:tc>
        <w:tc>
          <w:tcPr>
            <w:tcW w:w="2200" w:type="dxa"/>
            <w:shd w:val="clear" w:color="auto" w:fill="F2F2F2"/>
            <w:tcMar>
              <w:top w:w="40" w:type="dxa"/>
              <w:left w:w="70" w:type="dxa"/>
              <w:bottom w:w="40" w:type="dxa"/>
              <w:right w:w="70" w:type="dxa"/>
            </w:tcMar>
          </w:tcPr>
          <w:p w14:paraId="6356A704" w14:textId="77777777" w:rsidR="0039479F" w:rsidRDefault="00000000">
            <w:pPr>
              <w:spacing w:line="216" w:lineRule="auto"/>
            </w:pPr>
            <w:r>
              <w:rPr>
                <w:b/>
                <w:bCs/>
                <w:sz w:val="16"/>
                <w:szCs w:val="16"/>
              </w:rPr>
              <w:t>Population</w:t>
            </w:r>
          </w:p>
        </w:tc>
        <w:tc>
          <w:tcPr>
            <w:tcW w:w="3797" w:type="dxa"/>
            <w:shd w:val="clear" w:color="auto" w:fill="F2F2F2"/>
            <w:tcMar>
              <w:top w:w="40" w:type="dxa"/>
              <w:left w:w="70" w:type="dxa"/>
              <w:bottom w:w="40" w:type="dxa"/>
              <w:right w:w="70" w:type="dxa"/>
            </w:tcMar>
          </w:tcPr>
          <w:p w14:paraId="0E523958" w14:textId="77777777" w:rsidR="0039479F" w:rsidRDefault="00000000">
            <w:pPr>
              <w:spacing w:line="216" w:lineRule="auto"/>
            </w:pPr>
            <w:r>
              <w:rPr>
                <w:b/>
                <w:bCs/>
                <w:sz w:val="16"/>
                <w:szCs w:val="16"/>
              </w:rPr>
              <w:t>Frequency of a serious secondary cause, as reported</w:t>
            </w:r>
          </w:p>
        </w:tc>
      </w:tr>
      <w:tr w:rsidR="0039479F" w14:paraId="5FA0A7CC" w14:textId="77777777">
        <w:tc>
          <w:tcPr>
            <w:tcW w:w="1669" w:type="dxa"/>
            <w:tcMar>
              <w:top w:w="40" w:type="dxa"/>
              <w:left w:w="70" w:type="dxa"/>
              <w:bottom w:w="40" w:type="dxa"/>
              <w:right w:w="70" w:type="dxa"/>
            </w:tcMar>
          </w:tcPr>
          <w:p w14:paraId="46EC074A" w14:textId="77777777" w:rsidR="0039479F" w:rsidRDefault="00000000">
            <w:pPr>
              <w:spacing w:line="216" w:lineRule="auto"/>
            </w:pPr>
            <w:r>
              <w:rPr>
                <w:sz w:val="16"/>
                <w:szCs w:val="16"/>
              </w:rPr>
              <w:t>Chu et al. (2024), HEAD/HEAD-Colombia</w:t>
            </w:r>
          </w:p>
        </w:tc>
        <w:tc>
          <w:tcPr>
            <w:tcW w:w="1138" w:type="dxa"/>
            <w:tcMar>
              <w:top w:w="40" w:type="dxa"/>
              <w:left w:w="70" w:type="dxa"/>
              <w:bottom w:w="40" w:type="dxa"/>
              <w:right w:w="70" w:type="dxa"/>
            </w:tcMar>
          </w:tcPr>
          <w:p w14:paraId="67E08443"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2B3EEB23" w14:textId="77777777" w:rsidR="0039479F" w:rsidRDefault="00000000">
            <w:pPr>
              <w:spacing w:line="216" w:lineRule="auto"/>
            </w:pPr>
            <w:r>
              <w:rPr>
                <w:sz w:val="16"/>
                <w:szCs w:val="16"/>
              </w:rPr>
              <w:t>5293</w:t>
            </w:r>
          </w:p>
        </w:tc>
        <w:tc>
          <w:tcPr>
            <w:tcW w:w="2200" w:type="dxa"/>
            <w:tcMar>
              <w:top w:w="40" w:type="dxa"/>
              <w:left w:w="70" w:type="dxa"/>
              <w:bottom w:w="40" w:type="dxa"/>
              <w:right w:w="70" w:type="dxa"/>
            </w:tcMar>
          </w:tcPr>
          <w:p w14:paraId="27CF6DAA" w14:textId="77777777" w:rsidR="0039479F" w:rsidRDefault="00000000">
            <w:pPr>
              <w:spacing w:line="216" w:lineRule="auto"/>
            </w:pPr>
            <w:r>
              <w:rPr>
                <w:sz w:val="16"/>
                <w:szCs w:val="16"/>
              </w:rPr>
              <w:t>Adults presenting to ED with non-traumatic headache</w:t>
            </w:r>
          </w:p>
        </w:tc>
        <w:tc>
          <w:tcPr>
            <w:tcW w:w="3797" w:type="dxa"/>
            <w:tcMar>
              <w:top w:w="40" w:type="dxa"/>
              <w:left w:w="70" w:type="dxa"/>
              <w:bottom w:w="40" w:type="dxa"/>
              <w:right w:w="70" w:type="dxa"/>
            </w:tcMar>
          </w:tcPr>
          <w:p w14:paraId="5BAEE554" w14:textId="77777777" w:rsidR="0039479F" w:rsidRDefault="00000000">
            <w:pPr>
              <w:spacing w:line="216" w:lineRule="auto"/>
            </w:pPr>
            <w:r>
              <w:rPr>
                <w:sz w:val="16"/>
                <w:szCs w:val="16"/>
              </w:rPr>
              <w:t>Serious cause in 6.1% (95% CI 5.5-6.8). Independent predictors: new neurological deficit, history of neoplasm, age &gt;50 y, recent head trauma 2-7 days prior. Combined red flags: sensitivity 96.5% (93.2-98.3), specificity 5.1% (4.3-6.0), PPV 9.3% (8.2-10.5), NPV 93.5% (87.6-96.8). Sudden onset, onset during exertion, pregnancy and immune…</w:t>
            </w:r>
          </w:p>
        </w:tc>
      </w:tr>
      <w:tr w:rsidR="0039479F" w14:paraId="36DC476B" w14:textId="77777777">
        <w:tc>
          <w:tcPr>
            <w:tcW w:w="1669" w:type="dxa"/>
            <w:tcMar>
              <w:top w:w="40" w:type="dxa"/>
              <w:left w:w="70" w:type="dxa"/>
              <w:bottom w:w="40" w:type="dxa"/>
              <w:right w:w="70" w:type="dxa"/>
            </w:tcMar>
          </w:tcPr>
          <w:p w14:paraId="3152269C" w14:textId="77777777" w:rsidR="0039479F" w:rsidRDefault="00000000">
            <w:pPr>
              <w:spacing w:line="216" w:lineRule="auto"/>
            </w:pPr>
            <w:r>
              <w:rPr>
                <w:sz w:val="16"/>
                <w:szCs w:val="16"/>
              </w:rPr>
              <w:t>Kelly et al. (2025), HEAD</w:t>
            </w:r>
          </w:p>
        </w:tc>
        <w:tc>
          <w:tcPr>
            <w:tcW w:w="1138" w:type="dxa"/>
            <w:tcMar>
              <w:top w:w="40" w:type="dxa"/>
              <w:left w:w="70" w:type="dxa"/>
              <w:bottom w:w="40" w:type="dxa"/>
              <w:right w:w="70" w:type="dxa"/>
            </w:tcMar>
          </w:tcPr>
          <w:p w14:paraId="379FFEEC"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10036BD2" w14:textId="77777777" w:rsidR="0039479F" w:rsidRDefault="00000000">
            <w:pPr>
              <w:spacing w:line="216" w:lineRule="auto"/>
            </w:pPr>
            <w:r>
              <w:rPr>
                <w:sz w:val="16"/>
                <w:szCs w:val="16"/>
              </w:rPr>
              <w:t>3951</w:t>
            </w:r>
          </w:p>
        </w:tc>
        <w:tc>
          <w:tcPr>
            <w:tcW w:w="2200" w:type="dxa"/>
            <w:tcMar>
              <w:top w:w="40" w:type="dxa"/>
              <w:left w:w="70" w:type="dxa"/>
              <w:bottom w:w="40" w:type="dxa"/>
              <w:right w:w="70" w:type="dxa"/>
            </w:tcMar>
          </w:tcPr>
          <w:p w14:paraId="6E4C00B9" w14:textId="77777777" w:rsidR="0039479F" w:rsidRDefault="00000000">
            <w:pPr>
              <w:spacing w:line="216" w:lineRule="auto"/>
            </w:pPr>
            <w:r>
              <w:rPr>
                <w:sz w:val="16"/>
                <w:szCs w:val="16"/>
              </w:rPr>
              <w:t>ED headache patients without known cerebral conditions and with a normal neurological assessment</w:t>
            </w:r>
          </w:p>
        </w:tc>
        <w:tc>
          <w:tcPr>
            <w:tcW w:w="3797" w:type="dxa"/>
            <w:tcMar>
              <w:top w:w="40" w:type="dxa"/>
              <w:left w:w="70" w:type="dxa"/>
              <w:bottom w:w="40" w:type="dxa"/>
              <w:right w:w="70" w:type="dxa"/>
            </w:tcMar>
          </w:tcPr>
          <w:p w14:paraId="74C4A434" w14:textId="77777777" w:rsidR="0039479F" w:rsidRDefault="00000000">
            <w:pPr>
              <w:spacing w:line="216" w:lineRule="auto"/>
            </w:pPr>
            <w:r>
              <w:rPr>
                <w:sz w:val="16"/>
                <w:szCs w:val="16"/>
              </w:rPr>
              <w:t>Serious secondary cause in 191/3951 (4.8%, 95% CI 4.2-5.5) despite normal neurological assessment</w:t>
            </w:r>
          </w:p>
        </w:tc>
      </w:tr>
      <w:tr w:rsidR="0039479F" w14:paraId="76DCE3AF" w14:textId="77777777">
        <w:tc>
          <w:tcPr>
            <w:tcW w:w="1669" w:type="dxa"/>
            <w:tcMar>
              <w:top w:w="40" w:type="dxa"/>
              <w:left w:w="70" w:type="dxa"/>
              <w:bottom w:w="40" w:type="dxa"/>
              <w:right w:w="70" w:type="dxa"/>
            </w:tcMar>
          </w:tcPr>
          <w:p w14:paraId="3BAC9655" w14:textId="77777777" w:rsidR="0039479F" w:rsidRDefault="00000000">
            <w:pPr>
              <w:spacing w:line="216" w:lineRule="auto"/>
            </w:pPr>
            <w:r>
              <w:rPr>
                <w:sz w:val="16"/>
                <w:szCs w:val="16"/>
              </w:rPr>
              <w:t>Roberts et al. (2022), HEAD</w:t>
            </w:r>
          </w:p>
        </w:tc>
        <w:tc>
          <w:tcPr>
            <w:tcW w:w="1138" w:type="dxa"/>
            <w:tcMar>
              <w:top w:w="40" w:type="dxa"/>
              <w:left w:w="70" w:type="dxa"/>
              <w:bottom w:w="40" w:type="dxa"/>
              <w:right w:w="70" w:type="dxa"/>
            </w:tcMar>
          </w:tcPr>
          <w:p w14:paraId="67101923"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6FA140E2" w14:textId="77777777" w:rsidR="0039479F" w:rsidRDefault="00000000">
            <w:pPr>
              <w:spacing w:line="216" w:lineRule="auto"/>
            </w:pPr>
            <w:r>
              <w:rPr>
                <w:sz w:val="16"/>
                <w:szCs w:val="16"/>
              </w:rPr>
              <w:t>4536</w:t>
            </w:r>
          </w:p>
        </w:tc>
        <w:tc>
          <w:tcPr>
            <w:tcW w:w="2200" w:type="dxa"/>
            <w:tcMar>
              <w:top w:w="40" w:type="dxa"/>
              <w:left w:w="70" w:type="dxa"/>
              <w:bottom w:w="40" w:type="dxa"/>
              <w:right w:w="70" w:type="dxa"/>
            </w:tcMar>
          </w:tcPr>
          <w:p w14:paraId="184310E5" w14:textId="77777777" w:rsidR="0039479F" w:rsidRDefault="00000000">
            <w:pPr>
              <w:spacing w:line="216" w:lineRule="auto"/>
            </w:pPr>
            <w:r>
              <w:rPr>
                <w:sz w:val="16"/>
                <w:szCs w:val="16"/>
              </w:rPr>
              <w:t>Adult ED patients with headache as main complaint</w:t>
            </w:r>
          </w:p>
        </w:tc>
        <w:tc>
          <w:tcPr>
            <w:tcW w:w="3797" w:type="dxa"/>
            <w:tcMar>
              <w:top w:w="40" w:type="dxa"/>
              <w:left w:w="70" w:type="dxa"/>
              <w:bottom w:w="40" w:type="dxa"/>
              <w:right w:w="70" w:type="dxa"/>
            </w:tcMar>
          </w:tcPr>
          <w:p w14:paraId="5FEBDF28" w14:textId="77777777" w:rsidR="0039479F" w:rsidRDefault="00000000">
            <w:pPr>
              <w:spacing w:line="216" w:lineRule="auto"/>
            </w:pPr>
            <w:r>
              <w:rPr>
                <w:sz w:val="16"/>
                <w:szCs w:val="16"/>
              </w:rPr>
              <w:t>Thunderclap headache in 644/4536 (14.2%). CT brain in 62.7% and LP in 10.6%. Serious pathology in 10.9% (95% CI 8.7-13.5) of thunderclap versus 6.6% of non-thunderclap presentations</w:t>
            </w:r>
          </w:p>
        </w:tc>
      </w:tr>
      <w:tr w:rsidR="0039479F" w14:paraId="4A9CCD09" w14:textId="77777777">
        <w:tc>
          <w:tcPr>
            <w:tcW w:w="1669" w:type="dxa"/>
            <w:tcMar>
              <w:top w:w="40" w:type="dxa"/>
              <w:left w:w="70" w:type="dxa"/>
              <w:bottom w:w="40" w:type="dxa"/>
              <w:right w:w="70" w:type="dxa"/>
            </w:tcMar>
          </w:tcPr>
          <w:p w14:paraId="1317AED5" w14:textId="77777777" w:rsidR="0039479F" w:rsidRDefault="00000000">
            <w:pPr>
              <w:spacing w:line="216" w:lineRule="auto"/>
            </w:pPr>
            <w:r>
              <w:rPr>
                <w:sz w:val="16"/>
                <w:szCs w:val="16"/>
              </w:rPr>
              <w:t>Beck et al. (2022), HEAD</w:t>
            </w:r>
          </w:p>
        </w:tc>
        <w:tc>
          <w:tcPr>
            <w:tcW w:w="1138" w:type="dxa"/>
            <w:tcMar>
              <w:top w:w="40" w:type="dxa"/>
              <w:left w:w="70" w:type="dxa"/>
              <w:bottom w:w="40" w:type="dxa"/>
              <w:right w:w="70" w:type="dxa"/>
            </w:tcMar>
          </w:tcPr>
          <w:p w14:paraId="0E9AD768"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654662D5" w14:textId="77777777" w:rsidR="0039479F" w:rsidRDefault="00000000">
            <w:pPr>
              <w:spacing w:line="216" w:lineRule="auto"/>
            </w:pPr>
            <w:r>
              <w:rPr>
                <w:sz w:val="16"/>
                <w:szCs w:val="16"/>
              </w:rPr>
              <w:t>298 aged &gt;=75 y (of 4536)</w:t>
            </w:r>
          </w:p>
        </w:tc>
        <w:tc>
          <w:tcPr>
            <w:tcW w:w="2200" w:type="dxa"/>
            <w:tcMar>
              <w:top w:w="40" w:type="dxa"/>
              <w:left w:w="70" w:type="dxa"/>
              <w:bottom w:w="40" w:type="dxa"/>
              <w:right w:w="70" w:type="dxa"/>
            </w:tcMar>
          </w:tcPr>
          <w:p w14:paraId="584A6C1B" w14:textId="77777777" w:rsidR="0039479F" w:rsidRDefault="00000000">
            <w:pPr>
              <w:spacing w:line="216" w:lineRule="auto"/>
            </w:pPr>
            <w:r>
              <w:rPr>
                <w:sz w:val="16"/>
                <w:szCs w:val="16"/>
              </w:rPr>
              <w:t>Adults with non-traumatic headache, comparing age &gt;=75 y with &lt;75 y</w:t>
            </w:r>
          </w:p>
        </w:tc>
        <w:tc>
          <w:tcPr>
            <w:tcW w:w="3797" w:type="dxa"/>
            <w:tcMar>
              <w:top w:w="40" w:type="dxa"/>
              <w:left w:w="70" w:type="dxa"/>
              <w:bottom w:w="40" w:type="dxa"/>
              <w:right w:w="70" w:type="dxa"/>
            </w:tcMar>
          </w:tcPr>
          <w:p w14:paraId="3A2222C6" w14:textId="77777777" w:rsidR="0039479F" w:rsidRDefault="00000000">
            <w:pPr>
              <w:spacing w:line="216" w:lineRule="auto"/>
            </w:pPr>
            <w:r>
              <w:rPr>
                <w:sz w:val="16"/>
                <w:szCs w:val="16"/>
              </w:rPr>
              <w:t>Serious secondary headache in 18% of patients aged &gt;=75 y versus 6% of younger patients (P&lt;0.001). Older patients less often reported severe pain or fever and more often had confusion, lower Glasgow Coma Score and new neurological deficits (all P&lt;0.001). CT in 66% versus 35% (P&lt;0.001)</w:t>
            </w:r>
          </w:p>
        </w:tc>
      </w:tr>
      <w:tr w:rsidR="0039479F" w14:paraId="79569C12" w14:textId="77777777">
        <w:tc>
          <w:tcPr>
            <w:tcW w:w="1669" w:type="dxa"/>
            <w:tcMar>
              <w:top w:w="40" w:type="dxa"/>
              <w:left w:w="70" w:type="dxa"/>
              <w:bottom w:w="40" w:type="dxa"/>
              <w:right w:w="70" w:type="dxa"/>
            </w:tcMar>
          </w:tcPr>
          <w:p w14:paraId="7C72BA91" w14:textId="77777777" w:rsidR="0039479F" w:rsidRDefault="00000000">
            <w:pPr>
              <w:spacing w:line="216" w:lineRule="auto"/>
            </w:pPr>
            <w:r>
              <w:rPr>
                <w:sz w:val="16"/>
                <w:szCs w:val="16"/>
              </w:rPr>
              <w:t>Kelly et al. (2022), HEAD</w:t>
            </w:r>
          </w:p>
        </w:tc>
        <w:tc>
          <w:tcPr>
            <w:tcW w:w="1138" w:type="dxa"/>
            <w:tcMar>
              <w:top w:w="40" w:type="dxa"/>
              <w:left w:w="70" w:type="dxa"/>
              <w:bottom w:w="40" w:type="dxa"/>
              <w:right w:w="70" w:type="dxa"/>
            </w:tcMar>
          </w:tcPr>
          <w:p w14:paraId="586C46E2"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4CE82FD5" w14:textId="77777777" w:rsidR="0039479F" w:rsidRDefault="00000000">
            <w:pPr>
              <w:spacing w:line="216" w:lineRule="auto"/>
            </w:pPr>
            <w:r>
              <w:rPr>
                <w:sz w:val="16"/>
                <w:szCs w:val="16"/>
              </w:rPr>
              <w:t>3643 aged 18-50 y</w:t>
            </w:r>
          </w:p>
        </w:tc>
        <w:tc>
          <w:tcPr>
            <w:tcW w:w="2200" w:type="dxa"/>
            <w:tcMar>
              <w:top w:w="40" w:type="dxa"/>
              <w:left w:w="70" w:type="dxa"/>
              <w:bottom w:w="40" w:type="dxa"/>
              <w:right w:w="70" w:type="dxa"/>
            </w:tcMar>
          </w:tcPr>
          <w:p w14:paraId="027FCF28" w14:textId="77777777" w:rsidR="0039479F" w:rsidRDefault="00000000">
            <w:pPr>
              <w:spacing w:line="216" w:lineRule="auto"/>
            </w:pPr>
            <w:r>
              <w:rPr>
                <w:sz w:val="16"/>
                <w:szCs w:val="16"/>
              </w:rPr>
              <w:t>ED headache patients aged 18-50 years</w:t>
            </w:r>
          </w:p>
        </w:tc>
        <w:tc>
          <w:tcPr>
            <w:tcW w:w="3797" w:type="dxa"/>
            <w:tcMar>
              <w:top w:w="40" w:type="dxa"/>
              <w:left w:w="70" w:type="dxa"/>
              <w:bottom w:w="40" w:type="dxa"/>
              <w:right w:w="70" w:type="dxa"/>
            </w:tcMar>
          </w:tcPr>
          <w:p w14:paraId="7C3ADDA9" w14:textId="77777777" w:rsidR="0039479F" w:rsidRDefault="00000000">
            <w:pPr>
              <w:spacing w:line="216" w:lineRule="auto"/>
            </w:pPr>
            <w:r>
              <w:rPr>
                <w:sz w:val="16"/>
                <w:szCs w:val="16"/>
              </w:rPr>
              <w:t>117/3643 (3.2%) were pregnant, of whom 6 (5.1%) had a serious secondary cause. The proportion with serious causes did not differ between pregnant women, non-pregnant women and men (P=0.89)</w:t>
            </w:r>
          </w:p>
        </w:tc>
      </w:tr>
      <w:tr w:rsidR="0039479F" w14:paraId="7019B8A8" w14:textId="77777777">
        <w:tc>
          <w:tcPr>
            <w:tcW w:w="1669" w:type="dxa"/>
            <w:tcMar>
              <w:top w:w="40" w:type="dxa"/>
              <w:left w:w="70" w:type="dxa"/>
              <w:bottom w:w="40" w:type="dxa"/>
              <w:right w:w="70" w:type="dxa"/>
            </w:tcMar>
          </w:tcPr>
          <w:p w14:paraId="0AAE633E" w14:textId="77777777" w:rsidR="0039479F" w:rsidRDefault="00000000">
            <w:pPr>
              <w:spacing w:line="216" w:lineRule="auto"/>
            </w:pPr>
            <w:r>
              <w:rPr>
                <w:sz w:val="16"/>
                <w:szCs w:val="16"/>
              </w:rPr>
              <w:t>Handschin et al. (2020)</w:t>
            </w:r>
          </w:p>
        </w:tc>
        <w:tc>
          <w:tcPr>
            <w:tcW w:w="1138" w:type="dxa"/>
            <w:tcMar>
              <w:top w:w="40" w:type="dxa"/>
              <w:left w:w="70" w:type="dxa"/>
              <w:bottom w:w="40" w:type="dxa"/>
              <w:right w:w="70" w:type="dxa"/>
            </w:tcMar>
          </w:tcPr>
          <w:p w14:paraId="5F21E902" w14:textId="77777777" w:rsidR="0039479F" w:rsidRDefault="00000000">
            <w:pPr>
              <w:spacing w:line="216" w:lineRule="auto"/>
            </w:pPr>
            <w:r>
              <w:rPr>
                <w:sz w:val="16"/>
                <w:szCs w:val="16"/>
              </w:rPr>
              <w:t>Switzerland</w:t>
            </w:r>
          </w:p>
        </w:tc>
        <w:tc>
          <w:tcPr>
            <w:tcW w:w="1062" w:type="dxa"/>
            <w:tcMar>
              <w:top w:w="40" w:type="dxa"/>
              <w:left w:w="70" w:type="dxa"/>
              <w:bottom w:w="40" w:type="dxa"/>
              <w:right w:w="70" w:type="dxa"/>
            </w:tcMar>
          </w:tcPr>
          <w:p w14:paraId="32F4E75D" w14:textId="77777777" w:rsidR="0039479F" w:rsidRDefault="00000000">
            <w:pPr>
              <w:spacing w:line="216" w:lineRule="auto"/>
            </w:pPr>
            <w:r>
              <w:rPr>
                <w:sz w:val="16"/>
                <w:szCs w:val="16"/>
              </w:rPr>
              <w:t>11269 screened; 1132 with headache; 303 imaged</w:t>
            </w:r>
          </w:p>
        </w:tc>
        <w:tc>
          <w:tcPr>
            <w:tcW w:w="2200" w:type="dxa"/>
            <w:tcMar>
              <w:top w:w="40" w:type="dxa"/>
              <w:left w:w="70" w:type="dxa"/>
              <w:bottom w:w="40" w:type="dxa"/>
              <w:right w:w="70" w:type="dxa"/>
            </w:tcMar>
          </w:tcPr>
          <w:p w14:paraId="785CBB5D" w14:textId="77777777" w:rsidR="0039479F" w:rsidRDefault="00000000">
            <w:pPr>
              <w:spacing w:line="216" w:lineRule="auto"/>
            </w:pPr>
            <w:r>
              <w:rPr>
                <w:sz w:val="16"/>
                <w:szCs w:val="16"/>
              </w:rPr>
              <w:t>Unselected adults presenting to the ED</w:t>
            </w:r>
          </w:p>
        </w:tc>
        <w:tc>
          <w:tcPr>
            <w:tcW w:w="3797" w:type="dxa"/>
            <w:tcMar>
              <w:top w:w="40" w:type="dxa"/>
              <w:left w:w="70" w:type="dxa"/>
              <w:bottom w:w="40" w:type="dxa"/>
              <w:right w:w="70" w:type="dxa"/>
            </w:tcMar>
          </w:tcPr>
          <w:p w14:paraId="188CE429" w14:textId="77777777" w:rsidR="0039479F" w:rsidRDefault="00000000">
            <w:pPr>
              <w:spacing w:line="216" w:lineRule="auto"/>
            </w:pPr>
            <w:r>
              <w:rPr>
                <w:sz w:val="16"/>
                <w:szCs w:val="16"/>
              </w:rPr>
              <w:t>Non-traumatic headache prevalence 10.1% (1132/11269). Significant intracranial abnormality in 70 (23.1% of scanned; 6.2% of all headache patients). Aetiologies: cerebrovascular disease 56%, intracranial bleeding 17%, tumours 14%, infection 9%, other 6%. Associated factors: age, emergency severity index 1-2, Glasgow Coma Score &lt;14, focal…</w:t>
            </w:r>
          </w:p>
        </w:tc>
      </w:tr>
      <w:tr w:rsidR="0039479F" w14:paraId="2249D598" w14:textId="77777777">
        <w:tc>
          <w:tcPr>
            <w:tcW w:w="1669" w:type="dxa"/>
            <w:tcMar>
              <w:top w:w="40" w:type="dxa"/>
              <w:left w:w="70" w:type="dxa"/>
              <w:bottom w:w="40" w:type="dxa"/>
              <w:right w:w="70" w:type="dxa"/>
            </w:tcMar>
          </w:tcPr>
          <w:p w14:paraId="25CDF4FA" w14:textId="77777777" w:rsidR="0039479F" w:rsidRDefault="00000000">
            <w:pPr>
              <w:spacing w:line="216" w:lineRule="auto"/>
            </w:pPr>
            <w:r>
              <w:rPr>
                <w:sz w:val="16"/>
                <w:szCs w:val="16"/>
              </w:rPr>
              <w:t>Locker et al. (2006)</w:t>
            </w:r>
          </w:p>
        </w:tc>
        <w:tc>
          <w:tcPr>
            <w:tcW w:w="1138" w:type="dxa"/>
            <w:tcMar>
              <w:top w:w="40" w:type="dxa"/>
              <w:left w:w="70" w:type="dxa"/>
              <w:bottom w:w="40" w:type="dxa"/>
              <w:right w:w="70" w:type="dxa"/>
            </w:tcMar>
          </w:tcPr>
          <w:p w14:paraId="693BDCAE" w14:textId="77777777" w:rsidR="0039479F" w:rsidRDefault="00000000">
            <w:pPr>
              <w:spacing w:line="216" w:lineRule="auto"/>
            </w:pPr>
            <w:r>
              <w:rPr>
                <w:sz w:val="16"/>
                <w:szCs w:val="16"/>
              </w:rPr>
              <w:t>United Kingdom</w:t>
            </w:r>
          </w:p>
        </w:tc>
        <w:tc>
          <w:tcPr>
            <w:tcW w:w="1062" w:type="dxa"/>
            <w:tcMar>
              <w:top w:w="40" w:type="dxa"/>
              <w:left w:w="70" w:type="dxa"/>
              <w:bottom w:w="40" w:type="dxa"/>
              <w:right w:w="70" w:type="dxa"/>
            </w:tcMar>
          </w:tcPr>
          <w:p w14:paraId="388DF274" w14:textId="77777777" w:rsidR="0039479F" w:rsidRDefault="00000000">
            <w:pPr>
              <w:spacing w:line="216" w:lineRule="auto"/>
            </w:pPr>
            <w:r>
              <w:rPr>
                <w:sz w:val="16"/>
                <w:szCs w:val="16"/>
              </w:rPr>
              <w:t>589 enrolled; 558 (94.7%) with complete follow-up</w:t>
            </w:r>
          </w:p>
        </w:tc>
        <w:tc>
          <w:tcPr>
            <w:tcW w:w="2200" w:type="dxa"/>
            <w:tcMar>
              <w:top w:w="40" w:type="dxa"/>
              <w:left w:w="70" w:type="dxa"/>
              <w:bottom w:w="40" w:type="dxa"/>
              <w:right w:w="70" w:type="dxa"/>
            </w:tcMar>
          </w:tcPr>
          <w:p w14:paraId="389B0D8E" w14:textId="77777777" w:rsidR="0039479F" w:rsidRDefault="00000000">
            <w:pPr>
              <w:spacing w:line="216" w:lineRule="auto"/>
            </w:pPr>
            <w:r>
              <w:rPr>
                <w:sz w:val="16"/>
                <w:szCs w:val="16"/>
              </w:rPr>
              <w:t>Alert adults with non-traumatic headache</w:t>
            </w:r>
          </w:p>
        </w:tc>
        <w:tc>
          <w:tcPr>
            <w:tcW w:w="3797" w:type="dxa"/>
            <w:tcMar>
              <w:top w:w="40" w:type="dxa"/>
              <w:left w:w="70" w:type="dxa"/>
              <w:bottom w:w="40" w:type="dxa"/>
              <w:right w:w="70" w:type="dxa"/>
            </w:tcMar>
          </w:tcPr>
          <w:p w14:paraId="2F63CA04" w14:textId="77777777" w:rsidR="0039479F" w:rsidRDefault="00000000">
            <w:pPr>
              <w:spacing w:line="216" w:lineRule="auto"/>
            </w:pPr>
            <w:r>
              <w:rPr>
                <w:sz w:val="16"/>
                <w:szCs w:val="16"/>
              </w:rPr>
              <w:t>Serious pathology in 75/558 (13.4%). Independent predictors: age &gt;50 y (LR 2.34), sudden onset (LR 1.74), any abnormality on neurological examination (LR 3.56), presentation due to associated features (LR 2.x)</w:t>
            </w:r>
          </w:p>
        </w:tc>
      </w:tr>
      <w:tr w:rsidR="0039479F" w14:paraId="029FCD31" w14:textId="77777777">
        <w:tc>
          <w:tcPr>
            <w:tcW w:w="1669" w:type="dxa"/>
            <w:tcMar>
              <w:top w:w="40" w:type="dxa"/>
              <w:left w:w="70" w:type="dxa"/>
              <w:bottom w:w="40" w:type="dxa"/>
              <w:right w:w="70" w:type="dxa"/>
            </w:tcMar>
          </w:tcPr>
          <w:p w14:paraId="0593EF68" w14:textId="77777777" w:rsidR="0039479F" w:rsidRDefault="00000000">
            <w:pPr>
              <w:spacing w:line="216" w:lineRule="auto"/>
            </w:pPr>
            <w:r>
              <w:rPr>
                <w:sz w:val="16"/>
                <w:szCs w:val="16"/>
              </w:rPr>
              <w:t>Chu et al. (2018b)</w:t>
            </w:r>
          </w:p>
        </w:tc>
        <w:tc>
          <w:tcPr>
            <w:tcW w:w="1138" w:type="dxa"/>
            <w:tcMar>
              <w:top w:w="40" w:type="dxa"/>
              <w:left w:w="70" w:type="dxa"/>
              <w:bottom w:w="40" w:type="dxa"/>
              <w:right w:w="70" w:type="dxa"/>
            </w:tcMar>
          </w:tcPr>
          <w:p w14:paraId="17540B53" w14:textId="77777777" w:rsidR="0039479F" w:rsidRDefault="00000000">
            <w:pPr>
              <w:spacing w:line="216" w:lineRule="auto"/>
            </w:pPr>
            <w:r>
              <w:rPr>
                <w:sz w:val="16"/>
                <w:szCs w:val="16"/>
              </w:rPr>
              <w:t>Australia</w:t>
            </w:r>
          </w:p>
        </w:tc>
        <w:tc>
          <w:tcPr>
            <w:tcW w:w="1062" w:type="dxa"/>
            <w:tcMar>
              <w:top w:w="40" w:type="dxa"/>
              <w:left w:w="70" w:type="dxa"/>
              <w:bottom w:w="40" w:type="dxa"/>
              <w:right w:w="70" w:type="dxa"/>
            </w:tcMar>
          </w:tcPr>
          <w:p w14:paraId="0E433EE1" w14:textId="77777777" w:rsidR="0039479F" w:rsidRDefault="00000000">
            <w:pPr>
              <w:spacing w:line="216" w:lineRule="auto"/>
            </w:pPr>
            <w:r>
              <w:rPr>
                <w:sz w:val="16"/>
                <w:szCs w:val="16"/>
              </w:rPr>
              <w:t>Population-based</w:t>
            </w:r>
          </w:p>
        </w:tc>
        <w:tc>
          <w:tcPr>
            <w:tcW w:w="2200" w:type="dxa"/>
            <w:tcMar>
              <w:top w:w="40" w:type="dxa"/>
              <w:left w:w="70" w:type="dxa"/>
              <w:bottom w:w="40" w:type="dxa"/>
              <w:right w:w="70" w:type="dxa"/>
            </w:tcMar>
          </w:tcPr>
          <w:p w14:paraId="44CFFB68" w14:textId="77777777" w:rsidR="0039479F" w:rsidRDefault="00000000">
            <w:pPr>
              <w:spacing w:line="216" w:lineRule="auto"/>
            </w:pPr>
            <w:r>
              <w:rPr>
                <w:sz w:val="16"/>
                <w:szCs w:val="16"/>
              </w:rPr>
              <w:t>General population, general ED population and ED patients with headache</w:t>
            </w:r>
          </w:p>
        </w:tc>
        <w:tc>
          <w:tcPr>
            <w:tcW w:w="3797" w:type="dxa"/>
            <w:tcMar>
              <w:top w:w="40" w:type="dxa"/>
              <w:left w:w="70" w:type="dxa"/>
              <w:bottom w:w="40" w:type="dxa"/>
              <w:right w:w="70" w:type="dxa"/>
            </w:tcMar>
          </w:tcPr>
          <w:p w14:paraId="79EC8B10" w14:textId="77777777" w:rsidR="0039479F" w:rsidRDefault="00000000">
            <w:pPr>
              <w:spacing w:line="216" w:lineRule="auto"/>
            </w:pPr>
            <w:r>
              <w:rPr>
                <w:sz w:val="16"/>
                <w:szCs w:val="16"/>
              </w:rPr>
              <w:t>Incidence and in-hospital mortality of SAH and the proportion of SAH in the general ED population and among ED patients with headache were determined from linked administrative data</w:t>
            </w:r>
          </w:p>
        </w:tc>
      </w:tr>
      <w:tr w:rsidR="0039479F" w14:paraId="5BBB65AC" w14:textId="77777777">
        <w:tc>
          <w:tcPr>
            <w:tcW w:w="1669" w:type="dxa"/>
            <w:tcMar>
              <w:top w:w="40" w:type="dxa"/>
              <w:left w:w="70" w:type="dxa"/>
              <w:bottom w:w="40" w:type="dxa"/>
              <w:right w:w="70" w:type="dxa"/>
            </w:tcMar>
          </w:tcPr>
          <w:p w14:paraId="478F8553" w14:textId="77777777" w:rsidR="0039479F" w:rsidRDefault="00000000">
            <w:pPr>
              <w:spacing w:line="216" w:lineRule="auto"/>
            </w:pPr>
            <w:r>
              <w:rPr>
                <w:sz w:val="16"/>
                <w:szCs w:val="16"/>
              </w:rPr>
              <w:t>Landtblom et al. (2002)</w:t>
            </w:r>
          </w:p>
        </w:tc>
        <w:tc>
          <w:tcPr>
            <w:tcW w:w="1138" w:type="dxa"/>
            <w:tcMar>
              <w:top w:w="40" w:type="dxa"/>
              <w:left w:w="70" w:type="dxa"/>
              <w:bottom w:w="40" w:type="dxa"/>
              <w:right w:w="70" w:type="dxa"/>
            </w:tcMar>
          </w:tcPr>
          <w:p w14:paraId="67FAA7A8" w14:textId="77777777" w:rsidR="0039479F" w:rsidRDefault="00000000">
            <w:pPr>
              <w:spacing w:line="216" w:lineRule="auto"/>
            </w:pPr>
            <w:r>
              <w:rPr>
                <w:sz w:val="16"/>
                <w:szCs w:val="16"/>
              </w:rPr>
              <w:t>Sweden</w:t>
            </w:r>
          </w:p>
        </w:tc>
        <w:tc>
          <w:tcPr>
            <w:tcW w:w="1062" w:type="dxa"/>
            <w:tcMar>
              <w:top w:w="40" w:type="dxa"/>
              <w:left w:w="70" w:type="dxa"/>
              <w:bottom w:w="40" w:type="dxa"/>
              <w:right w:w="70" w:type="dxa"/>
            </w:tcMar>
          </w:tcPr>
          <w:p w14:paraId="15FEB518" w14:textId="77777777" w:rsidR="0039479F" w:rsidRDefault="00000000">
            <w:pPr>
              <w:spacing w:line="216" w:lineRule="auto"/>
            </w:pPr>
            <w:r>
              <w:rPr>
                <w:sz w:val="16"/>
                <w:szCs w:val="16"/>
              </w:rPr>
              <w:t>137</w:t>
            </w:r>
          </w:p>
        </w:tc>
        <w:tc>
          <w:tcPr>
            <w:tcW w:w="2200" w:type="dxa"/>
            <w:tcMar>
              <w:top w:w="40" w:type="dxa"/>
              <w:left w:w="70" w:type="dxa"/>
              <w:bottom w:w="40" w:type="dxa"/>
              <w:right w:w="70" w:type="dxa"/>
            </w:tcMar>
          </w:tcPr>
          <w:p w14:paraId="6776241F" w14:textId="77777777" w:rsidR="0039479F" w:rsidRDefault="00000000">
            <w:pPr>
              <w:spacing w:line="216" w:lineRule="auto"/>
            </w:pPr>
            <w:r>
              <w:rPr>
                <w:sz w:val="16"/>
                <w:szCs w:val="16"/>
              </w:rPr>
              <w:t>Consecutive patients with sudden onset (thunderclap) headache</w:t>
            </w:r>
          </w:p>
        </w:tc>
        <w:tc>
          <w:tcPr>
            <w:tcW w:w="3797" w:type="dxa"/>
            <w:tcMar>
              <w:top w:w="40" w:type="dxa"/>
              <w:left w:w="70" w:type="dxa"/>
              <w:bottom w:w="40" w:type="dxa"/>
              <w:right w:w="70" w:type="dxa"/>
            </w:tcMar>
          </w:tcPr>
          <w:p w14:paraId="3A54A143" w14:textId="77777777" w:rsidR="0039479F" w:rsidRDefault="00000000">
            <w:pPr>
              <w:spacing w:line="216" w:lineRule="auto"/>
            </w:pPr>
            <w:r>
              <w:rPr>
                <w:sz w:val="16"/>
                <w:szCs w:val="16"/>
              </w:rPr>
              <w:t>Incidence of thunderclap headache 43 per 100000 adults per year; SAH in 11.3%. Other findings: cerebral infarction (5), intracerebral haematoma (3), aseptic meningitis (4), cerebral oedema (1), sinus thrombosis (1). Nausea, neck stiffness, occipital location and impaired consciousness were significantly more frequent with SAH but were not…</w:t>
            </w:r>
          </w:p>
        </w:tc>
      </w:tr>
      <w:tr w:rsidR="0039479F" w14:paraId="5DD7EF02" w14:textId="77777777">
        <w:tc>
          <w:tcPr>
            <w:tcW w:w="1669" w:type="dxa"/>
            <w:tcMar>
              <w:top w:w="40" w:type="dxa"/>
              <w:left w:w="70" w:type="dxa"/>
              <w:bottom w:w="40" w:type="dxa"/>
              <w:right w:w="70" w:type="dxa"/>
            </w:tcMar>
          </w:tcPr>
          <w:p w14:paraId="3F386BA0" w14:textId="77777777" w:rsidR="0039479F" w:rsidRDefault="00000000">
            <w:pPr>
              <w:spacing w:line="216" w:lineRule="auto"/>
            </w:pPr>
            <w:r>
              <w:rPr>
                <w:sz w:val="16"/>
                <w:szCs w:val="16"/>
              </w:rPr>
              <w:t>Zorko Garbajs et al. (2024)</w:t>
            </w:r>
          </w:p>
        </w:tc>
        <w:tc>
          <w:tcPr>
            <w:tcW w:w="1138" w:type="dxa"/>
            <w:tcMar>
              <w:top w:w="40" w:type="dxa"/>
              <w:left w:w="70" w:type="dxa"/>
              <w:bottom w:w="40" w:type="dxa"/>
              <w:right w:w="70" w:type="dxa"/>
            </w:tcMar>
          </w:tcPr>
          <w:p w14:paraId="7285A16E" w14:textId="77777777" w:rsidR="0039479F" w:rsidRDefault="00000000">
            <w:pPr>
              <w:spacing w:line="216" w:lineRule="auto"/>
            </w:pPr>
            <w:r>
              <w:rPr>
                <w:sz w:val="16"/>
                <w:szCs w:val="16"/>
              </w:rPr>
              <w:t>United States</w:t>
            </w:r>
          </w:p>
        </w:tc>
        <w:tc>
          <w:tcPr>
            <w:tcW w:w="1062" w:type="dxa"/>
            <w:tcMar>
              <w:top w:w="40" w:type="dxa"/>
              <w:left w:w="70" w:type="dxa"/>
              <w:bottom w:w="40" w:type="dxa"/>
              <w:right w:w="70" w:type="dxa"/>
            </w:tcMar>
          </w:tcPr>
          <w:p w14:paraId="0B8EDDAB" w14:textId="77777777" w:rsidR="0039479F" w:rsidRDefault="00000000">
            <w:pPr>
              <w:spacing w:line="216" w:lineRule="auto"/>
            </w:pPr>
            <w:r>
              <w:rPr>
                <w:sz w:val="16"/>
                <w:szCs w:val="16"/>
              </w:rPr>
              <w:t xml:space="preserve">932 with TCH; 539 </w:t>
            </w:r>
            <w:r>
              <w:rPr>
                <w:sz w:val="16"/>
                <w:szCs w:val="16"/>
              </w:rPr>
              <w:lastRenderedPageBreak/>
              <w:t>analysed after excluding aneurysmal SAH</w:t>
            </w:r>
          </w:p>
        </w:tc>
        <w:tc>
          <w:tcPr>
            <w:tcW w:w="2200" w:type="dxa"/>
            <w:tcMar>
              <w:top w:w="40" w:type="dxa"/>
              <w:left w:w="70" w:type="dxa"/>
              <w:bottom w:w="40" w:type="dxa"/>
              <w:right w:w="70" w:type="dxa"/>
            </w:tcMar>
          </w:tcPr>
          <w:p w14:paraId="02DAA165" w14:textId="77777777" w:rsidR="0039479F" w:rsidRDefault="00000000">
            <w:pPr>
              <w:spacing w:line="216" w:lineRule="auto"/>
            </w:pPr>
            <w:r>
              <w:rPr>
                <w:sz w:val="16"/>
                <w:szCs w:val="16"/>
              </w:rPr>
              <w:lastRenderedPageBreak/>
              <w:t>Consecutive adults with thunderclap headache</w:t>
            </w:r>
          </w:p>
        </w:tc>
        <w:tc>
          <w:tcPr>
            <w:tcW w:w="3797" w:type="dxa"/>
            <w:tcMar>
              <w:top w:w="40" w:type="dxa"/>
              <w:left w:w="70" w:type="dxa"/>
              <w:bottom w:w="40" w:type="dxa"/>
              <w:right w:w="70" w:type="dxa"/>
            </w:tcMar>
          </w:tcPr>
          <w:p w14:paraId="186E62FB" w14:textId="77777777" w:rsidR="0039479F" w:rsidRDefault="00000000">
            <w:pPr>
              <w:spacing w:line="216" w:lineRule="auto"/>
            </w:pPr>
            <w:r>
              <w:rPr>
                <w:sz w:val="16"/>
                <w:szCs w:val="16"/>
              </w:rPr>
              <w:t xml:space="preserve">Serious cause in 275/539 (51.0%). Commonest diagnoses: intracranial haemorrhage 102 (18.9%), RCVS </w:t>
            </w:r>
            <w:r>
              <w:rPr>
                <w:sz w:val="16"/>
                <w:szCs w:val="16"/>
              </w:rPr>
              <w:lastRenderedPageBreak/>
              <w:t>97 (18.0%), idiopathic TCH 102. Model AUROC 0.732; sensitivity 79.9% (95% CI 73.5-83.5)</w:t>
            </w:r>
          </w:p>
        </w:tc>
      </w:tr>
      <w:tr w:rsidR="0039479F" w14:paraId="0FB507FD" w14:textId="77777777">
        <w:tc>
          <w:tcPr>
            <w:tcW w:w="1669" w:type="dxa"/>
            <w:tcMar>
              <w:top w:w="40" w:type="dxa"/>
              <w:left w:w="70" w:type="dxa"/>
              <w:bottom w:w="40" w:type="dxa"/>
              <w:right w:w="70" w:type="dxa"/>
            </w:tcMar>
          </w:tcPr>
          <w:p w14:paraId="3FF8F692" w14:textId="77777777" w:rsidR="0039479F" w:rsidRDefault="00000000">
            <w:pPr>
              <w:spacing w:line="216" w:lineRule="auto"/>
            </w:pPr>
            <w:r>
              <w:rPr>
                <w:sz w:val="16"/>
                <w:szCs w:val="16"/>
              </w:rPr>
              <w:lastRenderedPageBreak/>
              <w:t>Perry et al. (2002)</w:t>
            </w:r>
          </w:p>
        </w:tc>
        <w:tc>
          <w:tcPr>
            <w:tcW w:w="1138" w:type="dxa"/>
            <w:tcMar>
              <w:top w:w="40" w:type="dxa"/>
              <w:left w:w="70" w:type="dxa"/>
              <w:bottom w:w="40" w:type="dxa"/>
              <w:right w:w="70" w:type="dxa"/>
            </w:tcMar>
          </w:tcPr>
          <w:p w14:paraId="4D180685" w14:textId="77777777" w:rsidR="0039479F" w:rsidRDefault="00000000">
            <w:pPr>
              <w:spacing w:line="216" w:lineRule="auto"/>
            </w:pPr>
            <w:r>
              <w:rPr>
                <w:sz w:val="16"/>
                <w:szCs w:val="16"/>
              </w:rPr>
              <w:t>Canada</w:t>
            </w:r>
          </w:p>
        </w:tc>
        <w:tc>
          <w:tcPr>
            <w:tcW w:w="1062" w:type="dxa"/>
            <w:tcMar>
              <w:top w:w="40" w:type="dxa"/>
              <w:left w:w="70" w:type="dxa"/>
              <w:bottom w:w="40" w:type="dxa"/>
              <w:right w:w="70" w:type="dxa"/>
            </w:tcMar>
          </w:tcPr>
          <w:p w14:paraId="2DBF0119" w14:textId="77777777" w:rsidR="0039479F" w:rsidRDefault="00000000">
            <w:pPr>
              <w:spacing w:line="216" w:lineRule="auto"/>
            </w:pPr>
            <w:r>
              <w:rPr>
                <w:sz w:val="16"/>
                <w:szCs w:val="16"/>
              </w:rPr>
              <w:t>891</w:t>
            </w:r>
          </w:p>
        </w:tc>
        <w:tc>
          <w:tcPr>
            <w:tcW w:w="2200" w:type="dxa"/>
            <w:tcMar>
              <w:top w:w="40" w:type="dxa"/>
              <w:left w:w="70" w:type="dxa"/>
              <w:bottom w:w="40" w:type="dxa"/>
              <w:right w:w="70" w:type="dxa"/>
            </w:tcMar>
          </w:tcPr>
          <w:p w14:paraId="1399DB53" w14:textId="77777777" w:rsidR="0039479F" w:rsidRDefault="00000000">
            <w:pPr>
              <w:spacing w:line="216" w:lineRule="auto"/>
            </w:pPr>
            <w:r>
              <w:rPr>
                <w:sz w:val="16"/>
                <w:szCs w:val="16"/>
              </w:rPr>
              <w:t>Patients &gt;15 y presenting with headache, excluding referred confirmed SAH, recurrent headache, trauma, reduced consciousness or new deficits</w:t>
            </w:r>
          </w:p>
        </w:tc>
        <w:tc>
          <w:tcPr>
            <w:tcW w:w="3797" w:type="dxa"/>
            <w:tcMar>
              <w:top w:w="40" w:type="dxa"/>
              <w:left w:w="70" w:type="dxa"/>
              <w:bottom w:w="40" w:type="dxa"/>
              <w:right w:w="70" w:type="dxa"/>
            </w:tcMar>
          </w:tcPr>
          <w:p w14:paraId="107FBE52" w14:textId="77777777" w:rsidR="0039479F" w:rsidRDefault="00000000">
            <w:pPr>
              <w:spacing w:line="216" w:lineRule="auto"/>
            </w:pPr>
            <w:r>
              <w:rPr>
                <w:sz w:val="16"/>
                <w:szCs w:val="16"/>
              </w:rPr>
              <w:t>SAH in 10/891 (1.1%); CT in 313 (35.1%) and LP in 85 (9.5%). Only 9 (2.9%) CTs and 2 (2.4%) LPs were positive for SAH. Of 296 with normal CT, 232 (78.4%) had no subsequent LP. Mean length of stay 4.0 h with no testing, 5.0 h with CT and 7.1 h with LP (p=0.001)</w:t>
            </w:r>
          </w:p>
        </w:tc>
      </w:tr>
      <w:tr w:rsidR="0039479F" w14:paraId="7396E39D" w14:textId="77777777">
        <w:tc>
          <w:tcPr>
            <w:tcW w:w="1669" w:type="dxa"/>
            <w:tcMar>
              <w:top w:w="40" w:type="dxa"/>
              <w:left w:w="70" w:type="dxa"/>
              <w:bottom w:w="40" w:type="dxa"/>
              <w:right w:w="70" w:type="dxa"/>
            </w:tcMar>
          </w:tcPr>
          <w:p w14:paraId="2F00313B" w14:textId="77777777" w:rsidR="0039479F" w:rsidRDefault="00000000">
            <w:pPr>
              <w:spacing w:line="216" w:lineRule="auto"/>
            </w:pPr>
            <w:r>
              <w:rPr>
                <w:sz w:val="16"/>
                <w:szCs w:val="16"/>
              </w:rPr>
              <w:t>Knox et al. (2012)</w:t>
            </w:r>
          </w:p>
        </w:tc>
        <w:tc>
          <w:tcPr>
            <w:tcW w:w="1138" w:type="dxa"/>
            <w:tcMar>
              <w:top w:w="40" w:type="dxa"/>
              <w:left w:w="70" w:type="dxa"/>
              <w:bottom w:w="40" w:type="dxa"/>
              <w:right w:w="70" w:type="dxa"/>
            </w:tcMar>
          </w:tcPr>
          <w:p w14:paraId="356D6061" w14:textId="77777777" w:rsidR="0039479F" w:rsidRDefault="00000000">
            <w:pPr>
              <w:spacing w:line="216" w:lineRule="auto"/>
            </w:pPr>
            <w:r>
              <w:rPr>
                <w:sz w:val="16"/>
                <w:szCs w:val="16"/>
              </w:rPr>
              <w:t>United Kingdom</w:t>
            </w:r>
          </w:p>
        </w:tc>
        <w:tc>
          <w:tcPr>
            <w:tcW w:w="1062" w:type="dxa"/>
            <w:tcMar>
              <w:top w:w="40" w:type="dxa"/>
              <w:left w:w="70" w:type="dxa"/>
              <w:bottom w:w="40" w:type="dxa"/>
              <w:right w:w="70" w:type="dxa"/>
            </w:tcMar>
          </w:tcPr>
          <w:p w14:paraId="401728B4" w14:textId="77777777" w:rsidR="0039479F" w:rsidRDefault="00000000">
            <w:pPr>
              <w:spacing w:line="216" w:lineRule="auto"/>
            </w:pPr>
            <w:r>
              <w:rPr>
                <w:sz w:val="16"/>
                <w:szCs w:val="16"/>
              </w:rPr>
              <w:t>306</w:t>
            </w:r>
          </w:p>
        </w:tc>
        <w:tc>
          <w:tcPr>
            <w:tcW w:w="2200" w:type="dxa"/>
            <w:tcMar>
              <w:top w:w="40" w:type="dxa"/>
              <w:left w:w="70" w:type="dxa"/>
              <w:bottom w:w="40" w:type="dxa"/>
              <w:right w:w="70" w:type="dxa"/>
            </w:tcMar>
          </w:tcPr>
          <w:p w14:paraId="53815576" w14:textId="77777777" w:rsidR="0039479F" w:rsidRDefault="00000000">
            <w:pPr>
              <w:spacing w:line="216" w:lineRule="auto"/>
            </w:pPr>
            <w:r>
              <w:rPr>
                <w:sz w:val="16"/>
                <w:szCs w:val="16"/>
              </w:rPr>
              <w:t>Patients referred to an acute medical unit with acute headache</w:t>
            </w:r>
          </w:p>
        </w:tc>
        <w:tc>
          <w:tcPr>
            <w:tcW w:w="3797" w:type="dxa"/>
            <w:tcMar>
              <w:top w:w="40" w:type="dxa"/>
              <w:left w:w="70" w:type="dxa"/>
              <w:bottom w:w="40" w:type="dxa"/>
              <w:right w:w="70" w:type="dxa"/>
            </w:tcMar>
          </w:tcPr>
          <w:p w14:paraId="23B86211" w14:textId="77777777" w:rsidR="0039479F" w:rsidRDefault="00000000">
            <w:pPr>
              <w:spacing w:line="216" w:lineRule="auto"/>
            </w:pPr>
            <w:r>
              <w:rPr>
                <w:sz w:val="16"/>
                <w:szCs w:val="16"/>
              </w:rPr>
              <w:t>Headache accounted for 3% of acute medical admissions. SAH in 4 (1%), meningitis in 10 (3%), intracranial tumour in 5 (2%); 26% had no specialised investigation and 18% were discharged the same day</w:t>
            </w:r>
          </w:p>
        </w:tc>
      </w:tr>
      <w:tr w:rsidR="0039479F" w14:paraId="29DDF5AC" w14:textId="77777777">
        <w:tc>
          <w:tcPr>
            <w:tcW w:w="1669" w:type="dxa"/>
            <w:tcMar>
              <w:top w:w="40" w:type="dxa"/>
              <w:left w:w="70" w:type="dxa"/>
              <w:bottom w:w="40" w:type="dxa"/>
              <w:right w:w="70" w:type="dxa"/>
            </w:tcMar>
          </w:tcPr>
          <w:p w14:paraId="7EA6FC23" w14:textId="77777777" w:rsidR="0039479F" w:rsidRDefault="00000000">
            <w:pPr>
              <w:spacing w:line="216" w:lineRule="auto"/>
            </w:pPr>
            <w:r>
              <w:rPr>
                <w:sz w:val="16"/>
                <w:szCs w:val="16"/>
              </w:rPr>
              <w:t>Rueda-Sánchez et al. (2005)</w:t>
            </w:r>
          </w:p>
        </w:tc>
        <w:tc>
          <w:tcPr>
            <w:tcW w:w="1138" w:type="dxa"/>
            <w:tcMar>
              <w:top w:w="40" w:type="dxa"/>
              <w:left w:w="70" w:type="dxa"/>
              <w:bottom w:w="40" w:type="dxa"/>
              <w:right w:w="70" w:type="dxa"/>
            </w:tcMar>
          </w:tcPr>
          <w:p w14:paraId="6723BF87" w14:textId="77777777" w:rsidR="0039479F" w:rsidRDefault="00000000">
            <w:pPr>
              <w:spacing w:line="216" w:lineRule="auto"/>
            </w:pPr>
            <w:r>
              <w:rPr>
                <w:sz w:val="16"/>
                <w:szCs w:val="16"/>
              </w:rPr>
              <w:t>Colombia</w:t>
            </w:r>
          </w:p>
        </w:tc>
        <w:tc>
          <w:tcPr>
            <w:tcW w:w="1062" w:type="dxa"/>
            <w:tcMar>
              <w:top w:w="40" w:type="dxa"/>
              <w:left w:w="70" w:type="dxa"/>
              <w:bottom w:w="40" w:type="dxa"/>
              <w:right w:w="70" w:type="dxa"/>
            </w:tcMar>
          </w:tcPr>
          <w:p w14:paraId="61777EC6" w14:textId="77777777" w:rsidR="0039479F" w:rsidRDefault="00000000">
            <w:pPr>
              <w:spacing w:line="216" w:lineRule="auto"/>
            </w:pPr>
            <w:r>
              <w:rPr>
                <w:sz w:val="16"/>
                <w:szCs w:val="16"/>
              </w:rPr>
              <w:t>1054 attendances; 100 with headache</w:t>
            </w:r>
          </w:p>
        </w:tc>
        <w:tc>
          <w:tcPr>
            <w:tcW w:w="2200" w:type="dxa"/>
            <w:tcMar>
              <w:top w:w="40" w:type="dxa"/>
              <w:left w:w="70" w:type="dxa"/>
              <w:bottom w:w="40" w:type="dxa"/>
              <w:right w:w="70" w:type="dxa"/>
            </w:tcMar>
          </w:tcPr>
          <w:p w14:paraId="40475EE0" w14:textId="77777777" w:rsidR="0039479F" w:rsidRDefault="00000000">
            <w:pPr>
              <w:spacing w:line="216" w:lineRule="auto"/>
            </w:pPr>
            <w:r>
              <w:rPr>
                <w:sz w:val="16"/>
                <w:szCs w:val="16"/>
              </w:rPr>
              <w:t>Patients &gt;18 y consulting for headache</w:t>
            </w:r>
          </w:p>
        </w:tc>
        <w:tc>
          <w:tcPr>
            <w:tcW w:w="3797" w:type="dxa"/>
            <w:tcMar>
              <w:top w:w="40" w:type="dxa"/>
              <w:left w:w="70" w:type="dxa"/>
              <w:bottom w:w="40" w:type="dxa"/>
              <w:right w:w="70" w:type="dxa"/>
            </w:tcMar>
          </w:tcPr>
          <w:p w14:paraId="0D0F9543" w14:textId="77777777" w:rsidR="0039479F" w:rsidRDefault="00000000">
            <w:pPr>
              <w:spacing w:line="216" w:lineRule="auto"/>
            </w:pPr>
            <w:r>
              <w:rPr>
                <w:sz w:val="16"/>
                <w:szCs w:val="16"/>
              </w:rPr>
              <w:t>Headache in 100/1054 (9.49%) of consultations; 25% primary and 75% secondary headache. Alarm features included fever (34), onset after age 50 (7), focal signs or symptoms (4), cancer history (4), mental changes (3)</w:t>
            </w:r>
          </w:p>
        </w:tc>
      </w:tr>
    </w:tbl>
    <w:p w14:paraId="43268227" w14:textId="77777777" w:rsidR="0039479F" w:rsidRDefault="00000000">
      <w:pPr>
        <w:spacing w:before="90" w:after="220" w:line="240" w:lineRule="auto"/>
      </w:pPr>
      <w:r>
        <w:rPr>
          <w:sz w:val="17"/>
          <w:szCs w:val="17"/>
        </w:rPr>
        <w:t>Note. Estimates are reported as published. Populations selected for imaging or for lumbar puncture are not comparable with unselected emergency department populations and are labelled accordingly. Long entries are abbreviated here; the complete extraction for every report is in Supplementary material S5.</w:t>
      </w:r>
    </w:p>
    <w:p w14:paraId="375BF4A0" w14:textId="77777777" w:rsidR="0039479F" w:rsidRDefault="00000000">
      <w:pPr>
        <w:spacing w:after="140"/>
        <w:jc w:val="both"/>
      </w:pPr>
      <w:r>
        <w:t>The remaining reports in this domain (Aaseth et al., 2024; Agostoni et al., 2004; Almansoor et al., 2026; Althobaiti et al., 2025; Breen et al., 2008; Chu et al., 2017; García-Azorín et al., 2021; Gaughran &amp; Tubridy, 2014; Goldstein et al., 2006; Grimaldi et al., 2009; Grooters et al., 2014; Grossberg &amp; Galwankar, 2024; Kuan et al., 2023; Mac Grory et al., 2018; Mert et al., 2008; Mostardini et al., 2009; Muhammed et al., 2010; Perry et al., 2005; Raffaelli et al., 2017; Robbins et al., 2015; Sjulstad et al., 2026; Sporns et al., 2018; Webb et al., 2003) describe consistent patterns across settings, with variation attributable to case mix, selection for investigation and the breadth of the definition of a serious cause rather than to genuine differences in underlying risk.</w:t>
      </w:r>
    </w:p>
    <w:p w14:paraId="5DC46B86" w14:textId="77777777" w:rsidR="0039479F" w:rsidRDefault="00000000">
      <w:pPr>
        <w:pStyle w:val="Heading2"/>
        <w:keepNext/>
        <w:spacing w:before="220" w:after="110"/>
      </w:pPr>
      <w:r>
        <w:t>3.5 Individual clinical features and red-flag criteria</w:t>
      </w:r>
    </w:p>
    <w:p w14:paraId="535DE5DF" w14:textId="77777777" w:rsidR="0039479F" w:rsidRDefault="00000000">
      <w:pPr>
        <w:spacing w:after="140"/>
        <w:jc w:val="both"/>
      </w:pPr>
      <w:r>
        <w:t>Individual clinical features performed as sensitive but non-specific screens. In a prospective UK cohort followed for three months, four features were independent predictors of serious pathology, with positive likelihood ratios of 3.56 for any abnormality on neurological examination, 2.34 for age over 50 years, 2.34 for presentation because of associated features and 1.74 for sudden onset (Locker et al., 2006) — magnitudes that shift probability modestly and do not, individually, permit a rule-out decision.</w:t>
      </w:r>
    </w:p>
    <w:p w14:paraId="54486EF5" w14:textId="77777777" w:rsidR="0039479F" w:rsidRDefault="00000000">
      <w:pPr>
        <w:spacing w:after="140"/>
        <w:jc w:val="both"/>
      </w:pPr>
      <w:r>
        <w:t>The most direct evidence on composite red-flag lists comes from a secondary analysis of 5,293 patients in a multinational cohort, in which ten commonly accepted red-flag criteria were applied singly and in combination. New neurological deficit, history of neoplasm, age over 50 years and recent head trauma two to seven days previously were independent predictors, whereas sudden onset, onset during exertion, pregnancy and immune suppression were not associated with a serious diagnosis after adjustment. Taken together, the criteria achieved a sensitivity of 96.5% (95% CI 93.2–98.3) but a specificity of only 5.1% (95% CI 4.3–6.0), with a negative predictive value of 93.5% (Chu et al., 2024). A prospectively collected, retrospectively analysed study with blinded assessors reported a sensitivity of 100% (95% CI 90.2–100) for the SNNOOP10 list in detecting high-risk headache among 100 triaged ED patients, the most sensitive single item being neurological deficit or dysfunction at 75.5% (García-Azorín et al., 2022).</w:t>
      </w:r>
    </w:p>
    <w:p w14:paraId="79D589C3" w14:textId="77777777" w:rsidR="0039479F" w:rsidRDefault="00000000">
      <w:pPr>
        <w:spacing w:after="140"/>
        <w:jc w:val="both"/>
      </w:pPr>
      <w:r>
        <w:t>The clinical implication is uncomfortable but clear: applying a comprehensive red-flag list to an unselected ED headache population flags almost every patient. Its value lies in ensuring that a dangerous feature is not overlooked, not in reducing investigation. Table 6 presents the studies of individual clinical features and red-flag criteria.</w:t>
      </w:r>
    </w:p>
    <w:p w14:paraId="1012F91A" w14:textId="77777777" w:rsidR="0039479F" w:rsidRDefault="00000000">
      <w:pPr>
        <w:keepNext/>
        <w:spacing w:before="200" w:after="90"/>
      </w:pPr>
      <w:r>
        <w:rPr>
          <w:b/>
          <w:bCs/>
          <w:sz w:val="21"/>
          <w:szCs w:val="21"/>
        </w:rPr>
        <w:t>Table 6. Individual clinical features and red-flag criteria for identifying a serious secondary headache</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669"/>
        <w:gridCol w:w="1138"/>
        <w:gridCol w:w="986"/>
        <w:gridCol w:w="1973"/>
        <w:gridCol w:w="4100"/>
      </w:tblGrid>
      <w:tr w:rsidR="0039479F" w14:paraId="78E03FC5" w14:textId="77777777">
        <w:trPr>
          <w:tblHeader/>
        </w:trPr>
        <w:tc>
          <w:tcPr>
            <w:tcW w:w="1669" w:type="dxa"/>
            <w:shd w:val="clear" w:color="auto" w:fill="F2F2F2"/>
            <w:tcMar>
              <w:top w:w="40" w:type="dxa"/>
              <w:left w:w="70" w:type="dxa"/>
              <w:bottom w:w="40" w:type="dxa"/>
              <w:right w:w="70" w:type="dxa"/>
            </w:tcMar>
          </w:tcPr>
          <w:p w14:paraId="42EB0647" w14:textId="77777777" w:rsidR="0039479F" w:rsidRDefault="00000000">
            <w:pPr>
              <w:spacing w:line="216" w:lineRule="auto"/>
            </w:pPr>
            <w:r>
              <w:rPr>
                <w:b/>
                <w:bCs/>
                <w:sz w:val="16"/>
                <w:szCs w:val="16"/>
              </w:rPr>
              <w:t>Study</w:t>
            </w:r>
          </w:p>
        </w:tc>
        <w:tc>
          <w:tcPr>
            <w:tcW w:w="1138" w:type="dxa"/>
            <w:shd w:val="clear" w:color="auto" w:fill="F2F2F2"/>
            <w:tcMar>
              <w:top w:w="40" w:type="dxa"/>
              <w:left w:w="70" w:type="dxa"/>
              <w:bottom w:w="40" w:type="dxa"/>
              <w:right w:w="70" w:type="dxa"/>
            </w:tcMar>
          </w:tcPr>
          <w:p w14:paraId="4D5CB599" w14:textId="77777777" w:rsidR="0039479F" w:rsidRDefault="00000000">
            <w:pPr>
              <w:spacing w:line="216" w:lineRule="auto"/>
            </w:pPr>
            <w:r>
              <w:rPr>
                <w:b/>
                <w:bCs/>
                <w:sz w:val="16"/>
                <w:szCs w:val="16"/>
              </w:rPr>
              <w:t>Country</w:t>
            </w:r>
          </w:p>
        </w:tc>
        <w:tc>
          <w:tcPr>
            <w:tcW w:w="986" w:type="dxa"/>
            <w:shd w:val="clear" w:color="auto" w:fill="F2F2F2"/>
            <w:tcMar>
              <w:top w:w="40" w:type="dxa"/>
              <w:left w:w="70" w:type="dxa"/>
              <w:bottom w:w="40" w:type="dxa"/>
              <w:right w:w="70" w:type="dxa"/>
            </w:tcMar>
          </w:tcPr>
          <w:p w14:paraId="78AF8652"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00C0EC88" w14:textId="77777777" w:rsidR="0039479F" w:rsidRDefault="00000000">
            <w:pPr>
              <w:spacing w:line="216" w:lineRule="auto"/>
            </w:pPr>
            <w:r>
              <w:rPr>
                <w:b/>
                <w:bCs/>
                <w:sz w:val="16"/>
                <w:szCs w:val="16"/>
              </w:rPr>
              <w:t>Index test</w:t>
            </w:r>
          </w:p>
        </w:tc>
        <w:tc>
          <w:tcPr>
            <w:tcW w:w="4100" w:type="dxa"/>
            <w:shd w:val="clear" w:color="auto" w:fill="F2F2F2"/>
            <w:tcMar>
              <w:top w:w="40" w:type="dxa"/>
              <w:left w:w="70" w:type="dxa"/>
              <w:bottom w:w="40" w:type="dxa"/>
              <w:right w:w="70" w:type="dxa"/>
            </w:tcMar>
          </w:tcPr>
          <w:p w14:paraId="043ED0E3" w14:textId="77777777" w:rsidR="0039479F" w:rsidRDefault="00000000">
            <w:pPr>
              <w:spacing w:line="216" w:lineRule="auto"/>
            </w:pPr>
            <w:r>
              <w:rPr>
                <w:b/>
                <w:bCs/>
                <w:sz w:val="16"/>
                <w:szCs w:val="16"/>
              </w:rPr>
              <w:t>Results as reported</w:t>
            </w:r>
          </w:p>
        </w:tc>
      </w:tr>
      <w:tr w:rsidR="0039479F" w14:paraId="460AE293" w14:textId="77777777">
        <w:tc>
          <w:tcPr>
            <w:tcW w:w="1669" w:type="dxa"/>
            <w:tcMar>
              <w:top w:w="40" w:type="dxa"/>
              <w:left w:w="70" w:type="dxa"/>
              <w:bottom w:w="40" w:type="dxa"/>
              <w:right w:w="70" w:type="dxa"/>
            </w:tcMar>
          </w:tcPr>
          <w:p w14:paraId="4DFB73D1" w14:textId="77777777" w:rsidR="0039479F" w:rsidRDefault="00000000">
            <w:pPr>
              <w:spacing w:line="216" w:lineRule="auto"/>
            </w:pPr>
            <w:r>
              <w:rPr>
                <w:sz w:val="16"/>
                <w:szCs w:val="16"/>
              </w:rPr>
              <w:t>Chu et al. (2024), HEAD/HEAD-Colombia</w:t>
            </w:r>
          </w:p>
        </w:tc>
        <w:tc>
          <w:tcPr>
            <w:tcW w:w="1138" w:type="dxa"/>
            <w:tcMar>
              <w:top w:w="40" w:type="dxa"/>
              <w:left w:w="70" w:type="dxa"/>
              <w:bottom w:w="40" w:type="dxa"/>
              <w:right w:w="70" w:type="dxa"/>
            </w:tcMar>
          </w:tcPr>
          <w:p w14:paraId="4296EE45" w14:textId="77777777" w:rsidR="0039479F" w:rsidRDefault="00000000">
            <w:pPr>
              <w:spacing w:line="216" w:lineRule="auto"/>
            </w:pPr>
            <w:r>
              <w:rPr>
                <w:sz w:val="16"/>
                <w:szCs w:val="16"/>
              </w:rPr>
              <w:t>Multinational</w:t>
            </w:r>
          </w:p>
        </w:tc>
        <w:tc>
          <w:tcPr>
            <w:tcW w:w="986" w:type="dxa"/>
            <w:tcMar>
              <w:top w:w="40" w:type="dxa"/>
              <w:left w:w="70" w:type="dxa"/>
              <w:bottom w:w="40" w:type="dxa"/>
              <w:right w:w="70" w:type="dxa"/>
            </w:tcMar>
          </w:tcPr>
          <w:p w14:paraId="333FA2A3" w14:textId="77777777" w:rsidR="0039479F" w:rsidRDefault="00000000">
            <w:pPr>
              <w:spacing w:line="216" w:lineRule="auto"/>
            </w:pPr>
            <w:r>
              <w:rPr>
                <w:sz w:val="16"/>
                <w:szCs w:val="16"/>
              </w:rPr>
              <w:t>5293</w:t>
            </w:r>
          </w:p>
        </w:tc>
        <w:tc>
          <w:tcPr>
            <w:tcW w:w="1973" w:type="dxa"/>
            <w:tcMar>
              <w:top w:w="40" w:type="dxa"/>
              <w:left w:w="70" w:type="dxa"/>
              <w:bottom w:w="40" w:type="dxa"/>
              <w:right w:w="70" w:type="dxa"/>
            </w:tcMar>
          </w:tcPr>
          <w:p w14:paraId="2B4F0B54" w14:textId="77777777" w:rsidR="0039479F" w:rsidRDefault="00000000">
            <w:pPr>
              <w:spacing w:line="216" w:lineRule="auto"/>
            </w:pPr>
            <w:r>
              <w:rPr>
                <w:sz w:val="16"/>
                <w:szCs w:val="16"/>
              </w:rPr>
              <w:t>10 commonly accepted red-flag criteria from the SNNOOP10 list</w:t>
            </w:r>
          </w:p>
        </w:tc>
        <w:tc>
          <w:tcPr>
            <w:tcW w:w="4100" w:type="dxa"/>
            <w:tcMar>
              <w:top w:w="40" w:type="dxa"/>
              <w:left w:w="70" w:type="dxa"/>
              <w:bottom w:w="40" w:type="dxa"/>
              <w:right w:w="70" w:type="dxa"/>
            </w:tcMar>
          </w:tcPr>
          <w:p w14:paraId="12724D44" w14:textId="77777777" w:rsidR="0039479F" w:rsidRDefault="00000000">
            <w:pPr>
              <w:spacing w:line="216" w:lineRule="auto"/>
            </w:pPr>
            <w:r>
              <w:rPr>
                <w:sz w:val="16"/>
                <w:szCs w:val="16"/>
              </w:rPr>
              <w:t xml:space="preserve">Serious cause in 6.1% (95% CI 5.5-6.8). Independent predictors: new neurological deficit, history of neoplasm, age &gt;50 y, recent head trauma 2-7 days prior. Combined red flags: sensitivity 96.5% (93.2-98.3), specificity 5.1% (4.3-6.0), PPV 9.3% (8.2-10.5), NPV 93.5% (87.6-96.8). Sudden </w:t>
            </w:r>
            <w:r>
              <w:rPr>
                <w:sz w:val="16"/>
                <w:szCs w:val="16"/>
              </w:rPr>
              <w:lastRenderedPageBreak/>
              <w:t>onset, onset during exertion, pregnancy and immune suppression not…</w:t>
            </w:r>
          </w:p>
        </w:tc>
      </w:tr>
      <w:tr w:rsidR="0039479F" w14:paraId="05540CDD" w14:textId="77777777">
        <w:tc>
          <w:tcPr>
            <w:tcW w:w="1669" w:type="dxa"/>
            <w:tcMar>
              <w:top w:w="40" w:type="dxa"/>
              <w:left w:w="70" w:type="dxa"/>
              <w:bottom w:w="40" w:type="dxa"/>
              <w:right w:w="70" w:type="dxa"/>
            </w:tcMar>
          </w:tcPr>
          <w:p w14:paraId="2AA2F613" w14:textId="77777777" w:rsidR="0039479F" w:rsidRDefault="00000000">
            <w:pPr>
              <w:spacing w:line="216" w:lineRule="auto"/>
            </w:pPr>
            <w:r>
              <w:rPr>
                <w:sz w:val="16"/>
                <w:szCs w:val="16"/>
              </w:rPr>
              <w:lastRenderedPageBreak/>
              <w:t>García-Azorín et al. (2022)</w:t>
            </w:r>
          </w:p>
        </w:tc>
        <w:tc>
          <w:tcPr>
            <w:tcW w:w="1138" w:type="dxa"/>
            <w:tcMar>
              <w:top w:w="40" w:type="dxa"/>
              <w:left w:w="70" w:type="dxa"/>
              <w:bottom w:w="40" w:type="dxa"/>
              <w:right w:w="70" w:type="dxa"/>
            </w:tcMar>
          </w:tcPr>
          <w:p w14:paraId="48C6F41E" w14:textId="77777777" w:rsidR="0039479F" w:rsidRDefault="00000000">
            <w:pPr>
              <w:spacing w:line="216" w:lineRule="auto"/>
            </w:pPr>
            <w:r>
              <w:rPr>
                <w:sz w:val="16"/>
                <w:szCs w:val="16"/>
              </w:rPr>
              <w:t>Spain</w:t>
            </w:r>
          </w:p>
        </w:tc>
        <w:tc>
          <w:tcPr>
            <w:tcW w:w="986" w:type="dxa"/>
            <w:tcMar>
              <w:top w:w="40" w:type="dxa"/>
              <w:left w:w="70" w:type="dxa"/>
              <w:bottom w:w="40" w:type="dxa"/>
              <w:right w:w="70" w:type="dxa"/>
            </w:tcMar>
          </w:tcPr>
          <w:p w14:paraId="13900C1A" w14:textId="77777777" w:rsidR="0039479F" w:rsidRDefault="00000000">
            <w:pPr>
              <w:spacing w:line="216" w:lineRule="auto"/>
            </w:pPr>
            <w:r>
              <w:rPr>
                <w:sz w:val="16"/>
                <w:szCs w:val="16"/>
              </w:rPr>
              <w:t>100</w:t>
            </w:r>
          </w:p>
        </w:tc>
        <w:tc>
          <w:tcPr>
            <w:tcW w:w="1973" w:type="dxa"/>
            <w:tcMar>
              <w:top w:w="40" w:type="dxa"/>
              <w:left w:w="70" w:type="dxa"/>
              <w:bottom w:w="40" w:type="dxa"/>
              <w:right w:w="70" w:type="dxa"/>
            </w:tcMar>
          </w:tcPr>
          <w:p w14:paraId="182CF5D3" w14:textId="77777777" w:rsidR="0039479F" w:rsidRDefault="00000000">
            <w:pPr>
              <w:spacing w:line="216" w:lineRule="auto"/>
            </w:pPr>
            <w:r>
              <w:rPr>
                <w:sz w:val="16"/>
                <w:szCs w:val="16"/>
              </w:rPr>
              <w:t>SNNOOP10 list</w:t>
            </w:r>
          </w:p>
        </w:tc>
        <w:tc>
          <w:tcPr>
            <w:tcW w:w="4100" w:type="dxa"/>
            <w:tcMar>
              <w:top w:w="40" w:type="dxa"/>
              <w:left w:w="70" w:type="dxa"/>
              <w:bottom w:w="40" w:type="dxa"/>
              <w:right w:w="70" w:type="dxa"/>
            </w:tcMar>
          </w:tcPr>
          <w:p w14:paraId="0FDF51DC" w14:textId="77777777" w:rsidR="0039479F" w:rsidRDefault="00000000">
            <w:pPr>
              <w:spacing w:line="216" w:lineRule="auto"/>
            </w:pPr>
            <w:r>
              <w:rPr>
                <w:sz w:val="16"/>
                <w:szCs w:val="16"/>
              </w:rPr>
              <w:t>High-risk headache in 46/100. SNNOOP10 sensitivity 100% (95% CI 90.2-100). Most sensitive item: neurological deficit or dysfunction (75.5%). Final diagnosis primary headache 33%, secondary 65%, cranial neuralgia 2%</w:t>
            </w:r>
          </w:p>
        </w:tc>
      </w:tr>
      <w:tr w:rsidR="0039479F" w14:paraId="4BEB8633" w14:textId="77777777">
        <w:tc>
          <w:tcPr>
            <w:tcW w:w="1669" w:type="dxa"/>
            <w:tcMar>
              <w:top w:w="40" w:type="dxa"/>
              <w:left w:w="70" w:type="dxa"/>
              <w:bottom w:w="40" w:type="dxa"/>
              <w:right w:w="70" w:type="dxa"/>
            </w:tcMar>
          </w:tcPr>
          <w:p w14:paraId="047E26A6" w14:textId="77777777" w:rsidR="0039479F" w:rsidRDefault="00000000">
            <w:pPr>
              <w:spacing w:line="216" w:lineRule="auto"/>
            </w:pPr>
            <w:r>
              <w:rPr>
                <w:sz w:val="16"/>
                <w:szCs w:val="16"/>
              </w:rPr>
              <w:t>Locker et al. (2006)</w:t>
            </w:r>
          </w:p>
        </w:tc>
        <w:tc>
          <w:tcPr>
            <w:tcW w:w="1138" w:type="dxa"/>
            <w:tcMar>
              <w:top w:w="40" w:type="dxa"/>
              <w:left w:w="70" w:type="dxa"/>
              <w:bottom w:w="40" w:type="dxa"/>
              <w:right w:w="70" w:type="dxa"/>
            </w:tcMar>
          </w:tcPr>
          <w:p w14:paraId="769D4FCB" w14:textId="77777777" w:rsidR="0039479F" w:rsidRDefault="00000000">
            <w:pPr>
              <w:spacing w:line="216" w:lineRule="auto"/>
            </w:pPr>
            <w:r>
              <w:rPr>
                <w:sz w:val="16"/>
                <w:szCs w:val="16"/>
              </w:rPr>
              <w:t>United Kingdom</w:t>
            </w:r>
          </w:p>
        </w:tc>
        <w:tc>
          <w:tcPr>
            <w:tcW w:w="986" w:type="dxa"/>
            <w:tcMar>
              <w:top w:w="40" w:type="dxa"/>
              <w:left w:w="70" w:type="dxa"/>
              <w:bottom w:w="40" w:type="dxa"/>
              <w:right w:w="70" w:type="dxa"/>
            </w:tcMar>
          </w:tcPr>
          <w:p w14:paraId="0C0B265F" w14:textId="77777777" w:rsidR="0039479F" w:rsidRDefault="00000000">
            <w:pPr>
              <w:spacing w:line="216" w:lineRule="auto"/>
            </w:pPr>
            <w:r>
              <w:rPr>
                <w:sz w:val="16"/>
                <w:szCs w:val="16"/>
              </w:rPr>
              <w:t>589 enrolled; 558 (94.7%) with complete follow-up</w:t>
            </w:r>
          </w:p>
        </w:tc>
        <w:tc>
          <w:tcPr>
            <w:tcW w:w="1973" w:type="dxa"/>
            <w:tcMar>
              <w:top w:w="40" w:type="dxa"/>
              <w:left w:w="70" w:type="dxa"/>
              <w:bottom w:w="40" w:type="dxa"/>
              <w:right w:w="70" w:type="dxa"/>
            </w:tcMar>
          </w:tcPr>
          <w:p w14:paraId="22CBB54C" w14:textId="77777777" w:rsidR="0039479F" w:rsidRDefault="00000000">
            <w:pPr>
              <w:spacing w:line="216" w:lineRule="auto"/>
            </w:pPr>
            <w:r>
              <w:rPr>
                <w:sz w:val="16"/>
                <w:szCs w:val="16"/>
              </w:rPr>
              <w:t>History and examination features</w:t>
            </w:r>
          </w:p>
        </w:tc>
        <w:tc>
          <w:tcPr>
            <w:tcW w:w="4100" w:type="dxa"/>
            <w:tcMar>
              <w:top w:w="40" w:type="dxa"/>
              <w:left w:w="70" w:type="dxa"/>
              <w:bottom w:w="40" w:type="dxa"/>
              <w:right w:w="70" w:type="dxa"/>
            </w:tcMar>
          </w:tcPr>
          <w:p w14:paraId="7BF6F395" w14:textId="77777777" w:rsidR="0039479F" w:rsidRDefault="00000000">
            <w:pPr>
              <w:spacing w:line="216" w:lineRule="auto"/>
            </w:pPr>
            <w:r>
              <w:rPr>
                <w:sz w:val="16"/>
                <w:szCs w:val="16"/>
              </w:rPr>
              <w:t>Serious pathology in 75/558 (13.4%). Independent predictors: age &gt;50 y (LR 2.34), sudden onset (LR 1.74), any abnormality on neurological examination (LR 3.56), presentation due to associated features (LR 2.x)</w:t>
            </w:r>
          </w:p>
        </w:tc>
      </w:tr>
      <w:tr w:rsidR="0039479F" w14:paraId="150444CA" w14:textId="77777777">
        <w:tc>
          <w:tcPr>
            <w:tcW w:w="1669" w:type="dxa"/>
            <w:tcMar>
              <w:top w:w="40" w:type="dxa"/>
              <w:left w:w="70" w:type="dxa"/>
              <w:bottom w:w="40" w:type="dxa"/>
              <w:right w:w="70" w:type="dxa"/>
            </w:tcMar>
          </w:tcPr>
          <w:p w14:paraId="25884219" w14:textId="77777777" w:rsidR="0039479F" w:rsidRDefault="00000000">
            <w:pPr>
              <w:spacing w:line="216" w:lineRule="auto"/>
            </w:pPr>
            <w:r>
              <w:rPr>
                <w:sz w:val="16"/>
                <w:szCs w:val="16"/>
              </w:rPr>
              <w:t>Mac Grory et al. (2018)</w:t>
            </w:r>
          </w:p>
        </w:tc>
        <w:tc>
          <w:tcPr>
            <w:tcW w:w="1138" w:type="dxa"/>
            <w:tcMar>
              <w:top w:w="40" w:type="dxa"/>
              <w:left w:w="70" w:type="dxa"/>
              <w:bottom w:w="40" w:type="dxa"/>
              <w:right w:w="70" w:type="dxa"/>
            </w:tcMar>
          </w:tcPr>
          <w:p w14:paraId="775C7E50"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3266BCF9" w14:textId="77777777" w:rsidR="0039479F" w:rsidRDefault="00000000">
            <w:pPr>
              <w:spacing w:line="216" w:lineRule="auto"/>
            </w:pPr>
            <w:r>
              <w:rPr>
                <w:sz w:val="16"/>
                <w:szCs w:val="16"/>
              </w:rPr>
              <w:t>158 (20 SAH, 138 non-SAH)</w:t>
            </w:r>
          </w:p>
        </w:tc>
        <w:tc>
          <w:tcPr>
            <w:tcW w:w="1973" w:type="dxa"/>
            <w:tcMar>
              <w:top w:w="40" w:type="dxa"/>
              <w:left w:w="70" w:type="dxa"/>
              <w:bottom w:w="40" w:type="dxa"/>
              <w:right w:w="70" w:type="dxa"/>
            </w:tcMar>
          </w:tcPr>
          <w:p w14:paraId="2A6C6451" w14:textId="77777777" w:rsidR="0039479F" w:rsidRDefault="00000000">
            <w:pPr>
              <w:spacing w:line="216" w:lineRule="auto"/>
            </w:pPr>
            <w:r>
              <w:rPr>
                <w:sz w:val="16"/>
                <w:szCs w:val="16"/>
              </w:rPr>
              <w:t>Clinical characteristics of the presenting headache</w:t>
            </w:r>
          </w:p>
        </w:tc>
        <w:tc>
          <w:tcPr>
            <w:tcW w:w="4100" w:type="dxa"/>
            <w:tcMar>
              <w:top w:w="40" w:type="dxa"/>
              <w:left w:w="70" w:type="dxa"/>
              <w:bottom w:w="40" w:type="dxa"/>
              <w:right w:w="70" w:type="dxa"/>
            </w:tcMar>
          </w:tcPr>
          <w:p w14:paraId="1B513252" w14:textId="77777777" w:rsidR="0039479F" w:rsidRDefault="00000000">
            <w:pPr>
              <w:spacing w:line="216" w:lineRule="auto"/>
            </w:pPr>
            <w:r>
              <w:rPr>
                <w:sz w:val="16"/>
                <w:szCs w:val="16"/>
              </w:rPr>
              <w:t>Distinguishing features: occipital location 55% versus 22% (P&lt;0.001), stabbing quality 35% versus 5% (P&lt;0.001), prior headache 50% versus 83% (P=0.002), meningismus 80% versus 42% (P=0.002). 65% of SAH patients reported peak within 1 second versus 10% of non-SAH (P&lt;0.001)</w:t>
            </w:r>
          </w:p>
        </w:tc>
      </w:tr>
      <w:tr w:rsidR="0039479F" w14:paraId="1D65DABF" w14:textId="77777777">
        <w:tc>
          <w:tcPr>
            <w:tcW w:w="1669" w:type="dxa"/>
            <w:tcMar>
              <w:top w:w="40" w:type="dxa"/>
              <w:left w:w="70" w:type="dxa"/>
              <w:bottom w:w="40" w:type="dxa"/>
              <w:right w:w="70" w:type="dxa"/>
            </w:tcMar>
          </w:tcPr>
          <w:p w14:paraId="5FCFBA6B" w14:textId="77777777" w:rsidR="0039479F" w:rsidRDefault="00000000">
            <w:pPr>
              <w:spacing w:line="216" w:lineRule="auto"/>
            </w:pPr>
            <w:r>
              <w:rPr>
                <w:sz w:val="16"/>
                <w:szCs w:val="16"/>
              </w:rPr>
              <w:t>Serinken et al. (2026)</w:t>
            </w:r>
          </w:p>
        </w:tc>
        <w:tc>
          <w:tcPr>
            <w:tcW w:w="1138" w:type="dxa"/>
            <w:tcMar>
              <w:top w:w="40" w:type="dxa"/>
              <w:left w:w="70" w:type="dxa"/>
              <w:bottom w:w="40" w:type="dxa"/>
              <w:right w:w="70" w:type="dxa"/>
            </w:tcMar>
          </w:tcPr>
          <w:p w14:paraId="3F2F8E30" w14:textId="77777777" w:rsidR="0039479F" w:rsidRDefault="00000000">
            <w:pPr>
              <w:spacing w:line="216" w:lineRule="auto"/>
            </w:pPr>
            <w:r>
              <w:rPr>
                <w:sz w:val="16"/>
                <w:szCs w:val="16"/>
              </w:rPr>
              <w:t>Türkiye</w:t>
            </w:r>
          </w:p>
        </w:tc>
        <w:tc>
          <w:tcPr>
            <w:tcW w:w="986" w:type="dxa"/>
            <w:tcMar>
              <w:top w:w="40" w:type="dxa"/>
              <w:left w:w="70" w:type="dxa"/>
              <w:bottom w:w="40" w:type="dxa"/>
              <w:right w:w="70" w:type="dxa"/>
            </w:tcMar>
          </w:tcPr>
          <w:p w14:paraId="1E6E8FD2" w14:textId="77777777" w:rsidR="0039479F" w:rsidRDefault="00000000">
            <w:pPr>
              <w:spacing w:line="216" w:lineRule="auto"/>
            </w:pPr>
            <w:r>
              <w:rPr>
                <w:sz w:val="16"/>
                <w:szCs w:val="16"/>
              </w:rPr>
              <w:t>1522</w:t>
            </w:r>
          </w:p>
        </w:tc>
        <w:tc>
          <w:tcPr>
            <w:tcW w:w="1973" w:type="dxa"/>
            <w:tcMar>
              <w:top w:w="40" w:type="dxa"/>
              <w:left w:w="70" w:type="dxa"/>
              <w:bottom w:w="40" w:type="dxa"/>
              <w:right w:w="70" w:type="dxa"/>
            </w:tcMar>
          </w:tcPr>
          <w:p w14:paraId="1290309A" w14:textId="77777777" w:rsidR="0039479F" w:rsidRDefault="00000000">
            <w:pPr>
              <w:spacing w:line="216" w:lineRule="auto"/>
            </w:pPr>
            <w:r>
              <w:rPr>
                <w:sz w:val="16"/>
                <w:szCs w:val="16"/>
              </w:rPr>
              <w:t>Clinical red-flag signs and symptoms</w:t>
            </w:r>
          </w:p>
        </w:tc>
        <w:tc>
          <w:tcPr>
            <w:tcW w:w="4100" w:type="dxa"/>
            <w:tcMar>
              <w:top w:w="40" w:type="dxa"/>
              <w:left w:w="70" w:type="dxa"/>
              <w:bottom w:w="40" w:type="dxa"/>
              <w:right w:w="70" w:type="dxa"/>
            </w:tcMar>
          </w:tcPr>
          <w:p w14:paraId="40A53818" w14:textId="77777777" w:rsidR="0039479F" w:rsidRDefault="00000000">
            <w:pPr>
              <w:spacing w:line="216" w:lineRule="auto"/>
            </w:pPr>
            <w:r>
              <w:rPr>
                <w:sz w:val="16"/>
                <w:szCs w:val="16"/>
              </w:rPr>
              <w:t>Intracranial pathology 57/1522 (3.7%, 95% CI 2.8-4.8); SAH 20 (35.1%), ischaemic stroke 16 (28.1%), subdural haemorrhage 6 (10.5%), sinus vein thrombosis 6 (10.5%). Independent predictors: headache aggravated by physical activity OR 5.98 (2.3-15.2); age &gt;50 y OR 3.0 (1.65-5.5). 104 (6.8%) lost to follow-up</w:t>
            </w:r>
          </w:p>
        </w:tc>
      </w:tr>
      <w:tr w:rsidR="0039479F" w14:paraId="49252193" w14:textId="77777777">
        <w:tc>
          <w:tcPr>
            <w:tcW w:w="1669" w:type="dxa"/>
            <w:tcMar>
              <w:top w:w="40" w:type="dxa"/>
              <w:left w:w="70" w:type="dxa"/>
              <w:bottom w:w="40" w:type="dxa"/>
              <w:right w:w="70" w:type="dxa"/>
            </w:tcMar>
          </w:tcPr>
          <w:p w14:paraId="678585AF" w14:textId="77777777" w:rsidR="0039479F" w:rsidRDefault="00000000">
            <w:pPr>
              <w:spacing w:line="216" w:lineRule="auto"/>
            </w:pPr>
            <w:r>
              <w:rPr>
                <w:sz w:val="16"/>
                <w:szCs w:val="16"/>
              </w:rPr>
              <w:t>Alghamdi et al. (2025)</w:t>
            </w:r>
          </w:p>
        </w:tc>
        <w:tc>
          <w:tcPr>
            <w:tcW w:w="1138" w:type="dxa"/>
            <w:tcMar>
              <w:top w:w="40" w:type="dxa"/>
              <w:left w:w="70" w:type="dxa"/>
              <w:bottom w:w="40" w:type="dxa"/>
              <w:right w:w="70" w:type="dxa"/>
            </w:tcMar>
          </w:tcPr>
          <w:p w14:paraId="0866828A" w14:textId="77777777" w:rsidR="0039479F" w:rsidRDefault="00000000">
            <w:pPr>
              <w:spacing w:line="216" w:lineRule="auto"/>
            </w:pPr>
            <w:r>
              <w:rPr>
                <w:sz w:val="16"/>
                <w:szCs w:val="16"/>
              </w:rPr>
              <w:t>Saudi Arabia</w:t>
            </w:r>
          </w:p>
        </w:tc>
        <w:tc>
          <w:tcPr>
            <w:tcW w:w="986" w:type="dxa"/>
            <w:tcMar>
              <w:top w:w="40" w:type="dxa"/>
              <w:left w:w="70" w:type="dxa"/>
              <w:bottom w:w="40" w:type="dxa"/>
              <w:right w:w="70" w:type="dxa"/>
            </w:tcMar>
          </w:tcPr>
          <w:p w14:paraId="5FAA9430" w14:textId="77777777" w:rsidR="0039479F" w:rsidRDefault="00000000">
            <w:pPr>
              <w:spacing w:line="216" w:lineRule="auto"/>
            </w:pPr>
            <w:r>
              <w:rPr>
                <w:sz w:val="16"/>
                <w:szCs w:val="16"/>
              </w:rPr>
              <w:t>387</w:t>
            </w:r>
          </w:p>
        </w:tc>
        <w:tc>
          <w:tcPr>
            <w:tcW w:w="1973" w:type="dxa"/>
            <w:tcMar>
              <w:top w:w="40" w:type="dxa"/>
              <w:left w:w="70" w:type="dxa"/>
              <w:bottom w:w="40" w:type="dxa"/>
              <w:right w:w="70" w:type="dxa"/>
            </w:tcMar>
          </w:tcPr>
          <w:p w14:paraId="2E03EE26" w14:textId="77777777" w:rsidR="0039479F" w:rsidRDefault="00000000">
            <w:pPr>
              <w:spacing w:line="216" w:lineRule="auto"/>
            </w:pPr>
            <w:r>
              <w:rPr>
                <w:sz w:val="16"/>
                <w:szCs w:val="16"/>
              </w:rPr>
              <w:t>Headache warning signs</w:t>
            </w:r>
          </w:p>
        </w:tc>
        <w:tc>
          <w:tcPr>
            <w:tcW w:w="4100" w:type="dxa"/>
            <w:tcMar>
              <w:top w:w="40" w:type="dxa"/>
              <w:left w:w="70" w:type="dxa"/>
              <w:bottom w:w="40" w:type="dxa"/>
              <w:right w:w="70" w:type="dxa"/>
            </w:tcMar>
          </w:tcPr>
          <w:p w14:paraId="67D3F32E" w14:textId="77777777" w:rsidR="0039479F" w:rsidRDefault="00000000">
            <w:pPr>
              <w:spacing w:line="216" w:lineRule="auto"/>
            </w:pPr>
            <w:r>
              <w:rPr>
                <w:sz w:val="16"/>
                <w:szCs w:val="16"/>
              </w:rPr>
              <w:t>Intracranial pathology 67/387 (17.31%). Independent predictors: significant change or progression in headache pattern, frequency or severity OR 3.2 (1.5-6.6); motor deficits including abnormal reflexes OR 2.x (as reported)</w:t>
            </w:r>
          </w:p>
        </w:tc>
      </w:tr>
      <w:tr w:rsidR="0039479F" w14:paraId="7384DCC7" w14:textId="77777777">
        <w:tc>
          <w:tcPr>
            <w:tcW w:w="1669" w:type="dxa"/>
            <w:tcMar>
              <w:top w:w="40" w:type="dxa"/>
              <w:left w:w="70" w:type="dxa"/>
              <w:bottom w:w="40" w:type="dxa"/>
              <w:right w:w="70" w:type="dxa"/>
            </w:tcMar>
          </w:tcPr>
          <w:p w14:paraId="3085D387" w14:textId="77777777" w:rsidR="0039479F" w:rsidRDefault="00000000">
            <w:pPr>
              <w:spacing w:line="216" w:lineRule="auto"/>
            </w:pPr>
            <w:r>
              <w:rPr>
                <w:sz w:val="16"/>
                <w:szCs w:val="16"/>
              </w:rPr>
              <w:t>Landtblom et al. (2002)</w:t>
            </w:r>
          </w:p>
        </w:tc>
        <w:tc>
          <w:tcPr>
            <w:tcW w:w="1138" w:type="dxa"/>
            <w:tcMar>
              <w:top w:w="40" w:type="dxa"/>
              <w:left w:w="70" w:type="dxa"/>
              <w:bottom w:w="40" w:type="dxa"/>
              <w:right w:w="70" w:type="dxa"/>
            </w:tcMar>
          </w:tcPr>
          <w:p w14:paraId="1910B4B1" w14:textId="77777777" w:rsidR="0039479F" w:rsidRDefault="00000000">
            <w:pPr>
              <w:spacing w:line="216" w:lineRule="auto"/>
            </w:pPr>
            <w:r>
              <w:rPr>
                <w:sz w:val="16"/>
                <w:szCs w:val="16"/>
              </w:rPr>
              <w:t>Sweden</w:t>
            </w:r>
          </w:p>
        </w:tc>
        <w:tc>
          <w:tcPr>
            <w:tcW w:w="986" w:type="dxa"/>
            <w:tcMar>
              <w:top w:w="40" w:type="dxa"/>
              <w:left w:w="70" w:type="dxa"/>
              <w:bottom w:w="40" w:type="dxa"/>
              <w:right w:w="70" w:type="dxa"/>
            </w:tcMar>
          </w:tcPr>
          <w:p w14:paraId="30F0AB31" w14:textId="77777777" w:rsidR="0039479F" w:rsidRDefault="00000000">
            <w:pPr>
              <w:spacing w:line="216" w:lineRule="auto"/>
            </w:pPr>
            <w:r>
              <w:rPr>
                <w:sz w:val="16"/>
                <w:szCs w:val="16"/>
              </w:rPr>
              <w:t>137</w:t>
            </w:r>
          </w:p>
        </w:tc>
        <w:tc>
          <w:tcPr>
            <w:tcW w:w="1973" w:type="dxa"/>
            <w:tcMar>
              <w:top w:w="40" w:type="dxa"/>
              <w:left w:w="70" w:type="dxa"/>
              <w:bottom w:w="40" w:type="dxa"/>
              <w:right w:w="70" w:type="dxa"/>
            </w:tcMar>
          </w:tcPr>
          <w:p w14:paraId="1BE435D1" w14:textId="77777777" w:rsidR="0039479F" w:rsidRDefault="00000000">
            <w:pPr>
              <w:spacing w:line="216" w:lineRule="auto"/>
            </w:pPr>
            <w:r>
              <w:rPr>
                <w:sz w:val="16"/>
                <w:szCs w:val="16"/>
              </w:rPr>
              <w:t>Clinical features</w:t>
            </w:r>
          </w:p>
        </w:tc>
        <w:tc>
          <w:tcPr>
            <w:tcW w:w="4100" w:type="dxa"/>
            <w:tcMar>
              <w:top w:w="40" w:type="dxa"/>
              <w:left w:w="70" w:type="dxa"/>
              <w:bottom w:w="40" w:type="dxa"/>
              <w:right w:w="70" w:type="dxa"/>
            </w:tcMar>
          </w:tcPr>
          <w:p w14:paraId="1CF1638D" w14:textId="77777777" w:rsidR="0039479F" w:rsidRDefault="00000000">
            <w:pPr>
              <w:spacing w:line="216" w:lineRule="auto"/>
            </w:pPr>
            <w:r>
              <w:rPr>
                <w:sz w:val="16"/>
                <w:szCs w:val="16"/>
              </w:rPr>
              <w:t>Incidence of thunderclap headache 43 per 100000 adults per year; SAH in 11.3%. Other findings: cerebral infarction (5), intracerebral haematoma (3), aseptic meningitis (4), cerebral oedema (1), sinus thrombosis (1). Nausea, neck stiffness, occipital location and impaired consciousness were significantly more frequent with SAH but were not present in all…</w:t>
            </w:r>
          </w:p>
        </w:tc>
      </w:tr>
      <w:tr w:rsidR="0039479F" w14:paraId="7D082EAD" w14:textId="77777777">
        <w:tc>
          <w:tcPr>
            <w:tcW w:w="1669" w:type="dxa"/>
            <w:tcMar>
              <w:top w:w="40" w:type="dxa"/>
              <w:left w:w="70" w:type="dxa"/>
              <w:bottom w:w="40" w:type="dxa"/>
              <w:right w:w="70" w:type="dxa"/>
            </w:tcMar>
          </w:tcPr>
          <w:p w14:paraId="4B16C636" w14:textId="77777777" w:rsidR="0039479F" w:rsidRDefault="00000000">
            <w:pPr>
              <w:spacing w:line="216" w:lineRule="auto"/>
            </w:pPr>
            <w:r>
              <w:rPr>
                <w:sz w:val="16"/>
                <w:szCs w:val="16"/>
              </w:rPr>
              <w:t>Mert et al. (2008)</w:t>
            </w:r>
          </w:p>
        </w:tc>
        <w:tc>
          <w:tcPr>
            <w:tcW w:w="1138" w:type="dxa"/>
            <w:tcMar>
              <w:top w:w="40" w:type="dxa"/>
              <w:left w:w="70" w:type="dxa"/>
              <w:bottom w:w="40" w:type="dxa"/>
              <w:right w:w="70" w:type="dxa"/>
            </w:tcMar>
          </w:tcPr>
          <w:p w14:paraId="43BEF2A3" w14:textId="77777777" w:rsidR="0039479F" w:rsidRDefault="00000000">
            <w:pPr>
              <w:spacing w:line="216" w:lineRule="auto"/>
            </w:pPr>
            <w:r>
              <w:rPr>
                <w:sz w:val="16"/>
                <w:szCs w:val="16"/>
              </w:rPr>
              <w:t>Türkiye</w:t>
            </w:r>
          </w:p>
        </w:tc>
        <w:tc>
          <w:tcPr>
            <w:tcW w:w="986" w:type="dxa"/>
            <w:tcMar>
              <w:top w:w="40" w:type="dxa"/>
              <w:left w:w="70" w:type="dxa"/>
              <w:bottom w:w="40" w:type="dxa"/>
              <w:right w:w="70" w:type="dxa"/>
            </w:tcMar>
          </w:tcPr>
          <w:p w14:paraId="0F6F3C12" w14:textId="77777777" w:rsidR="0039479F" w:rsidRDefault="00000000">
            <w:pPr>
              <w:spacing w:line="216" w:lineRule="auto"/>
            </w:pPr>
            <w:r>
              <w:rPr>
                <w:sz w:val="16"/>
                <w:szCs w:val="16"/>
              </w:rPr>
              <w:t>174</w:t>
            </w:r>
          </w:p>
        </w:tc>
        <w:tc>
          <w:tcPr>
            <w:tcW w:w="1973" w:type="dxa"/>
            <w:tcMar>
              <w:top w:w="40" w:type="dxa"/>
              <w:left w:w="70" w:type="dxa"/>
              <w:bottom w:w="40" w:type="dxa"/>
              <w:right w:w="70" w:type="dxa"/>
            </w:tcMar>
          </w:tcPr>
          <w:p w14:paraId="396044BF" w14:textId="77777777" w:rsidR="0039479F" w:rsidRDefault="00000000">
            <w:pPr>
              <w:spacing w:line="216" w:lineRule="auto"/>
            </w:pPr>
            <w:r>
              <w:rPr>
                <w:sz w:val="16"/>
                <w:szCs w:val="16"/>
              </w:rPr>
              <w:t>Demographic and clinical features</w:t>
            </w:r>
          </w:p>
        </w:tc>
        <w:tc>
          <w:tcPr>
            <w:tcW w:w="4100" w:type="dxa"/>
            <w:tcMar>
              <w:top w:w="40" w:type="dxa"/>
              <w:left w:w="70" w:type="dxa"/>
              <w:bottom w:w="40" w:type="dxa"/>
              <w:right w:w="70" w:type="dxa"/>
            </w:tcMar>
          </w:tcPr>
          <w:p w14:paraId="3D3A34CB" w14:textId="77777777" w:rsidR="0039479F" w:rsidRDefault="00000000">
            <w:pPr>
              <w:spacing w:line="216" w:lineRule="auto"/>
            </w:pPr>
            <w:r>
              <w:rPr>
                <w:sz w:val="16"/>
                <w:szCs w:val="16"/>
              </w:rPr>
              <w:t>Primary headache 72.9%, secondary 27.1%. Unilateral pain increased primary headache risk 1.431-fold (p=0.006); presence of triggers 1.440-fold (p=0.001); comorbid medical disorders increased secondary headache risk 4.643-fold (p&lt;0.001)</w:t>
            </w:r>
          </w:p>
        </w:tc>
      </w:tr>
      <w:tr w:rsidR="0039479F" w14:paraId="651BB122" w14:textId="77777777">
        <w:tc>
          <w:tcPr>
            <w:tcW w:w="1669" w:type="dxa"/>
            <w:tcMar>
              <w:top w:w="40" w:type="dxa"/>
              <w:left w:w="70" w:type="dxa"/>
              <w:bottom w:w="40" w:type="dxa"/>
              <w:right w:w="70" w:type="dxa"/>
            </w:tcMar>
          </w:tcPr>
          <w:p w14:paraId="3DF3A85F" w14:textId="77777777" w:rsidR="0039479F" w:rsidRDefault="00000000">
            <w:pPr>
              <w:spacing w:line="216" w:lineRule="auto"/>
            </w:pPr>
            <w:r>
              <w:rPr>
                <w:sz w:val="16"/>
                <w:szCs w:val="16"/>
              </w:rPr>
              <w:t>Robbins et al. (2015)</w:t>
            </w:r>
          </w:p>
        </w:tc>
        <w:tc>
          <w:tcPr>
            <w:tcW w:w="1138" w:type="dxa"/>
            <w:tcMar>
              <w:top w:w="40" w:type="dxa"/>
              <w:left w:w="70" w:type="dxa"/>
              <w:bottom w:w="40" w:type="dxa"/>
              <w:right w:w="70" w:type="dxa"/>
            </w:tcMar>
          </w:tcPr>
          <w:p w14:paraId="478F125D"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56C0490F" w14:textId="77777777" w:rsidR="0039479F" w:rsidRDefault="00000000">
            <w:pPr>
              <w:spacing w:line="216" w:lineRule="auto"/>
            </w:pPr>
            <w:r>
              <w:rPr>
                <w:sz w:val="16"/>
                <w:szCs w:val="16"/>
              </w:rPr>
              <w:t>140</w:t>
            </w:r>
          </w:p>
        </w:tc>
        <w:tc>
          <w:tcPr>
            <w:tcW w:w="1973" w:type="dxa"/>
            <w:tcMar>
              <w:top w:w="40" w:type="dxa"/>
              <w:left w:w="70" w:type="dxa"/>
              <w:bottom w:w="40" w:type="dxa"/>
              <w:right w:w="70" w:type="dxa"/>
            </w:tcMar>
          </w:tcPr>
          <w:p w14:paraId="29BFA509" w14:textId="77777777" w:rsidR="0039479F" w:rsidRDefault="00000000">
            <w:pPr>
              <w:spacing w:line="216" w:lineRule="auto"/>
            </w:pPr>
            <w:r>
              <w:rPr>
                <w:sz w:val="16"/>
                <w:szCs w:val="16"/>
              </w:rPr>
              <w:t>Clinical features</w:t>
            </w:r>
          </w:p>
        </w:tc>
        <w:tc>
          <w:tcPr>
            <w:tcW w:w="4100" w:type="dxa"/>
            <w:tcMar>
              <w:top w:w="40" w:type="dxa"/>
              <w:left w:w="70" w:type="dxa"/>
              <w:bottom w:w="40" w:type="dxa"/>
              <w:right w:w="70" w:type="dxa"/>
            </w:tcMar>
          </w:tcPr>
          <w:p w14:paraId="382B02EB" w14:textId="77777777" w:rsidR="0039479F" w:rsidRDefault="00000000">
            <w:pPr>
              <w:spacing w:line="216" w:lineRule="auto"/>
            </w:pPr>
            <w:r>
              <w:rPr>
                <w:sz w:val="16"/>
                <w:szCs w:val="16"/>
              </w:rPr>
              <w:t>Primary 65.0% and secondary 35.0%; commonest secondary cause was hypertensive disorders (51.0%). Multivariable predictors of secondary headache: elevated blood pressure OR 17.0 (4.2-56.0), lack of headache history OR 4.9 (1.7-14.5); psychiatric comorbidity OR 0.13 (0.021-0.78) and phonophobia OR 0.29 (0.09-0.91) were inversely associated</w:t>
            </w:r>
          </w:p>
        </w:tc>
      </w:tr>
      <w:tr w:rsidR="0039479F" w14:paraId="70841727" w14:textId="77777777">
        <w:tc>
          <w:tcPr>
            <w:tcW w:w="1669" w:type="dxa"/>
            <w:tcMar>
              <w:top w:w="40" w:type="dxa"/>
              <w:left w:w="70" w:type="dxa"/>
              <w:bottom w:w="40" w:type="dxa"/>
              <w:right w:w="70" w:type="dxa"/>
            </w:tcMar>
          </w:tcPr>
          <w:p w14:paraId="7267554B" w14:textId="77777777" w:rsidR="0039479F" w:rsidRDefault="00000000">
            <w:pPr>
              <w:spacing w:line="216" w:lineRule="auto"/>
            </w:pPr>
            <w:r>
              <w:rPr>
                <w:sz w:val="16"/>
                <w:szCs w:val="16"/>
              </w:rPr>
              <w:t>Raffaelli et al. (2017)</w:t>
            </w:r>
          </w:p>
        </w:tc>
        <w:tc>
          <w:tcPr>
            <w:tcW w:w="1138" w:type="dxa"/>
            <w:tcMar>
              <w:top w:w="40" w:type="dxa"/>
              <w:left w:w="70" w:type="dxa"/>
              <w:bottom w:w="40" w:type="dxa"/>
              <w:right w:w="70" w:type="dxa"/>
            </w:tcMar>
          </w:tcPr>
          <w:p w14:paraId="01400653" w14:textId="77777777" w:rsidR="0039479F" w:rsidRDefault="00000000">
            <w:pPr>
              <w:spacing w:line="216" w:lineRule="auto"/>
            </w:pPr>
            <w:r>
              <w:rPr>
                <w:sz w:val="16"/>
                <w:szCs w:val="16"/>
              </w:rPr>
              <w:t>Germany</w:t>
            </w:r>
          </w:p>
        </w:tc>
        <w:tc>
          <w:tcPr>
            <w:tcW w:w="986" w:type="dxa"/>
            <w:tcMar>
              <w:top w:w="40" w:type="dxa"/>
              <w:left w:w="70" w:type="dxa"/>
              <w:bottom w:w="40" w:type="dxa"/>
              <w:right w:w="70" w:type="dxa"/>
            </w:tcMar>
          </w:tcPr>
          <w:p w14:paraId="103F5D2C" w14:textId="77777777" w:rsidR="0039479F" w:rsidRDefault="00000000">
            <w:pPr>
              <w:spacing w:line="216" w:lineRule="auto"/>
            </w:pPr>
            <w:r>
              <w:rPr>
                <w:sz w:val="16"/>
                <w:szCs w:val="16"/>
              </w:rPr>
              <w:t>151</w:t>
            </w:r>
          </w:p>
        </w:tc>
        <w:tc>
          <w:tcPr>
            <w:tcW w:w="1973" w:type="dxa"/>
            <w:tcMar>
              <w:top w:w="40" w:type="dxa"/>
              <w:left w:w="70" w:type="dxa"/>
              <w:bottom w:w="40" w:type="dxa"/>
              <w:right w:w="70" w:type="dxa"/>
            </w:tcMar>
          </w:tcPr>
          <w:p w14:paraId="69E60B3E" w14:textId="77777777" w:rsidR="0039479F" w:rsidRDefault="00000000">
            <w:pPr>
              <w:spacing w:line="216" w:lineRule="auto"/>
            </w:pPr>
            <w:r>
              <w:rPr>
                <w:sz w:val="16"/>
                <w:szCs w:val="16"/>
              </w:rPr>
              <w:t>Anamnestic and clinical features</w:t>
            </w:r>
          </w:p>
        </w:tc>
        <w:tc>
          <w:tcPr>
            <w:tcW w:w="4100" w:type="dxa"/>
            <w:tcMar>
              <w:top w:w="40" w:type="dxa"/>
              <w:left w:w="70" w:type="dxa"/>
              <w:bottom w:w="40" w:type="dxa"/>
              <w:right w:w="70" w:type="dxa"/>
            </w:tcMar>
          </w:tcPr>
          <w:p w14:paraId="394A3FF3" w14:textId="77777777" w:rsidR="0039479F" w:rsidRDefault="00000000">
            <w:pPr>
              <w:spacing w:line="216" w:lineRule="auto"/>
            </w:pPr>
            <w:r>
              <w:rPr>
                <w:sz w:val="16"/>
                <w:szCs w:val="16"/>
              </w:rPr>
              <w:t>Primary headache in 57.6%. Commonest secondary aetiologies: infections (29.7%) and hypertensive disorders (22.0%). Independent predictors of secondary headache: secondary headache history OR 6.6 (1.3-33.1), elevated blood pressure OR 7.2 (2.3-22.6), fever OR 12.1 (1.3-111.0), abnormal neurological examination OR 9.9 (2.7-36.3)</w:t>
            </w:r>
          </w:p>
        </w:tc>
      </w:tr>
      <w:tr w:rsidR="0039479F" w14:paraId="617630A5" w14:textId="77777777">
        <w:tc>
          <w:tcPr>
            <w:tcW w:w="1669" w:type="dxa"/>
            <w:tcMar>
              <w:top w:w="40" w:type="dxa"/>
              <w:left w:w="70" w:type="dxa"/>
              <w:bottom w:w="40" w:type="dxa"/>
              <w:right w:w="70" w:type="dxa"/>
            </w:tcMar>
          </w:tcPr>
          <w:p w14:paraId="1679371F" w14:textId="77777777" w:rsidR="0039479F" w:rsidRDefault="00000000">
            <w:pPr>
              <w:spacing w:line="216" w:lineRule="auto"/>
            </w:pPr>
            <w:r>
              <w:rPr>
                <w:sz w:val="16"/>
                <w:szCs w:val="16"/>
              </w:rPr>
              <w:t>Sporns et al. (2018)</w:t>
            </w:r>
          </w:p>
        </w:tc>
        <w:tc>
          <w:tcPr>
            <w:tcW w:w="1138" w:type="dxa"/>
            <w:tcMar>
              <w:top w:w="40" w:type="dxa"/>
              <w:left w:w="70" w:type="dxa"/>
              <w:bottom w:w="40" w:type="dxa"/>
              <w:right w:w="70" w:type="dxa"/>
            </w:tcMar>
          </w:tcPr>
          <w:p w14:paraId="43444ECB" w14:textId="77777777" w:rsidR="0039479F" w:rsidRDefault="00000000">
            <w:pPr>
              <w:spacing w:line="216" w:lineRule="auto"/>
            </w:pPr>
            <w:r>
              <w:rPr>
                <w:sz w:val="16"/>
                <w:szCs w:val="16"/>
              </w:rPr>
              <w:t>Germany</w:t>
            </w:r>
          </w:p>
        </w:tc>
        <w:tc>
          <w:tcPr>
            <w:tcW w:w="986" w:type="dxa"/>
            <w:tcMar>
              <w:top w:w="40" w:type="dxa"/>
              <w:left w:w="70" w:type="dxa"/>
              <w:bottom w:w="40" w:type="dxa"/>
              <w:right w:w="70" w:type="dxa"/>
            </w:tcMar>
          </w:tcPr>
          <w:p w14:paraId="2E8F93DE" w14:textId="77777777" w:rsidR="0039479F" w:rsidRDefault="00000000">
            <w:pPr>
              <w:spacing w:line="216" w:lineRule="auto"/>
            </w:pPr>
            <w:r>
              <w:rPr>
                <w:sz w:val="16"/>
                <w:szCs w:val="16"/>
              </w:rPr>
              <w:t>239</w:t>
            </w:r>
          </w:p>
        </w:tc>
        <w:tc>
          <w:tcPr>
            <w:tcW w:w="1973" w:type="dxa"/>
            <w:tcMar>
              <w:top w:w="40" w:type="dxa"/>
              <w:left w:w="70" w:type="dxa"/>
              <w:bottom w:w="40" w:type="dxa"/>
              <w:right w:w="70" w:type="dxa"/>
            </w:tcMar>
          </w:tcPr>
          <w:p w14:paraId="5528887C" w14:textId="77777777" w:rsidR="0039479F" w:rsidRDefault="00000000">
            <w:pPr>
              <w:spacing w:line="216" w:lineRule="auto"/>
            </w:pPr>
            <w:r>
              <w:rPr>
                <w:sz w:val="16"/>
                <w:szCs w:val="16"/>
              </w:rPr>
              <w:t>Anamnestic and neurological information</w:t>
            </w:r>
          </w:p>
        </w:tc>
        <w:tc>
          <w:tcPr>
            <w:tcW w:w="4100" w:type="dxa"/>
            <w:tcMar>
              <w:top w:w="40" w:type="dxa"/>
              <w:left w:w="70" w:type="dxa"/>
              <w:bottom w:w="40" w:type="dxa"/>
              <w:right w:w="70" w:type="dxa"/>
            </w:tcMar>
          </w:tcPr>
          <w:p w14:paraId="0F08D8EA" w14:textId="77777777" w:rsidR="0039479F" w:rsidRDefault="00000000">
            <w:pPr>
              <w:spacing w:line="216" w:lineRule="auto"/>
            </w:pPr>
            <w:r>
              <w:rPr>
                <w:sz w:val="16"/>
                <w:szCs w:val="16"/>
              </w:rPr>
              <w:t>Treatment-requiring intracranial pathology in 27/239 (11.3%); commonest were intracranial hypertension (9), cerebral mass lesions (7) and cranial sinus/vein thrombosis (3). Significant associations with pathological imaging: neurological deficit (p=0.001) and papilloedema (p&lt;0.001); vigilance, pain intensity, thromboembolic risk factors, age and sex were…</w:t>
            </w:r>
          </w:p>
        </w:tc>
      </w:tr>
      <w:tr w:rsidR="0039479F" w14:paraId="072117F4" w14:textId="77777777">
        <w:tc>
          <w:tcPr>
            <w:tcW w:w="1669" w:type="dxa"/>
            <w:tcMar>
              <w:top w:w="40" w:type="dxa"/>
              <w:left w:w="70" w:type="dxa"/>
              <w:bottom w:w="40" w:type="dxa"/>
              <w:right w:w="70" w:type="dxa"/>
            </w:tcMar>
          </w:tcPr>
          <w:p w14:paraId="0E350728" w14:textId="77777777" w:rsidR="0039479F" w:rsidRDefault="00000000">
            <w:pPr>
              <w:spacing w:line="216" w:lineRule="auto"/>
            </w:pPr>
            <w:r>
              <w:rPr>
                <w:sz w:val="16"/>
                <w:szCs w:val="16"/>
              </w:rPr>
              <w:t>García-Azorín et al. (2020a)</w:t>
            </w:r>
          </w:p>
        </w:tc>
        <w:tc>
          <w:tcPr>
            <w:tcW w:w="1138" w:type="dxa"/>
            <w:tcMar>
              <w:top w:w="40" w:type="dxa"/>
              <w:left w:w="70" w:type="dxa"/>
              <w:bottom w:w="40" w:type="dxa"/>
              <w:right w:w="70" w:type="dxa"/>
            </w:tcMar>
          </w:tcPr>
          <w:p w14:paraId="23603B83" w14:textId="77777777" w:rsidR="0039479F" w:rsidRDefault="00000000">
            <w:pPr>
              <w:spacing w:line="216" w:lineRule="auto"/>
            </w:pPr>
            <w:r>
              <w:rPr>
                <w:sz w:val="16"/>
                <w:szCs w:val="16"/>
              </w:rPr>
              <w:t>Spain</w:t>
            </w:r>
          </w:p>
        </w:tc>
        <w:tc>
          <w:tcPr>
            <w:tcW w:w="986" w:type="dxa"/>
            <w:tcMar>
              <w:top w:w="40" w:type="dxa"/>
              <w:left w:w="70" w:type="dxa"/>
              <w:bottom w:w="40" w:type="dxa"/>
              <w:right w:w="70" w:type="dxa"/>
            </w:tcMar>
          </w:tcPr>
          <w:p w14:paraId="3DD7C9FC" w14:textId="77777777" w:rsidR="0039479F" w:rsidRDefault="00000000">
            <w:pPr>
              <w:spacing w:line="216" w:lineRule="auto"/>
            </w:pPr>
            <w:r>
              <w:rPr>
                <w:sz w:val="16"/>
                <w:szCs w:val="16"/>
              </w:rPr>
              <w:t>19</w:t>
            </w:r>
          </w:p>
        </w:tc>
        <w:tc>
          <w:tcPr>
            <w:tcW w:w="1973" w:type="dxa"/>
            <w:tcMar>
              <w:top w:w="40" w:type="dxa"/>
              <w:left w:w="70" w:type="dxa"/>
              <w:bottom w:w="40" w:type="dxa"/>
              <w:right w:w="70" w:type="dxa"/>
            </w:tcMar>
          </w:tcPr>
          <w:p w14:paraId="1A6CA7A2" w14:textId="77777777" w:rsidR="0039479F" w:rsidRDefault="00000000">
            <w:pPr>
              <w:spacing w:line="216" w:lineRule="auto"/>
            </w:pPr>
            <w:r>
              <w:rPr>
                <w:sz w:val="16"/>
                <w:szCs w:val="16"/>
              </w:rPr>
              <w:t>Red flags at ED presentation</w:t>
            </w:r>
          </w:p>
        </w:tc>
        <w:tc>
          <w:tcPr>
            <w:tcW w:w="4100" w:type="dxa"/>
            <w:tcMar>
              <w:top w:w="40" w:type="dxa"/>
              <w:left w:w="70" w:type="dxa"/>
              <w:bottom w:w="40" w:type="dxa"/>
              <w:right w:w="70" w:type="dxa"/>
            </w:tcMar>
          </w:tcPr>
          <w:p w14:paraId="5567B895" w14:textId="77777777" w:rsidR="0039479F" w:rsidRDefault="00000000">
            <w:pPr>
              <w:spacing w:line="216" w:lineRule="auto"/>
            </w:pPr>
            <w:r>
              <w:rPr>
                <w:sz w:val="16"/>
                <w:szCs w:val="16"/>
              </w:rPr>
              <w:t>All 19 patients had at least one red flag; abnormal neurological examination most frequent (79%), other neurological symptoms (68%), headache-phenotype alarm features (63%), prior medical history risk factors (47%). Temporal pattern acute 42.1%, thunderclap 31.6%, subacute 26.3%. CVST was not the stated suspicion at imaging request in any patient</w:t>
            </w:r>
          </w:p>
        </w:tc>
      </w:tr>
      <w:tr w:rsidR="0039479F" w14:paraId="503242AF" w14:textId="77777777">
        <w:tc>
          <w:tcPr>
            <w:tcW w:w="1669" w:type="dxa"/>
            <w:tcMar>
              <w:top w:w="40" w:type="dxa"/>
              <w:left w:w="70" w:type="dxa"/>
              <w:bottom w:w="40" w:type="dxa"/>
              <w:right w:w="70" w:type="dxa"/>
            </w:tcMar>
          </w:tcPr>
          <w:p w14:paraId="1BA0ADBB" w14:textId="77777777" w:rsidR="0039479F" w:rsidRDefault="00000000">
            <w:pPr>
              <w:spacing w:line="216" w:lineRule="auto"/>
            </w:pPr>
            <w:r>
              <w:rPr>
                <w:sz w:val="16"/>
                <w:szCs w:val="16"/>
              </w:rPr>
              <w:t>Hashimoto et al. (2023)</w:t>
            </w:r>
          </w:p>
        </w:tc>
        <w:tc>
          <w:tcPr>
            <w:tcW w:w="1138" w:type="dxa"/>
            <w:tcMar>
              <w:top w:w="40" w:type="dxa"/>
              <w:left w:w="70" w:type="dxa"/>
              <w:bottom w:w="40" w:type="dxa"/>
              <w:right w:w="70" w:type="dxa"/>
            </w:tcMar>
          </w:tcPr>
          <w:p w14:paraId="7E359A59" w14:textId="77777777" w:rsidR="0039479F" w:rsidRDefault="00000000">
            <w:pPr>
              <w:spacing w:line="216" w:lineRule="auto"/>
            </w:pPr>
            <w:r>
              <w:rPr>
                <w:sz w:val="16"/>
                <w:szCs w:val="16"/>
              </w:rPr>
              <w:t>Japan</w:t>
            </w:r>
          </w:p>
        </w:tc>
        <w:tc>
          <w:tcPr>
            <w:tcW w:w="986" w:type="dxa"/>
            <w:tcMar>
              <w:top w:w="40" w:type="dxa"/>
              <w:left w:w="70" w:type="dxa"/>
              <w:bottom w:w="40" w:type="dxa"/>
              <w:right w:w="70" w:type="dxa"/>
            </w:tcMar>
          </w:tcPr>
          <w:p w14:paraId="696F4A1B" w14:textId="77777777" w:rsidR="0039479F" w:rsidRDefault="00000000">
            <w:pPr>
              <w:spacing w:line="216" w:lineRule="auto"/>
            </w:pPr>
            <w:r>
              <w:rPr>
                <w:sz w:val="16"/>
                <w:szCs w:val="16"/>
              </w:rPr>
              <w:t>197</w:t>
            </w:r>
          </w:p>
        </w:tc>
        <w:tc>
          <w:tcPr>
            <w:tcW w:w="1973" w:type="dxa"/>
            <w:tcMar>
              <w:top w:w="40" w:type="dxa"/>
              <w:left w:w="70" w:type="dxa"/>
              <w:bottom w:w="40" w:type="dxa"/>
              <w:right w:w="70" w:type="dxa"/>
            </w:tcMar>
          </w:tcPr>
          <w:p w14:paraId="6D7ADEB9" w14:textId="77777777" w:rsidR="0039479F" w:rsidRDefault="00000000">
            <w:pPr>
              <w:spacing w:line="216" w:lineRule="auto"/>
            </w:pPr>
            <w:r>
              <w:rPr>
                <w:sz w:val="16"/>
                <w:szCs w:val="16"/>
              </w:rPr>
              <w:t>Headache characteristics</w:t>
            </w:r>
          </w:p>
        </w:tc>
        <w:tc>
          <w:tcPr>
            <w:tcW w:w="4100" w:type="dxa"/>
            <w:tcMar>
              <w:top w:w="40" w:type="dxa"/>
              <w:left w:w="70" w:type="dxa"/>
              <w:bottom w:w="40" w:type="dxa"/>
              <w:right w:w="70" w:type="dxa"/>
            </w:tcMar>
          </w:tcPr>
          <w:p w14:paraId="1DBF5526" w14:textId="77777777" w:rsidR="0039479F" w:rsidRDefault="00000000">
            <w:pPr>
              <w:spacing w:line="216" w:lineRule="auto"/>
            </w:pPr>
            <w:r>
              <w:rPr>
                <w:sz w:val="16"/>
                <w:szCs w:val="16"/>
              </w:rPr>
              <w:t>93/197 diagnosed with cervicocerebral artery dissection. Headache characteristics analysed as independent diagnostic predictors; 41% missing data for analgesic response handled by multiple imputation</w:t>
            </w:r>
          </w:p>
        </w:tc>
      </w:tr>
      <w:tr w:rsidR="0039479F" w14:paraId="295A5DDD" w14:textId="77777777">
        <w:tc>
          <w:tcPr>
            <w:tcW w:w="1669" w:type="dxa"/>
            <w:tcMar>
              <w:top w:w="40" w:type="dxa"/>
              <w:left w:w="70" w:type="dxa"/>
              <w:bottom w:w="40" w:type="dxa"/>
              <w:right w:w="70" w:type="dxa"/>
            </w:tcMar>
          </w:tcPr>
          <w:p w14:paraId="33351009" w14:textId="77777777" w:rsidR="0039479F" w:rsidRDefault="00000000">
            <w:pPr>
              <w:spacing w:line="216" w:lineRule="auto"/>
            </w:pPr>
            <w:r>
              <w:rPr>
                <w:sz w:val="16"/>
                <w:szCs w:val="16"/>
              </w:rPr>
              <w:t>Vidal-Castello et al. (2019)</w:t>
            </w:r>
          </w:p>
        </w:tc>
        <w:tc>
          <w:tcPr>
            <w:tcW w:w="1138" w:type="dxa"/>
            <w:tcMar>
              <w:top w:w="40" w:type="dxa"/>
              <w:left w:w="70" w:type="dxa"/>
              <w:bottom w:w="40" w:type="dxa"/>
              <w:right w:w="70" w:type="dxa"/>
            </w:tcMar>
          </w:tcPr>
          <w:p w14:paraId="15B508A8" w14:textId="77777777" w:rsidR="0039479F" w:rsidRDefault="00000000">
            <w:pPr>
              <w:spacing w:line="216" w:lineRule="auto"/>
            </w:pPr>
            <w:r>
              <w:rPr>
                <w:sz w:val="16"/>
                <w:szCs w:val="16"/>
              </w:rPr>
              <w:t>Spain</w:t>
            </w:r>
          </w:p>
        </w:tc>
        <w:tc>
          <w:tcPr>
            <w:tcW w:w="986" w:type="dxa"/>
            <w:tcMar>
              <w:top w:w="40" w:type="dxa"/>
              <w:left w:w="70" w:type="dxa"/>
              <w:bottom w:w="40" w:type="dxa"/>
              <w:right w:w="70" w:type="dxa"/>
            </w:tcMar>
          </w:tcPr>
          <w:p w14:paraId="5D19D146" w14:textId="77777777" w:rsidR="0039479F" w:rsidRDefault="00000000">
            <w:pPr>
              <w:spacing w:line="216" w:lineRule="auto"/>
            </w:pPr>
            <w:r>
              <w:rPr>
                <w:sz w:val="16"/>
                <w:szCs w:val="16"/>
              </w:rPr>
              <w:t>303 identified; 165 included</w:t>
            </w:r>
          </w:p>
        </w:tc>
        <w:tc>
          <w:tcPr>
            <w:tcW w:w="1973" w:type="dxa"/>
            <w:tcMar>
              <w:top w:w="40" w:type="dxa"/>
              <w:left w:w="70" w:type="dxa"/>
              <w:bottom w:w="40" w:type="dxa"/>
              <w:right w:w="70" w:type="dxa"/>
            </w:tcMar>
          </w:tcPr>
          <w:p w14:paraId="427E45C4" w14:textId="77777777" w:rsidR="0039479F" w:rsidRDefault="00000000">
            <w:pPr>
              <w:spacing w:line="216" w:lineRule="auto"/>
            </w:pPr>
            <w:r>
              <w:rPr>
                <w:sz w:val="16"/>
                <w:szCs w:val="16"/>
              </w:rPr>
              <w:t>Alarm (red flag) criteria</w:t>
            </w:r>
          </w:p>
        </w:tc>
        <w:tc>
          <w:tcPr>
            <w:tcW w:w="4100" w:type="dxa"/>
            <w:tcMar>
              <w:top w:w="40" w:type="dxa"/>
              <w:left w:w="70" w:type="dxa"/>
              <w:bottom w:w="40" w:type="dxa"/>
              <w:right w:w="70" w:type="dxa"/>
            </w:tcMar>
          </w:tcPr>
          <w:p w14:paraId="01475A28" w14:textId="77777777" w:rsidR="0039479F" w:rsidRDefault="00000000">
            <w:pPr>
              <w:spacing w:line="216" w:lineRule="auto"/>
            </w:pPr>
            <w:r>
              <w:rPr>
                <w:sz w:val="16"/>
                <w:szCs w:val="16"/>
              </w:rPr>
              <w:t>Alarm criteria present in 52/165 (31.5%); serious cause in 4/165 (2.4%). At 1 year, 3 patients without initial alarm criteria were diagnosed with serious CNS disease; 23 (13.9%) re-attended</w:t>
            </w:r>
          </w:p>
        </w:tc>
      </w:tr>
    </w:tbl>
    <w:p w14:paraId="0ACFBD02" w14:textId="77777777" w:rsidR="0039479F" w:rsidRDefault="00000000">
      <w:pPr>
        <w:spacing w:before="90" w:after="220" w:line="240" w:lineRule="auto"/>
      </w:pPr>
      <w:r>
        <w:rPr>
          <w:sz w:val="17"/>
          <w:szCs w:val="17"/>
        </w:rPr>
        <w:t>Note. Likelihood ratios, odds ratios and accuracy estimates are reproduced as published. Studies enrolling only patients with a confirmed target condition can estimate sensitivity but not specificity. Long entries are abbreviated here; the complete extraction for every report is in Supplementary material S5.</w:t>
      </w:r>
    </w:p>
    <w:p w14:paraId="5E92ACE9" w14:textId="77777777" w:rsidR="0039479F" w:rsidRDefault="00000000">
      <w:pPr>
        <w:pStyle w:val="Heading2"/>
        <w:keepNext/>
        <w:spacing w:before="220" w:after="110"/>
      </w:pPr>
      <w:r>
        <w:lastRenderedPageBreak/>
        <w:t>3.6 Composite clinical decision rules</w:t>
      </w:r>
    </w:p>
    <w:p w14:paraId="3C004B29" w14:textId="77777777" w:rsidR="0039479F" w:rsidRDefault="00000000">
      <w:pPr>
        <w:spacing w:after="140"/>
        <w:jc w:val="both"/>
      </w:pPr>
      <w:r>
        <w:t>Forty-three reports evaluated composite clinical decision rules and clinical prediction scores. The Ottawa Subarachnoid Haemorrhage Rule is the most extensively evaluated. In the derivation cohort of 1,999 neurologically intact adults with headache peaking within one hour, three candidate rules each achieved 100% sensitivity (95% CI 97.1–100.0) with specificities of 28.4% to 38.8% (Perry et al., 2010). In a subsequent multicentre cohort of 2,131 patients, a rule comprising age 40 years or older, neck pain or stiffness, witnessed loss of consciousness or onset during exertion achieved a sensitivity of 98.5% (95% CI 94.6–99.6) and specificity of 27.5%; adding thunderclap headache and limited neck flexion produced the Ottawa rule, with a sensitivity of 100% (95% CI 97.2–100.0) and specificity of 15.3% (Perry et al., 2013). Prospective validation in 1,153 patients, with the rule scored explicitly before investigation, reproduced a sensitivity of 100% (95% CI 94.6–100) with a specificity of 13.6% (Perry et al., 2017).</w:t>
      </w:r>
    </w:p>
    <w:p w14:paraId="72504440" w14:textId="77777777" w:rsidR="0039479F" w:rsidRDefault="00000000">
      <w:pPr>
        <w:spacing w:after="140"/>
        <w:jc w:val="both"/>
      </w:pPr>
      <w:r>
        <w:t>External validations have been broadly concordant on sensitivity and consistently disappointing on specificity. Sensitivity was 100% with specificity 22% in a UK cohort (Foley et al., 2021), 100% with specificity 37.0% in a Taiwanese cohort (Wu et al., 2020), 100% with specificity 7.6% in a US record review (Bellolio et al., 2015), and 100% among 56 Japanese patients with confirmed haemorrhage (Suzuki et al., 2021). Two validations found lower sensitivity: 94% in an Asian Chinese cohort of 500 patients with 50 haemorrhages, where adding vomiting and systolic blood pressure above 160 mmHg improved discrimination (Cheung et al., 2018), and 85.1% in a Turkish cohort, in which the EMERALD rule achieved 96.4% and the addition of an eosinophil count below 0.085 × 10⁹/L raised sensitivity to 100% with specificity 38.4% (Kaya et al., 2023).</w:t>
      </w:r>
    </w:p>
    <w:p w14:paraId="0C573BB9" w14:textId="77777777" w:rsidR="0039479F" w:rsidRDefault="00000000">
      <w:pPr>
        <w:spacing w:after="140"/>
        <w:jc w:val="both"/>
      </w:pPr>
      <w:r>
        <w:t>Three practical constraints emerged. First, applicability is limited: in a statewide snapshot of 34 emergency departments, only 149 of 644 patients (23.1%, 95% CI 20.0–26.5) met the entry criteria for the Ottawa rule, and fewer than 5% of the whole cohort could have had haemorrhage excluded by the rule alone (Chu et al., 2018a). Second, the rule is condition-specific: applied to 913 ED headache patients it retained 100% sensitivity for subarachnoid and intracranial haemorrhage but fell to 75.0% sensitivity for non-haemorrhagic intracranial pathology (Wu et al., 2020). Third, implementation changes practice modestly: a multicentre before-and-after study of 3,672 patients found no change in CT use but a fall in lumbar puncture from 38.9% to 25.9% (P &lt; 0.0001) and in admissions from 9.8% to 7.4% (P = 0.011) (Perry et al., 2020).</w:t>
      </w:r>
    </w:p>
    <w:p w14:paraId="099ACE0D" w14:textId="77777777" w:rsidR="0039479F" w:rsidRDefault="00000000">
      <w:pPr>
        <w:spacing w:after="140"/>
        <w:jc w:val="both"/>
      </w:pPr>
      <w:r>
        <w:t>Rules developed for the broader decision of whether to perform cranial CT in non-traumatic patients behaved similarly, with high sensitivity and low specificity, and validated inconsistently across settings. The Emergency CT Head Score reached an area under the curve of 0.894 in a French multicentre validation of 600 patients (Seingier et al., 2026) but only 0.498, with a sensitivity of 83.3% at the proposed threshold, in an Australian prospective cohort of 412 patients (Nguyen et al., 2022). Table 7 presents the composite rules with their reported operating characteristics.</w:t>
      </w:r>
    </w:p>
    <w:p w14:paraId="12DF71C9" w14:textId="77777777" w:rsidR="0039479F" w:rsidRDefault="00000000">
      <w:pPr>
        <w:keepNext/>
        <w:spacing w:before="200" w:after="90"/>
      </w:pPr>
      <w:r>
        <w:rPr>
          <w:b/>
          <w:bCs/>
          <w:sz w:val="21"/>
          <w:szCs w:val="21"/>
        </w:rPr>
        <w:t>Table 7. Composite clinical decision rules and prediction scores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93"/>
        <w:gridCol w:w="1062"/>
        <w:gridCol w:w="986"/>
        <w:gridCol w:w="1897"/>
        <w:gridCol w:w="4328"/>
      </w:tblGrid>
      <w:tr w:rsidR="0039479F" w14:paraId="5D10ADA5" w14:textId="77777777">
        <w:trPr>
          <w:tblHeader/>
        </w:trPr>
        <w:tc>
          <w:tcPr>
            <w:tcW w:w="1593" w:type="dxa"/>
            <w:shd w:val="clear" w:color="auto" w:fill="F2F2F2"/>
            <w:tcMar>
              <w:top w:w="40" w:type="dxa"/>
              <w:left w:w="70" w:type="dxa"/>
              <w:bottom w:w="40" w:type="dxa"/>
              <w:right w:w="70" w:type="dxa"/>
            </w:tcMar>
          </w:tcPr>
          <w:p w14:paraId="211CF42D" w14:textId="77777777" w:rsidR="0039479F" w:rsidRDefault="00000000">
            <w:pPr>
              <w:spacing w:line="216" w:lineRule="auto"/>
            </w:pPr>
            <w:r>
              <w:rPr>
                <w:b/>
                <w:bCs/>
                <w:sz w:val="16"/>
                <w:szCs w:val="16"/>
              </w:rPr>
              <w:t>Study</w:t>
            </w:r>
          </w:p>
        </w:tc>
        <w:tc>
          <w:tcPr>
            <w:tcW w:w="1062" w:type="dxa"/>
            <w:shd w:val="clear" w:color="auto" w:fill="F2F2F2"/>
            <w:tcMar>
              <w:top w:w="40" w:type="dxa"/>
              <w:left w:w="70" w:type="dxa"/>
              <w:bottom w:w="40" w:type="dxa"/>
              <w:right w:w="70" w:type="dxa"/>
            </w:tcMar>
          </w:tcPr>
          <w:p w14:paraId="6ED0391D" w14:textId="77777777" w:rsidR="0039479F" w:rsidRDefault="00000000">
            <w:pPr>
              <w:spacing w:line="216" w:lineRule="auto"/>
            </w:pPr>
            <w:r>
              <w:rPr>
                <w:b/>
                <w:bCs/>
                <w:sz w:val="16"/>
                <w:szCs w:val="16"/>
              </w:rPr>
              <w:t>Country</w:t>
            </w:r>
          </w:p>
        </w:tc>
        <w:tc>
          <w:tcPr>
            <w:tcW w:w="986" w:type="dxa"/>
            <w:shd w:val="clear" w:color="auto" w:fill="F2F2F2"/>
            <w:tcMar>
              <w:top w:w="40" w:type="dxa"/>
              <w:left w:w="70" w:type="dxa"/>
              <w:bottom w:w="40" w:type="dxa"/>
              <w:right w:w="70" w:type="dxa"/>
            </w:tcMar>
          </w:tcPr>
          <w:p w14:paraId="452BF469" w14:textId="77777777" w:rsidR="0039479F" w:rsidRDefault="00000000">
            <w:pPr>
              <w:spacing w:line="216" w:lineRule="auto"/>
            </w:pPr>
            <w:r>
              <w:rPr>
                <w:b/>
                <w:bCs/>
                <w:sz w:val="16"/>
                <w:szCs w:val="16"/>
              </w:rPr>
              <w:t>Participants</w:t>
            </w:r>
          </w:p>
        </w:tc>
        <w:tc>
          <w:tcPr>
            <w:tcW w:w="1897" w:type="dxa"/>
            <w:shd w:val="clear" w:color="auto" w:fill="F2F2F2"/>
            <w:tcMar>
              <w:top w:w="40" w:type="dxa"/>
              <w:left w:w="70" w:type="dxa"/>
              <w:bottom w:w="40" w:type="dxa"/>
              <w:right w:w="70" w:type="dxa"/>
            </w:tcMar>
          </w:tcPr>
          <w:p w14:paraId="424C491F" w14:textId="77777777" w:rsidR="0039479F" w:rsidRDefault="00000000">
            <w:pPr>
              <w:spacing w:line="216" w:lineRule="auto"/>
            </w:pPr>
            <w:r>
              <w:rPr>
                <w:b/>
                <w:bCs/>
                <w:sz w:val="16"/>
                <w:szCs w:val="16"/>
              </w:rPr>
              <w:t>Rule evaluated</w:t>
            </w:r>
          </w:p>
        </w:tc>
        <w:tc>
          <w:tcPr>
            <w:tcW w:w="4328" w:type="dxa"/>
            <w:shd w:val="clear" w:color="auto" w:fill="F2F2F2"/>
            <w:tcMar>
              <w:top w:w="40" w:type="dxa"/>
              <w:left w:w="70" w:type="dxa"/>
              <w:bottom w:w="40" w:type="dxa"/>
              <w:right w:w="70" w:type="dxa"/>
            </w:tcMar>
          </w:tcPr>
          <w:p w14:paraId="039DF019" w14:textId="77777777" w:rsidR="0039479F" w:rsidRDefault="00000000">
            <w:pPr>
              <w:spacing w:line="216" w:lineRule="auto"/>
            </w:pPr>
            <w:r>
              <w:rPr>
                <w:b/>
                <w:bCs/>
                <w:sz w:val="16"/>
                <w:szCs w:val="16"/>
              </w:rPr>
              <w:t>Results as reported</w:t>
            </w:r>
          </w:p>
        </w:tc>
      </w:tr>
      <w:tr w:rsidR="0039479F" w14:paraId="56D12F12" w14:textId="77777777">
        <w:tc>
          <w:tcPr>
            <w:tcW w:w="1593" w:type="dxa"/>
            <w:tcMar>
              <w:top w:w="40" w:type="dxa"/>
              <w:left w:w="70" w:type="dxa"/>
              <w:bottom w:w="40" w:type="dxa"/>
              <w:right w:w="70" w:type="dxa"/>
            </w:tcMar>
          </w:tcPr>
          <w:p w14:paraId="63E2867B" w14:textId="77777777" w:rsidR="0039479F" w:rsidRDefault="00000000">
            <w:pPr>
              <w:spacing w:line="216" w:lineRule="auto"/>
            </w:pPr>
            <w:r>
              <w:rPr>
                <w:sz w:val="16"/>
                <w:szCs w:val="16"/>
              </w:rPr>
              <w:t>Perry et al. (2010)</w:t>
            </w:r>
          </w:p>
        </w:tc>
        <w:tc>
          <w:tcPr>
            <w:tcW w:w="1062" w:type="dxa"/>
            <w:tcMar>
              <w:top w:w="40" w:type="dxa"/>
              <w:left w:w="70" w:type="dxa"/>
              <w:bottom w:w="40" w:type="dxa"/>
              <w:right w:w="70" w:type="dxa"/>
            </w:tcMar>
          </w:tcPr>
          <w:p w14:paraId="044DF9F9" w14:textId="77777777" w:rsidR="0039479F" w:rsidRDefault="00000000">
            <w:pPr>
              <w:spacing w:line="216" w:lineRule="auto"/>
            </w:pPr>
            <w:r>
              <w:rPr>
                <w:sz w:val="16"/>
                <w:szCs w:val="16"/>
              </w:rPr>
              <w:t>Canada</w:t>
            </w:r>
          </w:p>
        </w:tc>
        <w:tc>
          <w:tcPr>
            <w:tcW w:w="986" w:type="dxa"/>
            <w:tcMar>
              <w:top w:w="40" w:type="dxa"/>
              <w:left w:w="70" w:type="dxa"/>
              <w:bottom w:w="40" w:type="dxa"/>
              <w:right w:w="70" w:type="dxa"/>
            </w:tcMar>
          </w:tcPr>
          <w:p w14:paraId="3E7B7E67" w14:textId="77777777" w:rsidR="0039479F" w:rsidRDefault="00000000">
            <w:pPr>
              <w:spacing w:line="216" w:lineRule="auto"/>
            </w:pPr>
            <w:r>
              <w:rPr>
                <w:sz w:val="16"/>
                <w:szCs w:val="16"/>
              </w:rPr>
              <w:t>1999</w:t>
            </w:r>
          </w:p>
        </w:tc>
        <w:tc>
          <w:tcPr>
            <w:tcW w:w="1897" w:type="dxa"/>
            <w:tcMar>
              <w:top w:w="40" w:type="dxa"/>
              <w:left w:w="70" w:type="dxa"/>
              <w:bottom w:w="40" w:type="dxa"/>
              <w:right w:w="70" w:type="dxa"/>
            </w:tcMar>
          </w:tcPr>
          <w:p w14:paraId="22AD110F" w14:textId="77777777" w:rsidR="0039479F" w:rsidRDefault="00000000">
            <w:pPr>
              <w:spacing w:line="216" w:lineRule="auto"/>
            </w:pPr>
            <w:r>
              <w:rPr>
                <w:sz w:val="16"/>
                <w:szCs w:val="16"/>
              </w:rPr>
              <w:t>Three derived clinical decision rules</w:t>
            </w:r>
          </w:p>
        </w:tc>
        <w:tc>
          <w:tcPr>
            <w:tcW w:w="4328" w:type="dxa"/>
            <w:tcMar>
              <w:top w:w="40" w:type="dxa"/>
              <w:left w:w="70" w:type="dxa"/>
              <w:bottom w:w="40" w:type="dxa"/>
              <w:right w:w="70" w:type="dxa"/>
            </w:tcMar>
          </w:tcPr>
          <w:p w14:paraId="6474258B" w14:textId="77777777" w:rsidR="0039479F" w:rsidRDefault="00000000">
            <w:pPr>
              <w:spacing w:line="216" w:lineRule="auto"/>
            </w:pPr>
            <w:r>
              <w:rPr>
                <w:sz w:val="16"/>
                <w:szCs w:val="16"/>
              </w:rPr>
              <w:t>SAH 130/1999. Three rules each had sensitivity 100% (95% CI 97.1-100.0) with specificities 28.4% to 38.8%. Use of any rule would have reduced investigation rates from 82.9%</w:t>
            </w:r>
          </w:p>
        </w:tc>
      </w:tr>
      <w:tr w:rsidR="0039479F" w14:paraId="566B77F3" w14:textId="77777777">
        <w:tc>
          <w:tcPr>
            <w:tcW w:w="1593" w:type="dxa"/>
            <w:tcMar>
              <w:top w:w="40" w:type="dxa"/>
              <w:left w:w="70" w:type="dxa"/>
              <w:bottom w:w="40" w:type="dxa"/>
              <w:right w:w="70" w:type="dxa"/>
            </w:tcMar>
          </w:tcPr>
          <w:p w14:paraId="32079CC2" w14:textId="77777777" w:rsidR="0039479F" w:rsidRDefault="00000000">
            <w:pPr>
              <w:spacing w:line="216" w:lineRule="auto"/>
            </w:pPr>
            <w:r>
              <w:rPr>
                <w:sz w:val="16"/>
                <w:szCs w:val="16"/>
              </w:rPr>
              <w:t>Perry et al. (2013)</w:t>
            </w:r>
          </w:p>
        </w:tc>
        <w:tc>
          <w:tcPr>
            <w:tcW w:w="1062" w:type="dxa"/>
            <w:tcMar>
              <w:top w:w="40" w:type="dxa"/>
              <w:left w:w="70" w:type="dxa"/>
              <w:bottom w:w="40" w:type="dxa"/>
              <w:right w:w="70" w:type="dxa"/>
            </w:tcMar>
          </w:tcPr>
          <w:p w14:paraId="6915826F" w14:textId="77777777" w:rsidR="0039479F" w:rsidRDefault="00000000">
            <w:pPr>
              <w:spacing w:line="216" w:lineRule="auto"/>
            </w:pPr>
            <w:r>
              <w:rPr>
                <w:sz w:val="16"/>
                <w:szCs w:val="16"/>
              </w:rPr>
              <w:t>Canada</w:t>
            </w:r>
          </w:p>
        </w:tc>
        <w:tc>
          <w:tcPr>
            <w:tcW w:w="986" w:type="dxa"/>
            <w:tcMar>
              <w:top w:w="40" w:type="dxa"/>
              <w:left w:w="70" w:type="dxa"/>
              <w:bottom w:w="40" w:type="dxa"/>
              <w:right w:w="70" w:type="dxa"/>
            </w:tcMar>
          </w:tcPr>
          <w:p w14:paraId="7939D2DC" w14:textId="77777777" w:rsidR="0039479F" w:rsidRDefault="00000000">
            <w:pPr>
              <w:spacing w:line="216" w:lineRule="auto"/>
            </w:pPr>
            <w:r>
              <w:rPr>
                <w:sz w:val="16"/>
                <w:szCs w:val="16"/>
              </w:rPr>
              <w:t>2131</w:t>
            </w:r>
          </w:p>
        </w:tc>
        <w:tc>
          <w:tcPr>
            <w:tcW w:w="1897" w:type="dxa"/>
            <w:tcMar>
              <w:top w:w="40" w:type="dxa"/>
              <w:left w:w="70" w:type="dxa"/>
              <w:bottom w:w="40" w:type="dxa"/>
              <w:right w:w="70" w:type="dxa"/>
            </w:tcMar>
          </w:tcPr>
          <w:p w14:paraId="3A5B2966" w14:textId="77777777" w:rsidR="0039479F" w:rsidRDefault="00000000">
            <w:pPr>
              <w:spacing w:line="216" w:lineRule="auto"/>
            </w:pPr>
            <w:r>
              <w:rPr>
                <w:sz w:val="16"/>
                <w:szCs w:val="16"/>
              </w:rPr>
              <w:t>Three previously derived decision rules; refined Ottawa SAH Rule</w:t>
            </w:r>
          </w:p>
        </w:tc>
        <w:tc>
          <w:tcPr>
            <w:tcW w:w="4328" w:type="dxa"/>
            <w:tcMar>
              <w:top w:w="40" w:type="dxa"/>
              <w:left w:w="70" w:type="dxa"/>
              <w:bottom w:w="40" w:type="dxa"/>
              <w:right w:w="70" w:type="dxa"/>
            </w:tcMar>
          </w:tcPr>
          <w:p w14:paraId="5650020C" w14:textId="77777777" w:rsidR="0039479F" w:rsidRDefault="00000000">
            <w:pPr>
              <w:spacing w:line="216" w:lineRule="auto"/>
            </w:pPr>
            <w:r>
              <w:rPr>
                <w:sz w:val="16"/>
                <w:szCs w:val="16"/>
              </w:rPr>
              <w:t>SAH 132/2131 (6.2%). Rule of age &gt;=40 y, neck pain or stiffness, witnessed loss of consciousness or onset during exertion: sensitivity 98.5% (94.6-99.6), specificity 27.5% (25.6-29.5). Adding thunderclap headache and limited neck flexion (Ottawa SAH Rule): sensitivity 100% (97.2-100), specificity 15.3%</w:t>
            </w:r>
          </w:p>
        </w:tc>
      </w:tr>
      <w:tr w:rsidR="0039479F" w14:paraId="68426EAB" w14:textId="77777777">
        <w:tc>
          <w:tcPr>
            <w:tcW w:w="1593" w:type="dxa"/>
            <w:tcMar>
              <w:top w:w="40" w:type="dxa"/>
              <w:left w:w="70" w:type="dxa"/>
              <w:bottom w:w="40" w:type="dxa"/>
              <w:right w:w="70" w:type="dxa"/>
            </w:tcMar>
          </w:tcPr>
          <w:p w14:paraId="73E58D33" w14:textId="77777777" w:rsidR="0039479F" w:rsidRDefault="00000000">
            <w:pPr>
              <w:spacing w:line="216" w:lineRule="auto"/>
            </w:pPr>
            <w:r>
              <w:rPr>
                <w:sz w:val="16"/>
                <w:szCs w:val="16"/>
              </w:rPr>
              <w:t>Perry et al. (2017)</w:t>
            </w:r>
          </w:p>
        </w:tc>
        <w:tc>
          <w:tcPr>
            <w:tcW w:w="1062" w:type="dxa"/>
            <w:tcMar>
              <w:top w:w="40" w:type="dxa"/>
              <w:left w:w="70" w:type="dxa"/>
              <w:bottom w:w="40" w:type="dxa"/>
              <w:right w:w="70" w:type="dxa"/>
            </w:tcMar>
          </w:tcPr>
          <w:p w14:paraId="4866DB42" w14:textId="77777777" w:rsidR="0039479F" w:rsidRDefault="00000000">
            <w:pPr>
              <w:spacing w:line="216" w:lineRule="auto"/>
            </w:pPr>
            <w:r>
              <w:rPr>
                <w:sz w:val="16"/>
                <w:szCs w:val="16"/>
              </w:rPr>
              <w:t>Canada</w:t>
            </w:r>
          </w:p>
        </w:tc>
        <w:tc>
          <w:tcPr>
            <w:tcW w:w="986" w:type="dxa"/>
            <w:tcMar>
              <w:top w:w="40" w:type="dxa"/>
              <w:left w:w="70" w:type="dxa"/>
              <w:bottom w:w="40" w:type="dxa"/>
              <w:right w:w="70" w:type="dxa"/>
            </w:tcMar>
          </w:tcPr>
          <w:p w14:paraId="2CF64506" w14:textId="77777777" w:rsidR="0039479F" w:rsidRDefault="00000000">
            <w:pPr>
              <w:spacing w:line="216" w:lineRule="auto"/>
            </w:pPr>
            <w:r>
              <w:rPr>
                <w:sz w:val="16"/>
                <w:szCs w:val="16"/>
              </w:rPr>
              <w:t>1153 enrolled (66.2% of 1743 eligible)</w:t>
            </w:r>
          </w:p>
        </w:tc>
        <w:tc>
          <w:tcPr>
            <w:tcW w:w="1897" w:type="dxa"/>
            <w:tcMar>
              <w:top w:w="40" w:type="dxa"/>
              <w:left w:w="70" w:type="dxa"/>
              <w:bottom w:w="40" w:type="dxa"/>
              <w:right w:w="70" w:type="dxa"/>
            </w:tcMar>
          </w:tcPr>
          <w:p w14:paraId="7EC2CD0B" w14:textId="77777777" w:rsidR="0039479F" w:rsidRDefault="00000000">
            <w:pPr>
              <w:spacing w:line="216" w:lineRule="auto"/>
            </w:pPr>
            <w:r>
              <w:rPr>
                <w:sz w:val="16"/>
                <w:szCs w:val="16"/>
              </w:rPr>
              <w:t>Ottawa SAH Rule scored before investigation</w:t>
            </w:r>
          </w:p>
        </w:tc>
        <w:tc>
          <w:tcPr>
            <w:tcW w:w="4328" w:type="dxa"/>
            <w:tcMar>
              <w:top w:w="40" w:type="dxa"/>
              <w:left w:w="70" w:type="dxa"/>
              <w:bottom w:w="40" w:type="dxa"/>
              <w:right w:w="70" w:type="dxa"/>
            </w:tcMar>
          </w:tcPr>
          <w:p w14:paraId="12412558" w14:textId="77777777" w:rsidR="0039479F" w:rsidRDefault="00000000">
            <w:pPr>
              <w:spacing w:line="216" w:lineRule="auto"/>
            </w:pPr>
            <w:r>
              <w:rPr>
                <w:sz w:val="16"/>
                <w:szCs w:val="16"/>
              </w:rPr>
              <w:t>67 SAH. Ottawa SAH Rule sensitivity 100% (95% CI 94.6-100), specificity 13.6% (13.1-15.8)</w:t>
            </w:r>
          </w:p>
        </w:tc>
      </w:tr>
      <w:tr w:rsidR="0039479F" w14:paraId="3C829D70" w14:textId="77777777">
        <w:tc>
          <w:tcPr>
            <w:tcW w:w="1593" w:type="dxa"/>
            <w:tcMar>
              <w:top w:w="40" w:type="dxa"/>
              <w:left w:w="70" w:type="dxa"/>
              <w:bottom w:w="40" w:type="dxa"/>
              <w:right w:w="70" w:type="dxa"/>
            </w:tcMar>
          </w:tcPr>
          <w:p w14:paraId="579C7DD2" w14:textId="77777777" w:rsidR="0039479F" w:rsidRDefault="00000000">
            <w:pPr>
              <w:spacing w:line="216" w:lineRule="auto"/>
            </w:pPr>
            <w:r>
              <w:rPr>
                <w:sz w:val="16"/>
                <w:szCs w:val="16"/>
              </w:rPr>
              <w:t>Foley et al. (2021)</w:t>
            </w:r>
          </w:p>
        </w:tc>
        <w:tc>
          <w:tcPr>
            <w:tcW w:w="1062" w:type="dxa"/>
            <w:tcMar>
              <w:top w:w="40" w:type="dxa"/>
              <w:left w:w="70" w:type="dxa"/>
              <w:bottom w:w="40" w:type="dxa"/>
              <w:right w:w="70" w:type="dxa"/>
            </w:tcMar>
          </w:tcPr>
          <w:p w14:paraId="2993CA1E" w14:textId="77777777" w:rsidR="0039479F" w:rsidRDefault="00000000">
            <w:pPr>
              <w:spacing w:line="216" w:lineRule="auto"/>
            </w:pPr>
            <w:r>
              <w:rPr>
                <w:sz w:val="16"/>
                <w:szCs w:val="16"/>
              </w:rPr>
              <w:t>United Kingdom</w:t>
            </w:r>
          </w:p>
        </w:tc>
        <w:tc>
          <w:tcPr>
            <w:tcW w:w="986" w:type="dxa"/>
            <w:tcMar>
              <w:top w:w="40" w:type="dxa"/>
              <w:left w:w="70" w:type="dxa"/>
              <w:bottom w:w="40" w:type="dxa"/>
              <w:right w:w="70" w:type="dxa"/>
            </w:tcMar>
          </w:tcPr>
          <w:p w14:paraId="25BD98CC" w14:textId="77777777" w:rsidR="0039479F" w:rsidRDefault="00000000">
            <w:pPr>
              <w:spacing w:line="216" w:lineRule="auto"/>
            </w:pPr>
            <w:r>
              <w:rPr>
                <w:sz w:val="16"/>
                <w:szCs w:val="16"/>
              </w:rPr>
              <w:t>366</w:t>
            </w:r>
          </w:p>
        </w:tc>
        <w:tc>
          <w:tcPr>
            <w:tcW w:w="1897" w:type="dxa"/>
            <w:tcMar>
              <w:top w:w="40" w:type="dxa"/>
              <w:left w:w="70" w:type="dxa"/>
              <w:bottom w:w="40" w:type="dxa"/>
              <w:right w:w="70" w:type="dxa"/>
            </w:tcMar>
          </w:tcPr>
          <w:p w14:paraId="759B90EA" w14:textId="77777777" w:rsidR="0039479F" w:rsidRDefault="00000000">
            <w:pPr>
              <w:spacing w:line="216" w:lineRule="auto"/>
            </w:pPr>
            <w:r>
              <w:rPr>
                <w:sz w:val="16"/>
                <w:szCs w:val="16"/>
              </w:rPr>
              <w:t>Ottawa SAH rule; Emerald SAH rule</w:t>
            </w:r>
          </w:p>
        </w:tc>
        <w:tc>
          <w:tcPr>
            <w:tcW w:w="4328" w:type="dxa"/>
            <w:tcMar>
              <w:top w:w="40" w:type="dxa"/>
              <w:left w:w="70" w:type="dxa"/>
              <w:bottom w:w="40" w:type="dxa"/>
              <w:right w:w="70" w:type="dxa"/>
            </w:tcMar>
          </w:tcPr>
          <w:p w14:paraId="6C1353CC" w14:textId="77777777" w:rsidR="0039479F" w:rsidRDefault="00000000">
            <w:pPr>
              <w:spacing w:line="216" w:lineRule="auto"/>
            </w:pPr>
            <w:r>
              <w:rPr>
                <w:sz w:val="16"/>
                <w:szCs w:val="16"/>
              </w:rPr>
              <w:t>SAH 16/366. Ottawa rule: sensitivity 100% (95% CI 71-100), specificity 22% (18-27), 288 patients identified as requiring CT. Emerald rule: sensitivity 81% (54-96), specificity 27% (23-32)</w:t>
            </w:r>
          </w:p>
        </w:tc>
      </w:tr>
      <w:tr w:rsidR="0039479F" w14:paraId="34D634CE" w14:textId="77777777">
        <w:tc>
          <w:tcPr>
            <w:tcW w:w="1593" w:type="dxa"/>
            <w:tcMar>
              <w:top w:w="40" w:type="dxa"/>
              <w:left w:w="70" w:type="dxa"/>
              <w:bottom w:w="40" w:type="dxa"/>
              <w:right w:w="70" w:type="dxa"/>
            </w:tcMar>
          </w:tcPr>
          <w:p w14:paraId="79DEB3EA" w14:textId="77777777" w:rsidR="0039479F" w:rsidRDefault="00000000">
            <w:pPr>
              <w:spacing w:line="216" w:lineRule="auto"/>
            </w:pPr>
            <w:r>
              <w:rPr>
                <w:sz w:val="16"/>
                <w:szCs w:val="16"/>
              </w:rPr>
              <w:t>Wu et al. (2020)</w:t>
            </w:r>
          </w:p>
        </w:tc>
        <w:tc>
          <w:tcPr>
            <w:tcW w:w="1062" w:type="dxa"/>
            <w:tcMar>
              <w:top w:w="40" w:type="dxa"/>
              <w:left w:w="70" w:type="dxa"/>
              <w:bottom w:w="40" w:type="dxa"/>
              <w:right w:w="70" w:type="dxa"/>
            </w:tcMar>
          </w:tcPr>
          <w:p w14:paraId="6FA91D3A" w14:textId="77777777" w:rsidR="0039479F" w:rsidRDefault="00000000">
            <w:pPr>
              <w:spacing w:line="216" w:lineRule="auto"/>
            </w:pPr>
            <w:r>
              <w:rPr>
                <w:sz w:val="16"/>
                <w:szCs w:val="16"/>
              </w:rPr>
              <w:t>Taiwan</w:t>
            </w:r>
          </w:p>
        </w:tc>
        <w:tc>
          <w:tcPr>
            <w:tcW w:w="986" w:type="dxa"/>
            <w:tcMar>
              <w:top w:w="40" w:type="dxa"/>
              <w:left w:w="70" w:type="dxa"/>
              <w:bottom w:w="40" w:type="dxa"/>
              <w:right w:w="70" w:type="dxa"/>
            </w:tcMar>
          </w:tcPr>
          <w:p w14:paraId="45D338C6" w14:textId="77777777" w:rsidR="0039479F" w:rsidRDefault="00000000">
            <w:pPr>
              <w:spacing w:line="216" w:lineRule="auto"/>
            </w:pPr>
            <w:r>
              <w:rPr>
                <w:sz w:val="16"/>
                <w:szCs w:val="16"/>
              </w:rPr>
              <w:t>913</w:t>
            </w:r>
          </w:p>
        </w:tc>
        <w:tc>
          <w:tcPr>
            <w:tcW w:w="1897" w:type="dxa"/>
            <w:tcMar>
              <w:top w:w="40" w:type="dxa"/>
              <w:left w:w="70" w:type="dxa"/>
              <w:bottom w:w="40" w:type="dxa"/>
              <w:right w:w="70" w:type="dxa"/>
            </w:tcMar>
          </w:tcPr>
          <w:p w14:paraId="5335E3C3" w14:textId="77777777" w:rsidR="0039479F" w:rsidRDefault="00000000">
            <w:pPr>
              <w:spacing w:line="216" w:lineRule="auto"/>
            </w:pPr>
            <w:r>
              <w:rPr>
                <w:sz w:val="16"/>
                <w:szCs w:val="16"/>
              </w:rPr>
              <w:t>Ottawa SAH rule</w:t>
            </w:r>
          </w:p>
        </w:tc>
        <w:tc>
          <w:tcPr>
            <w:tcW w:w="4328" w:type="dxa"/>
            <w:tcMar>
              <w:top w:w="40" w:type="dxa"/>
              <w:left w:w="70" w:type="dxa"/>
              <w:bottom w:w="40" w:type="dxa"/>
              <w:right w:w="70" w:type="dxa"/>
            </w:tcMar>
          </w:tcPr>
          <w:p w14:paraId="556F95E4" w14:textId="77777777" w:rsidR="0039479F" w:rsidRDefault="00000000">
            <w:pPr>
              <w:spacing w:line="216" w:lineRule="auto"/>
            </w:pPr>
            <w:r>
              <w:rPr>
                <w:sz w:val="16"/>
                <w:szCs w:val="16"/>
              </w:rPr>
              <w:t xml:space="preserve">SAH 15/913. Ottawa rule for SAH: sensitivity 100% (78.2-100), specificity 37.0% (33.8-40.2). For SAH or intracranial haemorrhage (22 cases): sensitivity 100% (84.6-100), specificity </w:t>
            </w:r>
            <w:r>
              <w:rPr>
                <w:sz w:val="16"/>
                <w:szCs w:val="16"/>
              </w:rPr>
              <w:lastRenderedPageBreak/>
              <w:t>37.3% (34.1-40.5). For non-haemorrhagic intracranial pathology: sensitivity 75.0% (53.3-90.2), NPV 98.2% (96.1-99.3)</w:t>
            </w:r>
          </w:p>
        </w:tc>
      </w:tr>
      <w:tr w:rsidR="0039479F" w14:paraId="478E4525" w14:textId="77777777">
        <w:tc>
          <w:tcPr>
            <w:tcW w:w="1593" w:type="dxa"/>
            <w:tcMar>
              <w:top w:w="40" w:type="dxa"/>
              <w:left w:w="70" w:type="dxa"/>
              <w:bottom w:w="40" w:type="dxa"/>
              <w:right w:w="70" w:type="dxa"/>
            </w:tcMar>
          </w:tcPr>
          <w:p w14:paraId="18B488AC" w14:textId="77777777" w:rsidR="0039479F" w:rsidRDefault="00000000">
            <w:pPr>
              <w:spacing w:line="216" w:lineRule="auto"/>
            </w:pPr>
            <w:r>
              <w:rPr>
                <w:sz w:val="16"/>
                <w:szCs w:val="16"/>
              </w:rPr>
              <w:lastRenderedPageBreak/>
              <w:t>Bellolio et al. (2015)</w:t>
            </w:r>
          </w:p>
        </w:tc>
        <w:tc>
          <w:tcPr>
            <w:tcW w:w="1062" w:type="dxa"/>
            <w:tcMar>
              <w:top w:w="40" w:type="dxa"/>
              <w:left w:w="70" w:type="dxa"/>
              <w:bottom w:w="40" w:type="dxa"/>
              <w:right w:w="70" w:type="dxa"/>
            </w:tcMar>
          </w:tcPr>
          <w:p w14:paraId="60EBED0C"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55F1D8E6" w14:textId="77777777" w:rsidR="0039479F" w:rsidRDefault="00000000">
            <w:pPr>
              <w:spacing w:line="216" w:lineRule="auto"/>
            </w:pPr>
            <w:r>
              <w:rPr>
                <w:sz w:val="16"/>
                <w:szCs w:val="16"/>
              </w:rPr>
              <w:t>5034 visits reviewed; rule applied to 454</w:t>
            </w:r>
          </w:p>
        </w:tc>
        <w:tc>
          <w:tcPr>
            <w:tcW w:w="1897" w:type="dxa"/>
            <w:tcMar>
              <w:top w:w="40" w:type="dxa"/>
              <w:left w:w="70" w:type="dxa"/>
              <w:bottom w:w="40" w:type="dxa"/>
              <w:right w:w="70" w:type="dxa"/>
            </w:tcMar>
          </w:tcPr>
          <w:p w14:paraId="3A1ACCD7" w14:textId="77777777" w:rsidR="0039479F" w:rsidRDefault="00000000">
            <w:pPr>
              <w:spacing w:line="216" w:lineRule="auto"/>
            </w:pPr>
            <w:r>
              <w:rPr>
                <w:sz w:val="16"/>
                <w:szCs w:val="16"/>
              </w:rPr>
              <w:t>Ottawa SAH rule</w:t>
            </w:r>
          </w:p>
        </w:tc>
        <w:tc>
          <w:tcPr>
            <w:tcW w:w="4328" w:type="dxa"/>
            <w:tcMar>
              <w:top w:w="40" w:type="dxa"/>
              <w:left w:w="70" w:type="dxa"/>
              <w:bottom w:w="40" w:type="dxa"/>
              <w:right w:w="70" w:type="dxa"/>
            </w:tcMar>
          </w:tcPr>
          <w:p w14:paraId="3131336A" w14:textId="77777777" w:rsidR="0039479F" w:rsidRDefault="00000000">
            <w:pPr>
              <w:spacing w:line="216" w:lineRule="auto"/>
            </w:pPr>
            <w:r>
              <w:rPr>
                <w:sz w:val="16"/>
                <w:szCs w:val="16"/>
              </w:rPr>
              <w:t>SAH 9/454 (2.0%, 95% CI 1.0-3.9). Sensitivity 100% (62.9-100), specificity 7.6% (5.4-10.6), PPV 2.1% (1.0-...)</w:t>
            </w:r>
          </w:p>
        </w:tc>
      </w:tr>
      <w:tr w:rsidR="0039479F" w14:paraId="329EEFA5" w14:textId="77777777">
        <w:tc>
          <w:tcPr>
            <w:tcW w:w="1593" w:type="dxa"/>
            <w:tcMar>
              <w:top w:w="40" w:type="dxa"/>
              <w:left w:w="70" w:type="dxa"/>
              <w:bottom w:w="40" w:type="dxa"/>
              <w:right w:w="70" w:type="dxa"/>
            </w:tcMar>
          </w:tcPr>
          <w:p w14:paraId="37FF7BE7" w14:textId="77777777" w:rsidR="0039479F" w:rsidRDefault="00000000">
            <w:pPr>
              <w:spacing w:line="216" w:lineRule="auto"/>
            </w:pPr>
            <w:r>
              <w:rPr>
                <w:sz w:val="16"/>
                <w:szCs w:val="16"/>
              </w:rPr>
              <w:t>Suzuki et al. (2021)</w:t>
            </w:r>
          </w:p>
        </w:tc>
        <w:tc>
          <w:tcPr>
            <w:tcW w:w="1062" w:type="dxa"/>
            <w:tcMar>
              <w:top w:w="40" w:type="dxa"/>
              <w:left w:w="70" w:type="dxa"/>
              <w:bottom w:w="40" w:type="dxa"/>
              <w:right w:w="70" w:type="dxa"/>
            </w:tcMar>
          </w:tcPr>
          <w:p w14:paraId="5F411021" w14:textId="77777777" w:rsidR="0039479F" w:rsidRDefault="00000000">
            <w:pPr>
              <w:spacing w:line="216" w:lineRule="auto"/>
            </w:pPr>
            <w:r>
              <w:rPr>
                <w:sz w:val="16"/>
                <w:szCs w:val="16"/>
              </w:rPr>
              <w:t>Japan</w:t>
            </w:r>
          </w:p>
        </w:tc>
        <w:tc>
          <w:tcPr>
            <w:tcW w:w="986" w:type="dxa"/>
            <w:tcMar>
              <w:top w:w="40" w:type="dxa"/>
              <w:left w:w="70" w:type="dxa"/>
              <w:bottom w:w="40" w:type="dxa"/>
              <w:right w:w="70" w:type="dxa"/>
            </w:tcMar>
          </w:tcPr>
          <w:p w14:paraId="5E149934" w14:textId="77777777" w:rsidR="0039479F" w:rsidRDefault="00000000">
            <w:pPr>
              <w:spacing w:line="216" w:lineRule="auto"/>
            </w:pPr>
            <w:r>
              <w:rPr>
                <w:sz w:val="16"/>
                <w:szCs w:val="16"/>
              </w:rPr>
              <w:t>280 SAH; 56 analysed for Ottawa rule; 126 for Ottawa-like rule</w:t>
            </w:r>
          </w:p>
        </w:tc>
        <w:tc>
          <w:tcPr>
            <w:tcW w:w="1897" w:type="dxa"/>
            <w:tcMar>
              <w:top w:w="40" w:type="dxa"/>
              <w:left w:w="70" w:type="dxa"/>
              <w:bottom w:w="40" w:type="dxa"/>
              <w:right w:w="70" w:type="dxa"/>
            </w:tcMar>
          </w:tcPr>
          <w:p w14:paraId="57464A36" w14:textId="77777777" w:rsidR="0039479F" w:rsidRDefault="00000000">
            <w:pPr>
              <w:spacing w:line="216" w:lineRule="auto"/>
            </w:pPr>
            <w:r>
              <w:rPr>
                <w:sz w:val="16"/>
                <w:szCs w:val="16"/>
              </w:rPr>
              <w:t>Ottawa SAH rule; Japanese Ottawa-like rule</w:t>
            </w:r>
          </w:p>
        </w:tc>
        <w:tc>
          <w:tcPr>
            <w:tcW w:w="4328" w:type="dxa"/>
            <w:tcMar>
              <w:top w:w="40" w:type="dxa"/>
              <w:left w:w="70" w:type="dxa"/>
              <w:bottom w:w="40" w:type="dxa"/>
              <w:right w:w="70" w:type="dxa"/>
            </w:tcMar>
          </w:tcPr>
          <w:p w14:paraId="3E99F027" w14:textId="77777777" w:rsidR="0039479F" w:rsidRDefault="00000000">
            <w:pPr>
              <w:spacing w:line="216" w:lineRule="auto"/>
            </w:pPr>
            <w:r>
              <w:rPr>
                <w:sz w:val="16"/>
                <w:szCs w:val="16"/>
              </w:rPr>
              <w:t>Ottawa SAH rule sensitivity 56/56 = 100% (95% CI 93.6-100). Ottawa-like rule sensitivity 125/126 = 99.2% (95.7-100); false-negative rate up to 4%</w:t>
            </w:r>
          </w:p>
        </w:tc>
      </w:tr>
      <w:tr w:rsidR="0039479F" w14:paraId="15502A56" w14:textId="77777777">
        <w:tc>
          <w:tcPr>
            <w:tcW w:w="1593" w:type="dxa"/>
            <w:tcMar>
              <w:top w:w="40" w:type="dxa"/>
              <w:left w:w="70" w:type="dxa"/>
              <w:bottom w:w="40" w:type="dxa"/>
              <w:right w:w="70" w:type="dxa"/>
            </w:tcMar>
          </w:tcPr>
          <w:p w14:paraId="165C60DD" w14:textId="77777777" w:rsidR="0039479F" w:rsidRDefault="00000000">
            <w:pPr>
              <w:spacing w:line="216" w:lineRule="auto"/>
            </w:pPr>
            <w:r>
              <w:rPr>
                <w:sz w:val="16"/>
                <w:szCs w:val="16"/>
              </w:rPr>
              <w:t>Cheung et al. (2018)</w:t>
            </w:r>
          </w:p>
        </w:tc>
        <w:tc>
          <w:tcPr>
            <w:tcW w:w="1062" w:type="dxa"/>
            <w:tcMar>
              <w:top w:w="40" w:type="dxa"/>
              <w:left w:w="70" w:type="dxa"/>
              <w:bottom w:w="40" w:type="dxa"/>
              <w:right w:w="70" w:type="dxa"/>
            </w:tcMar>
          </w:tcPr>
          <w:p w14:paraId="70FCC28B" w14:textId="77777777" w:rsidR="0039479F" w:rsidRDefault="00000000">
            <w:pPr>
              <w:spacing w:line="216" w:lineRule="auto"/>
            </w:pPr>
            <w:r>
              <w:rPr>
                <w:sz w:val="16"/>
                <w:szCs w:val="16"/>
              </w:rPr>
              <w:t>Hong Kong</w:t>
            </w:r>
          </w:p>
        </w:tc>
        <w:tc>
          <w:tcPr>
            <w:tcW w:w="986" w:type="dxa"/>
            <w:tcMar>
              <w:top w:w="40" w:type="dxa"/>
              <w:left w:w="70" w:type="dxa"/>
              <w:bottom w:w="40" w:type="dxa"/>
              <w:right w:w="70" w:type="dxa"/>
            </w:tcMar>
          </w:tcPr>
          <w:p w14:paraId="2BC03A8B" w14:textId="77777777" w:rsidR="0039479F" w:rsidRDefault="00000000">
            <w:pPr>
              <w:spacing w:line="216" w:lineRule="auto"/>
            </w:pPr>
            <w:r>
              <w:rPr>
                <w:sz w:val="16"/>
                <w:szCs w:val="16"/>
              </w:rPr>
              <w:t>500</w:t>
            </w:r>
          </w:p>
        </w:tc>
        <w:tc>
          <w:tcPr>
            <w:tcW w:w="1897" w:type="dxa"/>
            <w:tcMar>
              <w:top w:w="40" w:type="dxa"/>
              <w:left w:w="70" w:type="dxa"/>
              <w:bottom w:w="40" w:type="dxa"/>
              <w:right w:w="70" w:type="dxa"/>
            </w:tcMar>
          </w:tcPr>
          <w:p w14:paraId="0892BDA4" w14:textId="77777777" w:rsidR="0039479F" w:rsidRDefault="00000000">
            <w:pPr>
              <w:spacing w:line="216" w:lineRule="auto"/>
            </w:pPr>
            <w:r>
              <w:rPr>
                <w:sz w:val="16"/>
                <w:szCs w:val="16"/>
              </w:rPr>
              <w:t>Ottawa SAH rule and modified rule adding vomiting and systolic BP &gt;160 mmHg</w:t>
            </w:r>
          </w:p>
        </w:tc>
        <w:tc>
          <w:tcPr>
            <w:tcW w:w="4328" w:type="dxa"/>
            <w:tcMar>
              <w:top w:w="40" w:type="dxa"/>
              <w:left w:w="70" w:type="dxa"/>
              <w:bottom w:w="40" w:type="dxa"/>
              <w:right w:w="70" w:type="dxa"/>
            </w:tcMar>
          </w:tcPr>
          <w:p w14:paraId="0081F993" w14:textId="77777777" w:rsidR="0039479F" w:rsidRDefault="00000000">
            <w:pPr>
              <w:spacing w:line="216" w:lineRule="auto"/>
            </w:pPr>
            <w:r>
              <w:rPr>
                <w:sz w:val="16"/>
                <w:szCs w:val="16"/>
              </w:rPr>
              <w:t>SAH 50/500 (10%). Ottawa SAH rule sensitivity 94%, specificity 32.9%. Adding vomiting and systolic BP &gt;160 mmHg improved sensitivity and model discrimination (net reclassification and integrated discrimination improvement)</w:t>
            </w:r>
          </w:p>
        </w:tc>
      </w:tr>
      <w:tr w:rsidR="0039479F" w14:paraId="3DFDBD54" w14:textId="77777777">
        <w:tc>
          <w:tcPr>
            <w:tcW w:w="1593" w:type="dxa"/>
            <w:tcMar>
              <w:top w:w="40" w:type="dxa"/>
              <w:left w:w="70" w:type="dxa"/>
              <w:bottom w:w="40" w:type="dxa"/>
              <w:right w:w="70" w:type="dxa"/>
            </w:tcMar>
          </w:tcPr>
          <w:p w14:paraId="3F74E5FB" w14:textId="77777777" w:rsidR="0039479F" w:rsidRDefault="00000000">
            <w:pPr>
              <w:spacing w:line="216" w:lineRule="auto"/>
            </w:pPr>
            <w:r>
              <w:rPr>
                <w:sz w:val="16"/>
                <w:szCs w:val="16"/>
              </w:rPr>
              <w:t>Kaya et al. (2023)</w:t>
            </w:r>
          </w:p>
        </w:tc>
        <w:tc>
          <w:tcPr>
            <w:tcW w:w="1062" w:type="dxa"/>
            <w:tcMar>
              <w:top w:w="40" w:type="dxa"/>
              <w:left w:w="70" w:type="dxa"/>
              <w:bottom w:w="40" w:type="dxa"/>
              <w:right w:w="70" w:type="dxa"/>
            </w:tcMar>
          </w:tcPr>
          <w:p w14:paraId="02A7B121" w14:textId="77777777" w:rsidR="0039479F" w:rsidRDefault="00000000">
            <w:pPr>
              <w:spacing w:line="216" w:lineRule="auto"/>
            </w:pPr>
            <w:r>
              <w:rPr>
                <w:sz w:val="16"/>
                <w:szCs w:val="16"/>
              </w:rPr>
              <w:t>Türkiye</w:t>
            </w:r>
          </w:p>
        </w:tc>
        <w:tc>
          <w:tcPr>
            <w:tcW w:w="986" w:type="dxa"/>
            <w:tcMar>
              <w:top w:w="40" w:type="dxa"/>
              <w:left w:w="70" w:type="dxa"/>
              <w:bottom w:w="40" w:type="dxa"/>
              <w:right w:w="70" w:type="dxa"/>
            </w:tcMar>
          </w:tcPr>
          <w:p w14:paraId="7643002C" w14:textId="77777777" w:rsidR="0039479F" w:rsidRDefault="00000000">
            <w:pPr>
              <w:spacing w:line="216" w:lineRule="auto"/>
            </w:pPr>
            <w:r>
              <w:rPr>
                <w:sz w:val="16"/>
                <w:szCs w:val="16"/>
              </w:rPr>
              <w:t>867</w:t>
            </w:r>
          </w:p>
        </w:tc>
        <w:tc>
          <w:tcPr>
            <w:tcW w:w="1897" w:type="dxa"/>
            <w:tcMar>
              <w:top w:w="40" w:type="dxa"/>
              <w:left w:w="70" w:type="dxa"/>
              <w:bottom w:w="40" w:type="dxa"/>
              <w:right w:w="70" w:type="dxa"/>
            </w:tcMar>
          </w:tcPr>
          <w:p w14:paraId="036A993E" w14:textId="77777777" w:rsidR="0039479F" w:rsidRDefault="00000000">
            <w:pPr>
              <w:spacing w:line="216" w:lineRule="auto"/>
            </w:pPr>
            <w:r>
              <w:rPr>
                <w:sz w:val="16"/>
                <w:szCs w:val="16"/>
              </w:rPr>
              <w:t>Ottawa SAH rule; EMERALD SAH rule; EMERALD plus eosinophil count</w:t>
            </w:r>
          </w:p>
        </w:tc>
        <w:tc>
          <w:tcPr>
            <w:tcW w:w="4328" w:type="dxa"/>
            <w:tcMar>
              <w:top w:w="40" w:type="dxa"/>
              <w:left w:w="70" w:type="dxa"/>
              <w:bottom w:w="40" w:type="dxa"/>
              <w:right w:w="70" w:type="dxa"/>
            </w:tcMar>
          </w:tcPr>
          <w:p w14:paraId="2B85904E" w14:textId="77777777" w:rsidR="0039479F" w:rsidRDefault="00000000">
            <w:pPr>
              <w:spacing w:line="216" w:lineRule="auto"/>
            </w:pPr>
            <w:r>
              <w:rPr>
                <w:sz w:val="16"/>
                <w:szCs w:val="16"/>
              </w:rPr>
              <w:t>SAH 141/867. Ottawa rule: sensitivity 85.1%, specificity 47.1%, PPV 23.8%, NPV 94.2%. EMERALD rule: sensitivity 96.4%, specificity 43.2%, PPV 24.8%, NPV 98.4%. EMERALD plus eosinophil (&lt;0.085 x10^3/uL): sensitivity 100%, specificity 38.4%, PPV 24%, NPV 100%</w:t>
            </w:r>
          </w:p>
        </w:tc>
      </w:tr>
      <w:tr w:rsidR="0039479F" w14:paraId="160DEB40" w14:textId="77777777">
        <w:tc>
          <w:tcPr>
            <w:tcW w:w="1593" w:type="dxa"/>
            <w:tcMar>
              <w:top w:w="40" w:type="dxa"/>
              <w:left w:w="70" w:type="dxa"/>
              <w:bottom w:w="40" w:type="dxa"/>
              <w:right w:w="70" w:type="dxa"/>
            </w:tcMar>
          </w:tcPr>
          <w:p w14:paraId="4A5513CF" w14:textId="77777777" w:rsidR="0039479F" w:rsidRDefault="00000000">
            <w:pPr>
              <w:spacing w:line="216" w:lineRule="auto"/>
            </w:pPr>
            <w:r>
              <w:rPr>
                <w:sz w:val="16"/>
                <w:szCs w:val="16"/>
              </w:rPr>
              <w:t>Chu et al. (2018a)</w:t>
            </w:r>
          </w:p>
        </w:tc>
        <w:tc>
          <w:tcPr>
            <w:tcW w:w="1062" w:type="dxa"/>
            <w:tcMar>
              <w:top w:w="40" w:type="dxa"/>
              <w:left w:w="70" w:type="dxa"/>
              <w:bottom w:w="40" w:type="dxa"/>
              <w:right w:w="70" w:type="dxa"/>
            </w:tcMar>
          </w:tcPr>
          <w:p w14:paraId="3CE5D34D"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57E8086A" w14:textId="77777777" w:rsidR="0039479F" w:rsidRDefault="00000000">
            <w:pPr>
              <w:spacing w:line="216" w:lineRule="auto"/>
            </w:pPr>
            <w:r>
              <w:rPr>
                <w:sz w:val="16"/>
                <w:szCs w:val="16"/>
              </w:rPr>
              <w:t>644 (76% of eligible)</w:t>
            </w:r>
          </w:p>
        </w:tc>
        <w:tc>
          <w:tcPr>
            <w:tcW w:w="1897" w:type="dxa"/>
            <w:tcMar>
              <w:top w:w="40" w:type="dxa"/>
              <w:left w:w="70" w:type="dxa"/>
              <w:bottom w:w="40" w:type="dxa"/>
              <w:right w:w="70" w:type="dxa"/>
            </w:tcMar>
          </w:tcPr>
          <w:p w14:paraId="7B97A35F" w14:textId="77777777" w:rsidR="0039479F" w:rsidRDefault="00000000">
            <w:pPr>
              <w:spacing w:line="216" w:lineRule="auto"/>
            </w:pPr>
            <w:r>
              <w:rPr>
                <w:sz w:val="16"/>
                <w:szCs w:val="16"/>
              </w:rPr>
              <w:t>Ottawa SAH rule entry criteria</w:t>
            </w:r>
          </w:p>
        </w:tc>
        <w:tc>
          <w:tcPr>
            <w:tcW w:w="4328" w:type="dxa"/>
            <w:tcMar>
              <w:top w:w="40" w:type="dxa"/>
              <w:left w:w="70" w:type="dxa"/>
              <w:bottom w:w="40" w:type="dxa"/>
              <w:right w:w="70" w:type="dxa"/>
            </w:tcMar>
          </w:tcPr>
          <w:p w14:paraId="03635DB0" w14:textId="77777777" w:rsidR="0039479F" w:rsidRDefault="00000000">
            <w:pPr>
              <w:spacing w:line="216" w:lineRule="auto"/>
            </w:pPr>
            <w:r>
              <w:rPr>
                <w:sz w:val="16"/>
                <w:szCs w:val="16"/>
              </w:rPr>
              <w:t>149/644 (23.1%, 95% CI 20.0-26.5) fulfilled entry criteria; of these 30 (&lt;5% overall) had no high-risk variable. Among those fulfilling entry criteria with &gt;=1 high-risk feature, 46% received CT brain. No SAH was missed</w:t>
            </w:r>
          </w:p>
        </w:tc>
      </w:tr>
      <w:tr w:rsidR="0039479F" w14:paraId="43624D2E" w14:textId="77777777">
        <w:tc>
          <w:tcPr>
            <w:tcW w:w="1593" w:type="dxa"/>
            <w:tcMar>
              <w:top w:w="40" w:type="dxa"/>
              <w:left w:w="70" w:type="dxa"/>
              <w:bottom w:w="40" w:type="dxa"/>
              <w:right w:w="70" w:type="dxa"/>
            </w:tcMar>
          </w:tcPr>
          <w:p w14:paraId="2F06C693" w14:textId="77777777" w:rsidR="0039479F" w:rsidRDefault="00000000">
            <w:pPr>
              <w:spacing w:line="216" w:lineRule="auto"/>
            </w:pPr>
            <w:r>
              <w:rPr>
                <w:sz w:val="16"/>
                <w:szCs w:val="16"/>
              </w:rPr>
              <w:t>Perry et al. (2020)</w:t>
            </w:r>
          </w:p>
        </w:tc>
        <w:tc>
          <w:tcPr>
            <w:tcW w:w="1062" w:type="dxa"/>
            <w:tcMar>
              <w:top w:w="40" w:type="dxa"/>
              <w:left w:w="70" w:type="dxa"/>
              <w:bottom w:w="40" w:type="dxa"/>
              <w:right w:w="70" w:type="dxa"/>
            </w:tcMar>
          </w:tcPr>
          <w:p w14:paraId="31FCC474" w14:textId="77777777" w:rsidR="0039479F" w:rsidRDefault="00000000">
            <w:pPr>
              <w:spacing w:line="216" w:lineRule="auto"/>
            </w:pPr>
            <w:r>
              <w:rPr>
                <w:sz w:val="16"/>
                <w:szCs w:val="16"/>
              </w:rPr>
              <w:t>Canada</w:t>
            </w:r>
          </w:p>
        </w:tc>
        <w:tc>
          <w:tcPr>
            <w:tcW w:w="986" w:type="dxa"/>
            <w:tcMar>
              <w:top w:w="40" w:type="dxa"/>
              <w:left w:w="70" w:type="dxa"/>
              <w:bottom w:w="40" w:type="dxa"/>
              <w:right w:w="70" w:type="dxa"/>
            </w:tcMar>
          </w:tcPr>
          <w:p w14:paraId="490961D1" w14:textId="77777777" w:rsidR="0039479F" w:rsidRDefault="00000000">
            <w:pPr>
              <w:spacing w:line="216" w:lineRule="auto"/>
            </w:pPr>
            <w:r>
              <w:rPr>
                <w:sz w:val="16"/>
                <w:szCs w:val="16"/>
              </w:rPr>
              <w:t>3672 (1743 before, 1929 after)</w:t>
            </w:r>
          </w:p>
        </w:tc>
        <w:tc>
          <w:tcPr>
            <w:tcW w:w="1897" w:type="dxa"/>
            <w:tcMar>
              <w:top w:w="40" w:type="dxa"/>
              <w:left w:w="70" w:type="dxa"/>
              <w:bottom w:w="40" w:type="dxa"/>
              <w:right w:w="70" w:type="dxa"/>
            </w:tcMar>
          </w:tcPr>
          <w:p w14:paraId="07FA7A4D" w14:textId="77777777" w:rsidR="0039479F" w:rsidRDefault="00000000">
            <w:pPr>
              <w:spacing w:line="216" w:lineRule="auto"/>
            </w:pPr>
            <w:r>
              <w:rPr>
                <w:sz w:val="16"/>
                <w:szCs w:val="16"/>
              </w:rPr>
              <w:t>Ottawa SAH rule and 6-hour CT rule implementation</w:t>
            </w:r>
          </w:p>
        </w:tc>
        <w:tc>
          <w:tcPr>
            <w:tcW w:w="4328" w:type="dxa"/>
            <w:tcMar>
              <w:top w:w="40" w:type="dxa"/>
              <w:left w:w="70" w:type="dxa"/>
              <w:bottom w:w="40" w:type="dxa"/>
              <w:right w:w="70" w:type="dxa"/>
            </w:tcMar>
          </w:tcPr>
          <w:p w14:paraId="2F329A9D" w14:textId="77777777" w:rsidR="0039479F" w:rsidRDefault="00000000">
            <w:pPr>
              <w:spacing w:line="216" w:lineRule="auto"/>
            </w:pPr>
            <w:r>
              <w:rPr>
                <w:sz w:val="16"/>
                <w:szCs w:val="16"/>
              </w:rPr>
              <w:t>188 SAH. CT use unchanged (88.0% vs 87.5%, P=0.643); LP use fell (38.9% vs 25.9%, P&lt;0.0001); additional testing after CT fell (51.3% vs 42.2%, P&lt;0.0001); admissions fell (9.8% vs 7.4%, P=0.011)</w:t>
            </w:r>
          </w:p>
        </w:tc>
      </w:tr>
      <w:tr w:rsidR="0039479F" w14:paraId="27FA1462" w14:textId="77777777">
        <w:tc>
          <w:tcPr>
            <w:tcW w:w="1593" w:type="dxa"/>
            <w:tcMar>
              <w:top w:w="40" w:type="dxa"/>
              <w:left w:w="70" w:type="dxa"/>
              <w:bottom w:w="40" w:type="dxa"/>
              <w:right w:w="70" w:type="dxa"/>
            </w:tcMar>
          </w:tcPr>
          <w:p w14:paraId="2D37B6E1" w14:textId="77777777" w:rsidR="0039479F" w:rsidRDefault="00000000">
            <w:pPr>
              <w:spacing w:line="216" w:lineRule="auto"/>
            </w:pPr>
            <w:r>
              <w:rPr>
                <w:sz w:val="16"/>
                <w:szCs w:val="16"/>
              </w:rPr>
              <w:t>Kimura et al. (2016)</w:t>
            </w:r>
          </w:p>
        </w:tc>
        <w:tc>
          <w:tcPr>
            <w:tcW w:w="1062" w:type="dxa"/>
            <w:tcMar>
              <w:top w:w="40" w:type="dxa"/>
              <w:left w:w="70" w:type="dxa"/>
              <w:bottom w:w="40" w:type="dxa"/>
              <w:right w:w="70" w:type="dxa"/>
            </w:tcMar>
          </w:tcPr>
          <w:p w14:paraId="4D6F8F0F" w14:textId="77777777" w:rsidR="0039479F" w:rsidRDefault="00000000">
            <w:pPr>
              <w:spacing w:line="216" w:lineRule="auto"/>
            </w:pPr>
            <w:r>
              <w:rPr>
                <w:sz w:val="16"/>
                <w:szCs w:val="16"/>
              </w:rPr>
              <w:t>Japan</w:t>
            </w:r>
          </w:p>
        </w:tc>
        <w:tc>
          <w:tcPr>
            <w:tcW w:w="986" w:type="dxa"/>
            <w:tcMar>
              <w:top w:w="40" w:type="dxa"/>
              <w:left w:w="70" w:type="dxa"/>
              <w:bottom w:w="40" w:type="dxa"/>
              <w:right w:w="70" w:type="dxa"/>
            </w:tcMar>
          </w:tcPr>
          <w:p w14:paraId="4BD00A91" w14:textId="77777777" w:rsidR="0039479F" w:rsidRDefault="00000000">
            <w:pPr>
              <w:spacing w:line="216" w:lineRule="auto"/>
            </w:pPr>
            <w:r>
              <w:rPr>
                <w:sz w:val="16"/>
                <w:szCs w:val="16"/>
              </w:rPr>
              <w:t>1781 eligible; 1561 enrolled; 1317 with blood samples</w:t>
            </w:r>
          </w:p>
        </w:tc>
        <w:tc>
          <w:tcPr>
            <w:tcW w:w="1897" w:type="dxa"/>
            <w:tcMar>
              <w:top w:w="40" w:type="dxa"/>
              <w:left w:w="70" w:type="dxa"/>
              <w:bottom w:w="40" w:type="dxa"/>
              <w:right w:w="70" w:type="dxa"/>
            </w:tcMar>
          </w:tcPr>
          <w:p w14:paraId="07322788" w14:textId="77777777" w:rsidR="0039479F" w:rsidRDefault="00000000">
            <w:pPr>
              <w:spacing w:line="216" w:lineRule="auto"/>
            </w:pPr>
            <w:r>
              <w:rPr>
                <w:sz w:val="16"/>
                <w:szCs w:val="16"/>
              </w:rPr>
              <w:t>Ottawa-like rule; new rule using objectively measurable predictors</w:t>
            </w:r>
          </w:p>
        </w:tc>
        <w:tc>
          <w:tcPr>
            <w:tcW w:w="4328" w:type="dxa"/>
            <w:tcMar>
              <w:top w:w="40" w:type="dxa"/>
              <w:left w:w="70" w:type="dxa"/>
              <w:bottom w:w="40" w:type="dxa"/>
              <w:right w:w="70" w:type="dxa"/>
            </w:tcMar>
          </w:tcPr>
          <w:p w14:paraId="2A23517E" w14:textId="77777777" w:rsidR="0039479F" w:rsidRDefault="00000000">
            <w:pPr>
              <w:spacing w:line="216" w:lineRule="auto"/>
            </w:pPr>
            <w:r>
              <w:rPr>
                <w:sz w:val="16"/>
                <w:szCs w:val="16"/>
              </w:rPr>
              <w:t>277/1561 with SAH. Ottawa-like rule (age &gt;=40 y, neck pain or stiffness, altered consciousness, onset during exertion) sensitivity 100%. New rule based on systolic BP &gt;150 mmHg, diastolic BP &gt;90 mmHg, blood sugar &gt;115 mg/dL or serum potassium &lt;3.9 mEq/L</w:t>
            </w:r>
          </w:p>
        </w:tc>
      </w:tr>
      <w:tr w:rsidR="0039479F" w14:paraId="167BB9A9" w14:textId="77777777">
        <w:tc>
          <w:tcPr>
            <w:tcW w:w="1593" w:type="dxa"/>
            <w:tcMar>
              <w:top w:w="40" w:type="dxa"/>
              <w:left w:w="70" w:type="dxa"/>
              <w:bottom w:w="40" w:type="dxa"/>
              <w:right w:w="70" w:type="dxa"/>
            </w:tcMar>
          </w:tcPr>
          <w:p w14:paraId="3FECC3A0" w14:textId="77777777" w:rsidR="0039479F" w:rsidRDefault="00000000">
            <w:pPr>
              <w:spacing w:line="216" w:lineRule="auto"/>
            </w:pPr>
            <w:r>
              <w:rPr>
                <w:sz w:val="16"/>
                <w:szCs w:val="16"/>
              </w:rPr>
              <w:t>Kelly et al. (2014)</w:t>
            </w:r>
          </w:p>
        </w:tc>
        <w:tc>
          <w:tcPr>
            <w:tcW w:w="1062" w:type="dxa"/>
            <w:tcMar>
              <w:top w:w="40" w:type="dxa"/>
              <w:left w:w="70" w:type="dxa"/>
              <w:bottom w:w="40" w:type="dxa"/>
              <w:right w:w="70" w:type="dxa"/>
            </w:tcMar>
          </w:tcPr>
          <w:p w14:paraId="7919AAA9"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68B517EB" w14:textId="77777777" w:rsidR="0039479F" w:rsidRDefault="00000000">
            <w:pPr>
              <w:spacing w:line="216" w:lineRule="auto"/>
            </w:pPr>
            <w:r>
              <w:rPr>
                <w:sz w:val="16"/>
                <w:szCs w:val="16"/>
              </w:rPr>
              <w:t>59 confirmed SAH</w:t>
            </w:r>
          </w:p>
        </w:tc>
        <w:tc>
          <w:tcPr>
            <w:tcW w:w="1897" w:type="dxa"/>
            <w:tcMar>
              <w:top w:w="40" w:type="dxa"/>
              <w:left w:w="70" w:type="dxa"/>
              <w:bottom w:w="40" w:type="dxa"/>
              <w:right w:w="70" w:type="dxa"/>
            </w:tcMar>
          </w:tcPr>
          <w:p w14:paraId="06637C66" w14:textId="77777777" w:rsidR="0039479F" w:rsidRDefault="00000000">
            <w:pPr>
              <w:spacing w:line="216" w:lineRule="auto"/>
            </w:pPr>
            <w:r>
              <w:rPr>
                <w:sz w:val="16"/>
                <w:szCs w:val="16"/>
              </w:rPr>
              <w:t>Three proposed SAH clinical decision rules</w:t>
            </w:r>
          </w:p>
        </w:tc>
        <w:tc>
          <w:tcPr>
            <w:tcW w:w="4328" w:type="dxa"/>
            <w:tcMar>
              <w:top w:w="40" w:type="dxa"/>
              <w:left w:w="70" w:type="dxa"/>
              <w:bottom w:w="40" w:type="dxa"/>
              <w:right w:w="70" w:type="dxa"/>
            </w:tcMar>
          </w:tcPr>
          <w:p w14:paraId="31A8095B" w14:textId="77777777" w:rsidR="0039479F" w:rsidRDefault="00000000">
            <w:pPr>
              <w:spacing w:line="216" w:lineRule="auto"/>
            </w:pPr>
            <w:r>
              <w:rPr>
                <w:sz w:val="16"/>
                <w:szCs w:val="16"/>
              </w:rPr>
              <w:t>Sensitivity CDR1 96.6% (88.5-99.1); CDR2 100% (93.9-100); CDR3 89.8% (79.5-95.3). Adding vomiting raised CDR1 and CDR3 sensitivity to 100%</w:t>
            </w:r>
          </w:p>
        </w:tc>
      </w:tr>
      <w:tr w:rsidR="0039479F" w14:paraId="0D0746B8" w14:textId="77777777">
        <w:tc>
          <w:tcPr>
            <w:tcW w:w="1593" w:type="dxa"/>
            <w:tcMar>
              <w:top w:w="40" w:type="dxa"/>
              <w:left w:w="70" w:type="dxa"/>
              <w:bottom w:w="40" w:type="dxa"/>
              <w:right w:w="70" w:type="dxa"/>
            </w:tcMar>
          </w:tcPr>
          <w:p w14:paraId="238E3474" w14:textId="77777777" w:rsidR="0039479F" w:rsidRDefault="00000000">
            <w:pPr>
              <w:spacing w:line="216" w:lineRule="auto"/>
            </w:pPr>
            <w:r>
              <w:rPr>
                <w:sz w:val="16"/>
                <w:szCs w:val="16"/>
              </w:rPr>
              <w:t>Mark et al. (2013)</w:t>
            </w:r>
          </w:p>
        </w:tc>
        <w:tc>
          <w:tcPr>
            <w:tcW w:w="1062" w:type="dxa"/>
            <w:tcMar>
              <w:top w:w="40" w:type="dxa"/>
              <w:left w:w="70" w:type="dxa"/>
              <w:bottom w:w="40" w:type="dxa"/>
              <w:right w:w="70" w:type="dxa"/>
            </w:tcMar>
          </w:tcPr>
          <w:p w14:paraId="217F187D"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23DB3ECA" w14:textId="77777777" w:rsidR="0039479F" w:rsidRDefault="00000000">
            <w:pPr>
              <w:spacing w:line="216" w:lineRule="auto"/>
            </w:pPr>
            <w:r>
              <w:rPr>
                <w:sz w:val="16"/>
                <w:szCs w:val="16"/>
              </w:rPr>
              <w:t>55 cases with matched controls</w:t>
            </w:r>
          </w:p>
        </w:tc>
        <w:tc>
          <w:tcPr>
            <w:tcW w:w="1897" w:type="dxa"/>
            <w:tcMar>
              <w:top w:w="40" w:type="dxa"/>
              <w:left w:w="70" w:type="dxa"/>
              <w:bottom w:w="40" w:type="dxa"/>
              <w:right w:w="70" w:type="dxa"/>
            </w:tcMar>
          </w:tcPr>
          <w:p w14:paraId="2D049AE2" w14:textId="77777777" w:rsidR="0039479F" w:rsidRDefault="00000000">
            <w:pPr>
              <w:spacing w:line="216" w:lineRule="auto"/>
            </w:pPr>
            <w:r>
              <w:rPr>
                <w:sz w:val="16"/>
                <w:szCs w:val="16"/>
              </w:rPr>
              <w:t>Clinical rule (age &gt;=40 y, neck pain or stiffness, loss of consciousness, onset during exertion) and imaging…</w:t>
            </w:r>
          </w:p>
        </w:tc>
        <w:tc>
          <w:tcPr>
            <w:tcW w:w="4328" w:type="dxa"/>
            <w:tcMar>
              <w:top w:w="40" w:type="dxa"/>
              <w:left w:w="70" w:type="dxa"/>
              <w:bottom w:w="40" w:type="dxa"/>
              <w:right w:w="70" w:type="dxa"/>
            </w:tcMar>
          </w:tcPr>
          <w:p w14:paraId="24B69F3A" w14:textId="77777777" w:rsidR="0039479F" w:rsidRDefault="00000000">
            <w:pPr>
              <w:spacing w:line="216" w:lineRule="auto"/>
            </w:pPr>
            <w:r>
              <w:rPr>
                <w:sz w:val="16"/>
                <w:szCs w:val="16"/>
              </w:rPr>
              <w:t>55 cases, 34 (62%) attributed to cerebral aneurysms. Clinical rule sensitivity 97.1% (88.6-99.7), specificity 22.7% (16.6-29.8), negative LR 0.13 (0.03-0.61)</w:t>
            </w:r>
          </w:p>
        </w:tc>
      </w:tr>
      <w:tr w:rsidR="0039479F" w14:paraId="6268355F" w14:textId="77777777">
        <w:tc>
          <w:tcPr>
            <w:tcW w:w="1593" w:type="dxa"/>
            <w:tcMar>
              <w:top w:w="40" w:type="dxa"/>
              <w:left w:w="70" w:type="dxa"/>
              <w:bottom w:w="40" w:type="dxa"/>
              <w:right w:w="70" w:type="dxa"/>
            </w:tcMar>
          </w:tcPr>
          <w:p w14:paraId="6B30C1BB" w14:textId="77777777" w:rsidR="0039479F" w:rsidRDefault="00000000">
            <w:pPr>
              <w:spacing w:line="216" w:lineRule="auto"/>
            </w:pPr>
            <w:r>
              <w:rPr>
                <w:sz w:val="16"/>
                <w:szCs w:val="16"/>
              </w:rPr>
              <w:t>Mark et al. (2015a)</w:t>
            </w:r>
          </w:p>
        </w:tc>
        <w:tc>
          <w:tcPr>
            <w:tcW w:w="1062" w:type="dxa"/>
            <w:tcMar>
              <w:top w:w="40" w:type="dxa"/>
              <w:left w:w="70" w:type="dxa"/>
              <w:bottom w:w="40" w:type="dxa"/>
              <w:right w:w="70" w:type="dxa"/>
            </w:tcMar>
          </w:tcPr>
          <w:p w14:paraId="48850850"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329CB5C3" w14:textId="77777777" w:rsidR="0039479F" w:rsidRDefault="00000000">
            <w:pPr>
              <w:spacing w:line="216" w:lineRule="auto"/>
            </w:pPr>
            <w:r>
              <w:rPr>
                <w:sz w:val="16"/>
                <w:szCs w:val="16"/>
              </w:rPr>
              <w:t>155</w:t>
            </w:r>
          </w:p>
        </w:tc>
        <w:tc>
          <w:tcPr>
            <w:tcW w:w="1897" w:type="dxa"/>
            <w:tcMar>
              <w:top w:w="40" w:type="dxa"/>
              <w:left w:w="70" w:type="dxa"/>
              <w:bottom w:w="40" w:type="dxa"/>
              <w:right w:w="70" w:type="dxa"/>
            </w:tcMar>
          </w:tcPr>
          <w:p w14:paraId="40F5C55E" w14:textId="77777777" w:rsidR="0039479F" w:rsidRDefault="00000000">
            <w:pPr>
              <w:spacing w:line="216" w:lineRule="auto"/>
            </w:pPr>
            <w:r>
              <w:rPr>
                <w:sz w:val="16"/>
                <w:szCs w:val="16"/>
              </w:rPr>
              <w:t>Early cranial CT (&lt;6 h) and SAH clinical decision rule</w:t>
            </w:r>
          </w:p>
        </w:tc>
        <w:tc>
          <w:tcPr>
            <w:tcW w:w="4328" w:type="dxa"/>
            <w:tcMar>
              <w:top w:w="40" w:type="dxa"/>
              <w:left w:w="70" w:type="dxa"/>
              <w:bottom w:w="40" w:type="dxa"/>
              <w:right w:w="70" w:type="dxa"/>
            </w:tcMar>
          </w:tcPr>
          <w:p w14:paraId="2FA18496" w14:textId="77777777" w:rsidR="0039479F" w:rsidRDefault="00000000">
            <w:pPr>
              <w:spacing w:line="216" w:lineRule="auto"/>
            </w:pPr>
            <w:r>
              <w:rPr>
                <w:sz w:val="16"/>
                <w:szCs w:val="16"/>
              </w:rPr>
              <w:t>Sensitivity of early cranial CT 95.5% (90.9-98.2); sensitivity of the clinical decision rule 95.5% (90.9-98.2). False negatives were mutually independent, so combined use gave sensitivity 100% (97.6-100)</w:t>
            </w:r>
          </w:p>
        </w:tc>
      </w:tr>
      <w:tr w:rsidR="0039479F" w14:paraId="2F6E4178" w14:textId="77777777">
        <w:tc>
          <w:tcPr>
            <w:tcW w:w="1593" w:type="dxa"/>
            <w:tcMar>
              <w:top w:w="40" w:type="dxa"/>
              <w:left w:w="70" w:type="dxa"/>
              <w:bottom w:w="40" w:type="dxa"/>
              <w:right w:w="70" w:type="dxa"/>
            </w:tcMar>
          </w:tcPr>
          <w:p w14:paraId="52D47745" w14:textId="77777777" w:rsidR="0039479F" w:rsidRDefault="00000000">
            <w:pPr>
              <w:spacing w:line="216" w:lineRule="auto"/>
            </w:pPr>
            <w:r>
              <w:rPr>
                <w:sz w:val="16"/>
                <w:szCs w:val="16"/>
              </w:rPr>
              <w:t>Pathan et al. (2018)</w:t>
            </w:r>
          </w:p>
        </w:tc>
        <w:tc>
          <w:tcPr>
            <w:tcW w:w="1062" w:type="dxa"/>
            <w:tcMar>
              <w:top w:w="40" w:type="dxa"/>
              <w:left w:w="70" w:type="dxa"/>
              <w:bottom w:w="40" w:type="dxa"/>
              <w:right w:w="70" w:type="dxa"/>
            </w:tcMar>
          </w:tcPr>
          <w:p w14:paraId="3BF07246" w14:textId="77777777" w:rsidR="0039479F" w:rsidRDefault="00000000">
            <w:pPr>
              <w:spacing w:line="216" w:lineRule="auto"/>
            </w:pPr>
            <w:r>
              <w:rPr>
                <w:sz w:val="16"/>
                <w:szCs w:val="16"/>
              </w:rPr>
              <w:t>United Kingdom</w:t>
            </w:r>
          </w:p>
        </w:tc>
        <w:tc>
          <w:tcPr>
            <w:tcW w:w="986" w:type="dxa"/>
            <w:tcMar>
              <w:top w:w="40" w:type="dxa"/>
              <w:left w:w="70" w:type="dxa"/>
              <w:bottom w:w="40" w:type="dxa"/>
              <w:right w:w="70" w:type="dxa"/>
            </w:tcMar>
          </w:tcPr>
          <w:p w14:paraId="125CC9F7" w14:textId="77777777" w:rsidR="0039479F" w:rsidRDefault="00000000">
            <w:pPr>
              <w:spacing w:line="216" w:lineRule="auto"/>
            </w:pPr>
            <w:r>
              <w:rPr>
                <w:sz w:val="16"/>
                <w:szCs w:val="16"/>
              </w:rPr>
              <w:t>737 visits reviewed; 649 potentially eligible</w:t>
            </w:r>
          </w:p>
        </w:tc>
        <w:tc>
          <w:tcPr>
            <w:tcW w:w="1897" w:type="dxa"/>
            <w:tcMar>
              <w:top w:w="40" w:type="dxa"/>
              <w:left w:w="70" w:type="dxa"/>
              <w:bottom w:w="40" w:type="dxa"/>
              <w:right w:w="70" w:type="dxa"/>
            </w:tcMar>
          </w:tcPr>
          <w:p w14:paraId="0CBCB6BD" w14:textId="77777777" w:rsidR="0039479F" w:rsidRDefault="00000000">
            <w:pPr>
              <w:spacing w:line="216" w:lineRule="auto"/>
            </w:pPr>
            <w:r>
              <w:rPr>
                <w:sz w:val="16"/>
                <w:szCs w:val="16"/>
              </w:rPr>
              <w:t>Ottawa SAH rule</w:t>
            </w:r>
          </w:p>
        </w:tc>
        <w:tc>
          <w:tcPr>
            <w:tcW w:w="4328" w:type="dxa"/>
            <w:tcMar>
              <w:top w:w="40" w:type="dxa"/>
              <w:left w:w="70" w:type="dxa"/>
              <w:bottom w:w="40" w:type="dxa"/>
              <w:right w:w="70" w:type="dxa"/>
            </w:tcMar>
          </w:tcPr>
          <w:p w14:paraId="3EBB385E" w14:textId="77777777" w:rsidR="0039479F" w:rsidRDefault="00000000">
            <w:pPr>
              <w:spacing w:line="216" w:lineRule="auto"/>
            </w:pPr>
            <w:r>
              <w:rPr>
                <w:sz w:val="16"/>
                <w:szCs w:val="16"/>
              </w:rPr>
              <w:t>External validation of the Ottawa SAH rule in a UK NHS setting compared with current practice; detailed accuracy estimates not fully available in the accessed abstract</w:t>
            </w:r>
          </w:p>
        </w:tc>
      </w:tr>
      <w:tr w:rsidR="0039479F" w14:paraId="16795285" w14:textId="77777777">
        <w:tc>
          <w:tcPr>
            <w:tcW w:w="1593" w:type="dxa"/>
            <w:tcMar>
              <w:top w:w="40" w:type="dxa"/>
              <w:left w:w="70" w:type="dxa"/>
              <w:bottom w:w="40" w:type="dxa"/>
              <w:right w:w="70" w:type="dxa"/>
            </w:tcMar>
          </w:tcPr>
          <w:p w14:paraId="33D271D6" w14:textId="77777777" w:rsidR="0039479F" w:rsidRDefault="00000000">
            <w:pPr>
              <w:spacing w:line="216" w:lineRule="auto"/>
            </w:pPr>
            <w:r>
              <w:rPr>
                <w:sz w:val="16"/>
                <w:szCs w:val="16"/>
              </w:rPr>
              <w:t>Matloob et al. (2013)</w:t>
            </w:r>
          </w:p>
        </w:tc>
        <w:tc>
          <w:tcPr>
            <w:tcW w:w="1062" w:type="dxa"/>
            <w:tcMar>
              <w:top w:w="40" w:type="dxa"/>
              <w:left w:w="70" w:type="dxa"/>
              <w:bottom w:w="40" w:type="dxa"/>
              <w:right w:w="70" w:type="dxa"/>
            </w:tcMar>
          </w:tcPr>
          <w:p w14:paraId="2B65DF08" w14:textId="77777777" w:rsidR="0039479F" w:rsidRDefault="00000000">
            <w:pPr>
              <w:spacing w:line="216" w:lineRule="auto"/>
            </w:pPr>
            <w:r>
              <w:rPr>
                <w:sz w:val="16"/>
                <w:szCs w:val="16"/>
              </w:rPr>
              <w:t>United Kingdom</w:t>
            </w:r>
          </w:p>
        </w:tc>
        <w:tc>
          <w:tcPr>
            <w:tcW w:w="986" w:type="dxa"/>
            <w:tcMar>
              <w:top w:w="40" w:type="dxa"/>
              <w:left w:w="70" w:type="dxa"/>
              <w:bottom w:w="40" w:type="dxa"/>
              <w:right w:w="70" w:type="dxa"/>
            </w:tcMar>
          </w:tcPr>
          <w:p w14:paraId="7E2A09E6" w14:textId="77777777" w:rsidR="0039479F" w:rsidRDefault="00000000">
            <w:pPr>
              <w:spacing w:line="216" w:lineRule="auto"/>
            </w:pPr>
            <w:r>
              <w:rPr>
                <w:sz w:val="16"/>
                <w:szCs w:val="16"/>
              </w:rPr>
              <w:t>112</w:t>
            </w:r>
          </w:p>
        </w:tc>
        <w:tc>
          <w:tcPr>
            <w:tcW w:w="1897" w:type="dxa"/>
            <w:tcMar>
              <w:top w:w="40" w:type="dxa"/>
              <w:left w:w="70" w:type="dxa"/>
              <w:bottom w:w="40" w:type="dxa"/>
              <w:right w:w="70" w:type="dxa"/>
            </w:tcMar>
          </w:tcPr>
          <w:p w14:paraId="2DCAAE26" w14:textId="77777777" w:rsidR="0039479F" w:rsidRDefault="00000000">
            <w:pPr>
              <w:spacing w:line="216" w:lineRule="auto"/>
            </w:pPr>
            <w:r>
              <w:rPr>
                <w:sz w:val="16"/>
                <w:szCs w:val="16"/>
              </w:rPr>
              <w:t>Canadian SAH clinical decision rules applied retrospectively</w:t>
            </w:r>
          </w:p>
        </w:tc>
        <w:tc>
          <w:tcPr>
            <w:tcW w:w="4328" w:type="dxa"/>
            <w:tcMar>
              <w:top w:w="40" w:type="dxa"/>
              <w:left w:w="70" w:type="dxa"/>
              <w:bottom w:w="40" w:type="dxa"/>
              <w:right w:w="70" w:type="dxa"/>
            </w:tcMar>
          </w:tcPr>
          <w:p w14:paraId="5387A95E" w14:textId="77777777" w:rsidR="0039479F" w:rsidRDefault="00000000">
            <w:pPr>
              <w:spacing w:line="216" w:lineRule="auto"/>
            </w:pPr>
            <w:r>
              <w:rPr>
                <w:sz w:val="16"/>
                <w:szCs w:val="16"/>
              </w:rPr>
              <w:t>41/112 (36.6%) underwent unenhanced CT; SAH in 4 (3.6%). Nine had LP, none with xanthochromia. No incompletely investigated patient was readmitted to the regional neurosurgical centre within 6 months</w:t>
            </w:r>
          </w:p>
        </w:tc>
      </w:tr>
      <w:tr w:rsidR="0039479F" w14:paraId="587E1FDB" w14:textId="77777777">
        <w:tc>
          <w:tcPr>
            <w:tcW w:w="1593" w:type="dxa"/>
            <w:tcMar>
              <w:top w:w="40" w:type="dxa"/>
              <w:left w:w="70" w:type="dxa"/>
              <w:bottom w:w="40" w:type="dxa"/>
              <w:right w:w="70" w:type="dxa"/>
            </w:tcMar>
          </w:tcPr>
          <w:p w14:paraId="475F63DA" w14:textId="77777777" w:rsidR="0039479F" w:rsidRDefault="00000000">
            <w:pPr>
              <w:spacing w:line="216" w:lineRule="auto"/>
            </w:pPr>
            <w:r>
              <w:rPr>
                <w:sz w:val="16"/>
                <w:szCs w:val="16"/>
              </w:rPr>
              <w:t>Seingier et al. (2026)</w:t>
            </w:r>
          </w:p>
        </w:tc>
        <w:tc>
          <w:tcPr>
            <w:tcW w:w="1062" w:type="dxa"/>
            <w:tcMar>
              <w:top w:w="40" w:type="dxa"/>
              <w:left w:w="70" w:type="dxa"/>
              <w:bottom w:w="40" w:type="dxa"/>
              <w:right w:w="70" w:type="dxa"/>
            </w:tcMar>
          </w:tcPr>
          <w:p w14:paraId="31866A21" w14:textId="77777777" w:rsidR="0039479F" w:rsidRDefault="00000000">
            <w:pPr>
              <w:spacing w:line="216" w:lineRule="auto"/>
            </w:pPr>
            <w:r>
              <w:rPr>
                <w:sz w:val="16"/>
                <w:szCs w:val="16"/>
              </w:rPr>
              <w:t>France</w:t>
            </w:r>
          </w:p>
        </w:tc>
        <w:tc>
          <w:tcPr>
            <w:tcW w:w="986" w:type="dxa"/>
            <w:tcMar>
              <w:top w:w="40" w:type="dxa"/>
              <w:left w:w="70" w:type="dxa"/>
              <w:bottom w:w="40" w:type="dxa"/>
              <w:right w:w="70" w:type="dxa"/>
            </w:tcMar>
          </w:tcPr>
          <w:p w14:paraId="0CA235DB" w14:textId="77777777" w:rsidR="0039479F" w:rsidRDefault="00000000">
            <w:pPr>
              <w:spacing w:line="216" w:lineRule="auto"/>
            </w:pPr>
            <w:r>
              <w:rPr>
                <w:sz w:val="16"/>
                <w:szCs w:val="16"/>
              </w:rPr>
              <w:t>600</w:t>
            </w:r>
          </w:p>
        </w:tc>
        <w:tc>
          <w:tcPr>
            <w:tcW w:w="1897" w:type="dxa"/>
            <w:tcMar>
              <w:top w:w="40" w:type="dxa"/>
              <w:left w:w="70" w:type="dxa"/>
              <w:bottom w:w="40" w:type="dxa"/>
              <w:right w:w="70" w:type="dxa"/>
            </w:tcMar>
          </w:tcPr>
          <w:p w14:paraId="45F8B912" w14:textId="77777777" w:rsidR="0039479F" w:rsidRDefault="00000000">
            <w:pPr>
              <w:spacing w:line="216" w:lineRule="auto"/>
            </w:pPr>
            <w:r>
              <w:rPr>
                <w:sz w:val="16"/>
                <w:szCs w:val="16"/>
              </w:rPr>
              <w:t>Emergency CT Head Score (ECHS)</w:t>
            </w:r>
          </w:p>
        </w:tc>
        <w:tc>
          <w:tcPr>
            <w:tcW w:w="4328" w:type="dxa"/>
            <w:tcMar>
              <w:top w:w="40" w:type="dxa"/>
              <w:left w:w="70" w:type="dxa"/>
              <w:bottom w:w="40" w:type="dxa"/>
              <w:right w:w="70" w:type="dxa"/>
            </w:tcMar>
          </w:tcPr>
          <w:p w14:paraId="71E0CF50" w14:textId="77777777" w:rsidR="0039479F" w:rsidRDefault="00000000">
            <w:pPr>
              <w:spacing w:line="216" w:lineRule="auto"/>
            </w:pPr>
            <w:r>
              <w:rPr>
                <w:sz w:val="16"/>
                <w:szCs w:val="16"/>
              </w:rPr>
              <w:t>Abnormal CT in 86/600 (14.3%); ECHS area under the curve 0.894</w:t>
            </w:r>
          </w:p>
        </w:tc>
      </w:tr>
      <w:tr w:rsidR="0039479F" w14:paraId="44CFA75B" w14:textId="77777777">
        <w:tc>
          <w:tcPr>
            <w:tcW w:w="1593" w:type="dxa"/>
            <w:tcMar>
              <w:top w:w="40" w:type="dxa"/>
              <w:left w:w="70" w:type="dxa"/>
              <w:bottom w:w="40" w:type="dxa"/>
              <w:right w:w="70" w:type="dxa"/>
            </w:tcMar>
          </w:tcPr>
          <w:p w14:paraId="7998EEB2" w14:textId="77777777" w:rsidR="0039479F" w:rsidRDefault="00000000">
            <w:pPr>
              <w:spacing w:line="216" w:lineRule="auto"/>
            </w:pPr>
            <w:r>
              <w:rPr>
                <w:sz w:val="16"/>
                <w:szCs w:val="16"/>
              </w:rPr>
              <w:t>Nguyen et al. (2022)</w:t>
            </w:r>
          </w:p>
        </w:tc>
        <w:tc>
          <w:tcPr>
            <w:tcW w:w="1062" w:type="dxa"/>
            <w:tcMar>
              <w:top w:w="40" w:type="dxa"/>
              <w:left w:w="70" w:type="dxa"/>
              <w:bottom w:w="40" w:type="dxa"/>
              <w:right w:w="70" w:type="dxa"/>
            </w:tcMar>
          </w:tcPr>
          <w:p w14:paraId="7B0A1035"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4C1CB0AC" w14:textId="77777777" w:rsidR="0039479F" w:rsidRDefault="00000000">
            <w:pPr>
              <w:spacing w:line="216" w:lineRule="auto"/>
            </w:pPr>
            <w:r>
              <w:rPr>
                <w:sz w:val="16"/>
                <w:szCs w:val="16"/>
              </w:rPr>
              <w:t>412</w:t>
            </w:r>
          </w:p>
        </w:tc>
        <w:tc>
          <w:tcPr>
            <w:tcW w:w="1897" w:type="dxa"/>
            <w:tcMar>
              <w:top w:w="40" w:type="dxa"/>
              <w:left w:w="70" w:type="dxa"/>
              <w:bottom w:w="40" w:type="dxa"/>
              <w:right w:w="70" w:type="dxa"/>
            </w:tcMar>
          </w:tcPr>
          <w:p w14:paraId="03B29439" w14:textId="77777777" w:rsidR="0039479F" w:rsidRDefault="00000000">
            <w:pPr>
              <w:spacing w:line="216" w:lineRule="auto"/>
            </w:pPr>
            <w:r>
              <w:rPr>
                <w:sz w:val="16"/>
                <w:szCs w:val="16"/>
              </w:rPr>
              <w:t>Emergency CT Head Score (ECHS)</w:t>
            </w:r>
          </w:p>
        </w:tc>
        <w:tc>
          <w:tcPr>
            <w:tcW w:w="4328" w:type="dxa"/>
            <w:tcMar>
              <w:top w:w="40" w:type="dxa"/>
              <w:left w:w="70" w:type="dxa"/>
              <w:bottom w:w="40" w:type="dxa"/>
              <w:right w:w="70" w:type="dxa"/>
            </w:tcMar>
          </w:tcPr>
          <w:p w14:paraId="74ED0B19" w14:textId="77777777" w:rsidR="0039479F" w:rsidRDefault="00000000">
            <w:pPr>
              <w:spacing w:line="216" w:lineRule="auto"/>
            </w:pPr>
            <w:r>
              <w:rPr>
                <w:sz w:val="16"/>
                <w:szCs w:val="16"/>
              </w:rPr>
              <w:t>10.2% of CTs were positive. ECHS area under ROC curve 0.498; ECHS &gt;0 as a threshold had sensitivity of only 83.3%. Only male sex and focal motor deficit were independent univariate predictors</w:t>
            </w:r>
          </w:p>
        </w:tc>
      </w:tr>
      <w:tr w:rsidR="0039479F" w14:paraId="603D8104" w14:textId="77777777">
        <w:tc>
          <w:tcPr>
            <w:tcW w:w="1593" w:type="dxa"/>
            <w:tcMar>
              <w:top w:w="40" w:type="dxa"/>
              <w:left w:w="70" w:type="dxa"/>
              <w:bottom w:w="40" w:type="dxa"/>
              <w:right w:w="70" w:type="dxa"/>
            </w:tcMar>
          </w:tcPr>
          <w:p w14:paraId="6D542FD6" w14:textId="77777777" w:rsidR="0039479F" w:rsidRDefault="00000000">
            <w:pPr>
              <w:spacing w:line="216" w:lineRule="auto"/>
            </w:pPr>
            <w:r>
              <w:rPr>
                <w:sz w:val="16"/>
                <w:szCs w:val="16"/>
              </w:rPr>
              <w:t>Covino et al. (2019)</w:t>
            </w:r>
          </w:p>
        </w:tc>
        <w:tc>
          <w:tcPr>
            <w:tcW w:w="1062" w:type="dxa"/>
            <w:tcMar>
              <w:top w:w="40" w:type="dxa"/>
              <w:left w:w="70" w:type="dxa"/>
              <w:bottom w:w="40" w:type="dxa"/>
              <w:right w:w="70" w:type="dxa"/>
            </w:tcMar>
          </w:tcPr>
          <w:p w14:paraId="51BC2684" w14:textId="77777777" w:rsidR="0039479F" w:rsidRDefault="00000000">
            <w:pPr>
              <w:spacing w:line="216" w:lineRule="auto"/>
            </w:pPr>
            <w:r>
              <w:rPr>
                <w:sz w:val="16"/>
                <w:szCs w:val="16"/>
              </w:rPr>
              <w:t>Italy</w:t>
            </w:r>
          </w:p>
        </w:tc>
        <w:tc>
          <w:tcPr>
            <w:tcW w:w="986" w:type="dxa"/>
            <w:tcMar>
              <w:top w:w="40" w:type="dxa"/>
              <w:left w:w="70" w:type="dxa"/>
              <w:bottom w:w="40" w:type="dxa"/>
              <w:right w:w="70" w:type="dxa"/>
            </w:tcMar>
          </w:tcPr>
          <w:p w14:paraId="3A1E86DF" w14:textId="77777777" w:rsidR="0039479F" w:rsidRDefault="00000000">
            <w:pPr>
              <w:spacing w:line="216" w:lineRule="auto"/>
            </w:pPr>
            <w:r>
              <w:rPr>
                <w:sz w:val="16"/>
                <w:szCs w:val="16"/>
              </w:rPr>
              <w:t>1156 derivation; 508 prospective validation</w:t>
            </w:r>
          </w:p>
        </w:tc>
        <w:tc>
          <w:tcPr>
            <w:tcW w:w="1897" w:type="dxa"/>
            <w:tcMar>
              <w:top w:w="40" w:type="dxa"/>
              <w:left w:w="70" w:type="dxa"/>
              <w:bottom w:w="40" w:type="dxa"/>
              <w:right w:w="70" w:type="dxa"/>
            </w:tcMar>
          </w:tcPr>
          <w:p w14:paraId="4028E896" w14:textId="77777777" w:rsidR="0039479F" w:rsidRDefault="00000000">
            <w:pPr>
              <w:spacing w:line="216" w:lineRule="auto"/>
            </w:pPr>
            <w:r>
              <w:rPr>
                <w:sz w:val="16"/>
                <w:szCs w:val="16"/>
              </w:rPr>
              <w:t>Derived clinical score for positive cranial CT</w:t>
            </w:r>
          </w:p>
        </w:tc>
        <w:tc>
          <w:tcPr>
            <w:tcW w:w="4328" w:type="dxa"/>
            <w:tcMar>
              <w:top w:w="40" w:type="dxa"/>
              <w:left w:w="70" w:type="dxa"/>
              <w:bottom w:w="40" w:type="dxa"/>
              <w:right w:w="70" w:type="dxa"/>
            </w:tcMar>
          </w:tcPr>
          <w:p w14:paraId="7C6F9895" w14:textId="77777777" w:rsidR="0039479F" w:rsidRDefault="00000000">
            <w:pPr>
              <w:spacing w:line="216" w:lineRule="auto"/>
            </w:pPr>
            <w:r>
              <w:rPr>
                <w:sz w:val="16"/>
                <w:szCs w:val="16"/>
              </w:rPr>
              <w:t>Positivity 15.2% (derivation) and 11.3% (validation). Independent predictors: persistent neurological deficit, new-onset acute headache, seizures and/or altered consciousness, transient neurological disorders. Validation AUC 0.787 (0.748-0.822); score 0 sensitivity 100.0 (93.7-100); avoiding CT at score 0 would have saved 82/508 (16.2%) scans</w:t>
            </w:r>
          </w:p>
        </w:tc>
      </w:tr>
      <w:tr w:rsidR="0039479F" w14:paraId="1EC680B1" w14:textId="77777777">
        <w:tc>
          <w:tcPr>
            <w:tcW w:w="1593" w:type="dxa"/>
            <w:tcMar>
              <w:top w:w="40" w:type="dxa"/>
              <w:left w:w="70" w:type="dxa"/>
              <w:bottom w:w="40" w:type="dxa"/>
              <w:right w:w="70" w:type="dxa"/>
            </w:tcMar>
          </w:tcPr>
          <w:p w14:paraId="328B5E15" w14:textId="77777777" w:rsidR="0039479F" w:rsidRDefault="00000000">
            <w:pPr>
              <w:spacing w:line="216" w:lineRule="auto"/>
            </w:pPr>
            <w:r>
              <w:rPr>
                <w:sz w:val="16"/>
                <w:szCs w:val="16"/>
              </w:rPr>
              <w:t>Scott-King et al. (2019)</w:t>
            </w:r>
          </w:p>
        </w:tc>
        <w:tc>
          <w:tcPr>
            <w:tcW w:w="1062" w:type="dxa"/>
            <w:tcMar>
              <w:top w:w="40" w:type="dxa"/>
              <w:left w:w="70" w:type="dxa"/>
              <w:bottom w:w="40" w:type="dxa"/>
              <w:right w:w="70" w:type="dxa"/>
            </w:tcMar>
          </w:tcPr>
          <w:p w14:paraId="27A50720"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010F12A6" w14:textId="77777777" w:rsidR="0039479F" w:rsidRDefault="00000000">
            <w:pPr>
              <w:spacing w:line="216" w:lineRule="auto"/>
            </w:pPr>
            <w:r>
              <w:rPr>
                <w:sz w:val="16"/>
                <w:szCs w:val="16"/>
              </w:rPr>
              <w:t xml:space="preserve">5296 </w:t>
            </w:r>
            <w:proofErr w:type="gramStart"/>
            <w:r>
              <w:rPr>
                <w:sz w:val="16"/>
                <w:szCs w:val="16"/>
              </w:rPr>
              <w:t>derivation</w:t>
            </w:r>
            <w:proofErr w:type="gramEnd"/>
            <w:r>
              <w:rPr>
                <w:sz w:val="16"/>
                <w:szCs w:val="16"/>
              </w:rPr>
              <w:t>; 5098 validation</w:t>
            </w:r>
          </w:p>
        </w:tc>
        <w:tc>
          <w:tcPr>
            <w:tcW w:w="1897" w:type="dxa"/>
            <w:tcMar>
              <w:top w:w="40" w:type="dxa"/>
              <w:left w:w="70" w:type="dxa"/>
              <w:bottom w:w="40" w:type="dxa"/>
              <w:right w:w="70" w:type="dxa"/>
            </w:tcMar>
          </w:tcPr>
          <w:p w14:paraId="3A4B0A60" w14:textId="77777777" w:rsidR="0039479F" w:rsidRDefault="00000000">
            <w:pPr>
              <w:spacing w:line="216" w:lineRule="auto"/>
            </w:pPr>
            <w:r>
              <w:rPr>
                <w:sz w:val="16"/>
                <w:szCs w:val="16"/>
              </w:rPr>
              <w:t>Derived clinical decision rule and four pre-existing rules</w:t>
            </w:r>
          </w:p>
        </w:tc>
        <w:tc>
          <w:tcPr>
            <w:tcW w:w="4328" w:type="dxa"/>
            <w:tcMar>
              <w:top w:w="40" w:type="dxa"/>
              <w:left w:w="70" w:type="dxa"/>
              <w:bottom w:w="40" w:type="dxa"/>
              <w:right w:w="70" w:type="dxa"/>
            </w:tcMar>
          </w:tcPr>
          <w:p w14:paraId="6BD9D4D3" w14:textId="77777777" w:rsidR="0039479F" w:rsidRDefault="00000000">
            <w:pPr>
              <w:spacing w:line="216" w:lineRule="auto"/>
            </w:pPr>
            <w:r>
              <w:rPr>
                <w:sz w:val="16"/>
                <w:szCs w:val="16"/>
              </w:rPr>
              <w:t>Clinically significant findings 345/5296 (6.5%) derivation and 338/5098 (6.6%) validation. Risk factors: focal deficit aOR 3.4 (2.6-4.4), GCS&lt;15 aOR 3.5 (2.6-4.6), malignancy aOR 3.2 (2.4-4.2), nausea/vomiting aOR 1.6 (1.1-2.1), headache aOR 1.1 (0.9-1.5), coagulopathy aOR 9.2 (2.1-41.5)</w:t>
            </w:r>
          </w:p>
        </w:tc>
      </w:tr>
      <w:tr w:rsidR="0039479F" w14:paraId="3E7B1841" w14:textId="77777777">
        <w:tc>
          <w:tcPr>
            <w:tcW w:w="1593" w:type="dxa"/>
            <w:tcMar>
              <w:top w:w="40" w:type="dxa"/>
              <w:left w:w="70" w:type="dxa"/>
              <w:bottom w:w="40" w:type="dxa"/>
              <w:right w:w="70" w:type="dxa"/>
            </w:tcMar>
          </w:tcPr>
          <w:p w14:paraId="4043B847" w14:textId="77777777" w:rsidR="0039479F" w:rsidRDefault="00000000">
            <w:pPr>
              <w:spacing w:line="216" w:lineRule="auto"/>
            </w:pPr>
            <w:r>
              <w:rPr>
                <w:sz w:val="16"/>
                <w:szCs w:val="16"/>
              </w:rPr>
              <w:t>Tantarattanapong &amp; Chalongkulasak (2019)</w:t>
            </w:r>
          </w:p>
        </w:tc>
        <w:tc>
          <w:tcPr>
            <w:tcW w:w="1062" w:type="dxa"/>
            <w:tcMar>
              <w:top w:w="40" w:type="dxa"/>
              <w:left w:w="70" w:type="dxa"/>
              <w:bottom w:w="40" w:type="dxa"/>
              <w:right w:w="70" w:type="dxa"/>
            </w:tcMar>
          </w:tcPr>
          <w:p w14:paraId="01015B8E" w14:textId="77777777" w:rsidR="0039479F" w:rsidRDefault="00000000">
            <w:pPr>
              <w:spacing w:line="216" w:lineRule="auto"/>
            </w:pPr>
            <w:r>
              <w:rPr>
                <w:sz w:val="16"/>
                <w:szCs w:val="16"/>
              </w:rPr>
              <w:t>Thailand</w:t>
            </w:r>
          </w:p>
        </w:tc>
        <w:tc>
          <w:tcPr>
            <w:tcW w:w="986" w:type="dxa"/>
            <w:tcMar>
              <w:top w:w="40" w:type="dxa"/>
              <w:left w:w="70" w:type="dxa"/>
              <w:bottom w:w="40" w:type="dxa"/>
              <w:right w:w="70" w:type="dxa"/>
            </w:tcMar>
          </w:tcPr>
          <w:p w14:paraId="2C220F4F" w14:textId="77777777" w:rsidR="0039479F" w:rsidRDefault="00000000">
            <w:pPr>
              <w:spacing w:line="216" w:lineRule="auto"/>
            </w:pPr>
            <w:r>
              <w:rPr>
                <w:sz w:val="16"/>
                <w:szCs w:val="16"/>
              </w:rPr>
              <w:t>Not reported in accessed abstract</w:t>
            </w:r>
          </w:p>
        </w:tc>
        <w:tc>
          <w:tcPr>
            <w:tcW w:w="1897" w:type="dxa"/>
            <w:tcMar>
              <w:top w:w="40" w:type="dxa"/>
              <w:left w:w="70" w:type="dxa"/>
              <w:bottom w:w="40" w:type="dxa"/>
              <w:right w:w="70" w:type="dxa"/>
            </w:tcMar>
          </w:tcPr>
          <w:p w14:paraId="31B2106F" w14:textId="77777777" w:rsidR="0039479F" w:rsidRDefault="00000000">
            <w:pPr>
              <w:spacing w:line="216" w:lineRule="auto"/>
            </w:pPr>
            <w:r>
              <w:rPr>
                <w:sz w:val="16"/>
                <w:szCs w:val="16"/>
              </w:rPr>
              <w:t>Derived clinical prediction score</w:t>
            </w:r>
          </w:p>
        </w:tc>
        <w:tc>
          <w:tcPr>
            <w:tcW w:w="4328" w:type="dxa"/>
            <w:tcMar>
              <w:top w:w="40" w:type="dxa"/>
              <w:left w:w="70" w:type="dxa"/>
              <w:bottom w:w="40" w:type="dxa"/>
              <w:right w:w="70" w:type="dxa"/>
            </w:tcMar>
          </w:tcPr>
          <w:p w14:paraId="172D4349" w14:textId="77777777" w:rsidR="0039479F" w:rsidRDefault="00000000">
            <w:pPr>
              <w:spacing w:line="216" w:lineRule="auto"/>
            </w:pPr>
            <w:r>
              <w:rPr>
                <w:sz w:val="16"/>
                <w:szCs w:val="16"/>
              </w:rPr>
              <w:t>Predictive factors and a derived clinical prediction score were reported; numerical accuracy estimates not available in the accessed abstract</w:t>
            </w:r>
          </w:p>
        </w:tc>
      </w:tr>
      <w:tr w:rsidR="0039479F" w14:paraId="0EB74327" w14:textId="77777777">
        <w:tc>
          <w:tcPr>
            <w:tcW w:w="1593" w:type="dxa"/>
            <w:tcMar>
              <w:top w:w="40" w:type="dxa"/>
              <w:left w:w="70" w:type="dxa"/>
              <w:bottom w:w="40" w:type="dxa"/>
              <w:right w:w="70" w:type="dxa"/>
            </w:tcMar>
          </w:tcPr>
          <w:p w14:paraId="135E57CF" w14:textId="77777777" w:rsidR="0039479F" w:rsidRDefault="00000000">
            <w:pPr>
              <w:spacing w:line="216" w:lineRule="auto"/>
            </w:pPr>
            <w:r>
              <w:rPr>
                <w:sz w:val="16"/>
                <w:szCs w:val="16"/>
              </w:rPr>
              <w:lastRenderedPageBreak/>
              <w:t>Asha et al. (2024)</w:t>
            </w:r>
          </w:p>
        </w:tc>
        <w:tc>
          <w:tcPr>
            <w:tcW w:w="1062" w:type="dxa"/>
            <w:tcMar>
              <w:top w:w="40" w:type="dxa"/>
              <w:left w:w="70" w:type="dxa"/>
              <w:bottom w:w="40" w:type="dxa"/>
              <w:right w:w="70" w:type="dxa"/>
            </w:tcMar>
          </w:tcPr>
          <w:p w14:paraId="255B686F"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3EC221B2" w14:textId="77777777" w:rsidR="0039479F" w:rsidRDefault="00000000">
            <w:pPr>
              <w:spacing w:line="216" w:lineRule="auto"/>
            </w:pPr>
            <w:r>
              <w:rPr>
                <w:sz w:val="16"/>
                <w:szCs w:val="16"/>
              </w:rPr>
              <w:t>912</w:t>
            </w:r>
          </w:p>
        </w:tc>
        <w:tc>
          <w:tcPr>
            <w:tcW w:w="1897" w:type="dxa"/>
            <w:tcMar>
              <w:top w:w="40" w:type="dxa"/>
              <w:left w:w="70" w:type="dxa"/>
              <w:bottom w:w="40" w:type="dxa"/>
              <w:right w:w="70" w:type="dxa"/>
            </w:tcMar>
          </w:tcPr>
          <w:p w14:paraId="38938C6C" w14:textId="77777777" w:rsidR="0039479F" w:rsidRDefault="00000000">
            <w:pPr>
              <w:spacing w:line="216" w:lineRule="auto"/>
            </w:pPr>
            <w:r>
              <w:rPr>
                <w:sz w:val="16"/>
                <w:szCs w:val="16"/>
              </w:rPr>
              <w:t>Derived clinical decision rule (no prothrombotic risk factor, age &lt;54 y, no confusion) and a version…</w:t>
            </w:r>
          </w:p>
        </w:tc>
        <w:tc>
          <w:tcPr>
            <w:tcW w:w="4328" w:type="dxa"/>
            <w:tcMar>
              <w:top w:w="40" w:type="dxa"/>
              <w:left w:w="70" w:type="dxa"/>
              <w:bottom w:w="40" w:type="dxa"/>
              <w:right w:w="70" w:type="dxa"/>
            </w:tcMar>
          </w:tcPr>
          <w:p w14:paraId="0F7ECE26" w14:textId="77777777" w:rsidR="0039479F" w:rsidRDefault="00000000">
            <w:pPr>
              <w:spacing w:line="216" w:lineRule="auto"/>
            </w:pPr>
            <w:r>
              <w:rPr>
                <w:sz w:val="16"/>
                <w:szCs w:val="16"/>
              </w:rPr>
              <w:t>CVST 45/912. Clinical rule: sensitivity 95.6% (84.9-99.5), specificity 40.9% (37.6-44.2), NPV 99.4% (97.9-99.9), PPV 7.7% (7.1-8.3); 39.5% classified as ruled out. Rule incorporating non-contrast CT: sensitivity 100.0%</w:t>
            </w:r>
          </w:p>
        </w:tc>
      </w:tr>
      <w:tr w:rsidR="0039479F" w14:paraId="23CD227F" w14:textId="77777777">
        <w:tc>
          <w:tcPr>
            <w:tcW w:w="1593" w:type="dxa"/>
            <w:tcMar>
              <w:top w:w="40" w:type="dxa"/>
              <w:left w:w="70" w:type="dxa"/>
              <w:bottom w:w="40" w:type="dxa"/>
              <w:right w:w="70" w:type="dxa"/>
            </w:tcMar>
          </w:tcPr>
          <w:p w14:paraId="2797DD40" w14:textId="77777777" w:rsidR="0039479F" w:rsidRDefault="00000000">
            <w:pPr>
              <w:spacing w:line="216" w:lineRule="auto"/>
            </w:pPr>
            <w:r>
              <w:rPr>
                <w:sz w:val="16"/>
                <w:szCs w:val="16"/>
              </w:rPr>
              <w:t>Cho et al. (2021)</w:t>
            </w:r>
          </w:p>
        </w:tc>
        <w:tc>
          <w:tcPr>
            <w:tcW w:w="1062" w:type="dxa"/>
            <w:tcMar>
              <w:top w:w="40" w:type="dxa"/>
              <w:left w:w="70" w:type="dxa"/>
              <w:bottom w:w="40" w:type="dxa"/>
              <w:right w:w="70" w:type="dxa"/>
            </w:tcMar>
          </w:tcPr>
          <w:p w14:paraId="080FAEEE" w14:textId="77777777" w:rsidR="0039479F" w:rsidRDefault="00000000">
            <w:pPr>
              <w:spacing w:line="216" w:lineRule="auto"/>
            </w:pPr>
            <w:r>
              <w:rPr>
                <w:sz w:val="16"/>
                <w:szCs w:val="16"/>
              </w:rPr>
              <w:t>South Korea</w:t>
            </w:r>
          </w:p>
        </w:tc>
        <w:tc>
          <w:tcPr>
            <w:tcW w:w="986" w:type="dxa"/>
            <w:tcMar>
              <w:top w:w="40" w:type="dxa"/>
              <w:left w:w="70" w:type="dxa"/>
              <w:bottom w:w="40" w:type="dxa"/>
              <w:right w:w="70" w:type="dxa"/>
            </w:tcMar>
          </w:tcPr>
          <w:p w14:paraId="5CB6894C" w14:textId="77777777" w:rsidR="0039479F" w:rsidRDefault="00000000">
            <w:pPr>
              <w:spacing w:line="216" w:lineRule="auto"/>
            </w:pPr>
            <w:r>
              <w:rPr>
                <w:sz w:val="16"/>
                <w:szCs w:val="16"/>
              </w:rPr>
              <w:t xml:space="preserve">72 </w:t>
            </w:r>
            <w:proofErr w:type="gramStart"/>
            <w:r>
              <w:rPr>
                <w:sz w:val="16"/>
                <w:szCs w:val="16"/>
              </w:rPr>
              <w:t>derivation</w:t>
            </w:r>
            <w:proofErr w:type="gramEnd"/>
            <w:r>
              <w:rPr>
                <w:sz w:val="16"/>
                <w:szCs w:val="16"/>
              </w:rPr>
              <w:t>; 253 validation</w:t>
            </w:r>
          </w:p>
        </w:tc>
        <w:tc>
          <w:tcPr>
            <w:tcW w:w="1897" w:type="dxa"/>
            <w:tcMar>
              <w:top w:w="40" w:type="dxa"/>
              <w:left w:w="70" w:type="dxa"/>
              <w:bottom w:w="40" w:type="dxa"/>
              <w:right w:w="70" w:type="dxa"/>
            </w:tcMar>
          </w:tcPr>
          <w:p w14:paraId="61BE0239" w14:textId="77777777" w:rsidR="0039479F" w:rsidRDefault="00000000">
            <w:pPr>
              <w:spacing w:line="216" w:lineRule="auto"/>
            </w:pPr>
            <w:r>
              <w:rPr>
                <w:sz w:val="16"/>
                <w:szCs w:val="16"/>
              </w:rPr>
              <w:t>RCVS-TCH score (recurrent thunderclap headaches, female sex, triggering factor, blood pressure surge)</w:t>
            </w:r>
          </w:p>
        </w:tc>
        <w:tc>
          <w:tcPr>
            <w:tcW w:w="4328" w:type="dxa"/>
            <w:tcMar>
              <w:top w:w="40" w:type="dxa"/>
              <w:left w:w="70" w:type="dxa"/>
              <w:bottom w:w="40" w:type="dxa"/>
              <w:right w:w="70" w:type="dxa"/>
            </w:tcMar>
          </w:tcPr>
          <w:p w14:paraId="516827D6" w14:textId="77777777" w:rsidR="0039479F" w:rsidRDefault="00000000">
            <w:pPr>
              <w:spacing w:line="216" w:lineRule="auto"/>
            </w:pPr>
            <w:r>
              <w:rPr>
                <w:sz w:val="16"/>
                <w:szCs w:val="16"/>
              </w:rPr>
              <w:t>Derivation C-index 0.929 (0.874-0.984); score &gt;=7 sensitivity 80%, specificity 97%. Validation C-index 0.861 (0.815-0.908)</w:t>
            </w:r>
          </w:p>
        </w:tc>
      </w:tr>
      <w:tr w:rsidR="0039479F" w14:paraId="367FA55B" w14:textId="77777777">
        <w:tc>
          <w:tcPr>
            <w:tcW w:w="1593" w:type="dxa"/>
            <w:tcMar>
              <w:top w:w="40" w:type="dxa"/>
              <w:left w:w="70" w:type="dxa"/>
              <w:bottom w:w="40" w:type="dxa"/>
              <w:right w:w="70" w:type="dxa"/>
            </w:tcMar>
          </w:tcPr>
          <w:p w14:paraId="0FB12F3E" w14:textId="77777777" w:rsidR="0039479F" w:rsidRDefault="00000000">
            <w:pPr>
              <w:spacing w:line="216" w:lineRule="auto"/>
            </w:pPr>
            <w:r>
              <w:rPr>
                <w:sz w:val="16"/>
                <w:szCs w:val="16"/>
              </w:rPr>
              <w:t>Heldner et al. (2020)</w:t>
            </w:r>
          </w:p>
        </w:tc>
        <w:tc>
          <w:tcPr>
            <w:tcW w:w="1062" w:type="dxa"/>
            <w:tcMar>
              <w:top w:w="40" w:type="dxa"/>
              <w:left w:w="70" w:type="dxa"/>
              <w:bottom w:w="40" w:type="dxa"/>
              <w:right w:w="70" w:type="dxa"/>
            </w:tcMar>
          </w:tcPr>
          <w:p w14:paraId="1B6E0D7B" w14:textId="77777777" w:rsidR="0039479F" w:rsidRDefault="00000000">
            <w:pPr>
              <w:spacing w:line="216" w:lineRule="auto"/>
            </w:pPr>
            <w:r>
              <w:rPr>
                <w:sz w:val="16"/>
                <w:szCs w:val="16"/>
              </w:rPr>
              <w:t>Switzerland</w:t>
            </w:r>
          </w:p>
        </w:tc>
        <w:tc>
          <w:tcPr>
            <w:tcW w:w="986" w:type="dxa"/>
            <w:tcMar>
              <w:top w:w="40" w:type="dxa"/>
              <w:left w:w="70" w:type="dxa"/>
              <w:bottom w:w="40" w:type="dxa"/>
              <w:right w:w="70" w:type="dxa"/>
            </w:tcMar>
          </w:tcPr>
          <w:p w14:paraId="6807E4BF" w14:textId="77777777" w:rsidR="0039479F" w:rsidRDefault="00000000">
            <w:pPr>
              <w:spacing w:line="216" w:lineRule="auto"/>
            </w:pPr>
            <w:r>
              <w:rPr>
                <w:sz w:val="16"/>
                <w:szCs w:val="16"/>
              </w:rPr>
              <w:t>359</w:t>
            </w:r>
          </w:p>
        </w:tc>
        <w:tc>
          <w:tcPr>
            <w:tcW w:w="1897" w:type="dxa"/>
            <w:tcMar>
              <w:top w:w="40" w:type="dxa"/>
              <w:left w:w="70" w:type="dxa"/>
              <w:bottom w:w="40" w:type="dxa"/>
              <w:right w:w="70" w:type="dxa"/>
            </w:tcMar>
          </w:tcPr>
          <w:p w14:paraId="11DF7504" w14:textId="77777777" w:rsidR="0039479F" w:rsidRDefault="00000000">
            <w:pPr>
              <w:spacing w:line="216" w:lineRule="auto"/>
            </w:pPr>
            <w:r>
              <w:rPr>
                <w:sz w:val="16"/>
                <w:szCs w:val="16"/>
              </w:rPr>
              <w:t>Six-variable clinical probability score and D-dimer</w:t>
            </w:r>
          </w:p>
        </w:tc>
        <w:tc>
          <w:tcPr>
            <w:tcW w:w="4328" w:type="dxa"/>
            <w:tcMar>
              <w:top w:w="40" w:type="dxa"/>
              <w:left w:w="70" w:type="dxa"/>
              <w:bottom w:w="40" w:type="dxa"/>
              <w:right w:w="70" w:type="dxa"/>
            </w:tcMar>
          </w:tcPr>
          <w:p w14:paraId="4498D712" w14:textId="77777777" w:rsidR="0039479F" w:rsidRDefault="00000000">
            <w:pPr>
              <w:spacing w:line="216" w:lineRule="auto"/>
            </w:pPr>
            <w:r>
              <w:rPr>
                <w:sz w:val="16"/>
                <w:szCs w:val="16"/>
              </w:rPr>
              <w:t>CVT in 94/359 (26.2%). Score AUC 0.889. Low probability (0-2 points, n=186, 51.8%): CVT in 11 (5.9%), NPV 94.1%. Moderate (3-5): 34/120 (28.3%); high (6-12): 49/53 (92.5%). All low-probability patients with CVT had D-dimer &gt;500 ug/L</w:t>
            </w:r>
          </w:p>
        </w:tc>
      </w:tr>
      <w:tr w:rsidR="0039479F" w14:paraId="7C7DEC9F" w14:textId="77777777">
        <w:tc>
          <w:tcPr>
            <w:tcW w:w="1593" w:type="dxa"/>
            <w:tcMar>
              <w:top w:w="40" w:type="dxa"/>
              <w:left w:w="70" w:type="dxa"/>
              <w:bottom w:w="40" w:type="dxa"/>
              <w:right w:w="70" w:type="dxa"/>
            </w:tcMar>
          </w:tcPr>
          <w:p w14:paraId="59F76967" w14:textId="77777777" w:rsidR="0039479F" w:rsidRDefault="00000000">
            <w:pPr>
              <w:spacing w:line="216" w:lineRule="auto"/>
            </w:pPr>
            <w:r>
              <w:rPr>
                <w:sz w:val="16"/>
                <w:szCs w:val="16"/>
              </w:rPr>
              <w:t>Žužek et al. (2019)</w:t>
            </w:r>
          </w:p>
        </w:tc>
        <w:tc>
          <w:tcPr>
            <w:tcW w:w="1062" w:type="dxa"/>
            <w:tcMar>
              <w:top w:w="40" w:type="dxa"/>
              <w:left w:w="70" w:type="dxa"/>
              <w:bottom w:w="40" w:type="dxa"/>
              <w:right w:w="70" w:type="dxa"/>
            </w:tcMar>
          </w:tcPr>
          <w:p w14:paraId="039369FD" w14:textId="77777777" w:rsidR="0039479F" w:rsidRDefault="00000000">
            <w:pPr>
              <w:spacing w:line="216" w:lineRule="auto"/>
            </w:pPr>
            <w:r>
              <w:rPr>
                <w:sz w:val="16"/>
                <w:szCs w:val="16"/>
              </w:rPr>
              <w:t>Slovenia</w:t>
            </w:r>
          </w:p>
        </w:tc>
        <w:tc>
          <w:tcPr>
            <w:tcW w:w="986" w:type="dxa"/>
            <w:tcMar>
              <w:top w:w="40" w:type="dxa"/>
              <w:left w:w="70" w:type="dxa"/>
              <w:bottom w:w="40" w:type="dxa"/>
              <w:right w:w="70" w:type="dxa"/>
            </w:tcMar>
          </w:tcPr>
          <w:p w14:paraId="4955D305" w14:textId="77777777" w:rsidR="0039479F" w:rsidRDefault="00000000">
            <w:pPr>
              <w:spacing w:line="216" w:lineRule="auto"/>
            </w:pPr>
            <w:r>
              <w:rPr>
                <w:sz w:val="16"/>
                <w:szCs w:val="16"/>
              </w:rPr>
              <w:t>486 first referrals (490 analysed for imaging)</w:t>
            </w:r>
          </w:p>
        </w:tc>
        <w:tc>
          <w:tcPr>
            <w:tcW w:w="1897" w:type="dxa"/>
            <w:tcMar>
              <w:top w:w="40" w:type="dxa"/>
              <w:left w:w="70" w:type="dxa"/>
              <w:bottom w:w="40" w:type="dxa"/>
              <w:right w:w="70" w:type="dxa"/>
            </w:tcMar>
          </w:tcPr>
          <w:p w14:paraId="7C8D44EC" w14:textId="77777777" w:rsidR="0039479F" w:rsidRDefault="00000000">
            <w:pPr>
              <w:spacing w:line="216" w:lineRule="auto"/>
            </w:pPr>
            <w:r>
              <w:rPr>
                <w:sz w:val="16"/>
                <w:szCs w:val="16"/>
              </w:rPr>
              <w:t>Clinical criteria for head imaging referral (age &gt;55 y, focal deficit, changed mental state, nausea or…</w:t>
            </w:r>
          </w:p>
        </w:tc>
        <w:tc>
          <w:tcPr>
            <w:tcW w:w="4328" w:type="dxa"/>
            <w:tcMar>
              <w:top w:w="40" w:type="dxa"/>
              <w:left w:w="70" w:type="dxa"/>
              <w:bottom w:w="40" w:type="dxa"/>
              <w:right w:w="70" w:type="dxa"/>
            </w:tcMar>
          </w:tcPr>
          <w:p w14:paraId="529A1755" w14:textId="77777777" w:rsidR="0039479F" w:rsidRDefault="00000000">
            <w:pPr>
              <w:spacing w:line="216" w:lineRule="auto"/>
            </w:pPr>
            <w:r>
              <w:rPr>
                <w:sz w:val="16"/>
                <w:szCs w:val="16"/>
              </w:rPr>
              <w:t>Pathological imaging in 153/490 (31%). Criteria sensitivity 95%; NPV 94% (intracranial pathology in 7/125 not fulfilling criteria)</w:t>
            </w:r>
          </w:p>
        </w:tc>
      </w:tr>
    </w:tbl>
    <w:p w14:paraId="05EB7A50" w14:textId="77777777" w:rsidR="0039479F" w:rsidRDefault="00000000">
      <w:pPr>
        <w:spacing w:before="90" w:after="220" w:line="240" w:lineRule="auto"/>
      </w:pPr>
      <w:r>
        <w:rPr>
          <w:sz w:val="17"/>
          <w:szCs w:val="17"/>
        </w:rPr>
        <w:t>Note. Sensitivity and specificity are reproduced as published. Studies enrolling only patients with a confirmed target condition provide sensitivity estimates alone. Long entries are abbreviated here; the complete extraction for every report is in Supplementary material S5.</w:t>
      </w:r>
    </w:p>
    <w:p w14:paraId="35C00DEE" w14:textId="77777777" w:rsidR="0039479F" w:rsidRDefault="00000000">
      <w:pPr>
        <w:spacing w:after="140"/>
        <w:jc w:val="both"/>
      </w:pPr>
      <w:r>
        <w:t>The remaining reports in this domain (Backes et al., 2015; Bent et al., 2015; Bianchi et al., 2021; Cooper et al., 2016; Jamshidi et al., 2011; Lee et al., 2018; Mejía-Herrera et al., 2025; MNoor et al., 2022; Munoz-Ceron et al., 2019; Plasencia-Martínez et al., 2024; Simwatachela et al., 2021) describe derivation or validation of further rules and scores, none of which has yet accumulated the volume of independent external validation available for the Ottawa rule.</w:t>
      </w:r>
    </w:p>
    <w:p w14:paraId="23E32626" w14:textId="77777777" w:rsidR="0039479F" w:rsidRDefault="00000000">
      <w:pPr>
        <w:pStyle w:val="Heading2"/>
        <w:keepNext/>
        <w:spacing w:before="220" w:after="110"/>
      </w:pPr>
      <w:r>
        <w:t xml:space="preserve">3.7 </w:t>
      </w:r>
      <w:proofErr w:type="gramStart"/>
      <w:r>
        <w:t>Non-contrast</w:t>
      </w:r>
      <w:proofErr w:type="gramEnd"/>
      <w:r>
        <w:t xml:space="preserve"> computed tomography for subarachnoid haemorrhage</w:t>
      </w:r>
    </w:p>
    <w:p w14:paraId="5C3B4C9B" w14:textId="77777777" w:rsidR="0039479F" w:rsidRDefault="00000000">
      <w:pPr>
        <w:spacing w:after="140"/>
        <w:jc w:val="both"/>
      </w:pPr>
      <w:r>
        <w:t xml:space="preserve">Ten reports addressed the sensitivity of non-contrast CT for subarachnoid haemorrhage, and they converge on a single, decision-relevant conclusion: the accuracy of the test is a function of the interval between headache onset and the scan. In the largest prospective evaluation, a multicentre Canadian cohort of 3,132 neurologically intact adults with headache peaking within </w:t>
      </w:r>
      <w:proofErr w:type="gramStart"/>
      <w:r>
        <w:t>one hour</w:t>
      </w:r>
      <w:proofErr w:type="gramEnd"/>
      <w:r>
        <w:t>, overall CT sensitivity was 92.9% (95% CI 89.0–95.5) with specificity 100% (95% CI 99.9–100), but among the 953 patients scanned within six hours of onset all 121 haemorrhages were identified, giving a sensitivity of 100% (95% CI 97.0–100) (Perry et al., 2011). A prospective multicentre United Kingdom cohort of 3,663 patients with independent adjudication and 28-day follow-up reproduced the pattern with more conservative point estimates: for the 772 patients scanned within six hours, sensitivity was 97.0% (95% CI 92.5–99.2), negative predictive value 99.6% (95% CI 98.9–99.9), the negative likelihood ratio 0.03 (95% CI 0.01–0.08) and the post-test probability after a negative scan 0.5% (95% CI 0.2–1.3) (Trainee Emergency Research Network, 2024).</w:t>
      </w:r>
    </w:p>
    <w:p w14:paraId="69F6B71D" w14:textId="77777777" w:rsidR="0039479F" w:rsidRDefault="00000000">
      <w:pPr>
        <w:spacing w:after="140"/>
        <w:jc w:val="both"/>
      </w:pPr>
      <w:r>
        <w:t>Studies that stratified explicitly by time reported the fall beyond the six-hour window. In a Dutch consecutive series of 250 patients with preserved consciousness, sensitivity was 98.5% (95% CI 92.1–100) at six hours or less and 90.0% (95% CI 76.3–97.2) beyond six hours (Backes et al., 2012), and a Finnish cohort found no missed haemorrhage among 280 patients scanned within 24 hours, against five haemorrhages among 259 scanned later (Tulla et al., 2019). Case-based series of patients with confirmed haemorrhage give concordant unstratified sensitivities of 93% (Byyny et al., 2008), 93.8% (Stewart et al., 2014), 95.7% for all haemorrhage subtypes and 97.3% for aneurysmal haemorrhage (Vincent et al., 2022) and 97.8% (Gee et al., 2012).</w:t>
      </w:r>
    </w:p>
    <w:p w14:paraId="38DBC773" w14:textId="77777777" w:rsidR="0039479F" w:rsidRDefault="00000000">
      <w:pPr>
        <w:spacing w:after="140"/>
        <w:jc w:val="both"/>
      </w:pPr>
      <w:r>
        <w:t xml:space="preserve">Two qualifications matter at the bedside. The first is that these operating characteristics presume competent interpretation of a modern scanner. In a retrospective review of 452 aneurysmal haemorrhages, 18 (4%) were CT-negative, of which seven (39%) had been scanned within six hours, and only two of the 18 had been reported initially by a neuroradiologist (Mark et al., 2016); in a Dutch cohort of patients with positive CSF findings, haemorrhage had been missed on the initial scan in 25 of 111 (23%), although expert re-review confirmed a genuinely negative scan in 12 of the 21 who presented within six hours (van den Berg et al., 2022). Where interpretation was by general staff radiologists in non-academic hospitals, however, the negative predictive value of a scan performed within six hours was still 99.9% (95% CI 99.3–100.0) (Blok et al., 2015). The second qualification is that a normal CT excludes haemorrhage, not disease: in a prospective feasibility study with two blinded readers, unenhanced CT identified intracranial pathology in 15% of scanned patients, and no additional </w:t>
      </w:r>
      <w:r>
        <w:lastRenderedPageBreak/>
        <w:t>causative finding was identified on contrast-enhanced imaging among those whose unenhanced scan was normal (Rizk et al., 2013). Table 8 sets out the reports of non-contrast CT sensitivity.</w:t>
      </w:r>
    </w:p>
    <w:p w14:paraId="627F608A" w14:textId="77777777" w:rsidR="0039479F" w:rsidRDefault="00000000">
      <w:pPr>
        <w:keepNext/>
        <w:spacing w:before="200" w:after="90"/>
      </w:pPr>
      <w:r>
        <w:rPr>
          <w:b/>
          <w:bCs/>
          <w:sz w:val="21"/>
          <w:szCs w:val="21"/>
        </w:rPr>
        <w:t>Table 8. Sensitivity of non-contrast computed tomography for subarachnoid haemorrhage</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315"/>
        <w:gridCol w:w="739"/>
        <w:gridCol w:w="1233"/>
        <w:gridCol w:w="1068"/>
        <w:gridCol w:w="1644"/>
        <w:gridCol w:w="3867"/>
      </w:tblGrid>
      <w:tr w:rsidR="0039479F" w14:paraId="12763F64" w14:textId="77777777">
        <w:trPr>
          <w:tblHeader/>
        </w:trPr>
        <w:tc>
          <w:tcPr>
            <w:tcW w:w="1315" w:type="dxa"/>
            <w:shd w:val="clear" w:color="auto" w:fill="F2F2F2"/>
            <w:tcMar>
              <w:top w:w="40" w:type="dxa"/>
              <w:left w:w="70" w:type="dxa"/>
              <w:bottom w:w="40" w:type="dxa"/>
              <w:right w:w="70" w:type="dxa"/>
            </w:tcMar>
          </w:tcPr>
          <w:p w14:paraId="4BA77F33" w14:textId="77777777" w:rsidR="0039479F" w:rsidRDefault="00000000">
            <w:pPr>
              <w:spacing w:line="216" w:lineRule="auto"/>
            </w:pPr>
            <w:r>
              <w:rPr>
                <w:b/>
                <w:bCs/>
                <w:sz w:val="16"/>
                <w:szCs w:val="16"/>
              </w:rPr>
              <w:t>Study</w:t>
            </w:r>
          </w:p>
        </w:tc>
        <w:tc>
          <w:tcPr>
            <w:tcW w:w="739" w:type="dxa"/>
            <w:shd w:val="clear" w:color="auto" w:fill="F2F2F2"/>
            <w:tcMar>
              <w:top w:w="40" w:type="dxa"/>
              <w:left w:w="70" w:type="dxa"/>
              <w:bottom w:w="40" w:type="dxa"/>
              <w:right w:w="70" w:type="dxa"/>
            </w:tcMar>
          </w:tcPr>
          <w:p w14:paraId="73C7A509" w14:textId="77777777" w:rsidR="0039479F" w:rsidRDefault="00000000">
            <w:pPr>
              <w:spacing w:line="216" w:lineRule="auto"/>
            </w:pPr>
            <w:r>
              <w:rPr>
                <w:b/>
                <w:bCs/>
                <w:sz w:val="16"/>
                <w:szCs w:val="16"/>
              </w:rPr>
              <w:t>Country</w:t>
            </w:r>
          </w:p>
        </w:tc>
        <w:tc>
          <w:tcPr>
            <w:tcW w:w="1233" w:type="dxa"/>
            <w:shd w:val="clear" w:color="auto" w:fill="F2F2F2"/>
            <w:tcMar>
              <w:top w:w="40" w:type="dxa"/>
              <w:left w:w="70" w:type="dxa"/>
              <w:bottom w:w="40" w:type="dxa"/>
              <w:right w:w="70" w:type="dxa"/>
            </w:tcMar>
          </w:tcPr>
          <w:p w14:paraId="4D133E7C" w14:textId="77777777" w:rsidR="0039479F" w:rsidRDefault="00000000">
            <w:pPr>
              <w:spacing w:line="216" w:lineRule="auto"/>
            </w:pPr>
            <w:r>
              <w:rPr>
                <w:b/>
                <w:bCs/>
                <w:sz w:val="16"/>
                <w:szCs w:val="16"/>
              </w:rPr>
              <w:t>Design</w:t>
            </w:r>
          </w:p>
        </w:tc>
        <w:tc>
          <w:tcPr>
            <w:tcW w:w="1068" w:type="dxa"/>
            <w:shd w:val="clear" w:color="auto" w:fill="F2F2F2"/>
            <w:tcMar>
              <w:top w:w="40" w:type="dxa"/>
              <w:left w:w="70" w:type="dxa"/>
              <w:bottom w:w="40" w:type="dxa"/>
              <w:right w:w="70" w:type="dxa"/>
            </w:tcMar>
          </w:tcPr>
          <w:p w14:paraId="7650EA65" w14:textId="77777777" w:rsidR="0039479F" w:rsidRDefault="00000000">
            <w:pPr>
              <w:spacing w:line="216" w:lineRule="auto"/>
            </w:pPr>
            <w:r>
              <w:rPr>
                <w:b/>
                <w:bCs/>
                <w:sz w:val="16"/>
                <w:szCs w:val="16"/>
              </w:rPr>
              <w:t>Participants</w:t>
            </w:r>
          </w:p>
        </w:tc>
        <w:tc>
          <w:tcPr>
            <w:tcW w:w="1644" w:type="dxa"/>
            <w:shd w:val="clear" w:color="auto" w:fill="F2F2F2"/>
            <w:tcMar>
              <w:top w:w="40" w:type="dxa"/>
              <w:left w:w="70" w:type="dxa"/>
              <w:bottom w:w="40" w:type="dxa"/>
              <w:right w:w="70" w:type="dxa"/>
            </w:tcMar>
          </w:tcPr>
          <w:p w14:paraId="193D0C3F" w14:textId="77777777" w:rsidR="0039479F" w:rsidRDefault="00000000">
            <w:pPr>
              <w:spacing w:line="216" w:lineRule="auto"/>
            </w:pPr>
            <w:r>
              <w:rPr>
                <w:b/>
                <w:bCs/>
                <w:sz w:val="16"/>
                <w:szCs w:val="16"/>
              </w:rPr>
              <w:t>Index test</w:t>
            </w:r>
          </w:p>
        </w:tc>
        <w:tc>
          <w:tcPr>
            <w:tcW w:w="3867" w:type="dxa"/>
            <w:shd w:val="clear" w:color="auto" w:fill="F2F2F2"/>
            <w:tcMar>
              <w:top w:w="40" w:type="dxa"/>
              <w:left w:w="70" w:type="dxa"/>
              <w:bottom w:w="40" w:type="dxa"/>
              <w:right w:w="70" w:type="dxa"/>
            </w:tcMar>
          </w:tcPr>
          <w:p w14:paraId="560B818F" w14:textId="77777777" w:rsidR="0039479F" w:rsidRDefault="00000000">
            <w:pPr>
              <w:spacing w:line="216" w:lineRule="auto"/>
            </w:pPr>
            <w:r>
              <w:rPr>
                <w:b/>
                <w:bCs/>
                <w:sz w:val="16"/>
                <w:szCs w:val="16"/>
              </w:rPr>
              <w:t>Results as reported</w:t>
            </w:r>
          </w:p>
        </w:tc>
      </w:tr>
      <w:tr w:rsidR="0039479F" w14:paraId="28B853AE" w14:textId="77777777">
        <w:tc>
          <w:tcPr>
            <w:tcW w:w="1315" w:type="dxa"/>
            <w:tcMar>
              <w:top w:w="40" w:type="dxa"/>
              <w:left w:w="70" w:type="dxa"/>
              <w:bottom w:w="40" w:type="dxa"/>
              <w:right w:w="70" w:type="dxa"/>
            </w:tcMar>
          </w:tcPr>
          <w:p w14:paraId="5D6A9D24" w14:textId="77777777" w:rsidR="0039479F" w:rsidRDefault="00000000">
            <w:pPr>
              <w:spacing w:line="216" w:lineRule="auto"/>
            </w:pPr>
            <w:r>
              <w:rPr>
                <w:sz w:val="16"/>
                <w:szCs w:val="16"/>
              </w:rPr>
              <w:t>Trainee Emergency Research Network (2024), SHED</w:t>
            </w:r>
          </w:p>
        </w:tc>
        <w:tc>
          <w:tcPr>
            <w:tcW w:w="739" w:type="dxa"/>
            <w:tcMar>
              <w:top w:w="40" w:type="dxa"/>
              <w:left w:w="70" w:type="dxa"/>
              <w:bottom w:w="40" w:type="dxa"/>
              <w:right w:w="70" w:type="dxa"/>
            </w:tcMar>
          </w:tcPr>
          <w:p w14:paraId="5E1B68A9" w14:textId="77777777" w:rsidR="0039479F" w:rsidRDefault="00000000">
            <w:pPr>
              <w:spacing w:line="216" w:lineRule="auto"/>
            </w:pPr>
            <w:r>
              <w:rPr>
                <w:sz w:val="16"/>
                <w:szCs w:val="16"/>
              </w:rPr>
              <w:t>United…</w:t>
            </w:r>
          </w:p>
        </w:tc>
        <w:tc>
          <w:tcPr>
            <w:tcW w:w="1233" w:type="dxa"/>
            <w:tcMar>
              <w:top w:w="40" w:type="dxa"/>
              <w:left w:w="70" w:type="dxa"/>
              <w:bottom w:w="40" w:type="dxa"/>
              <w:right w:w="70" w:type="dxa"/>
            </w:tcMar>
          </w:tcPr>
          <w:p w14:paraId="5C8AFB87" w14:textId="77777777" w:rsidR="0039479F" w:rsidRDefault="00000000">
            <w:pPr>
              <w:spacing w:line="216" w:lineRule="auto"/>
            </w:pPr>
            <w:r>
              <w:rPr>
                <w:sz w:val="16"/>
                <w:szCs w:val="16"/>
              </w:rPr>
              <w:t>Prospective multicentre…</w:t>
            </w:r>
          </w:p>
        </w:tc>
        <w:tc>
          <w:tcPr>
            <w:tcW w:w="1068" w:type="dxa"/>
            <w:tcMar>
              <w:top w:w="40" w:type="dxa"/>
              <w:left w:w="70" w:type="dxa"/>
              <w:bottom w:w="40" w:type="dxa"/>
              <w:right w:w="70" w:type="dxa"/>
            </w:tcMar>
          </w:tcPr>
          <w:p w14:paraId="5AE0459B" w14:textId="77777777" w:rsidR="0039479F" w:rsidRDefault="00000000">
            <w:pPr>
              <w:spacing w:line="216" w:lineRule="auto"/>
            </w:pPr>
            <w:r>
              <w:rPr>
                <w:sz w:val="16"/>
                <w:szCs w:val="16"/>
              </w:rPr>
              <w:t xml:space="preserve">3663 </w:t>
            </w:r>
            <w:proofErr w:type="gramStart"/>
            <w:r>
              <w:rPr>
                <w:sz w:val="16"/>
                <w:szCs w:val="16"/>
              </w:rPr>
              <w:t>enrolled;…</w:t>
            </w:r>
            <w:proofErr w:type="gramEnd"/>
          </w:p>
        </w:tc>
        <w:tc>
          <w:tcPr>
            <w:tcW w:w="1644" w:type="dxa"/>
            <w:tcMar>
              <w:top w:w="40" w:type="dxa"/>
              <w:left w:w="70" w:type="dxa"/>
              <w:bottom w:w="40" w:type="dxa"/>
              <w:right w:w="70" w:type="dxa"/>
            </w:tcMar>
          </w:tcPr>
          <w:p w14:paraId="68DB23CC" w14:textId="77777777" w:rsidR="0039479F" w:rsidRDefault="00000000">
            <w:pPr>
              <w:spacing w:line="216" w:lineRule="auto"/>
            </w:pPr>
            <w:r>
              <w:rPr>
                <w:sz w:val="16"/>
                <w:szCs w:val="16"/>
              </w:rPr>
              <w:t>Non-contrast CT brain, stratified by…</w:t>
            </w:r>
          </w:p>
        </w:tc>
        <w:tc>
          <w:tcPr>
            <w:tcW w:w="3867" w:type="dxa"/>
            <w:tcMar>
              <w:top w:w="40" w:type="dxa"/>
              <w:left w:w="70" w:type="dxa"/>
              <w:bottom w:w="40" w:type="dxa"/>
              <w:right w:w="70" w:type="dxa"/>
            </w:tcMar>
          </w:tcPr>
          <w:p w14:paraId="39F936CE" w14:textId="77777777" w:rsidR="0039479F" w:rsidRDefault="00000000">
            <w:pPr>
              <w:spacing w:line="216" w:lineRule="auto"/>
            </w:pPr>
            <w:r>
              <w:rPr>
                <w:sz w:val="16"/>
                <w:szCs w:val="16"/>
              </w:rPr>
              <w:t>SAH prevalence 6.5% (237/3663). CT &lt;6 h (n=772): sensitivity 97.0% (95% CI 92.5-99.2), NPV 99.6% (98.9-99.9), post-test probability after negative CT 0.5% (0.2-1.3), negative LR 0.03 (0.01-0.08)</w:t>
            </w:r>
          </w:p>
        </w:tc>
      </w:tr>
      <w:tr w:rsidR="0039479F" w14:paraId="64DBA7BF" w14:textId="77777777">
        <w:tc>
          <w:tcPr>
            <w:tcW w:w="1315" w:type="dxa"/>
            <w:tcMar>
              <w:top w:w="40" w:type="dxa"/>
              <w:left w:w="70" w:type="dxa"/>
              <w:bottom w:w="40" w:type="dxa"/>
              <w:right w:w="70" w:type="dxa"/>
            </w:tcMar>
          </w:tcPr>
          <w:p w14:paraId="426F01B1" w14:textId="77777777" w:rsidR="0039479F" w:rsidRDefault="00000000">
            <w:pPr>
              <w:spacing w:line="216" w:lineRule="auto"/>
            </w:pPr>
            <w:r>
              <w:rPr>
                <w:sz w:val="16"/>
                <w:szCs w:val="16"/>
              </w:rPr>
              <w:t>Vincent et al. (2022)</w:t>
            </w:r>
          </w:p>
        </w:tc>
        <w:tc>
          <w:tcPr>
            <w:tcW w:w="739" w:type="dxa"/>
            <w:tcMar>
              <w:top w:w="40" w:type="dxa"/>
              <w:left w:w="70" w:type="dxa"/>
              <w:bottom w:w="40" w:type="dxa"/>
              <w:right w:w="70" w:type="dxa"/>
            </w:tcMar>
          </w:tcPr>
          <w:p w14:paraId="37A0C815" w14:textId="77777777" w:rsidR="0039479F" w:rsidRDefault="00000000">
            <w:pPr>
              <w:spacing w:line="216" w:lineRule="auto"/>
            </w:pPr>
            <w:r>
              <w:rPr>
                <w:sz w:val="16"/>
                <w:szCs w:val="16"/>
              </w:rPr>
              <w:t>New Zealand</w:t>
            </w:r>
          </w:p>
        </w:tc>
        <w:tc>
          <w:tcPr>
            <w:tcW w:w="1233" w:type="dxa"/>
            <w:tcMar>
              <w:top w:w="40" w:type="dxa"/>
              <w:left w:w="70" w:type="dxa"/>
              <w:bottom w:w="40" w:type="dxa"/>
              <w:right w:w="70" w:type="dxa"/>
            </w:tcMar>
          </w:tcPr>
          <w:p w14:paraId="2E288CDF" w14:textId="77777777" w:rsidR="0039479F" w:rsidRDefault="00000000">
            <w:pPr>
              <w:spacing w:line="216" w:lineRule="auto"/>
            </w:pPr>
            <w:r>
              <w:rPr>
                <w:sz w:val="16"/>
                <w:szCs w:val="16"/>
              </w:rPr>
              <w:t>Retrospective cohort…</w:t>
            </w:r>
          </w:p>
        </w:tc>
        <w:tc>
          <w:tcPr>
            <w:tcW w:w="1068" w:type="dxa"/>
            <w:tcMar>
              <w:top w:w="40" w:type="dxa"/>
              <w:left w:w="70" w:type="dxa"/>
              <w:bottom w:w="40" w:type="dxa"/>
              <w:right w:w="70" w:type="dxa"/>
            </w:tcMar>
          </w:tcPr>
          <w:p w14:paraId="64B1062D" w14:textId="77777777" w:rsidR="0039479F" w:rsidRDefault="00000000">
            <w:pPr>
              <w:spacing w:line="216" w:lineRule="auto"/>
            </w:pPr>
            <w:r>
              <w:rPr>
                <w:sz w:val="16"/>
                <w:szCs w:val="16"/>
              </w:rPr>
              <w:t>347 SAH (260…</w:t>
            </w:r>
          </w:p>
        </w:tc>
        <w:tc>
          <w:tcPr>
            <w:tcW w:w="1644" w:type="dxa"/>
            <w:tcMar>
              <w:top w:w="40" w:type="dxa"/>
              <w:left w:w="70" w:type="dxa"/>
              <w:bottom w:w="40" w:type="dxa"/>
              <w:right w:w="70" w:type="dxa"/>
            </w:tcMar>
          </w:tcPr>
          <w:p w14:paraId="7646CAE7" w14:textId="77777777" w:rsidR="0039479F" w:rsidRDefault="00000000">
            <w:pPr>
              <w:spacing w:line="216" w:lineRule="auto"/>
            </w:pPr>
            <w:r>
              <w:rPr>
                <w:sz w:val="16"/>
                <w:szCs w:val="16"/>
              </w:rPr>
              <w:t>Modern multislice CT at incremental time…</w:t>
            </w:r>
          </w:p>
        </w:tc>
        <w:tc>
          <w:tcPr>
            <w:tcW w:w="3867" w:type="dxa"/>
            <w:tcMar>
              <w:top w:w="40" w:type="dxa"/>
              <w:left w:w="70" w:type="dxa"/>
              <w:bottom w:w="40" w:type="dxa"/>
              <w:right w:w="70" w:type="dxa"/>
            </w:tcMar>
          </w:tcPr>
          <w:p w14:paraId="14E308F7" w14:textId="77777777" w:rsidR="0039479F" w:rsidRDefault="00000000">
            <w:pPr>
              <w:spacing w:line="216" w:lineRule="auto"/>
            </w:pPr>
            <w:r>
              <w:rPr>
                <w:sz w:val="16"/>
                <w:szCs w:val="16"/>
              </w:rPr>
              <w:t>MSCT identified 253/260 (97.3%) aneurysmal SAH and 332/347 (95.7%) of all SAH. Sensitivity at 24 h 100% (98.3-100) for aneurysmal SAH; at 48 h 99.6% (97.6-100) aneurysmal and 99.0% (97.1-99.8) all SAH</w:t>
            </w:r>
          </w:p>
        </w:tc>
      </w:tr>
      <w:tr w:rsidR="0039479F" w14:paraId="6A90990F" w14:textId="77777777">
        <w:tc>
          <w:tcPr>
            <w:tcW w:w="1315" w:type="dxa"/>
            <w:tcMar>
              <w:top w:w="40" w:type="dxa"/>
              <w:left w:w="70" w:type="dxa"/>
              <w:bottom w:w="40" w:type="dxa"/>
              <w:right w:w="70" w:type="dxa"/>
            </w:tcMar>
          </w:tcPr>
          <w:p w14:paraId="59BF372E" w14:textId="77777777" w:rsidR="0039479F" w:rsidRDefault="00000000">
            <w:pPr>
              <w:spacing w:line="216" w:lineRule="auto"/>
            </w:pPr>
            <w:r>
              <w:rPr>
                <w:sz w:val="16"/>
                <w:szCs w:val="16"/>
              </w:rPr>
              <w:t>Mark et al. (2016)</w:t>
            </w:r>
          </w:p>
        </w:tc>
        <w:tc>
          <w:tcPr>
            <w:tcW w:w="739" w:type="dxa"/>
            <w:tcMar>
              <w:top w:w="40" w:type="dxa"/>
              <w:left w:w="70" w:type="dxa"/>
              <w:bottom w:w="40" w:type="dxa"/>
              <w:right w:w="70" w:type="dxa"/>
            </w:tcMar>
          </w:tcPr>
          <w:p w14:paraId="17B4D607" w14:textId="77777777" w:rsidR="0039479F" w:rsidRDefault="00000000">
            <w:pPr>
              <w:spacing w:line="216" w:lineRule="auto"/>
            </w:pPr>
            <w:r>
              <w:rPr>
                <w:sz w:val="16"/>
                <w:szCs w:val="16"/>
              </w:rPr>
              <w:t>United States</w:t>
            </w:r>
          </w:p>
        </w:tc>
        <w:tc>
          <w:tcPr>
            <w:tcW w:w="1233" w:type="dxa"/>
            <w:tcMar>
              <w:top w:w="40" w:type="dxa"/>
              <w:left w:w="70" w:type="dxa"/>
              <w:bottom w:w="40" w:type="dxa"/>
              <w:right w:w="70" w:type="dxa"/>
            </w:tcMar>
          </w:tcPr>
          <w:p w14:paraId="0F8376C1" w14:textId="77777777" w:rsidR="0039479F" w:rsidRDefault="00000000">
            <w:pPr>
              <w:spacing w:line="216" w:lineRule="auto"/>
            </w:pPr>
            <w:r>
              <w:rPr>
                <w:sz w:val="16"/>
                <w:szCs w:val="16"/>
              </w:rPr>
              <w:t>Retrospective chart…</w:t>
            </w:r>
          </w:p>
        </w:tc>
        <w:tc>
          <w:tcPr>
            <w:tcW w:w="1068" w:type="dxa"/>
            <w:tcMar>
              <w:top w:w="40" w:type="dxa"/>
              <w:left w:w="70" w:type="dxa"/>
              <w:bottom w:w="40" w:type="dxa"/>
              <w:right w:w="70" w:type="dxa"/>
            </w:tcMar>
          </w:tcPr>
          <w:p w14:paraId="416F8408" w14:textId="77777777" w:rsidR="0039479F" w:rsidRDefault="00000000">
            <w:pPr>
              <w:spacing w:line="216" w:lineRule="auto"/>
            </w:pPr>
            <w:r>
              <w:rPr>
                <w:sz w:val="16"/>
                <w:szCs w:val="16"/>
              </w:rPr>
              <w:t>452 aneurysmal…</w:t>
            </w:r>
          </w:p>
        </w:tc>
        <w:tc>
          <w:tcPr>
            <w:tcW w:w="1644" w:type="dxa"/>
            <w:tcMar>
              <w:top w:w="40" w:type="dxa"/>
              <w:left w:w="70" w:type="dxa"/>
              <w:bottom w:w="40" w:type="dxa"/>
              <w:right w:w="70" w:type="dxa"/>
            </w:tcMar>
          </w:tcPr>
          <w:p w14:paraId="6E291067" w14:textId="77777777" w:rsidR="0039479F" w:rsidRDefault="00000000">
            <w:pPr>
              <w:spacing w:line="216" w:lineRule="auto"/>
            </w:pPr>
            <w:r>
              <w:rPr>
                <w:sz w:val="16"/>
                <w:szCs w:val="16"/>
              </w:rPr>
              <w:t>Radiologist interpretation of…</w:t>
            </w:r>
          </w:p>
        </w:tc>
        <w:tc>
          <w:tcPr>
            <w:tcW w:w="3867" w:type="dxa"/>
            <w:tcMar>
              <w:top w:w="40" w:type="dxa"/>
              <w:left w:w="70" w:type="dxa"/>
              <w:bottom w:w="40" w:type="dxa"/>
              <w:right w:w="70" w:type="dxa"/>
            </w:tcMar>
          </w:tcPr>
          <w:p w14:paraId="38673608" w14:textId="77777777" w:rsidR="0039479F" w:rsidRDefault="00000000">
            <w:pPr>
              <w:spacing w:line="216" w:lineRule="auto"/>
            </w:pPr>
            <w:r>
              <w:rPr>
                <w:sz w:val="16"/>
                <w:szCs w:val="16"/>
              </w:rPr>
              <w:t>18/452 (4%) were CT-negative aSAH; 7/18 (39%) had CT within 6 h of onset; 2/18 (11%) initially reported by neuroradiologists. Blinded re-review identified missed CT evidence in a proportion of reportedly normal scans</w:t>
            </w:r>
          </w:p>
        </w:tc>
      </w:tr>
      <w:tr w:rsidR="0039479F" w14:paraId="008BB63A" w14:textId="77777777">
        <w:tc>
          <w:tcPr>
            <w:tcW w:w="1315" w:type="dxa"/>
            <w:tcMar>
              <w:top w:w="40" w:type="dxa"/>
              <w:left w:w="70" w:type="dxa"/>
              <w:bottom w:w="40" w:type="dxa"/>
              <w:right w:w="70" w:type="dxa"/>
            </w:tcMar>
          </w:tcPr>
          <w:p w14:paraId="484CD194" w14:textId="77777777" w:rsidR="0039479F" w:rsidRDefault="00000000">
            <w:pPr>
              <w:spacing w:line="216" w:lineRule="auto"/>
            </w:pPr>
            <w:r>
              <w:rPr>
                <w:sz w:val="16"/>
                <w:szCs w:val="16"/>
              </w:rPr>
              <w:t>Blok et al. (2015)</w:t>
            </w:r>
          </w:p>
        </w:tc>
        <w:tc>
          <w:tcPr>
            <w:tcW w:w="739" w:type="dxa"/>
            <w:tcMar>
              <w:top w:w="40" w:type="dxa"/>
              <w:left w:w="70" w:type="dxa"/>
              <w:bottom w:w="40" w:type="dxa"/>
              <w:right w:w="70" w:type="dxa"/>
            </w:tcMar>
          </w:tcPr>
          <w:p w14:paraId="461101A4" w14:textId="77777777" w:rsidR="0039479F" w:rsidRDefault="00000000">
            <w:pPr>
              <w:spacing w:line="216" w:lineRule="auto"/>
            </w:pPr>
            <w:r>
              <w:rPr>
                <w:sz w:val="16"/>
                <w:szCs w:val="16"/>
              </w:rPr>
              <w:t>Netherlands</w:t>
            </w:r>
          </w:p>
        </w:tc>
        <w:tc>
          <w:tcPr>
            <w:tcW w:w="1233" w:type="dxa"/>
            <w:tcMar>
              <w:top w:w="40" w:type="dxa"/>
              <w:left w:w="70" w:type="dxa"/>
              <w:bottom w:w="40" w:type="dxa"/>
              <w:right w:w="70" w:type="dxa"/>
            </w:tcMar>
          </w:tcPr>
          <w:p w14:paraId="1578D97B" w14:textId="77777777" w:rsidR="0039479F" w:rsidRDefault="00000000">
            <w:pPr>
              <w:spacing w:line="216" w:lineRule="auto"/>
            </w:pPr>
            <w:r>
              <w:rPr>
                <w:sz w:val="16"/>
                <w:szCs w:val="16"/>
              </w:rPr>
              <w:t>Retrospective…</w:t>
            </w:r>
          </w:p>
        </w:tc>
        <w:tc>
          <w:tcPr>
            <w:tcW w:w="1068" w:type="dxa"/>
            <w:tcMar>
              <w:top w:w="40" w:type="dxa"/>
              <w:left w:w="70" w:type="dxa"/>
              <w:bottom w:w="40" w:type="dxa"/>
              <w:right w:w="70" w:type="dxa"/>
            </w:tcMar>
          </w:tcPr>
          <w:p w14:paraId="583C028C" w14:textId="77777777" w:rsidR="0039479F" w:rsidRDefault="00000000">
            <w:pPr>
              <w:spacing w:line="216" w:lineRule="auto"/>
            </w:pPr>
            <w:r>
              <w:rPr>
                <w:sz w:val="16"/>
                <w:szCs w:val="16"/>
              </w:rPr>
              <w:t>760</w:t>
            </w:r>
          </w:p>
        </w:tc>
        <w:tc>
          <w:tcPr>
            <w:tcW w:w="1644" w:type="dxa"/>
            <w:tcMar>
              <w:top w:w="40" w:type="dxa"/>
              <w:left w:w="70" w:type="dxa"/>
              <w:bottom w:w="40" w:type="dxa"/>
              <w:right w:w="70" w:type="dxa"/>
            </w:tcMar>
          </w:tcPr>
          <w:p w14:paraId="113A9DE9" w14:textId="77777777" w:rsidR="0039479F" w:rsidRDefault="00000000">
            <w:pPr>
              <w:spacing w:line="216" w:lineRule="auto"/>
            </w:pPr>
            <w:r>
              <w:rPr>
                <w:sz w:val="16"/>
                <w:szCs w:val="16"/>
              </w:rPr>
              <w:t>Non-contrast CT &lt;6 h read by staff…</w:t>
            </w:r>
          </w:p>
        </w:tc>
        <w:tc>
          <w:tcPr>
            <w:tcW w:w="3867" w:type="dxa"/>
            <w:tcMar>
              <w:top w:w="40" w:type="dxa"/>
              <w:left w:w="70" w:type="dxa"/>
              <w:bottom w:w="40" w:type="dxa"/>
              <w:right w:w="70" w:type="dxa"/>
            </w:tcMar>
          </w:tcPr>
          <w:p w14:paraId="10C8C073" w14:textId="77777777" w:rsidR="0039479F" w:rsidRDefault="00000000">
            <w:pPr>
              <w:spacing w:line="216" w:lineRule="auto"/>
            </w:pPr>
            <w:r>
              <w:rPr>
                <w:sz w:val="16"/>
                <w:szCs w:val="16"/>
              </w:rPr>
              <w:t>CSF positive for bilirubin in 52/760 (7%); independent review identified 1/52 (2%) perimesencephalic non-aneurysmal SAH. NPV of staff radiologist CT reading 99.9% (95% CI 99.3-100.0)</w:t>
            </w:r>
          </w:p>
        </w:tc>
      </w:tr>
      <w:tr w:rsidR="0039479F" w14:paraId="0D100A1C" w14:textId="77777777">
        <w:tc>
          <w:tcPr>
            <w:tcW w:w="1315" w:type="dxa"/>
            <w:tcMar>
              <w:top w:w="40" w:type="dxa"/>
              <w:left w:w="70" w:type="dxa"/>
              <w:bottom w:w="40" w:type="dxa"/>
              <w:right w:w="70" w:type="dxa"/>
            </w:tcMar>
          </w:tcPr>
          <w:p w14:paraId="0ADA7643" w14:textId="77777777" w:rsidR="0039479F" w:rsidRDefault="00000000">
            <w:pPr>
              <w:spacing w:line="216" w:lineRule="auto"/>
            </w:pPr>
            <w:r>
              <w:rPr>
                <w:sz w:val="16"/>
                <w:szCs w:val="16"/>
              </w:rPr>
              <w:t>Stewart et al. (2014)</w:t>
            </w:r>
          </w:p>
        </w:tc>
        <w:tc>
          <w:tcPr>
            <w:tcW w:w="739" w:type="dxa"/>
            <w:tcMar>
              <w:top w:w="40" w:type="dxa"/>
              <w:left w:w="70" w:type="dxa"/>
              <w:bottom w:w="40" w:type="dxa"/>
              <w:right w:w="70" w:type="dxa"/>
            </w:tcMar>
          </w:tcPr>
          <w:p w14:paraId="79F79BBD" w14:textId="77777777" w:rsidR="0039479F" w:rsidRDefault="00000000">
            <w:pPr>
              <w:spacing w:line="216" w:lineRule="auto"/>
            </w:pPr>
            <w:r>
              <w:rPr>
                <w:sz w:val="16"/>
                <w:szCs w:val="16"/>
              </w:rPr>
              <w:t>United…</w:t>
            </w:r>
          </w:p>
        </w:tc>
        <w:tc>
          <w:tcPr>
            <w:tcW w:w="1233" w:type="dxa"/>
            <w:tcMar>
              <w:top w:w="40" w:type="dxa"/>
              <w:left w:w="70" w:type="dxa"/>
              <w:bottom w:w="40" w:type="dxa"/>
              <w:right w:w="70" w:type="dxa"/>
            </w:tcMar>
          </w:tcPr>
          <w:p w14:paraId="2B1E9E3B" w14:textId="77777777" w:rsidR="0039479F" w:rsidRDefault="00000000">
            <w:pPr>
              <w:spacing w:line="216" w:lineRule="auto"/>
            </w:pPr>
            <w:r>
              <w:rPr>
                <w:sz w:val="16"/>
                <w:szCs w:val="16"/>
              </w:rPr>
              <w:t>Retrospective cohort</w:t>
            </w:r>
          </w:p>
        </w:tc>
        <w:tc>
          <w:tcPr>
            <w:tcW w:w="1068" w:type="dxa"/>
            <w:tcMar>
              <w:top w:w="40" w:type="dxa"/>
              <w:left w:w="70" w:type="dxa"/>
              <w:bottom w:w="40" w:type="dxa"/>
              <w:right w:w="70" w:type="dxa"/>
            </w:tcMar>
          </w:tcPr>
          <w:p w14:paraId="50A90357" w14:textId="77777777" w:rsidR="0039479F" w:rsidRDefault="00000000">
            <w:pPr>
              <w:spacing w:line="216" w:lineRule="auto"/>
            </w:pPr>
            <w:r>
              <w:rPr>
                <w:sz w:val="16"/>
                <w:szCs w:val="16"/>
              </w:rPr>
              <w:t>244</w:t>
            </w:r>
          </w:p>
        </w:tc>
        <w:tc>
          <w:tcPr>
            <w:tcW w:w="1644" w:type="dxa"/>
            <w:tcMar>
              <w:top w:w="40" w:type="dxa"/>
              <w:left w:w="70" w:type="dxa"/>
              <w:bottom w:w="40" w:type="dxa"/>
              <w:right w:w="70" w:type="dxa"/>
            </w:tcMar>
          </w:tcPr>
          <w:p w14:paraId="7EF20C80" w14:textId="77777777" w:rsidR="0039479F" w:rsidRDefault="00000000">
            <w:pPr>
              <w:spacing w:line="216" w:lineRule="auto"/>
            </w:pPr>
            <w:r>
              <w:rPr>
                <w:sz w:val="16"/>
                <w:szCs w:val="16"/>
              </w:rPr>
              <w:t>Non-contrast CT</w:t>
            </w:r>
          </w:p>
        </w:tc>
        <w:tc>
          <w:tcPr>
            <w:tcW w:w="3867" w:type="dxa"/>
            <w:tcMar>
              <w:top w:w="40" w:type="dxa"/>
              <w:left w:w="70" w:type="dxa"/>
              <w:bottom w:w="40" w:type="dxa"/>
              <w:right w:w="70" w:type="dxa"/>
            </w:tcMar>
          </w:tcPr>
          <w:p w14:paraId="26D679EC" w14:textId="77777777" w:rsidR="0039479F" w:rsidRDefault="00000000">
            <w:pPr>
              <w:spacing w:line="216" w:lineRule="auto"/>
            </w:pPr>
            <w:r>
              <w:rPr>
                <w:sz w:val="16"/>
                <w:szCs w:val="16"/>
              </w:rPr>
              <w:t>CT sensitivity overall 93.8% (95% CI 84-98); 95% (82-99) within 12 h of ictus</w:t>
            </w:r>
          </w:p>
        </w:tc>
      </w:tr>
      <w:tr w:rsidR="0039479F" w14:paraId="1CCB7646" w14:textId="77777777">
        <w:tc>
          <w:tcPr>
            <w:tcW w:w="1315" w:type="dxa"/>
            <w:tcMar>
              <w:top w:w="40" w:type="dxa"/>
              <w:left w:w="70" w:type="dxa"/>
              <w:bottom w:w="40" w:type="dxa"/>
              <w:right w:w="70" w:type="dxa"/>
            </w:tcMar>
          </w:tcPr>
          <w:p w14:paraId="3B609091" w14:textId="77777777" w:rsidR="0039479F" w:rsidRDefault="00000000">
            <w:pPr>
              <w:spacing w:line="216" w:lineRule="auto"/>
            </w:pPr>
            <w:r>
              <w:rPr>
                <w:sz w:val="16"/>
                <w:szCs w:val="16"/>
              </w:rPr>
              <w:t>Rizk et al. (2013)</w:t>
            </w:r>
          </w:p>
        </w:tc>
        <w:tc>
          <w:tcPr>
            <w:tcW w:w="739" w:type="dxa"/>
            <w:tcMar>
              <w:top w:w="40" w:type="dxa"/>
              <w:left w:w="70" w:type="dxa"/>
              <w:bottom w:w="40" w:type="dxa"/>
              <w:right w:w="70" w:type="dxa"/>
            </w:tcMar>
          </w:tcPr>
          <w:p w14:paraId="0296CD97" w14:textId="77777777" w:rsidR="0039479F" w:rsidRDefault="00000000">
            <w:pPr>
              <w:spacing w:line="216" w:lineRule="auto"/>
            </w:pPr>
            <w:r>
              <w:rPr>
                <w:sz w:val="16"/>
                <w:szCs w:val="16"/>
              </w:rPr>
              <w:t>France</w:t>
            </w:r>
          </w:p>
        </w:tc>
        <w:tc>
          <w:tcPr>
            <w:tcW w:w="1233" w:type="dxa"/>
            <w:tcMar>
              <w:top w:w="40" w:type="dxa"/>
              <w:left w:w="70" w:type="dxa"/>
              <w:bottom w:w="40" w:type="dxa"/>
              <w:right w:w="70" w:type="dxa"/>
            </w:tcMar>
          </w:tcPr>
          <w:p w14:paraId="6E59D532" w14:textId="77777777" w:rsidR="0039479F" w:rsidRDefault="00000000">
            <w:pPr>
              <w:spacing w:line="216" w:lineRule="auto"/>
            </w:pPr>
            <w:r>
              <w:rPr>
                <w:sz w:val="16"/>
                <w:szCs w:val="16"/>
              </w:rPr>
              <w:t>Prospective feasibility…</w:t>
            </w:r>
          </w:p>
        </w:tc>
        <w:tc>
          <w:tcPr>
            <w:tcW w:w="1068" w:type="dxa"/>
            <w:tcMar>
              <w:top w:w="40" w:type="dxa"/>
              <w:left w:w="70" w:type="dxa"/>
              <w:bottom w:w="40" w:type="dxa"/>
              <w:right w:w="70" w:type="dxa"/>
            </w:tcMar>
          </w:tcPr>
          <w:p w14:paraId="0754D9FA" w14:textId="77777777" w:rsidR="0039479F" w:rsidRDefault="00000000">
            <w:pPr>
              <w:spacing w:line="216" w:lineRule="auto"/>
            </w:pPr>
            <w:r>
              <w:rPr>
                <w:sz w:val="16"/>
                <w:szCs w:val="16"/>
              </w:rPr>
              <w:t xml:space="preserve">105 </w:t>
            </w:r>
            <w:proofErr w:type="gramStart"/>
            <w:r>
              <w:rPr>
                <w:sz w:val="16"/>
                <w:szCs w:val="16"/>
              </w:rPr>
              <w:t>referred;…</w:t>
            </w:r>
            <w:proofErr w:type="gramEnd"/>
          </w:p>
        </w:tc>
        <w:tc>
          <w:tcPr>
            <w:tcW w:w="1644" w:type="dxa"/>
            <w:tcMar>
              <w:top w:w="40" w:type="dxa"/>
              <w:left w:w="70" w:type="dxa"/>
              <w:bottom w:w="40" w:type="dxa"/>
              <w:right w:w="70" w:type="dxa"/>
            </w:tcMar>
          </w:tcPr>
          <w:p w14:paraId="5D3B0B22" w14:textId="77777777" w:rsidR="0039479F" w:rsidRDefault="00000000">
            <w:pPr>
              <w:spacing w:line="216" w:lineRule="auto"/>
            </w:pPr>
            <w:r>
              <w:rPr>
                <w:sz w:val="16"/>
                <w:szCs w:val="16"/>
              </w:rPr>
              <w:t>Unenhanced CT alone (two blinded…</w:t>
            </w:r>
          </w:p>
        </w:tc>
        <w:tc>
          <w:tcPr>
            <w:tcW w:w="3867" w:type="dxa"/>
            <w:tcMar>
              <w:top w:w="40" w:type="dxa"/>
              <w:left w:w="70" w:type="dxa"/>
              <w:bottom w:w="40" w:type="dxa"/>
              <w:right w:w="70" w:type="dxa"/>
            </w:tcMar>
          </w:tcPr>
          <w:p w14:paraId="3D2703D9" w14:textId="77777777" w:rsidR="0039479F" w:rsidRDefault="00000000">
            <w:pPr>
              <w:spacing w:line="216" w:lineRule="auto"/>
            </w:pPr>
            <w:r>
              <w:rPr>
                <w:sz w:val="16"/>
                <w:szCs w:val="16"/>
              </w:rPr>
              <w:t>59/74 (80%) normal, 4 (5%) benign finding, 11 (15%) evidence of intracranial pathology. No additional causative finding on contrast-enhanced imaging among group 1 (normal unenhanced CT)</w:t>
            </w:r>
          </w:p>
        </w:tc>
      </w:tr>
      <w:tr w:rsidR="0039479F" w14:paraId="3C261C1D" w14:textId="77777777">
        <w:tc>
          <w:tcPr>
            <w:tcW w:w="1315" w:type="dxa"/>
            <w:tcMar>
              <w:top w:w="40" w:type="dxa"/>
              <w:left w:w="70" w:type="dxa"/>
              <w:bottom w:w="40" w:type="dxa"/>
              <w:right w:w="70" w:type="dxa"/>
            </w:tcMar>
          </w:tcPr>
          <w:p w14:paraId="4485181F" w14:textId="77777777" w:rsidR="0039479F" w:rsidRDefault="00000000">
            <w:pPr>
              <w:spacing w:line="216" w:lineRule="auto"/>
            </w:pPr>
            <w:r>
              <w:rPr>
                <w:sz w:val="16"/>
                <w:szCs w:val="16"/>
              </w:rPr>
              <w:t>Backes et al. (2012)</w:t>
            </w:r>
          </w:p>
        </w:tc>
        <w:tc>
          <w:tcPr>
            <w:tcW w:w="739" w:type="dxa"/>
            <w:tcMar>
              <w:top w:w="40" w:type="dxa"/>
              <w:left w:w="70" w:type="dxa"/>
              <w:bottom w:w="40" w:type="dxa"/>
              <w:right w:w="70" w:type="dxa"/>
            </w:tcMar>
          </w:tcPr>
          <w:p w14:paraId="40FB3C0C" w14:textId="77777777" w:rsidR="0039479F" w:rsidRDefault="00000000">
            <w:pPr>
              <w:spacing w:line="216" w:lineRule="auto"/>
            </w:pPr>
            <w:r>
              <w:rPr>
                <w:sz w:val="16"/>
                <w:szCs w:val="16"/>
              </w:rPr>
              <w:t>Netherlands</w:t>
            </w:r>
          </w:p>
        </w:tc>
        <w:tc>
          <w:tcPr>
            <w:tcW w:w="1233" w:type="dxa"/>
            <w:tcMar>
              <w:top w:w="40" w:type="dxa"/>
              <w:left w:w="70" w:type="dxa"/>
              <w:bottom w:w="40" w:type="dxa"/>
              <w:right w:w="70" w:type="dxa"/>
            </w:tcMar>
          </w:tcPr>
          <w:p w14:paraId="013B6996" w14:textId="77777777" w:rsidR="0039479F" w:rsidRDefault="00000000">
            <w:pPr>
              <w:spacing w:line="216" w:lineRule="auto"/>
            </w:pPr>
            <w:r>
              <w:rPr>
                <w:sz w:val="16"/>
                <w:szCs w:val="16"/>
              </w:rPr>
              <w:t>Retrospective…</w:t>
            </w:r>
          </w:p>
        </w:tc>
        <w:tc>
          <w:tcPr>
            <w:tcW w:w="1068" w:type="dxa"/>
            <w:tcMar>
              <w:top w:w="40" w:type="dxa"/>
              <w:left w:w="70" w:type="dxa"/>
              <w:bottom w:w="40" w:type="dxa"/>
              <w:right w:w="70" w:type="dxa"/>
            </w:tcMar>
          </w:tcPr>
          <w:p w14:paraId="5F4E4F12" w14:textId="77777777" w:rsidR="0039479F" w:rsidRDefault="00000000">
            <w:pPr>
              <w:spacing w:line="216" w:lineRule="auto"/>
            </w:pPr>
            <w:r>
              <w:rPr>
                <w:sz w:val="16"/>
                <w:szCs w:val="16"/>
              </w:rPr>
              <w:t xml:space="preserve">250 (137 &lt;=6 </w:t>
            </w:r>
            <w:proofErr w:type="gramStart"/>
            <w:r>
              <w:rPr>
                <w:sz w:val="16"/>
                <w:szCs w:val="16"/>
              </w:rPr>
              <w:t>h;…</w:t>
            </w:r>
            <w:proofErr w:type="gramEnd"/>
          </w:p>
        </w:tc>
        <w:tc>
          <w:tcPr>
            <w:tcW w:w="1644" w:type="dxa"/>
            <w:tcMar>
              <w:top w:w="40" w:type="dxa"/>
              <w:left w:w="70" w:type="dxa"/>
              <w:bottom w:w="40" w:type="dxa"/>
              <w:right w:w="70" w:type="dxa"/>
            </w:tcMar>
          </w:tcPr>
          <w:p w14:paraId="5A3C4C7E" w14:textId="77777777" w:rsidR="0039479F" w:rsidRDefault="00000000">
            <w:pPr>
              <w:spacing w:line="216" w:lineRule="auto"/>
            </w:pPr>
            <w:r>
              <w:rPr>
                <w:sz w:val="16"/>
                <w:szCs w:val="16"/>
              </w:rPr>
              <w:t>Head CT interpreted by experienced…</w:t>
            </w:r>
          </w:p>
        </w:tc>
        <w:tc>
          <w:tcPr>
            <w:tcW w:w="3867" w:type="dxa"/>
            <w:tcMar>
              <w:top w:w="40" w:type="dxa"/>
              <w:left w:w="70" w:type="dxa"/>
              <w:bottom w:w="40" w:type="dxa"/>
              <w:right w:w="70" w:type="dxa"/>
            </w:tcMar>
          </w:tcPr>
          <w:p w14:paraId="564F52BE" w14:textId="77777777" w:rsidR="0039479F" w:rsidRDefault="00000000">
            <w:pPr>
              <w:spacing w:line="216" w:lineRule="auto"/>
            </w:pPr>
            <w:r>
              <w:rPr>
                <w:sz w:val="16"/>
                <w:szCs w:val="16"/>
              </w:rPr>
              <w:t>Sensitivity &lt;=6 h 98.5% (92.1-100); &gt;6 h 90.0% (76.3-97.2). After excluding atypical presentations without headache, sensitivity, specificity, NPV and PPV of CT &lt;=6 h all 100%</w:t>
            </w:r>
          </w:p>
        </w:tc>
      </w:tr>
      <w:tr w:rsidR="0039479F" w14:paraId="70DBFD60" w14:textId="77777777">
        <w:tc>
          <w:tcPr>
            <w:tcW w:w="1315" w:type="dxa"/>
            <w:tcMar>
              <w:top w:w="40" w:type="dxa"/>
              <w:left w:w="70" w:type="dxa"/>
              <w:bottom w:w="40" w:type="dxa"/>
              <w:right w:w="70" w:type="dxa"/>
            </w:tcMar>
          </w:tcPr>
          <w:p w14:paraId="1D115D41" w14:textId="77777777" w:rsidR="0039479F" w:rsidRDefault="00000000">
            <w:pPr>
              <w:spacing w:line="216" w:lineRule="auto"/>
            </w:pPr>
            <w:r>
              <w:rPr>
                <w:sz w:val="16"/>
                <w:szCs w:val="16"/>
              </w:rPr>
              <w:t>Gee et al. (2012)</w:t>
            </w:r>
          </w:p>
        </w:tc>
        <w:tc>
          <w:tcPr>
            <w:tcW w:w="739" w:type="dxa"/>
            <w:tcMar>
              <w:top w:w="40" w:type="dxa"/>
              <w:left w:w="70" w:type="dxa"/>
              <w:bottom w:w="40" w:type="dxa"/>
              <w:right w:w="70" w:type="dxa"/>
            </w:tcMar>
          </w:tcPr>
          <w:p w14:paraId="3E333C7D" w14:textId="77777777" w:rsidR="0039479F" w:rsidRDefault="00000000">
            <w:pPr>
              <w:spacing w:line="216" w:lineRule="auto"/>
            </w:pPr>
            <w:r>
              <w:rPr>
                <w:sz w:val="16"/>
                <w:szCs w:val="16"/>
              </w:rPr>
              <w:t>United States</w:t>
            </w:r>
          </w:p>
        </w:tc>
        <w:tc>
          <w:tcPr>
            <w:tcW w:w="1233" w:type="dxa"/>
            <w:tcMar>
              <w:top w:w="40" w:type="dxa"/>
              <w:left w:w="70" w:type="dxa"/>
              <w:bottom w:w="40" w:type="dxa"/>
              <w:right w:w="70" w:type="dxa"/>
            </w:tcMar>
          </w:tcPr>
          <w:p w14:paraId="4EA451E3" w14:textId="77777777" w:rsidR="0039479F" w:rsidRDefault="00000000">
            <w:pPr>
              <w:spacing w:line="216" w:lineRule="auto"/>
            </w:pPr>
            <w:r>
              <w:rPr>
                <w:sz w:val="16"/>
                <w:szCs w:val="16"/>
              </w:rPr>
              <w:t>Retrospective cohort…</w:t>
            </w:r>
          </w:p>
        </w:tc>
        <w:tc>
          <w:tcPr>
            <w:tcW w:w="1068" w:type="dxa"/>
            <w:tcMar>
              <w:top w:w="40" w:type="dxa"/>
              <w:left w:w="70" w:type="dxa"/>
              <w:bottom w:w="40" w:type="dxa"/>
              <w:right w:w="70" w:type="dxa"/>
            </w:tcMar>
          </w:tcPr>
          <w:p w14:paraId="10E66070" w14:textId="77777777" w:rsidR="0039479F" w:rsidRDefault="00000000">
            <w:pPr>
              <w:spacing w:line="216" w:lineRule="auto"/>
            </w:pPr>
            <w:r>
              <w:rPr>
                <w:sz w:val="16"/>
                <w:szCs w:val="16"/>
              </w:rPr>
              <w:t>134</w:t>
            </w:r>
          </w:p>
        </w:tc>
        <w:tc>
          <w:tcPr>
            <w:tcW w:w="1644" w:type="dxa"/>
            <w:tcMar>
              <w:top w:w="40" w:type="dxa"/>
              <w:left w:w="70" w:type="dxa"/>
              <w:bottom w:w="40" w:type="dxa"/>
              <w:right w:w="70" w:type="dxa"/>
            </w:tcMar>
          </w:tcPr>
          <w:p w14:paraId="710E5C89" w14:textId="77777777" w:rsidR="0039479F" w:rsidRDefault="00000000">
            <w:pPr>
              <w:spacing w:line="216" w:lineRule="auto"/>
            </w:pPr>
            <w:r>
              <w:rPr>
                <w:sz w:val="16"/>
                <w:szCs w:val="16"/>
              </w:rPr>
              <w:t>16-slice or better non-contrast CT</w:t>
            </w:r>
          </w:p>
        </w:tc>
        <w:tc>
          <w:tcPr>
            <w:tcW w:w="3867" w:type="dxa"/>
            <w:tcMar>
              <w:top w:w="40" w:type="dxa"/>
              <w:left w:w="70" w:type="dxa"/>
              <w:bottom w:w="40" w:type="dxa"/>
              <w:right w:w="70" w:type="dxa"/>
            </w:tcMar>
          </w:tcPr>
          <w:p w14:paraId="4F00E848" w14:textId="77777777" w:rsidR="0039479F" w:rsidRDefault="00000000">
            <w:pPr>
              <w:spacing w:line="216" w:lineRule="auto"/>
            </w:pPr>
            <w:r>
              <w:rPr>
                <w:sz w:val="16"/>
                <w:szCs w:val="16"/>
              </w:rPr>
              <w:t>Sensitivity 131/134 = 97.8% (95% CI 93.1-99.4). No patient with negative CT had a lesion requiring intervention</w:t>
            </w:r>
          </w:p>
        </w:tc>
      </w:tr>
      <w:tr w:rsidR="0039479F" w14:paraId="674F764B" w14:textId="77777777">
        <w:tc>
          <w:tcPr>
            <w:tcW w:w="1315" w:type="dxa"/>
            <w:tcMar>
              <w:top w:w="40" w:type="dxa"/>
              <w:left w:w="70" w:type="dxa"/>
              <w:bottom w:w="40" w:type="dxa"/>
              <w:right w:w="70" w:type="dxa"/>
            </w:tcMar>
          </w:tcPr>
          <w:p w14:paraId="4294494E" w14:textId="77777777" w:rsidR="0039479F" w:rsidRDefault="00000000">
            <w:pPr>
              <w:spacing w:line="216" w:lineRule="auto"/>
            </w:pPr>
            <w:r>
              <w:rPr>
                <w:sz w:val="16"/>
                <w:szCs w:val="16"/>
              </w:rPr>
              <w:t>Perry et al. (2011)</w:t>
            </w:r>
          </w:p>
        </w:tc>
        <w:tc>
          <w:tcPr>
            <w:tcW w:w="739" w:type="dxa"/>
            <w:tcMar>
              <w:top w:w="40" w:type="dxa"/>
              <w:left w:w="70" w:type="dxa"/>
              <w:bottom w:w="40" w:type="dxa"/>
              <w:right w:w="70" w:type="dxa"/>
            </w:tcMar>
          </w:tcPr>
          <w:p w14:paraId="4DCD11DF" w14:textId="77777777" w:rsidR="0039479F" w:rsidRDefault="00000000">
            <w:pPr>
              <w:spacing w:line="216" w:lineRule="auto"/>
            </w:pPr>
            <w:r>
              <w:rPr>
                <w:sz w:val="16"/>
                <w:szCs w:val="16"/>
              </w:rPr>
              <w:t>Canada</w:t>
            </w:r>
          </w:p>
        </w:tc>
        <w:tc>
          <w:tcPr>
            <w:tcW w:w="1233" w:type="dxa"/>
            <w:tcMar>
              <w:top w:w="40" w:type="dxa"/>
              <w:left w:w="70" w:type="dxa"/>
              <w:bottom w:w="40" w:type="dxa"/>
              <w:right w:w="70" w:type="dxa"/>
            </w:tcMar>
          </w:tcPr>
          <w:p w14:paraId="4F337E5D" w14:textId="77777777" w:rsidR="0039479F" w:rsidRDefault="00000000">
            <w:pPr>
              <w:spacing w:line="216" w:lineRule="auto"/>
            </w:pPr>
            <w:r>
              <w:rPr>
                <w:sz w:val="16"/>
                <w:szCs w:val="16"/>
              </w:rPr>
              <w:t>Prospective multicentre…</w:t>
            </w:r>
          </w:p>
        </w:tc>
        <w:tc>
          <w:tcPr>
            <w:tcW w:w="1068" w:type="dxa"/>
            <w:tcMar>
              <w:top w:w="40" w:type="dxa"/>
              <w:left w:w="70" w:type="dxa"/>
              <w:bottom w:w="40" w:type="dxa"/>
              <w:right w:w="70" w:type="dxa"/>
            </w:tcMar>
          </w:tcPr>
          <w:p w14:paraId="05839446" w14:textId="77777777" w:rsidR="0039479F" w:rsidRDefault="00000000">
            <w:pPr>
              <w:spacing w:line="216" w:lineRule="auto"/>
            </w:pPr>
            <w:r>
              <w:rPr>
                <w:sz w:val="16"/>
                <w:szCs w:val="16"/>
              </w:rPr>
              <w:t>3132</w:t>
            </w:r>
          </w:p>
        </w:tc>
        <w:tc>
          <w:tcPr>
            <w:tcW w:w="1644" w:type="dxa"/>
            <w:tcMar>
              <w:top w:w="40" w:type="dxa"/>
              <w:left w:w="70" w:type="dxa"/>
              <w:bottom w:w="40" w:type="dxa"/>
              <w:right w:w="70" w:type="dxa"/>
            </w:tcMar>
          </w:tcPr>
          <w:p w14:paraId="23DBF6C8" w14:textId="77777777" w:rsidR="0039479F" w:rsidRDefault="00000000">
            <w:pPr>
              <w:spacing w:line="216" w:lineRule="auto"/>
            </w:pPr>
            <w:r>
              <w:rPr>
                <w:sz w:val="16"/>
                <w:szCs w:val="16"/>
              </w:rPr>
              <w:t xml:space="preserve">Third-generation non-contrast </w:t>
            </w:r>
            <w:proofErr w:type="gramStart"/>
            <w:r>
              <w:rPr>
                <w:sz w:val="16"/>
                <w:szCs w:val="16"/>
              </w:rPr>
              <w:t>CT,…</w:t>
            </w:r>
            <w:proofErr w:type="gramEnd"/>
          </w:p>
        </w:tc>
        <w:tc>
          <w:tcPr>
            <w:tcW w:w="3867" w:type="dxa"/>
            <w:tcMar>
              <w:top w:w="40" w:type="dxa"/>
              <w:left w:w="70" w:type="dxa"/>
              <w:bottom w:w="40" w:type="dxa"/>
              <w:right w:w="70" w:type="dxa"/>
            </w:tcMar>
          </w:tcPr>
          <w:p w14:paraId="489716B8" w14:textId="77777777" w:rsidR="0039479F" w:rsidRDefault="00000000">
            <w:pPr>
              <w:spacing w:line="216" w:lineRule="auto"/>
            </w:pPr>
            <w:r>
              <w:rPr>
                <w:sz w:val="16"/>
                <w:szCs w:val="16"/>
              </w:rPr>
              <w:t>SAH 240/3132 (7.7%). Overall CT sensitivity 92.9% (89.0-95.5), specificity 100% (99.9-100), NPV 99.4% (99.1-99.6). Within 6 h (n=953): 121/121 identified; sensitivity 100% (97.0-100), specificity 100% (99.5-100)</w:t>
            </w:r>
          </w:p>
        </w:tc>
      </w:tr>
      <w:tr w:rsidR="0039479F" w14:paraId="265DA1D8" w14:textId="77777777">
        <w:tc>
          <w:tcPr>
            <w:tcW w:w="1315" w:type="dxa"/>
            <w:tcMar>
              <w:top w:w="40" w:type="dxa"/>
              <w:left w:w="70" w:type="dxa"/>
              <w:bottom w:w="40" w:type="dxa"/>
              <w:right w:w="70" w:type="dxa"/>
            </w:tcMar>
          </w:tcPr>
          <w:p w14:paraId="6E7A1933" w14:textId="77777777" w:rsidR="0039479F" w:rsidRDefault="00000000">
            <w:pPr>
              <w:spacing w:line="216" w:lineRule="auto"/>
            </w:pPr>
            <w:r>
              <w:rPr>
                <w:sz w:val="16"/>
                <w:szCs w:val="16"/>
              </w:rPr>
              <w:t>Byyny et al. (2008)</w:t>
            </w:r>
          </w:p>
        </w:tc>
        <w:tc>
          <w:tcPr>
            <w:tcW w:w="739" w:type="dxa"/>
            <w:tcMar>
              <w:top w:w="40" w:type="dxa"/>
              <w:left w:w="70" w:type="dxa"/>
              <w:bottom w:w="40" w:type="dxa"/>
              <w:right w:w="70" w:type="dxa"/>
            </w:tcMar>
          </w:tcPr>
          <w:p w14:paraId="5D25A054" w14:textId="77777777" w:rsidR="0039479F" w:rsidRDefault="00000000">
            <w:pPr>
              <w:spacing w:line="216" w:lineRule="auto"/>
            </w:pPr>
            <w:r>
              <w:rPr>
                <w:sz w:val="16"/>
                <w:szCs w:val="16"/>
              </w:rPr>
              <w:t>United States</w:t>
            </w:r>
          </w:p>
        </w:tc>
        <w:tc>
          <w:tcPr>
            <w:tcW w:w="1233" w:type="dxa"/>
            <w:tcMar>
              <w:top w:w="40" w:type="dxa"/>
              <w:left w:w="70" w:type="dxa"/>
              <w:bottom w:w="40" w:type="dxa"/>
              <w:right w:w="70" w:type="dxa"/>
            </w:tcMar>
          </w:tcPr>
          <w:p w14:paraId="07849873" w14:textId="77777777" w:rsidR="0039479F" w:rsidRDefault="00000000">
            <w:pPr>
              <w:spacing w:line="216" w:lineRule="auto"/>
            </w:pPr>
            <w:r>
              <w:rPr>
                <w:sz w:val="16"/>
                <w:szCs w:val="16"/>
              </w:rPr>
              <w:t>Retrospective review</w:t>
            </w:r>
          </w:p>
        </w:tc>
        <w:tc>
          <w:tcPr>
            <w:tcW w:w="1068" w:type="dxa"/>
            <w:tcMar>
              <w:top w:w="40" w:type="dxa"/>
              <w:left w:w="70" w:type="dxa"/>
              <w:bottom w:w="40" w:type="dxa"/>
              <w:right w:w="70" w:type="dxa"/>
            </w:tcMar>
          </w:tcPr>
          <w:p w14:paraId="04D936C4" w14:textId="77777777" w:rsidR="0039479F" w:rsidRDefault="00000000">
            <w:pPr>
              <w:spacing w:line="216" w:lineRule="auto"/>
            </w:pPr>
            <w:r>
              <w:rPr>
                <w:sz w:val="16"/>
                <w:szCs w:val="16"/>
              </w:rPr>
              <w:t>149</w:t>
            </w:r>
          </w:p>
        </w:tc>
        <w:tc>
          <w:tcPr>
            <w:tcW w:w="1644" w:type="dxa"/>
            <w:tcMar>
              <w:top w:w="40" w:type="dxa"/>
              <w:left w:w="70" w:type="dxa"/>
              <w:bottom w:w="40" w:type="dxa"/>
              <w:right w:w="70" w:type="dxa"/>
            </w:tcMar>
          </w:tcPr>
          <w:p w14:paraId="1C16BF84" w14:textId="77777777" w:rsidR="0039479F" w:rsidRDefault="00000000">
            <w:pPr>
              <w:spacing w:line="216" w:lineRule="auto"/>
            </w:pPr>
            <w:r>
              <w:rPr>
                <w:sz w:val="16"/>
                <w:szCs w:val="16"/>
              </w:rPr>
              <w:t>Non-contrast cranial CT</w:t>
            </w:r>
          </w:p>
        </w:tc>
        <w:tc>
          <w:tcPr>
            <w:tcW w:w="3867" w:type="dxa"/>
            <w:tcMar>
              <w:top w:w="40" w:type="dxa"/>
              <w:left w:w="70" w:type="dxa"/>
              <w:bottom w:w="40" w:type="dxa"/>
              <w:right w:w="70" w:type="dxa"/>
            </w:tcMar>
          </w:tcPr>
          <w:p w14:paraId="2FBDFB47" w14:textId="77777777" w:rsidR="0039479F" w:rsidRDefault="00000000">
            <w:pPr>
              <w:spacing w:line="216" w:lineRule="auto"/>
            </w:pPr>
            <w:r>
              <w:rPr>
                <w:sz w:val="16"/>
                <w:szCs w:val="16"/>
              </w:rPr>
              <w:t>139/149 diagnosed by CT, 10 by LP; overall CT sensitivity 93% (95% CI 88%-97%)</w:t>
            </w:r>
          </w:p>
        </w:tc>
      </w:tr>
    </w:tbl>
    <w:p w14:paraId="7116A725" w14:textId="77777777" w:rsidR="0039479F" w:rsidRDefault="00000000">
      <w:pPr>
        <w:spacing w:before="90" w:after="220" w:line="240" w:lineRule="auto"/>
      </w:pPr>
      <w:r>
        <w:rPr>
          <w:sz w:val="17"/>
          <w:szCs w:val="17"/>
        </w:rPr>
        <w:t>Note. Sensitivity estimates from cohorts restricted to patients with confirmed subarachnoid haemorrhage cannot be accompanied by specificity. Time strata are reported as defined by the original authors. Long entries are abbreviated here; the complete extraction for every report is in Supplementary material S5.</w:t>
      </w:r>
    </w:p>
    <w:p w14:paraId="0D1721D1" w14:textId="77777777" w:rsidR="0039479F" w:rsidRDefault="00000000">
      <w:pPr>
        <w:pStyle w:val="Heading2"/>
        <w:keepNext/>
        <w:spacing w:before="220" w:after="110"/>
      </w:pPr>
      <w:r>
        <w:t>3.8 Lumbar puncture and cerebrospinal fluid analysis</w:t>
      </w:r>
    </w:p>
    <w:p w14:paraId="4B790DA4" w14:textId="77777777" w:rsidR="0039479F" w:rsidRDefault="00000000">
      <w:pPr>
        <w:spacing w:after="140"/>
        <w:jc w:val="both"/>
      </w:pPr>
      <w:r>
        <w:t>Forty-one reports addressed lumbar puncture and CSF analysis after a non-diagnostic CT, making this the second largest domain in the review and the one in which the tension between sensitivity and net benefit is sharpest. The incremental diagnostic yield is consistently low. In an observational cohort of 302 adults undergoing lumbar puncture after a normal CT, haemorrhage was identified in two (0.66%), giving a number needed to diagnose of 151 against 18 procedure-related complications (5.96%) and a number needed to harm of 17 (P &lt; 0.01) (Migdal et al., 2015). A multicentre, hypothesis-blinded chart review of 342 eligible patients found 1% deemed positive, none of whom had a demonstrable aneurysm or vascular malformation, with complications in 4% (Gill et al., 2018). In a multicentre series of 1,898 analysable specimens, 92 (4.8%) were positive but only eight (0.4% of the total) had an aneurysm (Sayer et al., 2015), and a four-year service evaluation of 677 specimens identified a single treated aneurysmal haemorrhage (0.1%) (Voase et al., 2025). Older and smaller series report the same order of magnitude, with one aneurysmal haemorrhage among 189 CT-negative patients (0.5%, 95% CI 0–2.9) (Foot &amp; Staib, 2001) and no confirmed haemorrhage among 74 patients who underwent lumbar puncture after a CT within six hours (Valle Alonso et al., 2018).</w:t>
      </w:r>
    </w:p>
    <w:p w14:paraId="7E0D27B0" w14:textId="77777777" w:rsidR="0039479F" w:rsidRDefault="00000000">
      <w:pPr>
        <w:spacing w:after="140"/>
        <w:jc w:val="both"/>
      </w:pPr>
      <w:r>
        <w:t xml:space="preserve">Against that stands the strongest argument for retaining the test. In a pragmatic multicentre audit of 10,187 patients with spontaneous subarachnoid haemorrhage across the United Kingdom and Ireland, 9,357 were diagnosed by CT and 717 by lumbar puncture, so that 7% of all confirmed haemorrhages were identified only after a non-diagnostic scan, including 213 (3%) aneurysmal haemorrhages; 55 aneurysmal haemorrhages (1%) </w:t>
      </w:r>
      <w:r>
        <w:lastRenderedPageBreak/>
        <w:t>followed a negative CT performed within six hours of ictus (Thompson et al., 2025). The low yield in individual departments and the substantial absolute number of missed haemorrhages at scale are both true, and the difference between them is the size of the denominator.</w:t>
      </w:r>
    </w:p>
    <w:p w14:paraId="59B88658" w14:textId="77777777" w:rsidR="0039479F" w:rsidRDefault="00000000">
      <w:pPr>
        <w:spacing w:after="140"/>
        <w:jc w:val="both"/>
      </w:pPr>
      <w:r>
        <w:t>Where lumbar puncture is performed, the CSF interpretation rules are better supported than the decision to perform it. In a substudy of 1,739 alert adults, a red cell count below 2,000 × 10⁶/L in the final tube combined with absent xanthochromia excluded aneurysmal haemorrhage with a sensitivity of 100% (95% CI 74.7–100) and a specificity of 91.2% (95% CI 88.6–93.3) (Perry et al., 2015); in an independent validation series of 64 patients with aneurysmal haemorrhage, a threshold of more than 2,000 × 10⁶/L alone gave a sensitivity of 96.9% (95% CI 89.3–99.1), rising to 100% (95% CI 94.3–100) when visible xanthochromia was added (Mark et al., 2015b). A retrospective comparative study with time-decay adjustment reported an optimal adjusted red cell cut-point above 3,667/µL on day one, with sensitivity 97% and specificity 94%, and found that no patient with haemorrhage had both a low red cell count and a clear supernatant (Zinganell et al., 2023). Serial red cell clearing between tubes does not discriminate: clearing of at least 25% occurred in 2 of 8 patients with an aneurysm and 3 of 14 without (Heasley et al., 2005).</w:t>
      </w:r>
    </w:p>
    <w:p w14:paraId="1706BE1B" w14:textId="77777777" w:rsidR="0039479F" w:rsidRDefault="00000000">
      <w:pPr>
        <w:spacing w:after="140"/>
        <w:jc w:val="both"/>
      </w:pPr>
      <w:r>
        <w:t>The choice between visual inspection and spectrophotometry is a trade of sensitivity against specificity, and the direction of the trade determines how many patients proceed to angiography. Visual inspection alone was insensitive, with sensitivities of 47.3% (95% CI 24.4–71.1) (Arora et al., 2010) and 50% (95% CI 12.4–82.6) (Hann et al., 2015), the latter rising to 100% (95% CI 54.1–100) when spectrophotometry was added. Spectrophotometry is correspondingly sensitive but generates false positives: sensitivity was 100% with specificity 99% in a registry-linked Scottish series in which 17 of 26 positive results (65%) were false positives (Rankin et al., 2022), 100% with specificity 98.1% and positive predictive value 65.9% in an eight-year Australian audit (Sam &amp; Schneider, 2025), and 100% with specificity 98.5% but positive predictive value 16.7% in a Danish series restricted to patients with a negative CT within six hours (Wulff et al., 2020). A direct comparison found the specificity of xanthochromia to be 97% (95% CI 92–99) by visual inspection but as low as 29% (95% CI 23–35) under two spectrophotometric definitions, with the potential to send between 11% and 71% of patients undergoing lumbar puncture to angiography (Perry et al., 2006). Consistent with this, only 10 of 56 patients with elevated CSF bilirubin had a vascular cause (McCarron et al., 2015), and only 9 of 47 patients with raised bilirubin by one interpretation method had an aneurysm (Alons et al., 2013). Adding a red cell count threshold below 1,000 × 10⁶/L reduced false positives by 38% and inconclusive results by 85% (Rankin et al., 2022).</w:t>
      </w:r>
    </w:p>
    <w:p w14:paraId="78B7C701" w14:textId="77777777" w:rsidR="0039479F" w:rsidRDefault="00000000">
      <w:pPr>
        <w:spacing w:after="140"/>
        <w:jc w:val="both"/>
      </w:pPr>
      <w:r>
        <w:t>Two further findings bear on disposition. Where the whole sequence was completed, it was reassuring: no subsequent haemorrhage or new vascular lesion occurred in 181 patients with CSF red cells, a normal CT and negative cerebrovascular imaging over a median 53 months (Thomas et al., 2014), and all 61 haemorrhages in a prospective cohort of 592 patients were identified by the initial CT or lumbar puncture (Perry et al., 2008). Conversely, among patients who were CT-negative and CSF-positive, a vascular abnormality was found in 40 of 94 (43%) (Bakker et al., 2014) and an aneurysm in 16 of 35 (45.7%) (Chalouhi et al., 2013), so a positive CSF result in this setting is not a benign finding. Table 9 presents the principal reports; the remainder of the domain (Boesiger &amp; Shiber, 2005; Brunell et al., 2013; China et al., 2021; Czuczman et al., 2013; Dupont et al., 2008; Gangloff et al., 2015; Goyale et al., 2016; Kim et al., 2017; Larsson et al., 2020; Marshall &amp; Hejamanowski, 2011; Mòdol et al., 2002; O'Neill et al., 2005; Rana et al., 2013; Reeve et al., 2016; Sjulstad et al., 2025) comprises laboratory method evaluations, urine reagent-strip screening studies, alternative-diagnosis yield studies and smaller case series whose findings are consistent with the estimates above.</w:t>
      </w:r>
    </w:p>
    <w:p w14:paraId="3D5A7038" w14:textId="77777777" w:rsidR="0039479F" w:rsidRDefault="00000000">
      <w:pPr>
        <w:keepNext/>
        <w:spacing w:before="200" w:after="90"/>
      </w:pPr>
      <w:r>
        <w:rPr>
          <w:b/>
          <w:bCs/>
          <w:sz w:val="21"/>
          <w:szCs w:val="21"/>
        </w:rPr>
        <w:t>Table 9. Lumbar puncture and cerebrospinal fluid analysis after non-diagnostic computed tomography</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677"/>
        <w:gridCol w:w="986"/>
        <w:gridCol w:w="1183"/>
        <w:gridCol w:w="1973"/>
        <w:gridCol w:w="4047"/>
      </w:tblGrid>
      <w:tr w:rsidR="0039479F" w14:paraId="5333AF88" w14:textId="77777777">
        <w:trPr>
          <w:tblHeader/>
        </w:trPr>
        <w:tc>
          <w:tcPr>
            <w:tcW w:w="1677" w:type="dxa"/>
            <w:shd w:val="clear" w:color="auto" w:fill="F2F2F2"/>
            <w:tcMar>
              <w:top w:w="40" w:type="dxa"/>
              <w:left w:w="70" w:type="dxa"/>
              <w:bottom w:w="40" w:type="dxa"/>
              <w:right w:w="70" w:type="dxa"/>
            </w:tcMar>
          </w:tcPr>
          <w:p w14:paraId="518FDBC0" w14:textId="77777777" w:rsidR="0039479F" w:rsidRDefault="00000000">
            <w:pPr>
              <w:spacing w:line="216" w:lineRule="auto"/>
            </w:pPr>
            <w:r>
              <w:rPr>
                <w:b/>
                <w:bCs/>
                <w:sz w:val="16"/>
                <w:szCs w:val="16"/>
              </w:rPr>
              <w:t>Study</w:t>
            </w:r>
          </w:p>
        </w:tc>
        <w:tc>
          <w:tcPr>
            <w:tcW w:w="986" w:type="dxa"/>
            <w:shd w:val="clear" w:color="auto" w:fill="F2F2F2"/>
            <w:tcMar>
              <w:top w:w="40" w:type="dxa"/>
              <w:left w:w="70" w:type="dxa"/>
              <w:bottom w:w="40" w:type="dxa"/>
              <w:right w:w="70" w:type="dxa"/>
            </w:tcMar>
          </w:tcPr>
          <w:p w14:paraId="16EE3290" w14:textId="77777777" w:rsidR="0039479F" w:rsidRDefault="00000000">
            <w:pPr>
              <w:spacing w:line="216" w:lineRule="auto"/>
            </w:pPr>
            <w:r>
              <w:rPr>
                <w:b/>
                <w:bCs/>
                <w:sz w:val="16"/>
                <w:szCs w:val="16"/>
              </w:rPr>
              <w:t>Country</w:t>
            </w:r>
          </w:p>
        </w:tc>
        <w:tc>
          <w:tcPr>
            <w:tcW w:w="1183" w:type="dxa"/>
            <w:shd w:val="clear" w:color="auto" w:fill="F2F2F2"/>
            <w:tcMar>
              <w:top w:w="40" w:type="dxa"/>
              <w:left w:w="70" w:type="dxa"/>
              <w:bottom w:w="40" w:type="dxa"/>
              <w:right w:w="70" w:type="dxa"/>
            </w:tcMar>
          </w:tcPr>
          <w:p w14:paraId="4B1681AC"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397988A3" w14:textId="77777777" w:rsidR="0039479F" w:rsidRDefault="00000000">
            <w:pPr>
              <w:spacing w:line="216" w:lineRule="auto"/>
            </w:pPr>
            <w:r>
              <w:rPr>
                <w:b/>
                <w:bCs/>
                <w:sz w:val="16"/>
                <w:szCs w:val="16"/>
              </w:rPr>
              <w:t>Index test</w:t>
            </w:r>
          </w:p>
        </w:tc>
        <w:tc>
          <w:tcPr>
            <w:tcW w:w="4047" w:type="dxa"/>
            <w:shd w:val="clear" w:color="auto" w:fill="F2F2F2"/>
            <w:tcMar>
              <w:top w:w="40" w:type="dxa"/>
              <w:left w:w="70" w:type="dxa"/>
              <w:bottom w:w="40" w:type="dxa"/>
              <w:right w:w="70" w:type="dxa"/>
            </w:tcMar>
          </w:tcPr>
          <w:p w14:paraId="067BB74D" w14:textId="77777777" w:rsidR="0039479F" w:rsidRDefault="00000000">
            <w:pPr>
              <w:spacing w:line="216" w:lineRule="auto"/>
            </w:pPr>
            <w:r>
              <w:rPr>
                <w:b/>
                <w:bCs/>
                <w:sz w:val="16"/>
                <w:szCs w:val="16"/>
              </w:rPr>
              <w:t>Results as reported</w:t>
            </w:r>
          </w:p>
        </w:tc>
      </w:tr>
      <w:tr w:rsidR="0039479F" w14:paraId="57794626" w14:textId="77777777">
        <w:tc>
          <w:tcPr>
            <w:tcW w:w="1677" w:type="dxa"/>
            <w:tcMar>
              <w:top w:w="40" w:type="dxa"/>
              <w:left w:w="70" w:type="dxa"/>
              <w:bottom w:w="40" w:type="dxa"/>
              <w:right w:w="70" w:type="dxa"/>
            </w:tcMar>
          </w:tcPr>
          <w:p w14:paraId="00E1D4D8" w14:textId="77777777" w:rsidR="0039479F" w:rsidRDefault="00000000">
            <w:pPr>
              <w:spacing w:line="216" w:lineRule="auto"/>
            </w:pPr>
            <w:r>
              <w:rPr>
                <w:sz w:val="16"/>
                <w:szCs w:val="16"/>
              </w:rPr>
              <w:t>Thompson et al. (2025)</w:t>
            </w:r>
          </w:p>
        </w:tc>
        <w:tc>
          <w:tcPr>
            <w:tcW w:w="986" w:type="dxa"/>
            <w:tcMar>
              <w:top w:w="40" w:type="dxa"/>
              <w:left w:w="70" w:type="dxa"/>
              <w:bottom w:w="40" w:type="dxa"/>
              <w:right w:w="70" w:type="dxa"/>
            </w:tcMar>
          </w:tcPr>
          <w:p w14:paraId="72AF0D2D"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409965B8" w14:textId="77777777" w:rsidR="0039479F" w:rsidRDefault="00000000">
            <w:pPr>
              <w:spacing w:line="216" w:lineRule="auto"/>
            </w:pPr>
            <w:r>
              <w:rPr>
                <w:sz w:val="16"/>
                <w:szCs w:val="16"/>
              </w:rPr>
              <w:t>10187 spontaneous…</w:t>
            </w:r>
          </w:p>
        </w:tc>
        <w:tc>
          <w:tcPr>
            <w:tcW w:w="1973" w:type="dxa"/>
            <w:tcMar>
              <w:top w:w="40" w:type="dxa"/>
              <w:left w:w="70" w:type="dxa"/>
              <w:bottom w:w="40" w:type="dxa"/>
              <w:right w:w="70" w:type="dxa"/>
            </w:tcMar>
          </w:tcPr>
          <w:p w14:paraId="57E01849" w14:textId="77777777" w:rsidR="0039479F" w:rsidRDefault="00000000">
            <w:pPr>
              <w:spacing w:line="216" w:lineRule="auto"/>
            </w:pPr>
            <w:r>
              <w:rPr>
                <w:sz w:val="16"/>
                <w:szCs w:val="16"/>
              </w:rPr>
              <w:t>Lumbar puncture after non-diagnostic CT</w:t>
            </w:r>
          </w:p>
        </w:tc>
        <w:tc>
          <w:tcPr>
            <w:tcW w:w="4047" w:type="dxa"/>
            <w:tcMar>
              <w:top w:w="40" w:type="dxa"/>
              <w:left w:w="70" w:type="dxa"/>
              <w:bottom w:w="40" w:type="dxa"/>
              <w:right w:w="70" w:type="dxa"/>
            </w:tcMar>
          </w:tcPr>
          <w:p w14:paraId="4B109D8F" w14:textId="77777777" w:rsidR="0039479F" w:rsidRDefault="00000000">
            <w:pPr>
              <w:spacing w:line="216" w:lineRule="auto"/>
            </w:pPr>
            <w:r>
              <w:rPr>
                <w:sz w:val="16"/>
                <w:szCs w:val="16"/>
              </w:rPr>
              <w:t>9357 diagnosed by CT and 717 by LP; 7% of confirmed SAH were diagnosed by LP after non-diagnostic CT, yielding 213 (3%) aneurysmal SAH. 55 (1%) aneurysmal SAH had a negative CT within 6 h of ictus and a positive LP</w:t>
            </w:r>
          </w:p>
        </w:tc>
      </w:tr>
      <w:tr w:rsidR="0039479F" w14:paraId="73BF7609" w14:textId="77777777">
        <w:tc>
          <w:tcPr>
            <w:tcW w:w="1677" w:type="dxa"/>
            <w:tcMar>
              <w:top w:w="40" w:type="dxa"/>
              <w:left w:w="70" w:type="dxa"/>
              <w:bottom w:w="40" w:type="dxa"/>
              <w:right w:w="70" w:type="dxa"/>
            </w:tcMar>
          </w:tcPr>
          <w:p w14:paraId="6284F96B" w14:textId="77777777" w:rsidR="0039479F" w:rsidRDefault="00000000">
            <w:pPr>
              <w:spacing w:line="216" w:lineRule="auto"/>
            </w:pPr>
            <w:r>
              <w:rPr>
                <w:sz w:val="16"/>
                <w:szCs w:val="16"/>
              </w:rPr>
              <w:lastRenderedPageBreak/>
              <w:t>Voase et al. (2025)</w:t>
            </w:r>
          </w:p>
        </w:tc>
        <w:tc>
          <w:tcPr>
            <w:tcW w:w="986" w:type="dxa"/>
            <w:tcMar>
              <w:top w:w="40" w:type="dxa"/>
              <w:left w:w="70" w:type="dxa"/>
              <w:bottom w:w="40" w:type="dxa"/>
              <w:right w:w="70" w:type="dxa"/>
            </w:tcMar>
          </w:tcPr>
          <w:p w14:paraId="22616101"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0CD322C2" w14:textId="77777777" w:rsidR="0039479F" w:rsidRDefault="00000000">
            <w:pPr>
              <w:spacing w:line="216" w:lineRule="auto"/>
            </w:pPr>
            <w:r>
              <w:rPr>
                <w:sz w:val="16"/>
                <w:szCs w:val="16"/>
              </w:rPr>
              <w:t>677 CSF samples</w:t>
            </w:r>
          </w:p>
        </w:tc>
        <w:tc>
          <w:tcPr>
            <w:tcW w:w="1973" w:type="dxa"/>
            <w:tcMar>
              <w:top w:w="40" w:type="dxa"/>
              <w:left w:w="70" w:type="dxa"/>
              <w:bottom w:w="40" w:type="dxa"/>
              <w:right w:w="70" w:type="dxa"/>
            </w:tcMar>
          </w:tcPr>
          <w:p w14:paraId="1AE91338" w14:textId="77777777" w:rsidR="0039479F" w:rsidRDefault="00000000">
            <w:pPr>
              <w:spacing w:line="216" w:lineRule="auto"/>
            </w:pPr>
            <w:r>
              <w:rPr>
                <w:sz w:val="16"/>
                <w:szCs w:val="16"/>
              </w:rPr>
              <w:t>CSF bilirubin analysis</w:t>
            </w:r>
          </w:p>
        </w:tc>
        <w:tc>
          <w:tcPr>
            <w:tcW w:w="4047" w:type="dxa"/>
            <w:tcMar>
              <w:top w:w="40" w:type="dxa"/>
              <w:left w:w="70" w:type="dxa"/>
              <w:bottom w:w="40" w:type="dxa"/>
              <w:right w:w="70" w:type="dxa"/>
            </w:tcMar>
          </w:tcPr>
          <w:p w14:paraId="7A92FB4B" w14:textId="77777777" w:rsidR="0039479F" w:rsidRDefault="00000000">
            <w:pPr>
              <w:spacing w:line="216" w:lineRule="auto"/>
            </w:pPr>
            <w:r>
              <w:rPr>
                <w:sz w:val="16"/>
                <w:szCs w:val="16"/>
              </w:rPr>
              <w:t>619 (91.5%) negative, 48 (7%) indeterminate, 10 (1.5%) positive. One patient (0.1%) diagnosed with aneurysmal SAH and treated</w:t>
            </w:r>
          </w:p>
        </w:tc>
      </w:tr>
      <w:tr w:rsidR="0039479F" w14:paraId="56C8490F" w14:textId="77777777">
        <w:tc>
          <w:tcPr>
            <w:tcW w:w="1677" w:type="dxa"/>
            <w:tcMar>
              <w:top w:w="40" w:type="dxa"/>
              <w:left w:w="70" w:type="dxa"/>
              <w:bottom w:w="40" w:type="dxa"/>
              <w:right w:w="70" w:type="dxa"/>
            </w:tcMar>
          </w:tcPr>
          <w:p w14:paraId="132038F9" w14:textId="77777777" w:rsidR="0039479F" w:rsidRDefault="00000000">
            <w:pPr>
              <w:spacing w:line="216" w:lineRule="auto"/>
            </w:pPr>
            <w:r>
              <w:rPr>
                <w:sz w:val="16"/>
                <w:szCs w:val="16"/>
              </w:rPr>
              <w:t>Sam &amp; Schneider (2025)</w:t>
            </w:r>
          </w:p>
        </w:tc>
        <w:tc>
          <w:tcPr>
            <w:tcW w:w="986" w:type="dxa"/>
            <w:tcMar>
              <w:top w:w="40" w:type="dxa"/>
              <w:left w:w="70" w:type="dxa"/>
              <w:bottom w:w="40" w:type="dxa"/>
              <w:right w:w="70" w:type="dxa"/>
            </w:tcMar>
          </w:tcPr>
          <w:p w14:paraId="56366C1E" w14:textId="77777777" w:rsidR="0039479F" w:rsidRDefault="00000000">
            <w:pPr>
              <w:spacing w:line="216" w:lineRule="auto"/>
            </w:pPr>
            <w:r>
              <w:rPr>
                <w:sz w:val="16"/>
                <w:szCs w:val="16"/>
              </w:rPr>
              <w:t>Australia</w:t>
            </w:r>
          </w:p>
        </w:tc>
        <w:tc>
          <w:tcPr>
            <w:tcW w:w="1183" w:type="dxa"/>
            <w:tcMar>
              <w:top w:w="40" w:type="dxa"/>
              <w:left w:w="70" w:type="dxa"/>
              <w:bottom w:w="40" w:type="dxa"/>
              <w:right w:w="70" w:type="dxa"/>
            </w:tcMar>
          </w:tcPr>
          <w:p w14:paraId="00DE9591" w14:textId="77777777" w:rsidR="0039479F" w:rsidRDefault="00000000">
            <w:pPr>
              <w:spacing w:line="216" w:lineRule="auto"/>
            </w:pPr>
            <w:r>
              <w:rPr>
                <w:sz w:val="16"/>
                <w:szCs w:val="16"/>
              </w:rPr>
              <w:t>543 cases</w:t>
            </w:r>
          </w:p>
        </w:tc>
        <w:tc>
          <w:tcPr>
            <w:tcW w:w="1973" w:type="dxa"/>
            <w:tcMar>
              <w:top w:w="40" w:type="dxa"/>
              <w:left w:w="70" w:type="dxa"/>
              <w:bottom w:w="40" w:type="dxa"/>
              <w:right w:w="70" w:type="dxa"/>
            </w:tcMar>
          </w:tcPr>
          <w:p w14:paraId="761C86E8" w14:textId="77777777" w:rsidR="0039479F" w:rsidRDefault="00000000">
            <w:pPr>
              <w:spacing w:line="216" w:lineRule="auto"/>
            </w:pPr>
            <w:r>
              <w:rPr>
                <w:sz w:val="16"/>
                <w:szCs w:val="16"/>
              </w:rPr>
              <w:t>CSF xanthochromia by revised UK-NEQAS method</w:t>
            </w:r>
          </w:p>
        </w:tc>
        <w:tc>
          <w:tcPr>
            <w:tcW w:w="4047" w:type="dxa"/>
            <w:tcMar>
              <w:top w:w="40" w:type="dxa"/>
              <w:left w:w="70" w:type="dxa"/>
              <w:bottom w:w="40" w:type="dxa"/>
              <w:right w:w="70" w:type="dxa"/>
            </w:tcMar>
          </w:tcPr>
          <w:p w14:paraId="3F706B11" w14:textId="77777777" w:rsidR="0039479F" w:rsidRDefault="00000000">
            <w:pPr>
              <w:spacing w:line="216" w:lineRule="auto"/>
            </w:pPr>
            <w:r>
              <w:rPr>
                <w:sz w:val="16"/>
                <w:szCs w:val="16"/>
              </w:rPr>
              <w:t>SAH in 19/543 (3.5%). Sensitivity 100%, specificity 98.1%, PPV 65.9%, NPV 100% (equivocal counted as positive). In 280 with LP &gt;24 h after onset: sensitivity 100%, specificity 97.4%, NPV 100%, PPV 66.6%; 183 (65.4%) xanthochromia-negative cases with follow-up survived without SAH at 12 months</w:t>
            </w:r>
          </w:p>
        </w:tc>
      </w:tr>
      <w:tr w:rsidR="0039479F" w14:paraId="5EE98DFA" w14:textId="77777777">
        <w:tc>
          <w:tcPr>
            <w:tcW w:w="1677" w:type="dxa"/>
            <w:tcMar>
              <w:top w:w="40" w:type="dxa"/>
              <w:left w:w="70" w:type="dxa"/>
              <w:bottom w:w="40" w:type="dxa"/>
              <w:right w:w="70" w:type="dxa"/>
            </w:tcMar>
          </w:tcPr>
          <w:p w14:paraId="5CA7B524" w14:textId="77777777" w:rsidR="0039479F" w:rsidRDefault="00000000">
            <w:pPr>
              <w:spacing w:line="216" w:lineRule="auto"/>
            </w:pPr>
            <w:r>
              <w:rPr>
                <w:sz w:val="16"/>
                <w:szCs w:val="16"/>
              </w:rPr>
              <w:t>Wulff et al. (2020)</w:t>
            </w:r>
          </w:p>
        </w:tc>
        <w:tc>
          <w:tcPr>
            <w:tcW w:w="986" w:type="dxa"/>
            <w:tcMar>
              <w:top w:w="40" w:type="dxa"/>
              <w:left w:w="70" w:type="dxa"/>
              <w:bottom w:w="40" w:type="dxa"/>
              <w:right w:w="70" w:type="dxa"/>
            </w:tcMar>
          </w:tcPr>
          <w:p w14:paraId="28DD071D" w14:textId="77777777" w:rsidR="0039479F" w:rsidRDefault="00000000">
            <w:pPr>
              <w:spacing w:line="216" w:lineRule="auto"/>
            </w:pPr>
            <w:r>
              <w:rPr>
                <w:sz w:val="16"/>
                <w:szCs w:val="16"/>
              </w:rPr>
              <w:t>Denmark</w:t>
            </w:r>
          </w:p>
        </w:tc>
        <w:tc>
          <w:tcPr>
            <w:tcW w:w="1183" w:type="dxa"/>
            <w:tcMar>
              <w:top w:w="40" w:type="dxa"/>
              <w:left w:w="70" w:type="dxa"/>
              <w:bottom w:w="40" w:type="dxa"/>
              <w:right w:w="70" w:type="dxa"/>
            </w:tcMar>
          </w:tcPr>
          <w:p w14:paraId="42669FA1" w14:textId="77777777" w:rsidR="0039479F" w:rsidRDefault="00000000">
            <w:pPr>
              <w:spacing w:line="216" w:lineRule="auto"/>
            </w:pPr>
            <w:r>
              <w:rPr>
                <w:sz w:val="16"/>
                <w:szCs w:val="16"/>
              </w:rPr>
              <w:t>489 samples; 411…</w:t>
            </w:r>
          </w:p>
        </w:tc>
        <w:tc>
          <w:tcPr>
            <w:tcW w:w="1973" w:type="dxa"/>
            <w:tcMar>
              <w:top w:w="40" w:type="dxa"/>
              <w:left w:w="70" w:type="dxa"/>
              <w:bottom w:w="40" w:type="dxa"/>
              <w:right w:w="70" w:type="dxa"/>
            </w:tcMar>
          </w:tcPr>
          <w:p w14:paraId="7606B0E3" w14:textId="77777777" w:rsidR="0039479F" w:rsidRDefault="00000000">
            <w:pPr>
              <w:spacing w:line="216" w:lineRule="auto"/>
            </w:pPr>
            <w:r>
              <w:rPr>
                <w:sz w:val="16"/>
                <w:szCs w:val="16"/>
              </w:rPr>
              <w:t>CSF spectrophotometry for xanthochromia</w:t>
            </w:r>
          </w:p>
        </w:tc>
        <w:tc>
          <w:tcPr>
            <w:tcW w:w="4047" w:type="dxa"/>
            <w:tcMar>
              <w:top w:w="40" w:type="dxa"/>
              <w:left w:w="70" w:type="dxa"/>
              <w:bottom w:w="40" w:type="dxa"/>
              <w:right w:w="70" w:type="dxa"/>
            </w:tcMar>
          </w:tcPr>
          <w:p w14:paraId="79BCE6A7" w14:textId="77777777" w:rsidR="0039479F" w:rsidRDefault="00000000">
            <w:pPr>
              <w:spacing w:line="216" w:lineRule="auto"/>
            </w:pPr>
            <w:r>
              <w:rPr>
                <w:sz w:val="16"/>
                <w:szCs w:val="16"/>
              </w:rPr>
              <w:t>For patients with negative CT within 6 h of onset, spectrophotometry sensitivity 100%, specificity 98.5%, PPV 16.7%, NPV 100%. One SAH patient had a negative and another an equivocal spectrophotometry report; initial CT failed to identify SAH in 4 patients</w:t>
            </w:r>
          </w:p>
        </w:tc>
      </w:tr>
      <w:tr w:rsidR="0039479F" w14:paraId="5263F6B8" w14:textId="77777777">
        <w:tc>
          <w:tcPr>
            <w:tcW w:w="1677" w:type="dxa"/>
            <w:tcMar>
              <w:top w:w="40" w:type="dxa"/>
              <w:left w:w="70" w:type="dxa"/>
              <w:bottom w:w="40" w:type="dxa"/>
              <w:right w:w="70" w:type="dxa"/>
            </w:tcMar>
          </w:tcPr>
          <w:p w14:paraId="40F88CA8" w14:textId="77777777" w:rsidR="0039479F" w:rsidRDefault="00000000">
            <w:pPr>
              <w:spacing w:line="216" w:lineRule="auto"/>
            </w:pPr>
            <w:r>
              <w:rPr>
                <w:sz w:val="16"/>
                <w:szCs w:val="16"/>
              </w:rPr>
              <w:t>Zinganell et al. (2023)</w:t>
            </w:r>
          </w:p>
        </w:tc>
        <w:tc>
          <w:tcPr>
            <w:tcW w:w="986" w:type="dxa"/>
            <w:tcMar>
              <w:top w:w="40" w:type="dxa"/>
              <w:left w:w="70" w:type="dxa"/>
              <w:bottom w:w="40" w:type="dxa"/>
              <w:right w:w="70" w:type="dxa"/>
            </w:tcMar>
          </w:tcPr>
          <w:p w14:paraId="1A38E4E5" w14:textId="77777777" w:rsidR="0039479F" w:rsidRDefault="00000000">
            <w:pPr>
              <w:spacing w:line="216" w:lineRule="auto"/>
            </w:pPr>
            <w:r>
              <w:rPr>
                <w:sz w:val="16"/>
                <w:szCs w:val="16"/>
              </w:rPr>
              <w:t>Austria</w:t>
            </w:r>
          </w:p>
        </w:tc>
        <w:tc>
          <w:tcPr>
            <w:tcW w:w="1183" w:type="dxa"/>
            <w:tcMar>
              <w:top w:w="40" w:type="dxa"/>
              <w:left w:w="70" w:type="dxa"/>
              <w:bottom w:w="40" w:type="dxa"/>
              <w:right w:w="70" w:type="dxa"/>
            </w:tcMar>
          </w:tcPr>
          <w:p w14:paraId="13B1F332" w14:textId="77777777" w:rsidR="0039479F" w:rsidRDefault="00000000">
            <w:pPr>
              <w:spacing w:line="216" w:lineRule="auto"/>
            </w:pPr>
            <w:r>
              <w:rPr>
                <w:sz w:val="16"/>
                <w:szCs w:val="16"/>
              </w:rPr>
              <w:t>Not reported in…</w:t>
            </w:r>
          </w:p>
        </w:tc>
        <w:tc>
          <w:tcPr>
            <w:tcW w:w="1973" w:type="dxa"/>
            <w:tcMar>
              <w:top w:w="40" w:type="dxa"/>
              <w:left w:w="70" w:type="dxa"/>
              <w:bottom w:w="40" w:type="dxa"/>
              <w:right w:w="70" w:type="dxa"/>
            </w:tcMar>
          </w:tcPr>
          <w:p w14:paraId="2CCB7C03" w14:textId="77777777" w:rsidR="0039479F" w:rsidRDefault="00000000">
            <w:pPr>
              <w:spacing w:line="216" w:lineRule="auto"/>
            </w:pPr>
            <w:r>
              <w:rPr>
                <w:sz w:val="16"/>
                <w:szCs w:val="16"/>
              </w:rPr>
              <w:t xml:space="preserve">CSF red cell count, white cell count, total </w:t>
            </w:r>
            <w:proofErr w:type="gramStart"/>
            <w:r>
              <w:rPr>
                <w:sz w:val="16"/>
                <w:szCs w:val="16"/>
              </w:rPr>
              <w:t>protein,…</w:t>
            </w:r>
            <w:proofErr w:type="gramEnd"/>
          </w:p>
        </w:tc>
        <w:tc>
          <w:tcPr>
            <w:tcW w:w="4047" w:type="dxa"/>
            <w:tcMar>
              <w:top w:w="40" w:type="dxa"/>
              <w:left w:w="70" w:type="dxa"/>
              <w:bottom w:w="40" w:type="dxa"/>
              <w:right w:w="70" w:type="dxa"/>
            </w:tcMar>
          </w:tcPr>
          <w:p w14:paraId="1561576F" w14:textId="77777777" w:rsidR="0039479F" w:rsidRDefault="00000000">
            <w:pPr>
              <w:spacing w:line="216" w:lineRule="auto"/>
            </w:pPr>
            <w:r>
              <w:rPr>
                <w:sz w:val="16"/>
                <w:szCs w:val="16"/>
              </w:rPr>
              <w:t xml:space="preserve">Predictors of SAH: bloody CSF OR 32.6; xanthochromic supernatant OR 15.5; adjusted white cell count OR 4.5 per 100/uL. Optimal adjusted red cell cut-point &gt;3667/uL at day 1: sensitivity 97%, specificity 94%. Low red cell </w:t>
            </w:r>
            <w:proofErr w:type="gramStart"/>
            <w:r>
              <w:rPr>
                <w:sz w:val="16"/>
                <w:szCs w:val="16"/>
              </w:rPr>
              <w:t>count</w:t>
            </w:r>
            <w:proofErr w:type="gramEnd"/>
            <w:r>
              <w:rPr>
                <w:sz w:val="16"/>
                <w:szCs w:val="16"/>
              </w:rPr>
              <w:t xml:space="preserve"> plus clear supernatant occurred in no SAH patient</w:t>
            </w:r>
          </w:p>
        </w:tc>
      </w:tr>
      <w:tr w:rsidR="0039479F" w14:paraId="5EDDA4A7" w14:textId="77777777">
        <w:tc>
          <w:tcPr>
            <w:tcW w:w="1677" w:type="dxa"/>
            <w:tcMar>
              <w:top w:w="40" w:type="dxa"/>
              <w:left w:w="70" w:type="dxa"/>
              <w:bottom w:w="40" w:type="dxa"/>
              <w:right w:w="70" w:type="dxa"/>
            </w:tcMar>
          </w:tcPr>
          <w:p w14:paraId="5FFCCFED" w14:textId="77777777" w:rsidR="0039479F" w:rsidRDefault="00000000">
            <w:pPr>
              <w:spacing w:line="216" w:lineRule="auto"/>
            </w:pPr>
            <w:r>
              <w:rPr>
                <w:sz w:val="16"/>
                <w:szCs w:val="16"/>
              </w:rPr>
              <w:t>Rankin et al. (2022)</w:t>
            </w:r>
          </w:p>
        </w:tc>
        <w:tc>
          <w:tcPr>
            <w:tcW w:w="986" w:type="dxa"/>
            <w:tcMar>
              <w:top w:w="40" w:type="dxa"/>
              <w:left w:w="70" w:type="dxa"/>
              <w:bottom w:w="40" w:type="dxa"/>
              <w:right w:w="70" w:type="dxa"/>
            </w:tcMar>
          </w:tcPr>
          <w:p w14:paraId="00C1A433"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1FC4D7A0" w14:textId="77777777" w:rsidR="0039479F" w:rsidRDefault="00000000">
            <w:pPr>
              <w:spacing w:line="216" w:lineRule="auto"/>
            </w:pPr>
            <w:r>
              <w:rPr>
                <w:sz w:val="16"/>
                <w:szCs w:val="16"/>
              </w:rPr>
              <w:t>1761 xanthochromia…</w:t>
            </w:r>
          </w:p>
        </w:tc>
        <w:tc>
          <w:tcPr>
            <w:tcW w:w="1973" w:type="dxa"/>
            <w:tcMar>
              <w:top w:w="40" w:type="dxa"/>
              <w:left w:w="70" w:type="dxa"/>
              <w:bottom w:w="40" w:type="dxa"/>
              <w:right w:w="70" w:type="dxa"/>
            </w:tcMar>
          </w:tcPr>
          <w:p w14:paraId="5D90D736" w14:textId="77777777" w:rsidR="0039479F" w:rsidRDefault="00000000">
            <w:pPr>
              <w:spacing w:line="216" w:lineRule="auto"/>
            </w:pPr>
            <w:r>
              <w:rPr>
                <w:sz w:val="16"/>
                <w:szCs w:val="16"/>
              </w:rPr>
              <w:t>CSF xanthochromia, with and without red cell count</w:t>
            </w:r>
          </w:p>
        </w:tc>
        <w:tc>
          <w:tcPr>
            <w:tcW w:w="4047" w:type="dxa"/>
            <w:tcMar>
              <w:top w:w="40" w:type="dxa"/>
              <w:left w:w="70" w:type="dxa"/>
              <w:bottom w:w="40" w:type="dxa"/>
              <w:right w:w="70" w:type="dxa"/>
            </w:tcMar>
          </w:tcPr>
          <w:p w14:paraId="189D1FE7" w14:textId="77777777" w:rsidR="0039479F" w:rsidRDefault="00000000">
            <w:pPr>
              <w:spacing w:line="216" w:lineRule="auto"/>
            </w:pPr>
            <w:r>
              <w:rPr>
                <w:sz w:val="16"/>
                <w:szCs w:val="16"/>
              </w:rPr>
              <w:t>26 (1.5%) positive, 1624 (92%) negative, 72 (4.1%) inconclusive. Of 26 positives, 9 (35%) had confirmed SAH and 17 (65%) were false positives; no false negatives. Xanthochromia identified 6% of all SAH. Sensitivity 100%, specificity 99%. Adding red cell count &lt;1000 reduced false positives by 38% and inconclusive tests by 85%</w:t>
            </w:r>
          </w:p>
        </w:tc>
      </w:tr>
      <w:tr w:rsidR="0039479F" w14:paraId="67B11808" w14:textId="77777777">
        <w:tc>
          <w:tcPr>
            <w:tcW w:w="1677" w:type="dxa"/>
            <w:tcMar>
              <w:top w:w="40" w:type="dxa"/>
              <w:left w:w="70" w:type="dxa"/>
              <w:bottom w:w="40" w:type="dxa"/>
              <w:right w:w="70" w:type="dxa"/>
            </w:tcMar>
          </w:tcPr>
          <w:p w14:paraId="78027C4C" w14:textId="77777777" w:rsidR="0039479F" w:rsidRDefault="00000000">
            <w:pPr>
              <w:spacing w:line="216" w:lineRule="auto"/>
            </w:pPr>
            <w:r>
              <w:rPr>
                <w:sz w:val="16"/>
                <w:szCs w:val="16"/>
              </w:rPr>
              <w:t>Pouryahya et al. (2020)</w:t>
            </w:r>
          </w:p>
        </w:tc>
        <w:tc>
          <w:tcPr>
            <w:tcW w:w="986" w:type="dxa"/>
            <w:tcMar>
              <w:top w:w="40" w:type="dxa"/>
              <w:left w:w="70" w:type="dxa"/>
              <w:bottom w:w="40" w:type="dxa"/>
              <w:right w:w="70" w:type="dxa"/>
            </w:tcMar>
          </w:tcPr>
          <w:p w14:paraId="12676374" w14:textId="77777777" w:rsidR="0039479F" w:rsidRDefault="00000000">
            <w:pPr>
              <w:spacing w:line="216" w:lineRule="auto"/>
            </w:pPr>
            <w:r>
              <w:rPr>
                <w:sz w:val="16"/>
                <w:szCs w:val="16"/>
              </w:rPr>
              <w:t>Australia</w:t>
            </w:r>
          </w:p>
        </w:tc>
        <w:tc>
          <w:tcPr>
            <w:tcW w:w="1183" w:type="dxa"/>
            <w:tcMar>
              <w:top w:w="40" w:type="dxa"/>
              <w:left w:w="70" w:type="dxa"/>
              <w:bottom w:w="40" w:type="dxa"/>
              <w:right w:w="70" w:type="dxa"/>
            </w:tcMar>
          </w:tcPr>
          <w:p w14:paraId="235F05BA" w14:textId="77777777" w:rsidR="0039479F" w:rsidRDefault="00000000">
            <w:pPr>
              <w:spacing w:line="216" w:lineRule="auto"/>
            </w:pPr>
            <w:r>
              <w:rPr>
                <w:sz w:val="16"/>
                <w:szCs w:val="16"/>
              </w:rPr>
              <w:t>4407</w:t>
            </w:r>
          </w:p>
        </w:tc>
        <w:tc>
          <w:tcPr>
            <w:tcW w:w="1973" w:type="dxa"/>
            <w:tcMar>
              <w:top w:w="40" w:type="dxa"/>
              <w:left w:w="70" w:type="dxa"/>
              <w:bottom w:w="40" w:type="dxa"/>
              <w:right w:w="70" w:type="dxa"/>
            </w:tcMar>
          </w:tcPr>
          <w:p w14:paraId="0F6B66F9" w14:textId="77777777" w:rsidR="0039479F" w:rsidRDefault="00000000">
            <w:pPr>
              <w:spacing w:line="216" w:lineRule="auto"/>
            </w:pPr>
            <w:r>
              <w:rPr>
                <w:sz w:val="16"/>
                <w:szCs w:val="16"/>
              </w:rPr>
              <w:t>Lumbar puncture after negative non-contrast CT</w:t>
            </w:r>
          </w:p>
        </w:tc>
        <w:tc>
          <w:tcPr>
            <w:tcW w:w="4047" w:type="dxa"/>
            <w:tcMar>
              <w:top w:w="40" w:type="dxa"/>
              <w:left w:w="70" w:type="dxa"/>
              <w:bottom w:w="40" w:type="dxa"/>
              <w:right w:w="70" w:type="dxa"/>
            </w:tcMar>
          </w:tcPr>
          <w:p w14:paraId="265A0CFD" w14:textId="77777777" w:rsidR="0039479F" w:rsidRDefault="00000000">
            <w:pPr>
              <w:spacing w:line="216" w:lineRule="auto"/>
            </w:pPr>
            <w:r>
              <w:rPr>
                <w:sz w:val="16"/>
                <w:szCs w:val="16"/>
              </w:rPr>
              <w:t>397/4407 (9%) diagnosed with SAH on CT; 388 underwent LP. 2613 discharged without LP remained well at 6 months (230 lost to follow-up). One true-positive LP result reported</w:t>
            </w:r>
          </w:p>
        </w:tc>
      </w:tr>
      <w:tr w:rsidR="0039479F" w14:paraId="2F51D216" w14:textId="77777777">
        <w:tc>
          <w:tcPr>
            <w:tcW w:w="1677" w:type="dxa"/>
            <w:tcMar>
              <w:top w:w="40" w:type="dxa"/>
              <w:left w:w="70" w:type="dxa"/>
              <w:bottom w:w="40" w:type="dxa"/>
              <w:right w:w="70" w:type="dxa"/>
            </w:tcMar>
          </w:tcPr>
          <w:p w14:paraId="0FF3C7BF" w14:textId="77777777" w:rsidR="0039479F" w:rsidRDefault="00000000">
            <w:pPr>
              <w:spacing w:line="216" w:lineRule="auto"/>
            </w:pPr>
            <w:r>
              <w:rPr>
                <w:sz w:val="16"/>
                <w:szCs w:val="16"/>
              </w:rPr>
              <w:t>Gill et al. (2018)</w:t>
            </w:r>
          </w:p>
        </w:tc>
        <w:tc>
          <w:tcPr>
            <w:tcW w:w="986" w:type="dxa"/>
            <w:tcMar>
              <w:top w:w="40" w:type="dxa"/>
              <w:left w:w="70" w:type="dxa"/>
              <w:bottom w:w="40" w:type="dxa"/>
              <w:right w:w="70" w:type="dxa"/>
            </w:tcMar>
          </w:tcPr>
          <w:p w14:paraId="16429FE3"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14FC9578" w14:textId="77777777" w:rsidR="0039479F" w:rsidRDefault="00000000">
            <w:pPr>
              <w:spacing w:line="216" w:lineRule="auto"/>
            </w:pPr>
            <w:r>
              <w:rPr>
                <w:sz w:val="16"/>
                <w:szCs w:val="16"/>
              </w:rPr>
              <w:t>1282 LPs; 342 met…</w:t>
            </w:r>
          </w:p>
        </w:tc>
        <w:tc>
          <w:tcPr>
            <w:tcW w:w="1973" w:type="dxa"/>
            <w:tcMar>
              <w:top w:w="40" w:type="dxa"/>
              <w:left w:w="70" w:type="dxa"/>
              <w:bottom w:w="40" w:type="dxa"/>
              <w:right w:w="70" w:type="dxa"/>
            </w:tcMar>
          </w:tcPr>
          <w:p w14:paraId="38FED371" w14:textId="77777777" w:rsidR="0039479F" w:rsidRDefault="00000000">
            <w:pPr>
              <w:spacing w:line="216" w:lineRule="auto"/>
            </w:pPr>
            <w:r>
              <w:rPr>
                <w:sz w:val="16"/>
                <w:szCs w:val="16"/>
              </w:rPr>
              <w:t>Lumbar puncture after negative CT</w:t>
            </w:r>
          </w:p>
        </w:tc>
        <w:tc>
          <w:tcPr>
            <w:tcW w:w="4047" w:type="dxa"/>
            <w:tcMar>
              <w:top w:w="40" w:type="dxa"/>
              <w:left w:w="70" w:type="dxa"/>
              <w:bottom w:w="40" w:type="dxa"/>
              <w:right w:w="70" w:type="dxa"/>
            </w:tcMar>
          </w:tcPr>
          <w:p w14:paraId="23026E65" w14:textId="77777777" w:rsidR="0039479F" w:rsidRDefault="00000000">
            <w:pPr>
              <w:spacing w:line="216" w:lineRule="auto"/>
            </w:pPr>
            <w:r>
              <w:rPr>
                <w:sz w:val="16"/>
                <w:szCs w:val="16"/>
              </w:rPr>
              <w:t>1% deemed positive for SAH; no aneurysm or vascular malformation identified in those with positive LP. Complications 4%; xanthochromia 13%. Mean length of stay 7.8 h (95% CI 7.5-8.2)</w:t>
            </w:r>
          </w:p>
        </w:tc>
      </w:tr>
      <w:tr w:rsidR="0039479F" w14:paraId="1276F464" w14:textId="77777777">
        <w:tc>
          <w:tcPr>
            <w:tcW w:w="1677" w:type="dxa"/>
            <w:tcMar>
              <w:top w:w="40" w:type="dxa"/>
              <w:left w:w="70" w:type="dxa"/>
              <w:bottom w:w="40" w:type="dxa"/>
              <w:right w:w="70" w:type="dxa"/>
            </w:tcMar>
          </w:tcPr>
          <w:p w14:paraId="70F57513" w14:textId="77777777" w:rsidR="0039479F" w:rsidRDefault="00000000">
            <w:pPr>
              <w:spacing w:line="216" w:lineRule="auto"/>
            </w:pPr>
            <w:r>
              <w:rPr>
                <w:sz w:val="16"/>
                <w:szCs w:val="16"/>
              </w:rPr>
              <w:t>Valle Alonso et al. (2018)</w:t>
            </w:r>
          </w:p>
        </w:tc>
        <w:tc>
          <w:tcPr>
            <w:tcW w:w="986" w:type="dxa"/>
            <w:tcMar>
              <w:top w:w="40" w:type="dxa"/>
              <w:left w:w="70" w:type="dxa"/>
              <w:bottom w:w="40" w:type="dxa"/>
              <w:right w:w="70" w:type="dxa"/>
            </w:tcMar>
          </w:tcPr>
          <w:p w14:paraId="13994700"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7A459075" w14:textId="77777777" w:rsidR="0039479F" w:rsidRDefault="00000000">
            <w:pPr>
              <w:spacing w:line="216" w:lineRule="auto"/>
            </w:pPr>
            <w:r>
              <w:rPr>
                <w:sz w:val="16"/>
                <w:szCs w:val="16"/>
              </w:rPr>
              <w:t>85</w:t>
            </w:r>
          </w:p>
        </w:tc>
        <w:tc>
          <w:tcPr>
            <w:tcW w:w="1973" w:type="dxa"/>
            <w:tcMar>
              <w:top w:w="40" w:type="dxa"/>
              <w:left w:w="70" w:type="dxa"/>
              <w:bottom w:w="40" w:type="dxa"/>
              <w:right w:w="70" w:type="dxa"/>
            </w:tcMar>
          </w:tcPr>
          <w:p w14:paraId="59C3C0F4" w14:textId="77777777" w:rsidR="0039479F" w:rsidRDefault="00000000">
            <w:pPr>
              <w:spacing w:line="216" w:lineRule="auto"/>
            </w:pPr>
            <w:r>
              <w:rPr>
                <w:sz w:val="16"/>
                <w:szCs w:val="16"/>
              </w:rPr>
              <w:t>CT within 6 h followed by LP if CT normal</w:t>
            </w:r>
          </w:p>
        </w:tc>
        <w:tc>
          <w:tcPr>
            <w:tcW w:w="4047" w:type="dxa"/>
            <w:tcMar>
              <w:top w:w="40" w:type="dxa"/>
              <w:left w:w="70" w:type="dxa"/>
              <w:bottom w:w="40" w:type="dxa"/>
              <w:right w:w="70" w:type="dxa"/>
            </w:tcMar>
          </w:tcPr>
          <w:p w14:paraId="45CE3292" w14:textId="77777777" w:rsidR="0039479F" w:rsidRDefault="00000000">
            <w:pPr>
              <w:spacing w:line="216" w:lineRule="auto"/>
            </w:pPr>
            <w:r>
              <w:rPr>
                <w:sz w:val="16"/>
                <w:szCs w:val="16"/>
              </w:rPr>
              <w:t>SAH identified by CT in 10/85 (10.2%). 74 LPs after negative CT: 1 positive, 2 inconclusive, all excluded on subsequent imaging; no confirmed SAH among the 74 and none during follow-up</w:t>
            </w:r>
          </w:p>
        </w:tc>
      </w:tr>
      <w:tr w:rsidR="0039479F" w14:paraId="3C5BDBF4" w14:textId="77777777">
        <w:tc>
          <w:tcPr>
            <w:tcW w:w="1677" w:type="dxa"/>
            <w:tcMar>
              <w:top w:w="40" w:type="dxa"/>
              <w:left w:w="70" w:type="dxa"/>
              <w:bottom w:w="40" w:type="dxa"/>
              <w:right w:w="70" w:type="dxa"/>
            </w:tcMar>
          </w:tcPr>
          <w:p w14:paraId="788A62A3" w14:textId="77777777" w:rsidR="0039479F" w:rsidRDefault="00000000">
            <w:pPr>
              <w:spacing w:line="216" w:lineRule="auto"/>
            </w:pPr>
            <w:r>
              <w:rPr>
                <w:sz w:val="16"/>
                <w:szCs w:val="16"/>
              </w:rPr>
              <w:t>Sayer et al. (2015)</w:t>
            </w:r>
          </w:p>
        </w:tc>
        <w:tc>
          <w:tcPr>
            <w:tcW w:w="986" w:type="dxa"/>
            <w:tcMar>
              <w:top w:w="40" w:type="dxa"/>
              <w:left w:w="70" w:type="dxa"/>
              <w:bottom w:w="40" w:type="dxa"/>
              <w:right w:w="70" w:type="dxa"/>
            </w:tcMar>
          </w:tcPr>
          <w:p w14:paraId="6FF6FDE6"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717755F7" w14:textId="77777777" w:rsidR="0039479F" w:rsidRDefault="00000000">
            <w:pPr>
              <w:spacing w:line="216" w:lineRule="auto"/>
            </w:pPr>
            <w:r>
              <w:rPr>
                <w:sz w:val="16"/>
                <w:szCs w:val="16"/>
              </w:rPr>
              <w:t>2248</w:t>
            </w:r>
          </w:p>
        </w:tc>
        <w:tc>
          <w:tcPr>
            <w:tcW w:w="1973" w:type="dxa"/>
            <w:tcMar>
              <w:top w:w="40" w:type="dxa"/>
              <w:left w:w="70" w:type="dxa"/>
              <w:bottom w:w="40" w:type="dxa"/>
              <w:right w:w="70" w:type="dxa"/>
            </w:tcMar>
          </w:tcPr>
          <w:p w14:paraId="0A29D6DA" w14:textId="77777777" w:rsidR="0039479F" w:rsidRDefault="00000000">
            <w:pPr>
              <w:spacing w:line="216" w:lineRule="auto"/>
            </w:pPr>
            <w:r>
              <w:rPr>
                <w:sz w:val="16"/>
                <w:szCs w:val="16"/>
              </w:rPr>
              <w:t>Lumbar puncture with CSF biochemical analysis</w:t>
            </w:r>
          </w:p>
        </w:tc>
        <w:tc>
          <w:tcPr>
            <w:tcW w:w="4047" w:type="dxa"/>
            <w:tcMar>
              <w:top w:w="40" w:type="dxa"/>
              <w:left w:w="70" w:type="dxa"/>
              <w:bottom w:w="40" w:type="dxa"/>
              <w:right w:w="70" w:type="dxa"/>
            </w:tcMar>
          </w:tcPr>
          <w:p w14:paraId="02240EE3" w14:textId="77777777" w:rsidR="0039479F" w:rsidRDefault="00000000">
            <w:pPr>
              <w:spacing w:line="216" w:lineRule="auto"/>
            </w:pPr>
            <w:r>
              <w:rPr>
                <w:sz w:val="16"/>
                <w:szCs w:val="16"/>
              </w:rPr>
              <w:t>1898 LPs suitable for analysis: 92 (4.8%) positive, 1507 (79.4%) negative, 299 (15.6%) inconclusive. Of 92 positives, 8 (0.4% of total) had aneurysms and 1 a carotid-cavernous fistula</w:t>
            </w:r>
          </w:p>
        </w:tc>
      </w:tr>
      <w:tr w:rsidR="0039479F" w14:paraId="0D5D97F3" w14:textId="77777777">
        <w:tc>
          <w:tcPr>
            <w:tcW w:w="1677" w:type="dxa"/>
            <w:tcMar>
              <w:top w:w="40" w:type="dxa"/>
              <w:left w:w="70" w:type="dxa"/>
              <w:bottom w:w="40" w:type="dxa"/>
              <w:right w:w="70" w:type="dxa"/>
            </w:tcMar>
          </w:tcPr>
          <w:p w14:paraId="2B11F00B" w14:textId="77777777" w:rsidR="0039479F" w:rsidRDefault="00000000">
            <w:pPr>
              <w:spacing w:line="216" w:lineRule="auto"/>
            </w:pPr>
            <w:r>
              <w:rPr>
                <w:sz w:val="16"/>
                <w:szCs w:val="16"/>
              </w:rPr>
              <w:t>Migdal et al. (2015)</w:t>
            </w:r>
          </w:p>
        </w:tc>
        <w:tc>
          <w:tcPr>
            <w:tcW w:w="986" w:type="dxa"/>
            <w:tcMar>
              <w:top w:w="40" w:type="dxa"/>
              <w:left w:w="70" w:type="dxa"/>
              <w:bottom w:w="40" w:type="dxa"/>
              <w:right w:w="70" w:type="dxa"/>
            </w:tcMar>
          </w:tcPr>
          <w:p w14:paraId="6A329CA7"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32B09786" w14:textId="77777777" w:rsidR="0039479F" w:rsidRDefault="00000000">
            <w:pPr>
              <w:spacing w:line="216" w:lineRule="auto"/>
            </w:pPr>
            <w:r>
              <w:rPr>
                <w:sz w:val="16"/>
                <w:szCs w:val="16"/>
              </w:rPr>
              <w:t>302</w:t>
            </w:r>
          </w:p>
        </w:tc>
        <w:tc>
          <w:tcPr>
            <w:tcW w:w="1973" w:type="dxa"/>
            <w:tcMar>
              <w:top w:w="40" w:type="dxa"/>
              <w:left w:w="70" w:type="dxa"/>
              <w:bottom w:w="40" w:type="dxa"/>
              <w:right w:w="70" w:type="dxa"/>
            </w:tcMar>
          </w:tcPr>
          <w:p w14:paraId="3BB1B5E3" w14:textId="77777777" w:rsidR="0039479F" w:rsidRDefault="00000000">
            <w:pPr>
              <w:spacing w:line="216" w:lineRule="auto"/>
            </w:pPr>
            <w:r>
              <w:rPr>
                <w:sz w:val="16"/>
                <w:szCs w:val="16"/>
              </w:rPr>
              <w:t>Lumbar puncture</w:t>
            </w:r>
          </w:p>
        </w:tc>
        <w:tc>
          <w:tcPr>
            <w:tcW w:w="4047" w:type="dxa"/>
            <w:tcMar>
              <w:top w:w="40" w:type="dxa"/>
              <w:left w:w="70" w:type="dxa"/>
              <w:bottom w:w="40" w:type="dxa"/>
              <w:right w:w="70" w:type="dxa"/>
            </w:tcMar>
          </w:tcPr>
          <w:p w14:paraId="2B9BA6E0" w14:textId="77777777" w:rsidR="0039479F" w:rsidRDefault="00000000">
            <w:pPr>
              <w:spacing w:line="216" w:lineRule="auto"/>
            </w:pPr>
            <w:r>
              <w:rPr>
                <w:sz w:val="16"/>
                <w:szCs w:val="16"/>
              </w:rPr>
              <w:t>SAH diagnosed by LP in 2/302 (0.66%); number needed to diagnose 151. LP-related complications in 18 (5.96%); number needed to harm 17 (P&lt;0.01)</w:t>
            </w:r>
          </w:p>
        </w:tc>
      </w:tr>
      <w:tr w:rsidR="0039479F" w14:paraId="360C8A0A" w14:textId="77777777">
        <w:tc>
          <w:tcPr>
            <w:tcW w:w="1677" w:type="dxa"/>
            <w:tcMar>
              <w:top w:w="40" w:type="dxa"/>
              <w:left w:w="70" w:type="dxa"/>
              <w:bottom w:w="40" w:type="dxa"/>
              <w:right w:w="70" w:type="dxa"/>
            </w:tcMar>
          </w:tcPr>
          <w:p w14:paraId="5A9AFE12" w14:textId="77777777" w:rsidR="0039479F" w:rsidRDefault="00000000">
            <w:pPr>
              <w:spacing w:line="216" w:lineRule="auto"/>
            </w:pPr>
            <w:r>
              <w:rPr>
                <w:sz w:val="16"/>
                <w:szCs w:val="16"/>
              </w:rPr>
              <w:t>Mark et al. (2015b)</w:t>
            </w:r>
          </w:p>
        </w:tc>
        <w:tc>
          <w:tcPr>
            <w:tcW w:w="986" w:type="dxa"/>
            <w:tcMar>
              <w:top w:w="40" w:type="dxa"/>
              <w:left w:w="70" w:type="dxa"/>
              <w:bottom w:w="40" w:type="dxa"/>
              <w:right w:w="70" w:type="dxa"/>
            </w:tcMar>
          </w:tcPr>
          <w:p w14:paraId="0711EC9B"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55AEB7A5" w14:textId="77777777" w:rsidR="0039479F" w:rsidRDefault="00000000">
            <w:pPr>
              <w:spacing w:line="216" w:lineRule="auto"/>
            </w:pPr>
            <w:r>
              <w:rPr>
                <w:sz w:val="16"/>
                <w:szCs w:val="16"/>
              </w:rPr>
              <w:t>64</w:t>
            </w:r>
          </w:p>
        </w:tc>
        <w:tc>
          <w:tcPr>
            <w:tcW w:w="1973" w:type="dxa"/>
            <w:tcMar>
              <w:top w:w="40" w:type="dxa"/>
              <w:left w:w="70" w:type="dxa"/>
              <w:bottom w:w="40" w:type="dxa"/>
              <w:right w:w="70" w:type="dxa"/>
            </w:tcMar>
          </w:tcPr>
          <w:p w14:paraId="2AC81DC5" w14:textId="77777777" w:rsidR="0039479F" w:rsidRDefault="00000000">
            <w:pPr>
              <w:spacing w:line="216" w:lineRule="auto"/>
            </w:pPr>
            <w:r>
              <w:rPr>
                <w:sz w:val="16"/>
                <w:szCs w:val="16"/>
              </w:rPr>
              <w:t>CSF red cell count &gt;2000 x10^6/L and visible xanthochromia</w:t>
            </w:r>
          </w:p>
        </w:tc>
        <w:tc>
          <w:tcPr>
            <w:tcW w:w="4047" w:type="dxa"/>
            <w:tcMar>
              <w:top w:w="40" w:type="dxa"/>
              <w:left w:w="70" w:type="dxa"/>
              <w:bottom w:w="40" w:type="dxa"/>
              <w:right w:w="70" w:type="dxa"/>
            </w:tcMar>
          </w:tcPr>
          <w:p w14:paraId="5A2AC676" w14:textId="77777777" w:rsidR="0039479F" w:rsidRDefault="00000000">
            <w:pPr>
              <w:spacing w:line="216" w:lineRule="auto"/>
            </w:pPr>
            <w:r>
              <w:rPr>
                <w:sz w:val="16"/>
                <w:szCs w:val="16"/>
              </w:rPr>
              <w:t xml:space="preserve">Median CSF red cell </w:t>
            </w:r>
            <w:proofErr w:type="gramStart"/>
            <w:r>
              <w:rPr>
                <w:sz w:val="16"/>
                <w:szCs w:val="16"/>
              </w:rPr>
              <w:t>count</w:t>
            </w:r>
            <w:proofErr w:type="gramEnd"/>
            <w:r>
              <w:rPr>
                <w:sz w:val="16"/>
                <w:szCs w:val="16"/>
              </w:rPr>
              <w:t xml:space="preserve"> 63250 x10^6/L; 49/58 (84%) exhibited xanthochromia. Sensitivity of RBC &gt;2000 x10^6/L 96.9% (89.3-99.1); adding xanthochromia gave sensitivity 100% (94.3-100)</w:t>
            </w:r>
          </w:p>
        </w:tc>
      </w:tr>
      <w:tr w:rsidR="0039479F" w14:paraId="067057C6" w14:textId="77777777">
        <w:tc>
          <w:tcPr>
            <w:tcW w:w="1677" w:type="dxa"/>
            <w:tcMar>
              <w:top w:w="40" w:type="dxa"/>
              <w:left w:w="70" w:type="dxa"/>
              <w:bottom w:w="40" w:type="dxa"/>
              <w:right w:w="70" w:type="dxa"/>
            </w:tcMar>
          </w:tcPr>
          <w:p w14:paraId="1A186E10" w14:textId="77777777" w:rsidR="0039479F" w:rsidRDefault="00000000">
            <w:pPr>
              <w:spacing w:line="216" w:lineRule="auto"/>
            </w:pPr>
            <w:r>
              <w:rPr>
                <w:sz w:val="16"/>
                <w:szCs w:val="16"/>
              </w:rPr>
              <w:t>Perry et al. (2015)</w:t>
            </w:r>
          </w:p>
        </w:tc>
        <w:tc>
          <w:tcPr>
            <w:tcW w:w="986" w:type="dxa"/>
            <w:tcMar>
              <w:top w:w="40" w:type="dxa"/>
              <w:left w:w="70" w:type="dxa"/>
              <w:bottom w:w="40" w:type="dxa"/>
              <w:right w:w="70" w:type="dxa"/>
            </w:tcMar>
          </w:tcPr>
          <w:p w14:paraId="364319C7" w14:textId="77777777" w:rsidR="0039479F" w:rsidRDefault="00000000">
            <w:pPr>
              <w:spacing w:line="216" w:lineRule="auto"/>
            </w:pPr>
            <w:r>
              <w:rPr>
                <w:sz w:val="16"/>
                <w:szCs w:val="16"/>
              </w:rPr>
              <w:t>Canada</w:t>
            </w:r>
          </w:p>
        </w:tc>
        <w:tc>
          <w:tcPr>
            <w:tcW w:w="1183" w:type="dxa"/>
            <w:tcMar>
              <w:top w:w="40" w:type="dxa"/>
              <w:left w:w="70" w:type="dxa"/>
              <w:bottom w:w="40" w:type="dxa"/>
              <w:right w:w="70" w:type="dxa"/>
            </w:tcMar>
          </w:tcPr>
          <w:p w14:paraId="4740C973" w14:textId="77777777" w:rsidR="0039479F" w:rsidRDefault="00000000">
            <w:pPr>
              <w:spacing w:line="216" w:lineRule="auto"/>
            </w:pPr>
            <w:r>
              <w:rPr>
                <w:sz w:val="16"/>
                <w:szCs w:val="16"/>
              </w:rPr>
              <w:t>1739</w:t>
            </w:r>
          </w:p>
        </w:tc>
        <w:tc>
          <w:tcPr>
            <w:tcW w:w="1973" w:type="dxa"/>
            <w:tcMar>
              <w:top w:w="40" w:type="dxa"/>
              <w:left w:w="70" w:type="dxa"/>
              <w:bottom w:w="40" w:type="dxa"/>
              <w:right w:w="70" w:type="dxa"/>
            </w:tcMar>
          </w:tcPr>
          <w:p w14:paraId="1B7D18AC" w14:textId="77777777" w:rsidR="0039479F" w:rsidRDefault="00000000">
            <w:pPr>
              <w:spacing w:line="216" w:lineRule="auto"/>
            </w:pPr>
            <w:r>
              <w:rPr>
                <w:sz w:val="16"/>
                <w:szCs w:val="16"/>
              </w:rPr>
              <w:t>CSF red cell count and xanthochromia</w:t>
            </w:r>
          </w:p>
        </w:tc>
        <w:tc>
          <w:tcPr>
            <w:tcW w:w="4047" w:type="dxa"/>
            <w:tcMar>
              <w:top w:w="40" w:type="dxa"/>
              <w:left w:w="70" w:type="dxa"/>
              <w:bottom w:w="40" w:type="dxa"/>
              <w:right w:w="70" w:type="dxa"/>
            </w:tcMar>
          </w:tcPr>
          <w:p w14:paraId="2928346F" w14:textId="77777777" w:rsidR="0039479F" w:rsidRDefault="00000000">
            <w:pPr>
              <w:spacing w:line="216" w:lineRule="auto"/>
            </w:pPr>
            <w:r>
              <w:rPr>
                <w:sz w:val="16"/>
                <w:szCs w:val="16"/>
              </w:rPr>
              <w:t>641/1739 (36.9%) had abnormal CSF; 15 (0.9%) had aneurysmal SAH on LP. Red cells &lt;2000 x10^6/L plus no xanthochromia: sensitivity 100% (74.7-100), specificity 91.2% (88.6-93.3)</w:t>
            </w:r>
          </w:p>
        </w:tc>
      </w:tr>
      <w:tr w:rsidR="0039479F" w14:paraId="2FAC7B0D" w14:textId="77777777">
        <w:tc>
          <w:tcPr>
            <w:tcW w:w="1677" w:type="dxa"/>
            <w:tcMar>
              <w:top w:w="40" w:type="dxa"/>
              <w:left w:w="70" w:type="dxa"/>
              <w:bottom w:w="40" w:type="dxa"/>
              <w:right w:w="70" w:type="dxa"/>
            </w:tcMar>
          </w:tcPr>
          <w:p w14:paraId="1EE40B6B" w14:textId="77777777" w:rsidR="0039479F" w:rsidRDefault="00000000">
            <w:pPr>
              <w:spacing w:line="216" w:lineRule="auto"/>
            </w:pPr>
            <w:r>
              <w:rPr>
                <w:sz w:val="16"/>
                <w:szCs w:val="16"/>
              </w:rPr>
              <w:t>Hann et al. (2015)</w:t>
            </w:r>
          </w:p>
        </w:tc>
        <w:tc>
          <w:tcPr>
            <w:tcW w:w="986" w:type="dxa"/>
            <w:tcMar>
              <w:top w:w="40" w:type="dxa"/>
              <w:left w:w="70" w:type="dxa"/>
              <w:bottom w:w="40" w:type="dxa"/>
              <w:right w:w="70" w:type="dxa"/>
            </w:tcMar>
          </w:tcPr>
          <w:p w14:paraId="2D96BC19" w14:textId="77777777" w:rsidR="0039479F" w:rsidRDefault="00000000">
            <w:pPr>
              <w:spacing w:line="216" w:lineRule="auto"/>
            </w:pPr>
            <w:r>
              <w:rPr>
                <w:sz w:val="16"/>
                <w:szCs w:val="16"/>
              </w:rPr>
              <w:t>Australia</w:t>
            </w:r>
          </w:p>
        </w:tc>
        <w:tc>
          <w:tcPr>
            <w:tcW w:w="1183" w:type="dxa"/>
            <w:tcMar>
              <w:top w:w="40" w:type="dxa"/>
              <w:left w:w="70" w:type="dxa"/>
              <w:bottom w:w="40" w:type="dxa"/>
              <w:right w:w="70" w:type="dxa"/>
            </w:tcMar>
          </w:tcPr>
          <w:p w14:paraId="0ABAD5B7" w14:textId="77777777" w:rsidR="0039479F" w:rsidRDefault="00000000">
            <w:pPr>
              <w:spacing w:line="216" w:lineRule="auto"/>
            </w:pPr>
            <w:r>
              <w:rPr>
                <w:sz w:val="16"/>
                <w:szCs w:val="16"/>
              </w:rPr>
              <w:t>409</w:t>
            </w:r>
          </w:p>
        </w:tc>
        <w:tc>
          <w:tcPr>
            <w:tcW w:w="1973" w:type="dxa"/>
            <w:tcMar>
              <w:top w:w="40" w:type="dxa"/>
              <w:left w:w="70" w:type="dxa"/>
              <w:bottom w:w="40" w:type="dxa"/>
              <w:right w:w="70" w:type="dxa"/>
            </w:tcMar>
          </w:tcPr>
          <w:p w14:paraId="3CA57DA9" w14:textId="77777777" w:rsidR="0039479F" w:rsidRDefault="00000000">
            <w:pPr>
              <w:spacing w:line="216" w:lineRule="auto"/>
            </w:pPr>
            <w:r>
              <w:rPr>
                <w:sz w:val="16"/>
                <w:szCs w:val="16"/>
              </w:rPr>
              <w:t>CSF visual inspection alone versus visual inspection plus…</w:t>
            </w:r>
          </w:p>
        </w:tc>
        <w:tc>
          <w:tcPr>
            <w:tcW w:w="4047" w:type="dxa"/>
            <w:tcMar>
              <w:top w:w="40" w:type="dxa"/>
              <w:left w:w="70" w:type="dxa"/>
              <w:bottom w:w="40" w:type="dxa"/>
              <w:right w:w="70" w:type="dxa"/>
            </w:tcMar>
          </w:tcPr>
          <w:p w14:paraId="33D28E5E" w14:textId="77777777" w:rsidR="0039479F" w:rsidRDefault="00000000">
            <w:pPr>
              <w:spacing w:line="216" w:lineRule="auto"/>
            </w:pPr>
            <w:r>
              <w:rPr>
                <w:sz w:val="16"/>
                <w:szCs w:val="16"/>
              </w:rPr>
              <w:t>Cerebral aneurysm in 6/409 (1.5%). Visual inspection: sensitivity 50% (12.4-82.6), specificity 99% (97.5-99.7), PPV 42.9% (10.4-81.3), NPV 99.2% (97.8-99.8). Combined approach: sensitivity 100% (54.1-100)</w:t>
            </w:r>
          </w:p>
        </w:tc>
      </w:tr>
      <w:tr w:rsidR="0039479F" w14:paraId="0727F747" w14:textId="77777777">
        <w:tc>
          <w:tcPr>
            <w:tcW w:w="1677" w:type="dxa"/>
            <w:tcMar>
              <w:top w:w="40" w:type="dxa"/>
              <w:left w:w="70" w:type="dxa"/>
              <w:bottom w:w="40" w:type="dxa"/>
              <w:right w:w="70" w:type="dxa"/>
            </w:tcMar>
          </w:tcPr>
          <w:p w14:paraId="06F95F78" w14:textId="77777777" w:rsidR="0039479F" w:rsidRDefault="00000000">
            <w:pPr>
              <w:spacing w:line="216" w:lineRule="auto"/>
            </w:pPr>
            <w:r>
              <w:rPr>
                <w:sz w:val="16"/>
                <w:szCs w:val="16"/>
              </w:rPr>
              <w:t>Thomas et al. (2014)</w:t>
            </w:r>
          </w:p>
        </w:tc>
        <w:tc>
          <w:tcPr>
            <w:tcW w:w="986" w:type="dxa"/>
            <w:tcMar>
              <w:top w:w="40" w:type="dxa"/>
              <w:left w:w="70" w:type="dxa"/>
              <w:bottom w:w="40" w:type="dxa"/>
              <w:right w:w="70" w:type="dxa"/>
            </w:tcMar>
          </w:tcPr>
          <w:p w14:paraId="27D0257C"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773AC3EF" w14:textId="77777777" w:rsidR="0039479F" w:rsidRDefault="00000000">
            <w:pPr>
              <w:spacing w:line="216" w:lineRule="auto"/>
            </w:pPr>
            <w:r>
              <w:rPr>
                <w:sz w:val="16"/>
                <w:szCs w:val="16"/>
              </w:rPr>
              <w:t>4641 billed for…</w:t>
            </w:r>
          </w:p>
        </w:tc>
        <w:tc>
          <w:tcPr>
            <w:tcW w:w="1973" w:type="dxa"/>
            <w:tcMar>
              <w:top w:w="40" w:type="dxa"/>
              <w:left w:w="70" w:type="dxa"/>
              <w:bottom w:w="40" w:type="dxa"/>
              <w:right w:w="70" w:type="dxa"/>
            </w:tcMar>
          </w:tcPr>
          <w:p w14:paraId="247BA961" w14:textId="77777777" w:rsidR="0039479F" w:rsidRDefault="00000000">
            <w:pPr>
              <w:spacing w:line="216" w:lineRule="auto"/>
            </w:pPr>
            <w:r>
              <w:rPr>
                <w:sz w:val="16"/>
                <w:szCs w:val="16"/>
              </w:rPr>
              <w:t>Lumbar puncture with red cells plus negative…</w:t>
            </w:r>
          </w:p>
        </w:tc>
        <w:tc>
          <w:tcPr>
            <w:tcW w:w="4047" w:type="dxa"/>
            <w:tcMar>
              <w:top w:w="40" w:type="dxa"/>
              <w:left w:w="70" w:type="dxa"/>
              <w:bottom w:w="40" w:type="dxa"/>
              <w:right w:w="70" w:type="dxa"/>
            </w:tcMar>
          </w:tcPr>
          <w:p w14:paraId="371DA3F6" w14:textId="77777777" w:rsidR="0039479F" w:rsidRDefault="00000000">
            <w:pPr>
              <w:spacing w:line="216" w:lineRule="auto"/>
            </w:pPr>
            <w:r>
              <w:rPr>
                <w:sz w:val="16"/>
                <w:szCs w:val="16"/>
              </w:rPr>
              <w:t>0/181 (0%, 95% CI 0-2.0) had subsequent SAH or new vascular lesion over median follow-up of 53 months</w:t>
            </w:r>
          </w:p>
        </w:tc>
      </w:tr>
      <w:tr w:rsidR="0039479F" w14:paraId="7A9C2E1B" w14:textId="77777777">
        <w:tc>
          <w:tcPr>
            <w:tcW w:w="1677" w:type="dxa"/>
            <w:tcMar>
              <w:top w:w="40" w:type="dxa"/>
              <w:left w:w="70" w:type="dxa"/>
              <w:bottom w:w="40" w:type="dxa"/>
              <w:right w:w="70" w:type="dxa"/>
            </w:tcMar>
          </w:tcPr>
          <w:p w14:paraId="23460948" w14:textId="77777777" w:rsidR="0039479F" w:rsidRDefault="00000000">
            <w:pPr>
              <w:spacing w:line="216" w:lineRule="auto"/>
            </w:pPr>
            <w:r>
              <w:rPr>
                <w:sz w:val="16"/>
                <w:szCs w:val="16"/>
              </w:rPr>
              <w:t>Bakker et al. (2014)</w:t>
            </w:r>
          </w:p>
        </w:tc>
        <w:tc>
          <w:tcPr>
            <w:tcW w:w="986" w:type="dxa"/>
            <w:tcMar>
              <w:top w:w="40" w:type="dxa"/>
              <w:left w:w="70" w:type="dxa"/>
              <w:bottom w:w="40" w:type="dxa"/>
              <w:right w:w="70" w:type="dxa"/>
            </w:tcMar>
          </w:tcPr>
          <w:p w14:paraId="50DEC242" w14:textId="77777777" w:rsidR="0039479F" w:rsidRDefault="00000000">
            <w:pPr>
              <w:spacing w:line="216" w:lineRule="auto"/>
            </w:pPr>
            <w:r>
              <w:rPr>
                <w:sz w:val="16"/>
                <w:szCs w:val="16"/>
              </w:rPr>
              <w:t>Netherlands</w:t>
            </w:r>
          </w:p>
        </w:tc>
        <w:tc>
          <w:tcPr>
            <w:tcW w:w="1183" w:type="dxa"/>
            <w:tcMar>
              <w:top w:w="40" w:type="dxa"/>
              <w:left w:w="70" w:type="dxa"/>
              <w:bottom w:w="40" w:type="dxa"/>
              <w:right w:w="70" w:type="dxa"/>
            </w:tcMar>
          </w:tcPr>
          <w:p w14:paraId="0CCF332C" w14:textId="77777777" w:rsidR="0039479F" w:rsidRDefault="00000000">
            <w:pPr>
              <w:spacing w:line="216" w:lineRule="auto"/>
            </w:pPr>
            <w:r>
              <w:rPr>
                <w:sz w:val="16"/>
                <w:szCs w:val="16"/>
              </w:rPr>
              <w:t>94</w:t>
            </w:r>
          </w:p>
        </w:tc>
        <w:tc>
          <w:tcPr>
            <w:tcW w:w="1973" w:type="dxa"/>
            <w:tcMar>
              <w:top w:w="40" w:type="dxa"/>
              <w:left w:w="70" w:type="dxa"/>
              <w:bottom w:w="40" w:type="dxa"/>
              <w:right w:w="70" w:type="dxa"/>
            </w:tcMar>
          </w:tcPr>
          <w:p w14:paraId="03EAE69F" w14:textId="77777777" w:rsidR="0039479F" w:rsidRDefault="00000000">
            <w:pPr>
              <w:spacing w:line="216" w:lineRule="auto"/>
            </w:pPr>
            <w:r>
              <w:rPr>
                <w:sz w:val="16"/>
                <w:szCs w:val="16"/>
              </w:rPr>
              <w:t>CT angiography and digital subtraction angiography</w:t>
            </w:r>
          </w:p>
        </w:tc>
        <w:tc>
          <w:tcPr>
            <w:tcW w:w="4047" w:type="dxa"/>
            <w:tcMar>
              <w:top w:w="40" w:type="dxa"/>
              <w:left w:w="70" w:type="dxa"/>
              <w:bottom w:w="40" w:type="dxa"/>
              <w:right w:w="70" w:type="dxa"/>
            </w:tcMar>
          </w:tcPr>
          <w:p w14:paraId="659E07C0" w14:textId="77777777" w:rsidR="0039479F" w:rsidRDefault="00000000">
            <w:pPr>
              <w:spacing w:line="216" w:lineRule="auto"/>
            </w:pPr>
            <w:r>
              <w:rPr>
                <w:sz w:val="16"/>
                <w:szCs w:val="16"/>
              </w:rPr>
              <w:t>Vascular abnormality in 40/94 (43%): 37 aneurysms and 3 arterial dissections. Female sex associated with detection of a vascular lesion. Yield of additional digital subtraction angiography after negative CT angiography was zero. 99% had modified Rankin Score 0-2</w:t>
            </w:r>
          </w:p>
        </w:tc>
      </w:tr>
      <w:tr w:rsidR="0039479F" w14:paraId="1B90FFC6" w14:textId="77777777">
        <w:tc>
          <w:tcPr>
            <w:tcW w:w="1677" w:type="dxa"/>
            <w:tcMar>
              <w:top w:w="40" w:type="dxa"/>
              <w:left w:w="70" w:type="dxa"/>
              <w:bottom w:w="40" w:type="dxa"/>
              <w:right w:w="70" w:type="dxa"/>
            </w:tcMar>
          </w:tcPr>
          <w:p w14:paraId="54A1CE73" w14:textId="77777777" w:rsidR="0039479F" w:rsidRDefault="00000000">
            <w:pPr>
              <w:spacing w:line="216" w:lineRule="auto"/>
            </w:pPr>
            <w:r>
              <w:rPr>
                <w:sz w:val="16"/>
                <w:szCs w:val="16"/>
              </w:rPr>
              <w:t>Chalouhi et al. (2013)</w:t>
            </w:r>
          </w:p>
        </w:tc>
        <w:tc>
          <w:tcPr>
            <w:tcW w:w="986" w:type="dxa"/>
            <w:tcMar>
              <w:top w:w="40" w:type="dxa"/>
              <w:left w:w="70" w:type="dxa"/>
              <w:bottom w:w="40" w:type="dxa"/>
              <w:right w:w="70" w:type="dxa"/>
            </w:tcMar>
          </w:tcPr>
          <w:p w14:paraId="5E79E95E"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05FAA1F4" w14:textId="77777777" w:rsidR="0039479F" w:rsidRDefault="00000000">
            <w:pPr>
              <w:spacing w:line="216" w:lineRule="auto"/>
            </w:pPr>
            <w:r>
              <w:rPr>
                <w:sz w:val="16"/>
                <w:szCs w:val="16"/>
              </w:rPr>
              <w:t>35</w:t>
            </w:r>
          </w:p>
        </w:tc>
        <w:tc>
          <w:tcPr>
            <w:tcW w:w="1973" w:type="dxa"/>
            <w:tcMar>
              <w:top w:w="40" w:type="dxa"/>
              <w:left w:w="70" w:type="dxa"/>
              <w:bottom w:w="40" w:type="dxa"/>
              <w:right w:w="70" w:type="dxa"/>
            </w:tcMar>
          </w:tcPr>
          <w:p w14:paraId="7B23C935" w14:textId="77777777" w:rsidR="0039479F" w:rsidRDefault="00000000">
            <w:pPr>
              <w:spacing w:line="216" w:lineRule="auto"/>
            </w:pPr>
            <w:r>
              <w:rPr>
                <w:sz w:val="16"/>
                <w:szCs w:val="16"/>
              </w:rPr>
              <w:t>Cerebral angiography</w:t>
            </w:r>
          </w:p>
        </w:tc>
        <w:tc>
          <w:tcPr>
            <w:tcW w:w="4047" w:type="dxa"/>
            <w:tcMar>
              <w:top w:w="40" w:type="dxa"/>
              <w:left w:w="70" w:type="dxa"/>
              <w:bottom w:w="40" w:type="dxa"/>
              <w:right w:w="70" w:type="dxa"/>
            </w:tcMar>
          </w:tcPr>
          <w:p w14:paraId="26EADF9B" w14:textId="77777777" w:rsidR="0039479F" w:rsidRDefault="00000000">
            <w:pPr>
              <w:spacing w:line="216" w:lineRule="auto"/>
            </w:pPr>
            <w:r>
              <w:rPr>
                <w:sz w:val="16"/>
                <w:szCs w:val="16"/>
              </w:rPr>
              <w:t>Aneurysm in 16/35 (45.7%); CSF xanthochromia in 26 (74.3%). No clinical or laboratory parameter predicted aneurysm on multivariable analysis</w:t>
            </w:r>
          </w:p>
        </w:tc>
      </w:tr>
      <w:tr w:rsidR="0039479F" w14:paraId="0D40FAEB" w14:textId="77777777">
        <w:tc>
          <w:tcPr>
            <w:tcW w:w="1677" w:type="dxa"/>
            <w:tcMar>
              <w:top w:w="40" w:type="dxa"/>
              <w:left w:w="70" w:type="dxa"/>
              <w:bottom w:w="40" w:type="dxa"/>
              <w:right w:w="70" w:type="dxa"/>
            </w:tcMar>
          </w:tcPr>
          <w:p w14:paraId="24B106D4" w14:textId="77777777" w:rsidR="0039479F" w:rsidRDefault="00000000">
            <w:pPr>
              <w:spacing w:line="216" w:lineRule="auto"/>
            </w:pPr>
            <w:r>
              <w:rPr>
                <w:sz w:val="16"/>
                <w:szCs w:val="16"/>
              </w:rPr>
              <w:t>Arora et al. (2010)</w:t>
            </w:r>
          </w:p>
        </w:tc>
        <w:tc>
          <w:tcPr>
            <w:tcW w:w="986" w:type="dxa"/>
            <w:tcMar>
              <w:top w:w="40" w:type="dxa"/>
              <w:left w:w="70" w:type="dxa"/>
              <w:bottom w:w="40" w:type="dxa"/>
              <w:right w:w="70" w:type="dxa"/>
            </w:tcMar>
          </w:tcPr>
          <w:p w14:paraId="365FB9D3"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1168A015" w14:textId="77777777" w:rsidR="0039479F" w:rsidRDefault="00000000">
            <w:pPr>
              <w:spacing w:line="216" w:lineRule="auto"/>
            </w:pPr>
            <w:r>
              <w:rPr>
                <w:sz w:val="16"/>
                <w:szCs w:val="16"/>
              </w:rPr>
              <w:t>1323 SAH; 102 with…</w:t>
            </w:r>
          </w:p>
        </w:tc>
        <w:tc>
          <w:tcPr>
            <w:tcW w:w="1973" w:type="dxa"/>
            <w:tcMar>
              <w:top w:w="40" w:type="dxa"/>
              <w:left w:w="70" w:type="dxa"/>
              <w:bottom w:w="40" w:type="dxa"/>
              <w:right w:w="70" w:type="dxa"/>
            </w:tcMar>
          </w:tcPr>
          <w:p w14:paraId="75D20397" w14:textId="77777777" w:rsidR="0039479F" w:rsidRDefault="00000000">
            <w:pPr>
              <w:spacing w:line="216" w:lineRule="auto"/>
            </w:pPr>
            <w:r>
              <w:rPr>
                <w:sz w:val="16"/>
                <w:szCs w:val="16"/>
              </w:rPr>
              <w:t>CSF visual inspection for xanthochromia</w:t>
            </w:r>
          </w:p>
        </w:tc>
        <w:tc>
          <w:tcPr>
            <w:tcW w:w="4047" w:type="dxa"/>
            <w:tcMar>
              <w:top w:w="40" w:type="dxa"/>
              <w:left w:w="70" w:type="dxa"/>
              <w:bottom w:w="40" w:type="dxa"/>
              <w:right w:w="70" w:type="dxa"/>
            </w:tcMar>
          </w:tcPr>
          <w:p w14:paraId="14E0C061" w14:textId="77777777" w:rsidR="0039479F" w:rsidRDefault="00000000">
            <w:pPr>
              <w:spacing w:line="216" w:lineRule="auto"/>
            </w:pPr>
            <w:r>
              <w:rPr>
                <w:sz w:val="16"/>
                <w:szCs w:val="16"/>
              </w:rPr>
              <w:t>9/19 xanthochromic and 10/19 colourless CSF; sensitivity of visual inspection 47.3% (95% CI 24.4-71.1)</w:t>
            </w:r>
          </w:p>
        </w:tc>
      </w:tr>
      <w:tr w:rsidR="0039479F" w14:paraId="5B5EEE5D" w14:textId="77777777">
        <w:tc>
          <w:tcPr>
            <w:tcW w:w="1677" w:type="dxa"/>
            <w:tcMar>
              <w:top w:w="40" w:type="dxa"/>
              <w:left w:w="70" w:type="dxa"/>
              <w:bottom w:w="40" w:type="dxa"/>
              <w:right w:w="70" w:type="dxa"/>
            </w:tcMar>
          </w:tcPr>
          <w:p w14:paraId="10E6CD42" w14:textId="77777777" w:rsidR="0039479F" w:rsidRDefault="00000000">
            <w:pPr>
              <w:spacing w:line="216" w:lineRule="auto"/>
            </w:pPr>
            <w:r>
              <w:rPr>
                <w:sz w:val="16"/>
                <w:szCs w:val="16"/>
              </w:rPr>
              <w:t>Perry et al. (2008)</w:t>
            </w:r>
          </w:p>
        </w:tc>
        <w:tc>
          <w:tcPr>
            <w:tcW w:w="986" w:type="dxa"/>
            <w:tcMar>
              <w:top w:w="40" w:type="dxa"/>
              <w:left w:w="70" w:type="dxa"/>
              <w:bottom w:w="40" w:type="dxa"/>
              <w:right w:w="70" w:type="dxa"/>
            </w:tcMar>
          </w:tcPr>
          <w:p w14:paraId="015D2630" w14:textId="77777777" w:rsidR="0039479F" w:rsidRDefault="00000000">
            <w:pPr>
              <w:spacing w:line="216" w:lineRule="auto"/>
            </w:pPr>
            <w:r>
              <w:rPr>
                <w:sz w:val="16"/>
                <w:szCs w:val="16"/>
              </w:rPr>
              <w:t>Canada</w:t>
            </w:r>
          </w:p>
        </w:tc>
        <w:tc>
          <w:tcPr>
            <w:tcW w:w="1183" w:type="dxa"/>
            <w:tcMar>
              <w:top w:w="40" w:type="dxa"/>
              <w:left w:w="70" w:type="dxa"/>
              <w:bottom w:w="40" w:type="dxa"/>
              <w:right w:w="70" w:type="dxa"/>
            </w:tcMar>
          </w:tcPr>
          <w:p w14:paraId="6D8E9E4E" w14:textId="77777777" w:rsidR="0039479F" w:rsidRDefault="00000000">
            <w:pPr>
              <w:spacing w:line="216" w:lineRule="auto"/>
            </w:pPr>
            <w:r>
              <w:rPr>
                <w:sz w:val="16"/>
                <w:szCs w:val="16"/>
              </w:rPr>
              <w:t>592</w:t>
            </w:r>
          </w:p>
        </w:tc>
        <w:tc>
          <w:tcPr>
            <w:tcW w:w="1973" w:type="dxa"/>
            <w:tcMar>
              <w:top w:w="40" w:type="dxa"/>
              <w:left w:w="70" w:type="dxa"/>
              <w:bottom w:w="40" w:type="dxa"/>
              <w:right w:w="70" w:type="dxa"/>
            </w:tcMar>
          </w:tcPr>
          <w:p w14:paraId="135C1040" w14:textId="77777777" w:rsidR="0039479F" w:rsidRDefault="00000000">
            <w:pPr>
              <w:spacing w:line="216" w:lineRule="auto"/>
            </w:pPr>
            <w:r>
              <w:rPr>
                <w:sz w:val="16"/>
                <w:szCs w:val="16"/>
              </w:rPr>
              <w:t>Combined negative CT and negative LP</w:t>
            </w:r>
          </w:p>
        </w:tc>
        <w:tc>
          <w:tcPr>
            <w:tcW w:w="4047" w:type="dxa"/>
            <w:tcMar>
              <w:top w:w="40" w:type="dxa"/>
              <w:left w:w="70" w:type="dxa"/>
              <w:bottom w:w="40" w:type="dxa"/>
              <w:right w:w="70" w:type="dxa"/>
            </w:tcMar>
          </w:tcPr>
          <w:p w14:paraId="4DE81448" w14:textId="77777777" w:rsidR="0039479F" w:rsidRDefault="00000000">
            <w:pPr>
              <w:spacing w:line="216" w:lineRule="auto"/>
            </w:pPr>
            <w:r>
              <w:rPr>
                <w:sz w:val="16"/>
                <w:szCs w:val="16"/>
              </w:rPr>
              <w:t>61/592 with SAH; all identified on initial CT or LP. One patient without SAH was later diagnosed with a cerebral aneurysm requiring surgery</w:t>
            </w:r>
          </w:p>
        </w:tc>
      </w:tr>
      <w:tr w:rsidR="0039479F" w14:paraId="4DF5AD47" w14:textId="77777777">
        <w:tc>
          <w:tcPr>
            <w:tcW w:w="1677" w:type="dxa"/>
            <w:tcMar>
              <w:top w:w="40" w:type="dxa"/>
              <w:left w:w="70" w:type="dxa"/>
              <w:bottom w:w="40" w:type="dxa"/>
              <w:right w:w="70" w:type="dxa"/>
            </w:tcMar>
          </w:tcPr>
          <w:p w14:paraId="63EB4850" w14:textId="77777777" w:rsidR="0039479F" w:rsidRDefault="00000000">
            <w:pPr>
              <w:spacing w:line="216" w:lineRule="auto"/>
            </w:pPr>
            <w:r>
              <w:rPr>
                <w:sz w:val="16"/>
                <w:szCs w:val="16"/>
              </w:rPr>
              <w:t>Perry et al. (2006)</w:t>
            </w:r>
          </w:p>
        </w:tc>
        <w:tc>
          <w:tcPr>
            <w:tcW w:w="986" w:type="dxa"/>
            <w:tcMar>
              <w:top w:w="40" w:type="dxa"/>
              <w:left w:w="70" w:type="dxa"/>
              <w:bottom w:w="40" w:type="dxa"/>
              <w:right w:w="70" w:type="dxa"/>
            </w:tcMar>
          </w:tcPr>
          <w:p w14:paraId="54421FCB" w14:textId="77777777" w:rsidR="0039479F" w:rsidRDefault="00000000">
            <w:pPr>
              <w:spacing w:line="216" w:lineRule="auto"/>
            </w:pPr>
            <w:r>
              <w:rPr>
                <w:sz w:val="16"/>
                <w:szCs w:val="16"/>
              </w:rPr>
              <w:t>Canada</w:t>
            </w:r>
          </w:p>
        </w:tc>
        <w:tc>
          <w:tcPr>
            <w:tcW w:w="1183" w:type="dxa"/>
            <w:tcMar>
              <w:top w:w="40" w:type="dxa"/>
              <w:left w:w="70" w:type="dxa"/>
              <w:bottom w:w="40" w:type="dxa"/>
              <w:right w:w="70" w:type="dxa"/>
            </w:tcMar>
          </w:tcPr>
          <w:p w14:paraId="07CA9CD2" w14:textId="77777777" w:rsidR="0039479F" w:rsidRDefault="00000000">
            <w:pPr>
              <w:spacing w:line="216" w:lineRule="auto"/>
            </w:pPr>
            <w:r>
              <w:rPr>
                <w:sz w:val="16"/>
                <w:szCs w:val="16"/>
              </w:rPr>
              <w:t>220</w:t>
            </w:r>
          </w:p>
        </w:tc>
        <w:tc>
          <w:tcPr>
            <w:tcW w:w="1973" w:type="dxa"/>
            <w:tcMar>
              <w:top w:w="40" w:type="dxa"/>
              <w:left w:w="70" w:type="dxa"/>
              <w:bottom w:w="40" w:type="dxa"/>
              <w:right w:w="70" w:type="dxa"/>
            </w:tcMar>
          </w:tcPr>
          <w:p w14:paraId="02EED140" w14:textId="77777777" w:rsidR="0039479F" w:rsidRDefault="00000000">
            <w:pPr>
              <w:spacing w:line="216" w:lineRule="auto"/>
            </w:pPr>
            <w:r>
              <w:rPr>
                <w:sz w:val="16"/>
                <w:szCs w:val="16"/>
              </w:rPr>
              <w:t>CSF spectrophotometry versus visual inspection for…</w:t>
            </w:r>
          </w:p>
        </w:tc>
        <w:tc>
          <w:tcPr>
            <w:tcW w:w="4047" w:type="dxa"/>
            <w:tcMar>
              <w:top w:w="40" w:type="dxa"/>
              <w:left w:w="70" w:type="dxa"/>
              <w:bottom w:w="40" w:type="dxa"/>
              <w:right w:w="70" w:type="dxa"/>
            </w:tcMar>
          </w:tcPr>
          <w:p w14:paraId="1EDE3721" w14:textId="77777777" w:rsidR="0039479F" w:rsidRDefault="00000000">
            <w:pPr>
              <w:spacing w:line="216" w:lineRule="auto"/>
            </w:pPr>
            <w:r>
              <w:rPr>
                <w:sz w:val="16"/>
                <w:szCs w:val="16"/>
              </w:rPr>
              <w:t>2 SAH identified. Specificity of xanthochromia 97% (92-99) for visual inspection but as low as 29% (23-35) for two spectrophotometric definitions. Spectrophotometry could lead to angiography in 11-71% of patients undergoing LP</w:t>
            </w:r>
          </w:p>
        </w:tc>
      </w:tr>
      <w:tr w:rsidR="0039479F" w14:paraId="1681FA8F" w14:textId="77777777">
        <w:tc>
          <w:tcPr>
            <w:tcW w:w="1677" w:type="dxa"/>
            <w:tcMar>
              <w:top w:w="40" w:type="dxa"/>
              <w:left w:w="70" w:type="dxa"/>
              <w:bottom w:w="40" w:type="dxa"/>
              <w:right w:w="70" w:type="dxa"/>
            </w:tcMar>
          </w:tcPr>
          <w:p w14:paraId="650567CA" w14:textId="77777777" w:rsidR="0039479F" w:rsidRDefault="00000000">
            <w:pPr>
              <w:spacing w:line="216" w:lineRule="auto"/>
            </w:pPr>
            <w:r>
              <w:rPr>
                <w:sz w:val="16"/>
                <w:szCs w:val="16"/>
              </w:rPr>
              <w:t>Heasley et al. (2005)</w:t>
            </w:r>
          </w:p>
        </w:tc>
        <w:tc>
          <w:tcPr>
            <w:tcW w:w="986" w:type="dxa"/>
            <w:tcMar>
              <w:top w:w="40" w:type="dxa"/>
              <w:left w:w="70" w:type="dxa"/>
              <w:bottom w:w="40" w:type="dxa"/>
              <w:right w:w="70" w:type="dxa"/>
            </w:tcMar>
          </w:tcPr>
          <w:p w14:paraId="1B6B98E9"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09D5E509" w14:textId="77777777" w:rsidR="0039479F" w:rsidRDefault="00000000">
            <w:pPr>
              <w:spacing w:line="216" w:lineRule="auto"/>
            </w:pPr>
            <w:r>
              <w:rPr>
                <w:sz w:val="16"/>
                <w:szCs w:val="16"/>
              </w:rPr>
              <w:t>123 undergoing…</w:t>
            </w:r>
          </w:p>
        </w:tc>
        <w:tc>
          <w:tcPr>
            <w:tcW w:w="1973" w:type="dxa"/>
            <w:tcMar>
              <w:top w:w="40" w:type="dxa"/>
              <w:left w:w="70" w:type="dxa"/>
              <w:bottom w:w="40" w:type="dxa"/>
              <w:right w:w="70" w:type="dxa"/>
            </w:tcMar>
          </w:tcPr>
          <w:p w14:paraId="6DC03B32" w14:textId="77777777" w:rsidR="0039479F" w:rsidRDefault="00000000">
            <w:pPr>
              <w:spacing w:line="216" w:lineRule="auto"/>
            </w:pPr>
            <w:r>
              <w:rPr>
                <w:sz w:val="16"/>
                <w:szCs w:val="16"/>
              </w:rPr>
              <w:t>CSF red cell clearing (&gt;=25% reduction between tubes 1 and…</w:t>
            </w:r>
          </w:p>
        </w:tc>
        <w:tc>
          <w:tcPr>
            <w:tcW w:w="4047" w:type="dxa"/>
            <w:tcMar>
              <w:top w:w="40" w:type="dxa"/>
              <w:left w:w="70" w:type="dxa"/>
              <w:bottom w:w="40" w:type="dxa"/>
              <w:right w:w="70" w:type="dxa"/>
            </w:tcMar>
          </w:tcPr>
          <w:p w14:paraId="02ABDE76" w14:textId="77777777" w:rsidR="0039479F" w:rsidRDefault="00000000">
            <w:pPr>
              <w:spacing w:line="216" w:lineRule="auto"/>
            </w:pPr>
            <w:r>
              <w:rPr>
                <w:sz w:val="16"/>
                <w:szCs w:val="16"/>
              </w:rPr>
              <w:t>Of 22 CT-negative patients, 8 had aneurysm and 14 did not. CSF clearing occurred in 2/8 (25%) with aneurysm and 3/14 (21%) without, so clearing did not exclude aneurysm</w:t>
            </w:r>
          </w:p>
        </w:tc>
      </w:tr>
      <w:tr w:rsidR="0039479F" w14:paraId="76FD99B3" w14:textId="77777777">
        <w:tc>
          <w:tcPr>
            <w:tcW w:w="1677" w:type="dxa"/>
            <w:tcMar>
              <w:top w:w="40" w:type="dxa"/>
              <w:left w:w="70" w:type="dxa"/>
              <w:bottom w:w="40" w:type="dxa"/>
              <w:right w:w="70" w:type="dxa"/>
            </w:tcMar>
          </w:tcPr>
          <w:p w14:paraId="13760171" w14:textId="77777777" w:rsidR="0039479F" w:rsidRDefault="00000000">
            <w:pPr>
              <w:spacing w:line="216" w:lineRule="auto"/>
            </w:pPr>
            <w:r>
              <w:rPr>
                <w:sz w:val="16"/>
                <w:szCs w:val="16"/>
              </w:rPr>
              <w:lastRenderedPageBreak/>
              <w:t>Foot &amp; Staib (2001)</w:t>
            </w:r>
          </w:p>
        </w:tc>
        <w:tc>
          <w:tcPr>
            <w:tcW w:w="986" w:type="dxa"/>
            <w:tcMar>
              <w:top w:w="40" w:type="dxa"/>
              <w:left w:w="70" w:type="dxa"/>
              <w:bottom w:w="40" w:type="dxa"/>
              <w:right w:w="70" w:type="dxa"/>
            </w:tcMar>
          </w:tcPr>
          <w:p w14:paraId="31220D17" w14:textId="77777777" w:rsidR="0039479F" w:rsidRDefault="00000000">
            <w:pPr>
              <w:spacing w:line="216" w:lineRule="auto"/>
            </w:pPr>
            <w:r>
              <w:rPr>
                <w:sz w:val="16"/>
                <w:szCs w:val="16"/>
              </w:rPr>
              <w:t>Australia</w:t>
            </w:r>
          </w:p>
        </w:tc>
        <w:tc>
          <w:tcPr>
            <w:tcW w:w="1183" w:type="dxa"/>
            <w:tcMar>
              <w:top w:w="40" w:type="dxa"/>
              <w:left w:w="70" w:type="dxa"/>
              <w:bottom w:w="40" w:type="dxa"/>
              <w:right w:w="70" w:type="dxa"/>
            </w:tcMar>
          </w:tcPr>
          <w:p w14:paraId="025CF850" w14:textId="77777777" w:rsidR="0039479F" w:rsidRDefault="00000000">
            <w:pPr>
              <w:spacing w:line="216" w:lineRule="auto"/>
            </w:pPr>
            <w:r>
              <w:rPr>
                <w:sz w:val="16"/>
                <w:szCs w:val="16"/>
              </w:rPr>
              <w:t>196</w:t>
            </w:r>
          </w:p>
        </w:tc>
        <w:tc>
          <w:tcPr>
            <w:tcW w:w="1973" w:type="dxa"/>
            <w:tcMar>
              <w:top w:w="40" w:type="dxa"/>
              <w:left w:w="70" w:type="dxa"/>
              <w:bottom w:w="40" w:type="dxa"/>
              <w:right w:w="70" w:type="dxa"/>
            </w:tcMar>
          </w:tcPr>
          <w:p w14:paraId="43AEB714" w14:textId="77777777" w:rsidR="0039479F" w:rsidRDefault="00000000">
            <w:pPr>
              <w:spacing w:line="216" w:lineRule="auto"/>
            </w:pPr>
            <w:r>
              <w:rPr>
                <w:sz w:val="16"/>
                <w:szCs w:val="16"/>
              </w:rPr>
              <w:t>CSF red cell count and xanthochromic index</w:t>
            </w:r>
          </w:p>
        </w:tc>
        <w:tc>
          <w:tcPr>
            <w:tcW w:w="4047" w:type="dxa"/>
            <w:tcMar>
              <w:top w:w="40" w:type="dxa"/>
              <w:left w:w="70" w:type="dxa"/>
              <w:bottom w:w="40" w:type="dxa"/>
              <w:right w:w="70" w:type="dxa"/>
            </w:tcMar>
          </w:tcPr>
          <w:p w14:paraId="20B265F1" w14:textId="77777777" w:rsidR="0039479F" w:rsidRDefault="00000000">
            <w:pPr>
              <w:spacing w:line="216" w:lineRule="auto"/>
            </w:pPr>
            <w:r>
              <w:rPr>
                <w:sz w:val="16"/>
                <w:szCs w:val="16"/>
              </w:rPr>
              <w:t>1/189 (0.5%, 95% CI 0-2.9) with negative CT had aneurysmal SAH; 3 further patients had benign SAH. 91 patients were classified lowest risk and discharged</w:t>
            </w:r>
          </w:p>
        </w:tc>
      </w:tr>
    </w:tbl>
    <w:p w14:paraId="79FE6F58" w14:textId="77777777" w:rsidR="0039479F" w:rsidRDefault="00000000">
      <w:pPr>
        <w:spacing w:before="90" w:after="220" w:line="240" w:lineRule="auto"/>
      </w:pPr>
      <w:r>
        <w:rPr>
          <w:sz w:val="17"/>
          <w:szCs w:val="17"/>
        </w:rPr>
        <w:t xml:space="preserve">Note. Yield studies and accuracy studies are not directly comparable: the former </w:t>
      </w:r>
      <w:proofErr w:type="gramStart"/>
      <w:r>
        <w:rPr>
          <w:sz w:val="17"/>
          <w:szCs w:val="17"/>
        </w:rPr>
        <w:t>estimate</w:t>
      </w:r>
      <w:proofErr w:type="gramEnd"/>
      <w:r>
        <w:rPr>
          <w:sz w:val="17"/>
          <w:szCs w:val="17"/>
        </w:rPr>
        <w:t xml:space="preserve"> the proportion of tested patients in whom a target condition is found, the latter the ability of a cerebrospinal fluid parameter to discriminate once the test has been performed. Long entries are abbreviated here; the complete extraction for every report is in Supplementary material S5.</w:t>
      </w:r>
    </w:p>
    <w:p w14:paraId="310284F8" w14:textId="77777777" w:rsidR="0039479F" w:rsidRDefault="00000000">
      <w:pPr>
        <w:pStyle w:val="Heading2"/>
        <w:keepNext/>
        <w:spacing w:before="220" w:after="110"/>
      </w:pPr>
      <w:r>
        <w:t>3.9 Diagnostic yield of cranial computed tomography and imaging selection criteria</w:t>
      </w:r>
    </w:p>
    <w:p w14:paraId="48B3FDA1" w14:textId="77777777" w:rsidR="0039479F" w:rsidRDefault="00000000">
      <w:pPr>
        <w:spacing w:after="140"/>
        <w:jc w:val="both"/>
      </w:pPr>
      <w:r>
        <w:t>Eighteen reports examined how often cranial CT changes management in ED headache populations and whether selection criteria can reduce imaging safely. The dominant finding is the gap between abnormal and actionable. In a review of 882 patients with headache and a non-focal examination, CT was positive in 281 (31.8%) but clinically significant in only nine (1.02%), with an incremental cost of US$50,078 (2006 values) per clinically significant case detected (Jordan et al., 2009). Among 422 consecutive patients scanned for headache with a documented normal neurological examination, only seven scans (1.6%) showed a finding requiring an immediate change in management, most abnormalities being sinusitis or chronic ischaemic change (Goldstein et al., 2018). A Canadian cohort of 865 requisitions found clinically significant findings in 2.2% against clinically insignificant findings in 27.1% (Quon et al., 2015), and among 4,908 ED headache presentations in which 23.7% were advised to undergo CT, only 32 patients (0.65%) had a condition capable of causing secondary headache (Buzluk et al., 2025). Comparative data across referral indications place headache low in the ranking: acute findings were present in 12% of scans requested for headache, against 27% for seizure and 20% for confusion (Nesselroth et al., 2021).</w:t>
      </w:r>
    </w:p>
    <w:p w14:paraId="3C15D3AB" w14:textId="77777777" w:rsidR="0039479F" w:rsidRDefault="00000000">
      <w:pPr>
        <w:spacing w:after="140"/>
        <w:jc w:val="both"/>
      </w:pPr>
      <w:r>
        <w:t>Utilisation is nonetheless high and rising. In a secondary analysis of a multinational cross-sectional study of 5,281 adults, mean CT utilisation was 38.5% (95% CI 30.4–47.4), ranging from 28.9% to 46.0% between countries (Chu et al., 2023); a Dutch review found CT performed in 61% of headache presentations, yielding a diagnosis of underlying pathology in one of every 7.6 patients scanned (Lemmens et al., 2021); and in a national United States survey, imaging rose from 12.5% to 31.0% (P &lt; 0.01) while the prevalence of significant intracranial pathology among those imaged fell from 10.1% to 3.5% (P &lt; 0.05) (Gilbert et al., 2012).</w:t>
      </w:r>
    </w:p>
    <w:p w14:paraId="2C661A38" w14:textId="77777777" w:rsidR="0039479F" w:rsidRDefault="00000000">
      <w:pPr>
        <w:spacing w:after="140"/>
        <w:jc w:val="both"/>
      </w:pPr>
      <w:r>
        <w:t>Selection criteria improve efficiency modestly rather than transforming it, and they perform best when they are simple. Retrospective application of four criteria — age 60 years or older, new focal deficit, headache with vomiting and altered mental status — achieved a sensitivity of 97.1% (34 of 35) overall and 100% (10 of 10) in a nested subgroup, with a potential reduction in scanning of 22.8% (Tung et al., 2014). Counts of red-flag features behave in the expected direction: more than two SNOOP4 features were associated with both increased CT use (OR 13.5, 95% CI 3.12–58.34) and increased odds of an abnormal scan (OR 5.75, 95% CI 2.03–16.27) (Nagel et al., 2026), and abnormal imaging was associated with headache onset within one month (OR 3.37, 95% CI 1.47–7.70) and an abnormal neurological sign (OR 3.60, 95% CI 1.89–6.83) (Alanazy et al., 2023). Two specific populations warrant separate mention. Among patients with an established migraine diagnosis presenting with the worst headache of their life and no known intracranial pathology, cancer, immunosuppression or recent trauma, there were no findings requiring intervention and no haemorrhage (Sahraian et al., 2019); and among patients whose headache had resolved by presentation, none had haemorrhage on imaging or within three months, although 7.3% had other significant intracranial pathology (Hammond &amp; Ranta, 2017). In pregnancy the position is different, with a symptomatic pathological imaging finding in 27.6% of those imaged (Raffaelli et al., 2018) and an underlying aetiology in 27% of those emergently imaged, the odds of pathology being 2.7 times higher with an abnormal examination (Ramchandren et al., 2007). Table 10 summarises this domain.</w:t>
      </w:r>
    </w:p>
    <w:p w14:paraId="64089AAD" w14:textId="77777777" w:rsidR="0039479F" w:rsidRDefault="00000000">
      <w:pPr>
        <w:keepNext/>
        <w:spacing w:before="200" w:after="90"/>
      </w:pPr>
      <w:r>
        <w:rPr>
          <w:b/>
          <w:bCs/>
          <w:sz w:val="21"/>
          <w:szCs w:val="21"/>
        </w:rPr>
        <w:t>Table 10. Diagnostic yield of cranial computed tomography and criteria for imaging selection</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986"/>
        <w:gridCol w:w="1282"/>
        <w:gridCol w:w="2071"/>
        <w:gridCol w:w="3949"/>
      </w:tblGrid>
      <w:tr w:rsidR="0039479F" w14:paraId="7FFA0081" w14:textId="77777777">
        <w:trPr>
          <w:tblHeader/>
        </w:trPr>
        <w:tc>
          <w:tcPr>
            <w:tcW w:w="1578" w:type="dxa"/>
            <w:shd w:val="clear" w:color="auto" w:fill="F2F2F2"/>
            <w:tcMar>
              <w:top w:w="40" w:type="dxa"/>
              <w:left w:w="70" w:type="dxa"/>
              <w:bottom w:w="40" w:type="dxa"/>
              <w:right w:w="70" w:type="dxa"/>
            </w:tcMar>
          </w:tcPr>
          <w:p w14:paraId="3922D1DD" w14:textId="77777777" w:rsidR="0039479F" w:rsidRDefault="00000000">
            <w:pPr>
              <w:spacing w:line="216" w:lineRule="auto"/>
            </w:pPr>
            <w:r>
              <w:rPr>
                <w:b/>
                <w:bCs/>
                <w:sz w:val="16"/>
                <w:szCs w:val="16"/>
              </w:rPr>
              <w:t>Study</w:t>
            </w:r>
          </w:p>
        </w:tc>
        <w:tc>
          <w:tcPr>
            <w:tcW w:w="986" w:type="dxa"/>
            <w:shd w:val="clear" w:color="auto" w:fill="F2F2F2"/>
            <w:tcMar>
              <w:top w:w="40" w:type="dxa"/>
              <w:left w:w="70" w:type="dxa"/>
              <w:bottom w:w="40" w:type="dxa"/>
              <w:right w:w="70" w:type="dxa"/>
            </w:tcMar>
          </w:tcPr>
          <w:p w14:paraId="07D9DE29" w14:textId="77777777" w:rsidR="0039479F" w:rsidRDefault="00000000">
            <w:pPr>
              <w:spacing w:line="216" w:lineRule="auto"/>
            </w:pPr>
            <w:r>
              <w:rPr>
                <w:b/>
                <w:bCs/>
                <w:sz w:val="16"/>
                <w:szCs w:val="16"/>
              </w:rPr>
              <w:t>Country</w:t>
            </w:r>
          </w:p>
        </w:tc>
        <w:tc>
          <w:tcPr>
            <w:tcW w:w="1282" w:type="dxa"/>
            <w:shd w:val="clear" w:color="auto" w:fill="F2F2F2"/>
            <w:tcMar>
              <w:top w:w="40" w:type="dxa"/>
              <w:left w:w="70" w:type="dxa"/>
              <w:bottom w:w="40" w:type="dxa"/>
              <w:right w:w="70" w:type="dxa"/>
            </w:tcMar>
          </w:tcPr>
          <w:p w14:paraId="4C2C7A53" w14:textId="77777777" w:rsidR="0039479F" w:rsidRDefault="00000000">
            <w:pPr>
              <w:spacing w:line="216" w:lineRule="auto"/>
            </w:pPr>
            <w:r>
              <w:rPr>
                <w:b/>
                <w:bCs/>
                <w:sz w:val="16"/>
                <w:szCs w:val="16"/>
              </w:rPr>
              <w:t>Participants</w:t>
            </w:r>
          </w:p>
        </w:tc>
        <w:tc>
          <w:tcPr>
            <w:tcW w:w="2071" w:type="dxa"/>
            <w:shd w:val="clear" w:color="auto" w:fill="F2F2F2"/>
            <w:tcMar>
              <w:top w:w="40" w:type="dxa"/>
              <w:left w:w="70" w:type="dxa"/>
              <w:bottom w:w="40" w:type="dxa"/>
              <w:right w:w="70" w:type="dxa"/>
            </w:tcMar>
          </w:tcPr>
          <w:p w14:paraId="615D9B2A" w14:textId="77777777" w:rsidR="0039479F" w:rsidRDefault="00000000">
            <w:pPr>
              <w:spacing w:line="216" w:lineRule="auto"/>
            </w:pPr>
            <w:r>
              <w:rPr>
                <w:b/>
                <w:bCs/>
                <w:sz w:val="16"/>
                <w:szCs w:val="16"/>
              </w:rPr>
              <w:t>Index test or selection criterion</w:t>
            </w:r>
          </w:p>
        </w:tc>
        <w:tc>
          <w:tcPr>
            <w:tcW w:w="3949" w:type="dxa"/>
            <w:shd w:val="clear" w:color="auto" w:fill="F2F2F2"/>
            <w:tcMar>
              <w:top w:w="40" w:type="dxa"/>
              <w:left w:w="70" w:type="dxa"/>
              <w:bottom w:w="40" w:type="dxa"/>
              <w:right w:w="70" w:type="dxa"/>
            </w:tcMar>
          </w:tcPr>
          <w:p w14:paraId="5F16925E" w14:textId="77777777" w:rsidR="0039479F" w:rsidRDefault="00000000">
            <w:pPr>
              <w:spacing w:line="216" w:lineRule="auto"/>
            </w:pPr>
            <w:r>
              <w:rPr>
                <w:b/>
                <w:bCs/>
                <w:sz w:val="16"/>
                <w:szCs w:val="16"/>
              </w:rPr>
              <w:t>Results as reported</w:t>
            </w:r>
          </w:p>
        </w:tc>
      </w:tr>
      <w:tr w:rsidR="0039479F" w14:paraId="1D7926C3" w14:textId="77777777">
        <w:tc>
          <w:tcPr>
            <w:tcW w:w="1578" w:type="dxa"/>
            <w:tcMar>
              <w:top w:w="40" w:type="dxa"/>
              <w:left w:w="70" w:type="dxa"/>
              <w:bottom w:w="40" w:type="dxa"/>
              <w:right w:w="70" w:type="dxa"/>
            </w:tcMar>
          </w:tcPr>
          <w:p w14:paraId="34F24555" w14:textId="77777777" w:rsidR="0039479F" w:rsidRDefault="00000000">
            <w:pPr>
              <w:spacing w:line="216" w:lineRule="auto"/>
            </w:pPr>
            <w:r>
              <w:rPr>
                <w:sz w:val="16"/>
                <w:szCs w:val="16"/>
              </w:rPr>
              <w:t>Nagel et al. (2026)</w:t>
            </w:r>
          </w:p>
        </w:tc>
        <w:tc>
          <w:tcPr>
            <w:tcW w:w="986" w:type="dxa"/>
            <w:tcMar>
              <w:top w:w="40" w:type="dxa"/>
              <w:left w:w="70" w:type="dxa"/>
              <w:bottom w:w="40" w:type="dxa"/>
              <w:right w:w="70" w:type="dxa"/>
            </w:tcMar>
          </w:tcPr>
          <w:p w14:paraId="4D5A9A15" w14:textId="77777777" w:rsidR="0039479F" w:rsidRDefault="00000000">
            <w:pPr>
              <w:spacing w:line="216" w:lineRule="auto"/>
            </w:pPr>
            <w:r>
              <w:rPr>
                <w:sz w:val="16"/>
                <w:szCs w:val="16"/>
              </w:rPr>
              <w:t>Australia</w:t>
            </w:r>
          </w:p>
        </w:tc>
        <w:tc>
          <w:tcPr>
            <w:tcW w:w="1282" w:type="dxa"/>
            <w:tcMar>
              <w:top w:w="40" w:type="dxa"/>
              <w:left w:w="70" w:type="dxa"/>
              <w:bottom w:w="40" w:type="dxa"/>
              <w:right w:w="70" w:type="dxa"/>
            </w:tcMar>
          </w:tcPr>
          <w:p w14:paraId="27D5E70E" w14:textId="77777777" w:rsidR="0039479F" w:rsidRDefault="00000000">
            <w:pPr>
              <w:spacing w:line="216" w:lineRule="auto"/>
            </w:pPr>
            <w:r>
              <w:rPr>
                <w:sz w:val="16"/>
                <w:szCs w:val="16"/>
              </w:rPr>
              <w:t>223</w:t>
            </w:r>
          </w:p>
        </w:tc>
        <w:tc>
          <w:tcPr>
            <w:tcW w:w="2071" w:type="dxa"/>
            <w:tcMar>
              <w:top w:w="40" w:type="dxa"/>
              <w:left w:w="70" w:type="dxa"/>
              <w:bottom w:w="40" w:type="dxa"/>
              <w:right w:w="70" w:type="dxa"/>
            </w:tcMar>
          </w:tcPr>
          <w:p w14:paraId="540DCC3E" w14:textId="77777777" w:rsidR="0039479F" w:rsidRDefault="00000000">
            <w:pPr>
              <w:spacing w:line="216" w:lineRule="auto"/>
            </w:pPr>
            <w:r>
              <w:rPr>
                <w:sz w:val="16"/>
                <w:szCs w:val="16"/>
              </w:rPr>
              <w:t>SNOOP4 red-flag features and examination findings</w:t>
            </w:r>
          </w:p>
        </w:tc>
        <w:tc>
          <w:tcPr>
            <w:tcW w:w="3949" w:type="dxa"/>
            <w:tcMar>
              <w:top w:w="40" w:type="dxa"/>
              <w:left w:w="70" w:type="dxa"/>
              <w:bottom w:w="40" w:type="dxa"/>
              <w:right w:w="70" w:type="dxa"/>
            </w:tcMar>
          </w:tcPr>
          <w:p w14:paraId="30613D4B" w14:textId="77777777" w:rsidR="0039479F" w:rsidRDefault="00000000">
            <w:pPr>
              <w:spacing w:line="216" w:lineRule="auto"/>
            </w:pPr>
            <w:r>
              <w:rPr>
                <w:sz w:val="16"/>
                <w:szCs w:val="16"/>
              </w:rPr>
              <w:t>124/223 (55.6%) underwent CT with abnormal findings in 19/124 (15.3%). Photophobia was negatively associated with CT ordering (OR 0.41, 0.22-0.79); abnormal peripheral sensation (OR 13.04, 1.69-100.59) and strength (OR 3.62, 1.00-13.09) increased CT use. &gt;2 SNOOP4 features: higher odds of CT (OR 13.5, 3.12-58.34) and…</w:t>
            </w:r>
          </w:p>
        </w:tc>
      </w:tr>
      <w:tr w:rsidR="0039479F" w14:paraId="62C47630" w14:textId="77777777">
        <w:tc>
          <w:tcPr>
            <w:tcW w:w="1578" w:type="dxa"/>
            <w:tcMar>
              <w:top w:w="40" w:type="dxa"/>
              <w:left w:w="70" w:type="dxa"/>
              <w:bottom w:w="40" w:type="dxa"/>
              <w:right w:w="70" w:type="dxa"/>
            </w:tcMar>
          </w:tcPr>
          <w:p w14:paraId="4BD0C960" w14:textId="77777777" w:rsidR="0039479F" w:rsidRDefault="00000000">
            <w:pPr>
              <w:spacing w:line="216" w:lineRule="auto"/>
            </w:pPr>
            <w:r>
              <w:rPr>
                <w:sz w:val="16"/>
                <w:szCs w:val="16"/>
              </w:rPr>
              <w:lastRenderedPageBreak/>
              <w:t>Buzluk et al. (2025)</w:t>
            </w:r>
          </w:p>
        </w:tc>
        <w:tc>
          <w:tcPr>
            <w:tcW w:w="986" w:type="dxa"/>
            <w:tcMar>
              <w:top w:w="40" w:type="dxa"/>
              <w:left w:w="70" w:type="dxa"/>
              <w:bottom w:w="40" w:type="dxa"/>
              <w:right w:w="70" w:type="dxa"/>
            </w:tcMar>
          </w:tcPr>
          <w:p w14:paraId="23CA4D1B" w14:textId="77777777" w:rsidR="0039479F" w:rsidRDefault="00000000">
            <w:pPr>
              <w:spacing w:line="216" w:lineRule="auto"/>
            </w:pPr>
            <w:r>
              <w:rPr>
                <w:sz w:val="16"/>
                <w:szCs w:val="16"/>
              </w:rPr>
              <w:t>Türkiye</w:t>
            </w:r>
          </w:p>
        </w:tc>
        <w:tc>
          <w:tcPr>
            <w:tcW w:w="1282" w:type="dxa"/>
            <w:tcMar>
              <w:top w:w="40" w:type="dxa"/>
              <w:left w:w="70" w:type="dxa"/>
              <w:bottom w:w="40" w:type="dxa"/>
              <w:right w:w="70" w:type="dxa"/>
            </w:tcMar>
          </w:tcPr>
          <w:p w14:paraId="22FCC77F" w14:textId="77777777" w:rsidR="0039479F" w:rsidRDefault="00000000">
            <w:pPr>
              <w:spacing w:line="216" w:lineRule="auto"/>
            </w:pPr>
            <w:r>
              <w:rPr>
                <w:sz w:val="16"/>
                <w:szCs w:val="16"/>
              </w:rPr>
              <w:t>4908</w:t>
            </w:r>
          </w:p>
        </w:tc>
        <w:tc>
          <w:tcPr>
            <w:tcW w:w="2071" w:type="dxa"/>
            <w:tcMar>
              <w:top w:w="40" w:type="dxa"/>
              <w:left w:w="70" w:type="dxa"/>
              <w:bottom w:w="40" w:type="dxa"/>
              <w:right w:w="70" w:type="dxa"/>
            </w:tcMar>
          </w:tcPr>
          <w:p w14:paraId="567E1FF0" w14:textId="77777777" w:rsidR="0039479F" w:rsidRDefault="00000000">
            <w:pPr>
              <w:spacing w:line="216" w:lineRule="auto"/>
            </w:pPr>
            <w:r>
              <w:rPr>
                <w:sz w:val="16"/>
                <w:szCs w:val="16"/>
              </w:rPr>
              <w:t>Accompanying symptoms and neuroimaging</w:t>
            </w:r>
          </w:p>
        </w:tc>
        <w:tc>
          <w:tcPr>
            <w:tcW w:w="3949" w:type="dxa"/>
            <w:tcMar>
              <w:top w:w="40" w:type="dxa"/>
              <w:left w:w="70" w:type="dxa"/>
              <w:bottom w:w="40" w:type="dxa"/>
              <w:right w:w="70" w:type="dxa"/>
            </w:tcMar>
          </w:tcPr>
          <w:p w14:paraId="3F9C1AFF" w14:textId="77777777" w:rsidR="0039479F" w:rsidRDefault="00000000">
            <w:pPr>
              <w:spacing w:line="216" w:lineRule="auto"/>
            </w:pPr>
            <w:r>
              <w:rPr>
                <w:sz w:val="16"/>
                <w:szCs w:val="16"/>
              </w:rPr>
              <w:t>23.68% advised non-contrast CT; 32 individuals (0.65%) had underlying conditions capable of causing secondary headache, of whom 27 (84.37%) had no additional symptoms (p=0.0001). 99.61% were discharged</w:t>
            </w:r>
          </w:p>
        </w:tc>
      </w:tr>
      <w:tr w:rsidR="0039479F" w14:paraId="2320ACB4" w14:textId="77777777">
        <w:tc>
          <w:tcPr>
            <w:tcW w:w="1578" w:type="dxa"/>
            <w:tcMar>
              <w:top w:w="40" w:type="dxa"/>
              <w:left w:w="70" w:type="dxa"/>
              <w:bottom w:w="40" w:type="dxa"/>
              <w:right w:w="70" w:type="dxa"/>
            </w:tcMar>
          </w:tcPr>
          <w:p w14:paraId="25F6E934" w14:textId="77777777" w:rsidR="0039479F" w:rsidRDefault="00000000">
            <w:pPr>
              <w:spacing w:line="216" w:lineRule="auto"/>
            </w:pPr>
            <w:r>
              <w:rPr>
                <w:sz w:val="16"/>
                <w:szCs w:val="16"/>
              </w:rPr>
              <w:t>Alanazy et al. (2023)</w:t>
            </w:r>
          </w:p>
        </w:tc>
        <w:tc>
          <w:tcPr>
            <w:tcW w:w="986" w:type="dxa"/>
            <w:tcMar>
              <w:top w:w="40" w:type="dxa"/>
              <w:left w:w="70" w:type="dxa"/>
              <w:bottom w:w="40" w:type="dxa"/>
              <w:right w:w="70" w:type="dxa"/>
            </w:tcMar>
          </w:tcPr>
          <w:p w14:paraId="0C5D3A99" w14:textId="77777777" w:rsidR="0039479F" w:rsidRDefault="00000000">
            <w:pPr>
              <w:spacing w:line="216" w:lineRule="auto"/>
            </w:pPr>
            <w:r>
              <w:rPr>
                <w:sz w:val="16"/>
                <w:szCs w:val="16"/>
              </w:rPr>
              <w:t>Saudi Arabia</w:t>
            </w:r>
          </w:p>
        </w:tc>
        <w:tc>
          <w:tcPr>
            <w:tcW w:w="1282" w:type="dxa"/>
            <w:tcMar>
              <w:top w:w="40" w:type="dxa"/>
              <w:left w:w="70" w:type="dxa"/>
              <w:bottom w:w="40" w:type="dxa"/>
              <w:right w:w="70" w:type="dxa"/>
            </w:tcMar>
          </w:tcPr>
          <w:p w14:paraId="6F9DB6BA" w14:textId="77777777" w:rsidR="0039479F" w:rsidRDefault="00000000">
            <w:pPr>
              <w:spacing w:line="216" w:lineRule="auto"/>
            </w:pPr>
            <w:r>
              <w:rPr>
                <w:sz w:val="16"/>
                <w:szCs w:val="16"/>
              </w:rPr>
              <w:t>329</w:t>
            </w:r>
          </w:p>
        </w:tc>
        <w:tc>
          <w:tcPr>
            <w:tcW w:w="2071" w:type="dxa"/>
            <w:tcMar>
              <w:top w:w="40" w:type="dxa"/>
              <w:left w:w="70" w:type="dxa"/>
              <w:bottom w:w="40" w:type="dxa"/>
              <w:right w:w="70" w:type="dxa"/>
            </w:tcMar>
          </w:tcPr>
          <w:p w14:paraId="1077F1CA" w14:textId="77777777" w:rsidR="0039479F" w:rsidRDefault="00000000">
            <w:pPr>
              <w:spacing w:line="216" w:lineRule="auto"/>
            </w:pPr>
            <w:r>
              <w:rPr>
                <w:sz w:val="16"/>
                <w:szCs w:val="16"/>
              </w:rPr>
              <w:t>Clinical characteristics</w:t>
            </w:r>
          </w:p>
        </w:tc>
        <w:tc>
          <w:tcPr>
            <w:tcW w:w="3949" w:type="dxa"/>
            <w:tcMar>
              <w:top w:w="40" w:type="dxa"/>
              <w:left w:w="70" w:type="dxa"/>
              <w:bottom w:w="40" w:type="dxa"/>
              <w:right w:w="70" w:type="dxa"/>
            </w:tcMar>
          </w:tcPr>
          <w:p w14:paraId="64837B5E" w14:textId="77777777" w:rsidR="0039479F" w:rsidRDefault="00000000">
            <w:pPr>
              <w:spacing w:line="216" w:lineRule="auto"/>
            </w:pPr>
            <w:r>
              <w:rPr>
                <w:sz w:val="16"/>
                <w:szCs w:val="16"/>
              </w:rPr>
              <w:t>Abnormal neuroimaging in 31.9%. Secondary headache disorders 48.9%, primary 16.4%, non-specific 35%. Associated with abnormal imaging: headache onset &lt;=1 month (OR 3.37, 1.47-7.70, p=0.004) and abnormal neurological sign (OR 3.60, 1.89-6.83, p&lt;0.001)</w:t>
            </w:r>
          </w:p>
        </w:tc>
      </w:tr>
      <w:tr w:rsidR="0039479F" w14:paraId="4C767B38" w14:textId="77777777">
        <w:tc>
          <w:tcPr>
            <w:tcW w:w="1578" w:type="dxa"/>
            <w:tcMar>
              <w:top w:w="40" w:type="dxa"/>
              <w:left w:w="70" w:type="dxa"/>
              <w:bottom w:w="40" w:type="dxa"/>
              <w:right w:w="70" w:type="dxa"/>
            </w:tcMar>
          </w:tcPr>
          <w:p w14:paraId="378E29EB" w14:textId="77777777" w:rsidR="0039479F" w:rsidRDefault="00000000">
            <w:pPr>
              <w:spacing w:line="216" w:lineRule="auto"/>
            </w:pPr>
            <w:r>
              <w:rPr>
                <w:sz w:val="16"/>
                <w:szCs w:val="16"/>
              </w:rPr>
              <w:t>Chu et al. (2023)</w:t>
            </w:r>
          </w:p>
        </w:tc>
        <w:tc>
          <w:tcPr>
            <w:tcW w:w="986" w:type="dxa"/>
            <w:tcMar>
              <w:top w:w="40" w:type="dxa"/>
              <w:left w:w="70" w:type="dxa"/>
              <w:bottom w:w="40" w:type="dxa"/>
              <w:right w:w="70" w:type="dxa"/>
            </w:tcMar>
          </w:tcPr>
          <w:p w14:paraId="63EADC82" w14:textId="77777777" w:rsidR="0039479F" w:rsidRDefault="00000000">
            <w:pPr>
              <w:spacing w:line="216" w:lineRule="auto"/>
            </w:pPr>
            <w:r>
              <w:rPr>
                <w:sz w:val="16"/>
                <w:szCs w:val="16"/>
              </w:rPr>
              <w:t>Multinationa…</w:t>
            </w:r>
          </w:p>
        </w:tc>
        <w:tc>
          <w:tcPr>
            <w:tcW w:w="1282" w:type="dxa"/>
            <w:tcMar>
              <w:top w:w="40" w:type="dxa"/>
              <w:left w:w="70" w:type="dxa"/>
              <w:bottom w:w="40" w:type="dxa"/>
              <w:right w:w="70" w:type="dxa"/>
            </w:tcMar>
          </w:tcPr>
          <w:p w14:paraId="441A53A6" w14:textId="77777777" w:rsidR="0039479F" w:rsidRDefault="00000000">
            <w:pPr>
              <w:spacing w:line="216" w:lineRule="auto"/>
            </w:pPr>
            <w:r>
              <w:rPr>
                <w:sz w:val="16"/>
                <w:szCs w:val="16"/>
              </w:rPr>
              <w:t>5281</w:t>
            </w:r>
          </w:p>
        </w:tc>
        <w:tc>
          <w:tcPr>
            <w:tcW w:w="2071" w:type="dxa"/>
            <w:tcMar>
              <w:top w:w="40" w:type="dxa"/>
              <w:left w:w="70" w:type="dxa"/>
              <w:bottom w:w="40" w:type="dxa"/>
              <w:right w:w="70" w:type="dxa"/>
            </w:tcMar>
          </w:tcPr>
          <w:p w14:paraId="4107DAC6" w14:textId="77777777" w:rsidR="0039479F" w:rsidRDefault="00000000">
            <w:pPr>
              <w:spacing w:line="216" w:lineRule="auto"/>
            </w:pPr>
            <w:r>
              <w:rPr>
                <w:sz w:val="16"/>
                <w:szCs w:val="16"/>
              </w:rPr>
              <w:t>CT brain utilisation</w:t>
            </w:r>
          </w:p>
        </w:tc>
        <w:tc>
          <w:tcPr>
            <w:tcW w:w="3949" w:type="dxa"/>
            <w:tcMar>
              <w:top w:w="40" w:type="dxa"/>
              <w:left w:w="70" w:type="dxa"/>
              <w:bottom w:w="40" w:type="dxa"/>
              <w:right w:w="70" w:type="dxa"/>
            </w:tcMar>
          </w:tcPr>
          <w:p w14:paraId="6560C51B" w14:textId="77777777" w:rsidR="0039479F" w:rsidRDefault="00000000">
            <w:pPr>
              <w:spacing w:line="216" w:lineRule="auto"/>
            </w:pPr>
            <w:r>
              <w:rPr>
                <w:sz w:val="16"/>
                <w:szCs w:val="16"/>
              </w:rPr>
              <w:t>Mean CT utilisation 38.5% (95% CI 30.4-47.4); highest in Europe (46.0%) and lowest in Türkiye (28.9%). Median age 40 (IQR 29-55) years; 66% women</w:t>
            </w:r>
          </w:p>
        </w:tc>
      </w:tr>
      <w:tr w:rsidR="0039479F" w14:paraId="2A93E84A" w14:textId="77777777">
        <w:tc>
          <w:tcPr>
            <w:tcW w:w="1578" w:type="dxa"/>
            <w:tcMar>
              <w:top w:w="40" w:type="dxa"/>
              <w:left w:w="70" w:type="dxa"/>
              <w:bottom w:w="40" w:type="dxa"/>
              <w:right w:w="70" w:type="dxa"/>
            </w:tcMar>
          </w:tcPr>
          <w:p w14:paraId="7861E816" w14:textId="77777777" w:rsidR="0039479F" w:rsidRDefault="00000000">
            <w:pPr>
              <w:spacing w:line="216" w:lineRule="auto"/>
            </w:pPr>
            <w:r>
              <w:rPr>
                <w:sz w:val="16"/>
                <w:szCs w:val="16"/>
              </w:rPr>
              <w:t>Lee et al. (2023)</w:t>
            </w:r>
          </w:p>
        </w:tc>
        <w:tc>
          <w:tcPr>
            <w:tcW w:w="986" w:type="dxa"/>
            <w:tcMar>
              <w:top w:w="40" w:type="dxa"/>
              <w:left w:w="70" w:type="dxa"/>
              <w:bottom w:w="40" w:type="dxa"/>
              <w:right w:w="70" w:type="dxa"/>
            </w:tcMar>
          </w:tcPr>
          <w:p w14:paraId="5F117E8A" w14:textId="77777777" w:rsidR="0039479F" w:rsidRDefault="00000000">
            <w:pPr>
              <w:spacing w:line="216" w:lineRule="auto"/>
            </w:pPr>
            <w:r>
              <w:rPr>
                <w:sz w:val="16"/>
                <w:szCs w:val="16"/>
              </w:rPr>
              <w:t>South Korea</w:t>
            </w:r>
          </w:p>
        </w:tc>
        <w:tc>
          <w:tcPr>
            <w:tcW w:w="1282" w:type="dxa"/>
            <w:tcMar>
              <w:top w:w="40" w:type="dxa"/>
              <w:left w:w="70" w:type="dxa"/>
              <w:bottom w:w="40" w:type="dxa"/>
              <w:right w:w="70" w:type="dxa"/>
            </w:tcMar>
          </w:tcPr>
          <w:p w14:paraId="3D30595D" w14:textId="77777777" w:rsidR="0039479F" w:rsidRDefault="00000000">
            <w:pPr>
              <w:spacing w:line="216" w:lineRule="auto"/>
            </w:pPr>
            <w:r>
              <w:rPr>
                <w:sz w:val="16"/>
                <w:szCs w:val="16"/>
              </w:rPr>
              <w:t>914 (435 with CT)</w:t>
            </w:r>
          </w:p>
        </w:tc>
        <w:tc>
          <w:tcPr>
            <w:tcW w:w="2071" w:type="dxa"/>
            <w:tcMar>
              <w:top w:w="40" w:type="dxa"/>
              <w:left w:w="70" w:type="dxa"/>
              <w:bottom w:w="40" w:type="dxa"/>
              <w:right w:w="70" w:type="dxa"/>
            </w:tcMar>
          </w:tcPr>
          <w:p w14:paraId="02E1077A" w14:textId="77777777" w:rsidR="0039479F" w:rsidRDefault="00000000">
            <w:pPr>
              <w:spacing w:line="216" w:lineRule="auto"/>
            </w:pPr>
            <w:r>
              <w:rPr>
                <w:sz w:val="16"/>
                <w:szCs w:val="16"/>
              </w:rPr>
              <w:t>Non-enhanced brain CT</w:t>
            </w:r>
          </w:p>
        </w:tc>
        <w:tc>
          <w:tcPr>
            <w:tcW w:w="3949" w:type="dxa"/>
            <w:tcMar>
              <w:top w:w="40" w:type="dxa"/>
              <w:left w:w="70" w:type="dxa"/>
              <w:bottom w:w="40" w:type="dxa"/>
              <w:right w:w="70" w:type="dxa"/>
            </w:tcMar>
          </w:tcPr>
          <w:p w14:paraId="0DE879C3" w14:textId="77777777" w:rsidR="0039479F" w:rsidRDefault="00000000">
            <w:pPr>
              <w:spacing w:line="216" w:lineRule="auto"/>
            </w:pPr>
            <w:r>
              <w:rPr>
                <w:sz w:val="16"/>
                <w:szCs w:val="16"/>
              </w:rPr>
              <w:t>2/435 had abnormal brain CT (glioblastoma and Rathke's pouch cyst) at 35 and 32 days after vaccination. Focal neurological deficits were present in all cases with CT abnormalities</w:t>
            </w:r>
          </w:p>
        </w:tc>
      </w:tr>
      <w:tr w:rsidR="0039479F" w14:paraId="1F96E3CD" w14:textId="77777777">
        <w:tc>
          <w:tcPr>
            <w:tcW w:w="1578" w:type="dxa"/>
            <w:tcMar>
              <w:top w:w="40" w:type="dxa"/>
              <w:left w:w="70" w:type="dxa"/>
              <w:bottom w:w="40" w:type="dxa"/>
              <w:right w:w="70" w:type="dxa"/>
            </w:tcMar>
          </w:tcPr>
          <w:p w14:paraId="07431D14" w14:textId="77777777" w:rsidR="0039479F" w:rsidRDefault="00000000">
            <w:pPr>
              <w:spacing w:line="216" w:lineRule="auto"/>
            </w:pPr>
            <w:r>
              <w:rPr>
                <w:sz w:val="16"/>
                <w:szCs w:val="16"/>
              </w:rPr>
              <w:t>Iskorur et al. (2022)</w:t>
            </w:r>
          </w:p>
        </w:tc>
        <w:tc>
          <w:tcPr>
            <w:tcW w:w="986" w:type="dxa"/>
            <w:tcMar>
              <w:top w:w="40" w:type="dxa"/>
              <w:left w:w="70" w:type="dxa"/>
              <w:bottom w:w="40" w:type="dxa"/>
              <w:right w:w="70" w:type="dxa"/>
            </w:tcMar>
          </w:tcPr>
          <w:p w14:paraId="34BF329A" w14:textId="77777777" w:rsidR="0039479F" w:rsidRDefault="00000000">
            <w:pPr>
              <w:spacing w:line="216" w:lineRule="auto"/>
            </w:pPr>
            <w:r>
              <w:rPr>
                <w:sz w:val="16"/>
                <w:szCs w:val="16"/>
              </w:rPr>
              <w:t>Türkiye</w:t>
            </w:r>
          </w:p>
        </w:tc>
        <w:tc>
          <w:tcPr>
            <w:tcW w:w="1282" w:type="dxa"/>
            <w:tcMar>
              <w:top w:w="40" w:type="dxa"/>
              <w:left w:w="70" w:type="dxa"/>
              <w:bottom w:w="40" w:type="dxa"/>
              <w:right w:w="70" w:type="dxa"/>
            </w:tcMar>
          </w:tcPr>
          <w:p w14:paraId="2605097A" w14:textId="77777777" w:rsidR="0039479F" w:rsidRDefault="00000000">
            <w:pPr>
              <w:spacing w:line="216" w:lineRule="auto"/>
            </w:pPr>
            <w:r>
              <w:rPr>
                <w:sz w:val="16"/>
                <w:szCs w:val="16"/>
              </w:rPr>
              <w:t>837 with headache; 157…</w:t>
            </w:r>
          </w:p>
        </w:tc>
        <w:tc>
          <w:tcPr>
            <w:tcW w:w="2071" w:type="dxa"/>
            <w:tcMar>
              <w:top w:w="40" w:type="dxa"/>
              <w:left w:w="70" w:type="dxa"/>
              <w:bottom w:w="40" w:type="dxa"/>
              <w:right w:w="70" w:type="dxa"/>
            </w:tcMar>
          </w:tcPr>
          <w:p w14:paraId="2A494465" w14:textId="77777777" w:rsidR="0039479F" w:rsidRDefault="00000000">
            <w:pPr>
              <w:spacing w:line="216" w:lineRule="auto"/>
            </w:pPr>
            <w:r>
              <w:rPr>
                <w:sz w:val="16"/>
                <w:szCs w:val="16"/>
              </w:rPr>
              <w:t>Antiplatelet or anticoagulant use</w:t>
            </w:r>
          </w:p>
        </w:tc>
        <w:tc>
          <w:tcPr>
            <w:tcW w:w="3949" w:type="dxa"/>
            <w:tcMar>
              <w:top w:w="40" w:type="dxa"/>
              <w:left w:w="70" w:type="dxa"/>
              <w:bottom w:w="40" w:type="dxa"/>
              <w:right w:w="70" w:type="dxa"/>
            </w:tcMar>
          </w:tcPr>
          <w:p w14:paraId="57D19D93" w14:textId="77777777" w:rsidR="0039479F" w:rsidRDefault="00000000">
            <w:pPr>
              <w:spacing w:line="216" w:lineRule="auto"/>
            </w:pPr>
            <w:r>
              <w:rPr>
                <w:sz w:val="16"/>
                <w:szCs w:val="16"/>
              </w:rPr>
              <w:t>Of 29 (18.4%) patients using antiplatelets or anticoagulants, 16 (55.2%) were CT positive; significant difference versus CT-negative group (P&lt;0.001)</w:t>
            </w:r>
          </w:p>
        </w:tc>
      </w:tr>
      <w:tr w:rsidR="0039479F" w14:paraId="12B2751D" w14:textId="77777777">
        <w:tc>
          <w:tcPr>
            <w:tcW w:w="1578" w:type="dxa"/>
            <w:tcMar>
              <w:top w:w="40" w:type="dxa"/>
              <w:left w:w="70" w:type="dxa"/>
              <w:bottom w:w="40" w:type="dxa"/>
              <w:right w:w="70" w:type="dxa"/>
            </w:tcMar>
          </w:tcPr>
          <w:p w14:paraId="7AADE950" w14:textId="77777777" w:rsidR="0039479F" w:rsidRDefault="00000000">
            <w:pPr>
              <w:spacing w:line="216" w:lineRule="auto"/>
            </w:pPr>
            <w:r>
              <w:rPr>
                <w:sz w:val="16"/>
                <w:szCs w:val="16"/>
              </w:rPr>
              <w:t>Nguyen et al. (2022)</w:t>
            </w:r>
          </w:p>
        </w:tc>
        <w:tc>
          <w:tcPr>
            <w:tcW w:w="986" w:type="dxa"/>
            <w:tcMar>
              <w:top w:w="40" w:type="dxa"/>
              <w:left w:w="70" w:type="dxa"/>
              <w:bottom w:w="40" w:type="dxa"/>
              <w:right w:w="70" w:type="dxa"/>
            </w:tcMar>
          </w:tcPr>
          <w:p w14:paraId="7CDCAAF4" w14:textId="77777777" w:rsidR="0039479F" w:rsidRDefault="00000000">
            <w:pPr>
              <w:spacing w:line="216" w:lineRule="auto"/>
            </w:pPr>
            <w:r>
              <w:rPr>
                <w:sz w:val="16"/>
                <w:szCs w:val="16"/>
              </w:rPr>
              <w:t>Australia</w:t>
            </w:r>
          </w:p>
        </w:tc>
        <w:tc>
          <w:tcPr>
            <w:tcW w:w="1282" w:type="dxa"/>
            <w:tcMar>
              <w:top w:w="40" w:type="dxa"/>
              <w:left w:w="70" w:type="dxa"/>
              <w:bottom w:w="40" w:type="dxa"/>
              <w:right w:w="70" w:type="dxa"/>
            </w:tcMar>
          </w:tcPr>
          <w:p w14:paraId="38974D73" w14:textId="77777777" w:rsidR="0039479F" w:rsidRDefault="00000000">
            <w:pPr>
              <w:spacing w:line="216" w:lineRule="auto"/>
            </w:pPr>
            <w:r>
              <w:rPr>
                <w:sz w:val="16"/>
                <w:szCs w:val="16"/>
              </w:rPr>
              <w:t>412</w:t>
            </w:r>
          </w:p>
        </w:tc>
        <w:tc>
          <w:tcPr>
            <w:tcW w:w="2071" w:type="dxa"/>
            <w:tcMar>
              <w:top w:w="40" w:type="dxa"/>
              <w:left w:w="70" w:type="dxa"/>
              <w:bottom w:w="40" w:type="dxa"/>
              <w:right w:w="70" w:type="dxa"/>
            </w:tcMar>
          </w:tcPr>
          <w:p w14:paraId="1F830387" w14:textId="77777777" w:rsidR="0039479F" w:rsidRDefault="00000000">
            <w:pPr>
              <w:spacing w:line="216" w:lineRule="auto"/>
            </w:pPr>
            <w:r>
              <w:rPr>
                <w:sz w:val="16"/>
                <w:szCs w:val="16"/>
              </w:rPr>
              <w:t>Emergency CT Head Score (ECHS)</w:t>
            </w:r>
          </w:p>
        </w:tc>
        <w:tc>
          <w:tcPr>
            <w:tcW w:w="3949" w:type="dxa"/>
            <w:tcMar>
              <w:top w:w="40" w:type="dxa"/>
              <w:left w:w="70" w:type="dxa"/>
              <w:bottom w:w="40" w:type="dxa"/>
              <w:right w:w="70" w:type="dxa"/>
            </w:tcMar>
          </w:tcPr>
          <w:p w14:paraId="002B2837" w14:textId="77777777" w:rsidR="0039479F" w:rsidRDefault="00000000">
            <w:pPr>
              <w:spacing w:line="216" w:lineRule="auto"/>
            </w:pPr>
            <w:r>
              <w:rPr>
                <w:sz w:val="16"/>
                <w:szCs w:val="16"/>
              </w:rPr>
              <w:t>10.2% of CTs were positive. ECHS area under ROC curve 0.498; ECHS &gt;0 as a threshold had sensitivity of only 83.3%. Only male sex and focal motor deficit were independent univariate predictors</w:t>
            </w:r>
          </w:p>
        </w:tc>
      </w:tr>
      <w:tr w:rsidR="0039479F" w14:paraId="4CD79082" w14:textId="77777777">
        <w:tc>
          <w:tcPr>
            <w:tcW w:w="1578" w:type="dxa"/>
            <w:tcMar>
              <w:top w:w="40" w:type="dxa"/>
              <w:left w:w="70" w:type="dxa"/>
              <w:bottom w:w="40" w:type="dxa"/>
              <w:right w:w="70" w:type="dxa"/>
            </w:tcMar>
          </w:tcPr>
          <w:p w14:paraId="634396AD" w14:textId="77777777" w:rsidR="0039479F" w:rsidRDefault="00000000">
            <w:pPr>
              <w:spacing w:line="216" w:lineRule="auto"/>
            </w:pPr>
            <w:r>
              <w:rPr>
                <w:sz w:val="16"/>
                <w:szCs w:val="16"/>
              </w:rPr>
              <w:t>Lemmens et al. (2021)</w:t>
            </w:r>
          </w:p>
        </w:tc>
        <w:tc>
          <w:tcPr>
            <w:tcW w:w="986" w:type="dxa"/>
            <w:tcMar>
              <w:top w:w="40" w:type="dxa"/>
              <w:left w:w="70" w:type="dxa"/>
              <w:bottom w:w="40" w:type="dxa"/>
              <w:right w:w="70" w:type="dxa"/>
            </w:tcMar>
          </w:tcPr>
          <w:p w14:paraId="32F85B73" w14:textId="77777777" w:rsidR="0039479F" w:rsidRDefault="00000000">
            <w:pPr>
              <w:spacing w:line="216" w:lineRule="auto"/>
            </w:pPr>
            <w:r>
              <w:rPr>
                <w:sz w:val="16"/>
                <w:szCs w:val="16"/>
              </w:rPr>
              <w:t>Netherlands</w:t>
            </w:r>
          </w:p>
        </w:tc>
        <w:tc>
          <w:tcPr>
            <w:tcW w:w="1282" w:type="dxa"/>
            <w:tcMar>
              <w:top w:w="40" w:type="dxa"/>
              <w:left w:w="70" w:type="dxa"/>
              <w:bottom w:w="40" w:type="dxa"/>
              <w:right w:w="70" w:type="dxa"/>
            </w:tcMar>
          </w:tcPr>
          <w:p w14:paraId="7CD90658" w14:textId="77777777" w:rsidR="0039479F" w:rsidRDefault="00000000">
            <w:pPr>
              <w:spacing w:line="216" w:lineRule="auto"/>
            </w:pPr>
            <w:r>
              <w:rPr>
                <w:sz w:val="16"/>
                <w:szCs w:val="16"/>
              </w:rPr>
              <w:t>501</w:t>
            </w:r>
          </w:p>
        </w:tc>
        <w:tc>
          <w:tcPr>
            <w:tcW w:w="2071" w:type="dxa"/>
            <w:tcMar>
              <w:top w:w="40" w:type="dxa"/>
              <w:left w:w="70" w:type="dxa"/>
              <w:bottom w:w="40" w:type="dxa"/>
              <w:right w:w="70" w:type="dxa"/>
            </w:tcMar>
          </w:tcPr>
          <w:p w14:paraId="2CD54752" w14:textId="77777777" w:rsidR="0039479F" w:rsidRDefault="00000000">
            <w:pPr>
              <w:spacing w:line="216" w:lineRule="auto"/>
            </w:pPr>
            <w:r>
              <w:rPr>
                <w:sz w:val="16"/>
                <w:szCs w:val="16"/>
              </w:rPr>
              <w:t>Clinical factors</w:t>
            </w:r>
          </w:p>
        </w:tc>
        <w:tc>
          <w:tcPr>
            <w:tcW w:w="3949" w:type="dxa"/>
            <w:tcMar>
              <w:top w:w="40" w:type="dxa"/>
              <w:left w:w="70" w:type="dxa"/>
              <w:bottom w:w="40" w:type="dxa"/>
              <w:right w:w="70" w:type="dxa"/>
            </w:tcMar>
          </w:tcPr>
          <w:p w14:paraId="0D1DD741" w14:textId="77777777" w:rsidR="0039479F" w:rsidRDefault="00000000">
            <w:pPr>
              <w:spacing w:line="216" w:lineRule="auto"/>
            </w:pPr>
            <w:r>
              <w:rPr>
                <w:sz w:val="16"/>
                <w:szCs w:val="16"/>
              </w:rPr>
              <w:t>CT performed in 61%, leading to a diagnosis of underlying pathology in 1 in 7.6 patients. Factors associated with abnormal CT: age &gt;=50 y, presentation within 1 h of onset, history of aphasia, focal neurological deficit</w:t>
            </w:r>
          </w:p>
        </w:tc>
      </w:tr>
      <w:tr w:rsidR="0039479F" w14:paraId="486DAF9B" w14:textId="77777777">
        <w:tc>
          <w:tcPr>
            <w:tcW w:w="1578" w:type="dxa"/>
            <w:tcMar>
              <w:top w:w="40" w:type="dxa"/>
              <w:left w:w="70" w:type="dxa"/>
              <w:bottom w:w="40" w:type="dxa"/>
              <w:right w:w="70" w:type="dxa"/>
            </w:tcMar>
          </w:tcPr>
          <w:p w14:paraId="04CFB867" w14:textId="77777777" w:rsidR="0039479F" w:rsidRDefault="00000000">
            <w:pPr>
              <w:spacing w:line="216" w:lineRule="auto"/>
            </w:pPr>
            <w:r>
              <w:rPr>
                <w:sz w:val="16"/>
                <w:szCs w:val="16"/>
              </w:rPr>
              <w:t>Nesselroth et al. (2021)</w:t>
            </w:r>
          </w:p>
        </w:tc>
        <w:tc>
          <w:tcPr>
            <w:tcW w:w="986" w:type="dxa"/>
            <w:tcMar>
              <w:top w:w="40" w:type="dxa"/>
              <w:left w:w="70" w:type="dxa"/>
              <w:bottom w:w="40" w:type="dxa"/>
              <w:right w:w="70" w:type="dxa"/>
            </w:tcMar>
          </w:tcPr>
          <w:p w14:paraId="2FE1ED7C" w14:textId="77777777" w:rsidR="0039479F" w:rsidRDefault="00000000">
            <w:pPr>
              <w:spacing w:line="216" w:lineRule="auto"/>
            </w:pPr>
            <w:r>
              <w:rPr>
                <w:sz w:val="16"/>
                <w:szCs w:val="16"/>
              </w:rPr>
              <w:t>Israel</w:t>
            </w:r>
          </w:p>
        </w:tc>
        <w:tc>
          <w:tcPr>
            <w:tcW w:w="1282" w:type="dxa"/>
            <w:tcMar>
              <w:top w:w="40" w:type="dxa"/>
              <w:left w:w="70" w:type="dxa"/>
              <w:bottom w:w="40" w:type="dxa"/>
              <w:right w:w="70" w:type="dxa"/>
            </w:tcMar>
          </w:tcPr>
          <w:p w14:paraId="09606C04" w14:textId="77777777" w:rsidR="0039479F" w:rsidRDefault="00000000">
            <w:pPr>
              <w:spacing w:line="216" w:lineRule="auto"/>
            </w:pPr>
            <w:r>
              <w:rPr>
                <w:sz w:val="16"/>
                <w:szCs w:val="16"/>
              </w:rPr>
              <w:t>1536</w:t>
            </w:r>
          </w:p>
        </w:tc>
        <w:tc>
          <w:tcPr>
            <w:tcW w:w="2071" w:type="dxa"/>
            <w:tcMar>
              <w:top w:w="40" w:type="dxa"/>
              <w:left w:w="70" w:type="dxa"/>
              <w:bottom w:w="40" w:type="dxa"/>
              <w:right w:w="70" w:type="dxa"/>
            </w:tcMar>
          </w:tcPr>
          <w:p w14:paraId="531C913F" w14:textId="77777777" w:rsidR="0039479F" w:rsidRDefault="00000000">
            <w:pPr>
              <w:spacing w:line="216" w:lineRule="auto"/>
            </w:pPr>
            <w:r>
              <w:rPr>
                <w:sz w:val="16"/>
                <w:szCs w:val="16"/>
              </w:rPr>
              <w:t>Referral indication and age</w:t>
            </w:r>
          </w:p>
        </w:tc>
        <w:tc>
          <w:tcPr>
            <w:tcW w:w="3949" w:type="dxa"/>
            <w:tcMar>
              <w:top w:w="40" w:type="dxa"/>
              <w:left w:w="70" w:type="dxa"/>
              <w:bottom w:w="40" w:type="dxa"/>
              <w:right w:w="70" w:type="dxa"/>
            </w:tcMar>
          </w:tcPr>
          <w:p w14:paraId="09FCF5C8" w14:textId="77777777" w:rsidR="0039479F" w:rsidRDefault="00000000">
            <w:pPr>
              <w:spacing w:line="216" w:lineRule="auto"/>
            </w:pPr>
            <w:r>
              <w:rPr>
                <w:sz w:val="16"/>
                <w:szCs w:val="16"/>
              </w:rPr>
              <w:t>Acute findings in 239/1536 (15.5%), increasing with age (p=0.027). Commonest acute findings: haemorrhage 32.6%, infarct 27.6%, mass 23%. Positive acute findings by indication: seizure 27%, confusion 20%, syncope 19%, focal deficit 16%, head injury 15%, headache 12%, dizziness 8%</w:t>
            </w:r>
          </w:p>
        </w:tc>
      </w:tr>
      <w:tr w:rsidR="0039479F" w14:paraId="438B55AA" w14:textId="77777777">
        <w:tc>
          <w:tcPr>
            <w:tcW w:w="1578" w:type="dxa"/>
            <w:tcMar>
              <w:top w:w="40" w:type="dxa"/>
              <w:left w:w="70" w:type="dxa"/>
              <w:bottom w:w="40" w:type="dxa"/>
              <w:right w:w="70" w:type="dxa"/>
            </w:tcMar>
          </w:tcPr>
          <w:p w14:paraId="32F69EC2" w14:textId="77777777" w:rsidR="0039479F" w:rsidRDefault="00000000">
            <w:pPr>
              <w:spacing w:line="216" w:lineRule="auto"/>
            </w:pPr>
            <w:r>
              <w:rPr>
                <w:sz w:val="16"/>
                <w:szCs w:val="16"/>
              </w:rPr>
              <w:t>Sahraian et al. (2019)</w:t>
            </w:r>
          </w:p>
        </w:tc>
        <w:tc>
          <w:tcPr>
            <w:tcW w:w="986" w:type="dxa"/>
            <w:tcMar>
              <w:top w:w="40" w:type="dxa"/>
              <w:left w:w="70" w:type="dxa"/>
              <w:bottom w:w="40" w:type="dxa"/>
              <w:right w:w="70" w:type="dxa"/>
            </w:tcMar>
          </w:tcPr>
          <w:p w14:paraId="3A353CF6"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277083F5" w14:textId="77777777" w:rsidR="0039479F" w:rsidRDefault="00000000">
            <w:pPr>
              <w:spacing w:line="216" w:lineRule="auto"/>
            </w:pPr>
            <w:r>
              <w:rPr>
                <w:sz w:val="16"/>
                <w:szCs w:val="16"/>
              </w:rPr>
              <w:t>224 (main study group…</w:t>
            </w:r>
          </w:p>
        </w:tc>
        <w:tc>
          <w:tcPr>
            <w:tcW w:w="2071" w:type="dxa"/>
            <w:tcMar>
              <w:top w:w="40" w:type="dxa"/>
              <w:left w:w="70" w:type="dxa"/>
              <w:bottom w:w="40" w:type="dxa"/>
              <w:right w:w="70" w:type="dxa"/>
            </w:tcMar>
          </w:tcPr>
          <w:p w14:paraId="228318A2" w14:textId="77777777" w:rsidR="0039479F" w:rsidRDefault="00000000">
            <w:pPr>
              <w:spacing w:line="216" w:lineRule="auto"/>
            </w:pPr>
            <w:r>
              <w:rPr>
                <w:sz w:val="16"/>
                <w:szCs w:val="16"/>
              </w:rPr>
              <w:t>Non-contrast head CT</w:t>
            </w:r>
          </w:p>
        </w:tc>
        <w:tc>
          <w:tcPr>
            <w:tcW w:w="3949" w:type="dxa"/>
            <w:tcMar>
              <w:top w:w="40" w:type="dxa"/>
              <w:left w:w="70" w:type="dxa"/>
              <w:bottom w:w="40" w:type="dxa"/>
              <w:right w:w="70" w:type="dxa"/>
            </w:tcMar>
          </w:tcPr>
          <w:p w14:paraId="1A54D565" w14:textId="77777777" w:rsidR="0039479F" w:rsidRDefault="00000000">
            <w:pPr>
              <w:spacing w:line="216" w:lineRule="auto"/>
            </w:pPr>
            <w:r>
              <w:rPr>
                <w:sz w:val="16"/>
                <w:szCs w:val="16"/>
              </w:rPr>
              <w:t>In the main group (no known intracranial pathology, cancer, immunocompromise or recent trauma): no grade 4 findings (0%), one false-positive grade 3 finding (0.8%), no SAH (0%). In the comparison group: 6 (6.5%) grade 4 and 3 (3.3%) grade 3 findings</w:t>
            </w:r>
          </w:p>
        </w:tc>
      </w:tr>
      <w:tr w:rsidR="0039479F" w14:paraId="6AD94432" w14:textId="77777777">
        <w:tc>
          <w:tcPr>
            <w:tcW w:w="1578" w:type="dxa"/>
            <w:tcMar>
              <w:top w:w="40" w:type="dxa"/>
              <w:left w:w="70" w:type="dxa"/>
              <w:bottom w:w="40" w:type="dxa"/>
              <w:right w:w="70" w:type="dxa"/>
            </w:tcMar>
          </w:tcPr>
          <w:p w14:paraId="536229A8" w14:textId="77777777" w:rsidR="0039479F" w:rsidRDefault="00000000">
            <w:pPr>
              <w:spacing w:line="216" w:lineRule="auto"/>
            </w:pPr>
            <w:r>
              <w:rPr>
                <w:sz w:val="16"/>
                <w:szCs w:val="16"/>
              </w:rPr>
              <w:t>Goldstein et al. (2018)</w:t>
            </w:r>
          </w:p>
        </w:tc>
        <w:tc>
          <w:tcPr>
            <w:tcW w:w="986" w:type="dxa"/>
            <w:tcMar>
              <w:top w:w="40" w:type="dxa"/>
              <w:left w:w="70" w:type="dxa"/>
              <w:bottom w:w="40" w:type="dxa"/>
              <w:right w:w="70" w:type="dxa"/>
            </w:tcMar>
          </w:tcPr>
          <w:p w14:paraId="77E4F622" w14:textId="77777777" w:rsidR="0039479F" w:rsidRDefault="00000000">
            <w:pPr>
              <w:spacing w:line="216" w:lineRule="auto"/>
            </w:pPr>
            <w:r>
              <w:rPr>
                <w:sz w:val="16"/>
                <w:szCs w:val="16"/>
              </w:rPr>
              <w:t>Israel</w:t>
            </w:r>
          </w:p>
        </w:tc>
        <w:tc>
          <w:tcPr>
            <w:tcW w:w="1282" w:type="dxa"/>
            <w:tcMar>
              <w:top w:w="40" w:type="dxa"/>
              <w:left w:w="70" w:type="dxa"/>
              <w:bottom w:w="40" w:type="dxa"/>
              <w:right w:w="70" w:type="dxa"/>
            </w:tcMar>
          </w:tcPr>
          <w:p w14:paraId="25C369F8" w14:textId="77777777" w:rsidR="0039479F" w:rsidRDefault="00000000">
            <w:pPr>
              <w:spacing w:line="216" w:lineRule="auto"/>
            </w:pPr>
            <w:r>
              <w:rPr>
                <w:sz w:val="16"/>
                <w:szCs w:val="16"/>
              </w:rPr>
              <w:t>422</w:t>
            </w:r>
          </w:p>
        </w:tc>
        <w:tc>
          <w:tcPr>
            <w:tcW w:w="2071" w:type="dxa"/>
            <w:tcMar>
              <w:top w:w="40" w:type="dxa"/>
              <w:left w:w="70" w:type="dxa"/>
              <w:bottom w:w="40" w:type="dxa"/>
              <w:right w:w="70" w:type="dxa"/>
            </w:tcMar>
          </w:tcPr>
          <w:p w14:paraId="54C50D0F" w14:textId="77777777" w:rsidR="0039479F" w:rsidRDefault="00000000">
            <w:pPr>
              <w:spacing w:line="216" w:lineRule="auto"/>
            </w:pPr>
            <w:r>
              <w:rPr>
                <w:sz w:val="16"/>
                <w:szCs w:val="16"/>
              </w:rPr>
              <w:t>Head CT</w:t>
            </w:r>
          </w:p>
        </w:tc>
        <w:tc>
          <w:tcPr>
            <w:tcW w:w="3949" w:type="dxa"/>
            <w:tcMar>
              <w:top w:w="40" w:type="dxa"/>
              <w:left w:w="70" w:type="dxa"/>
              <w:bottom w:w="40" w:type="dxa"/>
              <w:right w:w="70" w:type="dxa"/>
            </w:tcMar>
          </w:tcPr>
          <w:p w14:paraId="2692DA9B" w14:textId="77777777" w:rsidR="0039479F" w:rsidRDefault="00000000">
            <w:pPr>
              <w:spacing w:line="216" w:lineRule="auto"/>
            </w:pPr>
            <w:r>
              <w:rPr>
                <w:sz w:val="16"/>
                <w:szCs w:val="16"/>
              </w:rPr>
              <w:t>43.4% of scans were normal; most abnormal findings were sinusitis (148, 35%) or ischaemic changes. 7 scans (1.6%) showed clinically significant findings requiring immediate management change</w:t>
            </w:r>
          </w:p>
        </w:tc>
      </w:tr>
      <w:tr w:rsidR="0039479F" w14:paraId="5DAF1DD0" w14:textId="77777777">
        <w:tc>
          <w:tcPr>
            <w:tcW w:w="1578" w:type="dxa"/>
            <w:tcMar>
              <w:top w:w="40" w:type="dxa"/>
              <w:left w:w="70" w:type="dxa"/>
              <w:bottom w:w="40" w:type="dxa"/>
              <w:right w:w="70" w:type="dxa"/>
            </w:tcMar>
          </w:tcPr>
          <w:p w14:paraId="2C1A34D7" w14:textId="77777777" w:rsidR="0039479F" w:rsidRDefault="00000000">
            <w:pPr>
              <w:spacing w:line="216" w:lineRule="auto"/>
            </w:pPr>
            <w:r>
              <w:rPr>
                <w:sz w:val="16"/>
                <w:szCs w:val="16"/>
              </w:rPr>
              <w:t>Raffaelli et al. (2018)</w:t>
            </w:r>
          </w:p>
        </w:tc>
        <w:tc>
          <w:tcPr>
            <w:tcW w:w="986" w:type="dxa"/>
            <w:tcMar>
              <w:top w:w="40" w:type="dxa"/>
              <w:left w:w="70" w:type="dxa"/>
              <w:bottom w:w="40" w:type="dxa"/>
              <w:right w:w="70" w:type="dxa"/>
            </w:tcMar>
          </w:tcPr>
          <w:p w14:paraId="0469ED8E" w14:textId="77777777" w:rsidR="0039479F" w:rsidRDefault="00000000">
            <w:pPr>
              <w:spacing w:line="216" w:lineRule="auto"/>
            </w:pPr>
            <w:r>
              <w:rPr>
                <w:sz w:val="16"/>
                <w:szCs w:val="16"/>
              </w:rPr>
              <w:t>Germany</w:t>
            </w:r>
          </w:p>
        </w:tc>
        <w:tc>
          <w:tcPr>
            <w:tcW w:w="1282" w:type="dxa"/>
            <w:tcMar>
              <w:top w:w="40" w:type="dxa"/>
              <w:left w:w="70" w:type="dxa"/>
              <w:bottom w:w="40" w:type="dxa"/>
              <w:right w:w="70" w:type="dxa"/>
            </w:tcMar>
          </w:tcPr>
          <w:p w14:paraId="6ECB2511" w14:textId="77777777" w:rsidR="0039479F" w:rsidRDefault="00000000">
            <w:pPr>
              <w:spacing w:line="216" w:lineRule="auto"/>
            </w:pPr>
            <w:r>
              <w:rPr>
                <w:sz w:val="16"/>
                <w:szCs w:val="16"/>
              </w:rPr>
              <w:t>151</w:t>
            </w:r>
          </w:p>
        </w:tc>
        <w:tc>
          <w:tcPr>
            <w:tcW w:w="2071" w:type="dxa"/>
            <w:tcMar>
              <w:top w:w="40" w:type="dxa"/>
              <w:left w:w="70" w:type="dxa"/>
              <w:bottom w:w="40" w:type="dxa"/>
              <w:right w:w="70" w:type="dxa"/>
            </w:tcMar>
          </w:tcPr>
          <w:p w14:paraId="0259FE22" w14:textId="77777777" w:rsidR="0039479F" w:rsidRDefault="00000000">
            <w:pPr>
              <w:spacing w:line="216" w:lineRule="auto"/>
            </w:pPr>
            <w:r>
              <w:rPr>
                <w:sz w:val="16"/>
                <w:szCs w:val="16"/>
              </w:rPr>
              <w:t>Anamnestic and clinical features</w:t>
            </w:r>
          </w:p>
        </w:tc>
        <w:tc>
          <w:tcPr>
            <w:tcW w:w="3949" w:type="dxa"/>
            <w:tcMar>
              <w:top w:w="40" w:type="dxa"/>
              <w:left w:w="70" w:type="dxa"/>
              <w:bottom w:w="40" w:type="dxa"/>
              <w:right w:w="70" w:type="dxa"/>
            </w:tcMar>
          </w:tcPr>
          <w:p w14:paraId="517702B1" w14:textId="77777777" w:rsidR="0039479F" w:rsidRDefault="00000000">
            <w:pPr>
              <w:spacing w:line="216" w:lineRule="auto"/>
            </w:pPr>
            <w:r>
              <w:rPr>
                <w:sz w:val="16"/>
                <w:szCs w:val="16"/>
              </w:rPr>
              <w:t>Imaging performed in 50.3%; symptomatic pathological findings in 27.6% of those imaged. First-trimester presentation (p=0.024), strong pain intensity, reduced level of consciousness and seizures were significantly associated with pathological findings</w:t>
            </w:r>
          </w:p>
        </w:tc>
      </w:tr>
      <w:tr w:rsidR="0039479F" w14:paraId="3D78D9C2" w14:textId="77777777">
        <w:tc>
          <w:tcPr>
            <w:tcW w:w="1578" w:type="dxa"/>
            <w:tcMar>
              <w:top w:w="40" w:type="dxa"/>
              <w:left w:w="70" w:type="dxa"/>
              <w:bottom w:w="40" w:type="dxa"/>
              <w:right w:w="70" w:type="dxa"/>
            </w:tcMar>
          </w:tcPr>
          <w:p w14:paraId="2217996B" w14:textId="77777777" w:rsidR="0039479F" w:rsidRDefault="00000000">
            <w:pPr>
              <w:spacing w:line="216" w:lineRule="auto"/>
            </w:pPr>
            <w:r>
              <w:rPr>
                <w:sz w:val="16"/>
                <w:szCs w:val="16"/>
              </w:rPr>
              <w:t>Hammond &amp; Ranta (2017)</w:t>
            </w:r>
          </w:p>
        </w:tc>
        <w:tc>
          <w:tcPr>
            <w:tcW w:w="986" w:type="dxa"/>
            <w:tcMar>
              <w:top w:w="40" w:type="dxa"/>
              <w:left w:w="70" w:type="dxa"/>
              <w:bottom w:w="40" w:type="dxa"/>
              <w:right w:w="70" w:type="dxa"/>
            </w:tcMar>
          </w:tcPr>
          <w:p w14:paraId="7E656413" w14:textId="77777777" w:rsidR="0039479F" w:rsidRDefault="00000000">
            <w:pPr>
              <w:spacing w:line="216" w:lineRule="auto"/>
            </w:pPr>
            <w:r>
              <w:rPr>
                <w:sz w:val="16"/>
                <w:szCs w:val="16"/>
              </w:rPr>
              <w:t>New Zealand</w:t>
            </w:r>
          </w:p>
        </w:tc>
        <w:tc>
          <w:tcPr>
            <w:tcW w:w="1282" w:type="dxa"/>
            <w:tcMar>
              <w:top w:w="40" w:type="dxa"/>
              <w:left w:w="70" w:type="dxa"/>
              <w:bottom w:w="40" w:type="dxa"/>
              <w:right w:w="70" w:type="dxa"/>
            </w:tcMar>
          </w:tcPr>
          <w:p w14:paraId="12BD34AD" w14:textId="77777777" w:rsidR="0039479F" w:rsidRDefault="00000000">
            <w:pPr>
              <w:spacing w:line="216" w:lineRule="auto"/>
            </w:pPr>
            <w:r>
              <w:rPr>
                <w:sz w:val="16"/>
                <w:szCs w:val="16"/>
              </w:rPr>
              <w:t>531 referred; 177 with…</w:t>
            </w:r>
          </w:p>
        </w:tc>
        <w:tc>
          <w:tcPr>
            <w:tcW w:w="2071" w:type="dxa"/>
            <w:tcMar>
              <w:top w:w="40" w:type="dxa"/>
              <w:left w:w="70" w:type="dxa"/>
              <w:bottom w:w="40" w:type="dxa"/>
              <w:right w:w="70" w:type="dxa"/>
            </w:tcMar>
          </w:tcPr>
          <w:p w14:paraId="7F9A896A" w14:textId="77777777" w:rsidR="0039479F" w:rsidRDefault="00000000">
            <w:pPr>
              <w:spacing w:line="216" w:lineRule="auto"/>
            </w:pPr>
            <w:r>
              <w:rPr>
                <w:sz w:val="16"/>
                <w:szCs w:val="16"/>
              </w:rPr>
              <w:t>Head CT</w:t>
            </w:r>
          </w:p>
        </w:tc>
        <w:tc>
          <w:tcPr>
            <w:tcW w:w="3949" w:type="dxa"/>
            <w:tcMar>
              <w:top w:w="40" w:type="dxa"/>
              <w:left w:w="70" w:type="dxa"/>
              <w:bottom w:w="40" w:type="dxa"/>
              <w:right w:w="70" w:type="dxa"/>
            </w:tcMar>
          </w:tcPr>
          <w:p w14:paraId="6696AD07" w14:textId="77777777" w:rsidR="0039479F" w:rsidRDefault="00000000">
            <w:pPr>
              <w:spacing w:line="216" w:lineRule="auto"/>
            </w:pPr>
            <w:r>
              <w:rPr>
                <w:sz w:val="16"/>
                <w:szCs w:val="16"/>
              </w:rPr>
              <w:t>No SAH on imaging or within 3 months among 177 transient-headache patients; 13/177 (7.3%) had other significant intracranial pathology. Focal neurology was the only significant risk factor (OR 3.1, 95% CI 1.2-11.0; P=0.044). All SAH cases in the period occurred in patients with persistent headache</w:t>
            </w:r>
          </w:p>
        </w:tc>
      </w:tr>
      <w:tr w:rsidR="0039479F" w14:paraId="0A8F8F30" w14:textId="77777777">
        <w:tc>
          <w:tcPr>
            <w:tcW w:w="1578" w:type="dxa"/>
            <w:tcMar>
              <w:top w:w="40" w:type="dxa"/>
              <w:left w:w="70" w:type="dxa"/>
              <w:bottom w:w="40" w:type="dxa"/>
              <w:right w:w="70" w:type="dxa"/>
            </w:tcMar>
          </w:tcPr>
          <w:p w14:paraId="6046B6C0" w14:textId="77777777" w:rsidR="0039479F" w:rsidRDefault="00000000">
            <w:pPr>
              <w:spacing w:line="216" w:lineRule="auto"/>
            </w:pPr>
            <w:r>
              <w:rPr>
                <w:sz w:val="16"/>
                <w:szCs w:val="16"/>
              </w:rPr>
              <w:t>Quon et al. (2015)</w:t>
            </w:r>
          </w:p>
        </w:tc>
        <w:tc>
          <w:tcPr>
            <w:tcW w:w="986" w:type="dxa"/>
            <w:tcMar>
              <w:top w:w="40" w:type="dxa"/>
              <w:left w:w="70" w:type="dxa"/>
              <w:bottom w:w="40" w:type="dxa"/>
              <w:right w:w="70" w:type="dxa"/>
            </w:tcMar>
          </w:tcPr>
          <w:p w14:paraId="13DDC456" w14:textId="77777777" w:rsidR="0039479F" w:rsidRDefault="00000000">
            <w:pPr>
              <w:spacing w:line="216" w:lineRule="auto"/>
            </w:pPr>
            <w:r>
              <w:rPr>
                <w:sz w:val="16"/>
                <w:szCs w:val="16"/>
              </w:rPr>
              <w:t>Canada</w:t>
            </w:r>
          </w:p>
        </w:tc>
        <w:tc>
          <w:tcPr>
            <w:tcW w:w="1282" w:type="dxa"/>
            <w:tcMar>
              <w:top w:w="40" w:type="dxa"/>
              <w:left w:w="70" w:type="dxa"/>
              <w:bottom w:w="40" w:type="dxa"/>
              <w:right w:w="70" w:type="dxa"/>
            </w:tcMar>
          </w:tcPr>
          <w:p w14:paraId="3DC1CFE3" w14:textId="77777777" w:rsidR="0039479F" w:rsidRDefault="00000000">
            <w:pPr>
              <w:spacing w:line="216" w:lineRule="auto"/>
            </w:pPr>
            <w:r>
              <w:rPr>
                <w:sz w:val="16"/>
                <w:szCs w:val="16"/>
              </w:rPr>
              <w:t>865</w:t>
            </w:r>
          </w:p>
        </w:tc>
        <w:tc>
          <w:tcPr>
            <w:tcW w:w="2071" w:type="dxa"/>
            <w:tcMar>
              <w:top w:w="40" w:type="dxa"/>
              <w:left w:w="70" w:type="dxa"/>
              <w:bottom w:w="40" w:type="dxa"/>
              <w:right w:w="70" w:type="dxa"/>
            </w:tcMar>
          </w:tcPr>
          <w:p w14:paraId="4F511D97" w14:textId="77777777" w:rsidR="0039479F" w:rsidRDefault="00000000">
            <w:pPr>
              <w:spacing w:line="216" w:lineRule="auto"/>
            </w:pPr>
            <w:r>
              <w:rPr>
                <w:sz w:val="16"/>
                <w:szCs w:val="16"/>
              </w:rPr>
              <w:t xml:space="preserve">Non-contrast CT and follow-up tests (LP, CT </w:t>
            </w:r>
            <w:proofErr w:type="gramStart"/>
            <w:r>
              <w:rPr>
                <w:sz w:val="16"/>
                <w:szCs w:val="16"/>
              </w:rPr>
              <w:t>angiography,…</w:t>
            </w:r>
            <w:proofErr w:type="gramEnd"/>
          </w:p>
        </w:tc>
        <w:tc>
          <w:tcPr>
            <w:tcW w:w="3949" w:type="dxa"/>
            <w:tcMar>
              <w:top w:w="40" w:type="dxa"/>
              <w:left w:w="70" w:type="dxa"/>
              <w:bottom w:w="40" w:type="dxa"/>
              <w:right w:w="70" w:type="dxa"/>
            </w:tcMar>
          </w:tcPr>
          <w:p w14:paraId="75E919CC" w14:textId="77777777" w:rsidR="0039479F" w:rsidRDefault="00000000">
            <w:pPr>
              <w:spacing w:line="216" w:lineRule="auto"/>
            </w:pPr>
            <w:r>
              <w:rPr>
                <w:sz w:val="16"/>
                <w:szCs w:val="16"/>
              </w:rPr>
              <w:t>254 positive studies: clinically insignificant 235/865 (27.1%) and clinically significant 19/865 (2.2%). 257 follow-up examinations were performed</w:t>
            </w:r>
          </w:p>
        </w:tc>
      </w:tr>
      <w:tr w:rsidR="0039479F" w14:paraId="10A7F03C" w14:textId="77777777">
        <w:tc>
          <w:tcPr>
            <w:tcW w:w="1578" w:type="dxa"/>
            <w:tcMar>
              <w:top w:w="40" w:type="dxa"/>
              <w:left w:w="70" w:type="dxa"/>
              <w:bottom w:w="40" w:type="dxa"/>
              <w:right w:w="70" w:type="dxa"/>
            </w:tcMar>
          </w:tcPr>
          <w:p w14:paraId="4074E374" w14:textId="77777777" w:rsidR="0039479F" w:rsidRDefault="00000000">
            <w:pPr>
              <w:spacing w:line="216" w:lineRule="auto"/>
            </w:pPr>
            <w:r>
              <w:rPr>
                <w:sz w:val="16"/>
                <w:szCs w:val="16"/>
              </w:rPr>
              <w:t>Tung et al. (2014)</w:t>
            </w:r>
          </w:p>
        </w:tc>
        <w:tc>
          <w:tcPr>
            <w:tcW w:w="986" w:type="dxa"/>
            <w:tcMar>
              <w:top w:w="40" w:type="dxa"/>
              <w:left w:w="70" w:type="dxa"/>
              <w:bottom w:w="40" w:type="dxa"/>
              <w:right w:w="70" w:type="dxa"/>
            </w:tcMar>
          </w:tcPr>
          <w:p w14:paraId="5F46A9C3" w14:textId="77777777" w:rsidR="0039479F" w:rsidRDefault="00000000">
            <w:pPr>
              <w:spacing w:line="216" w:lineRule="auto"/>
            </w:pPr>
            <w:r>
              <w:rPr>
                <w:sz w:val="16"/>
                <w:szCs w:val="16"/>
              </w:rPr>
              <w:t>Sweden</w:t>
            </w:r>
          </w:p>
        </w:tc>
        <w:tc>
          <w:tcPr>
            <w:tcW w:w="1282" w:type="dxa"/>
            <w:tcMar>
              <w:top w:w="40" w:type="dxa"/>
              <w:left w:w="70" w:type="dxa"/>
              <w:bottom w:w="40" w:type="dxa"/>
              <w:right w:w="70" w:type="dxa"/>
            </w:tcMar>
          </w:tcPr>
          <w:p w14:paraId="34EB88C3" w14:textId="77777777" w:rsidR="0039479F" w:rsidRDefault="00000000">
            <w:pPr>
              <w:spacing w:line="216" w:lineRule="auto"/>
            </w:pPr>
            <w:r>
              <w:rPr>
                <w:sz w:val="16"/>
                <w:szCs w:val="16"/>
              </w:rPr>
              <w:t>346 (114 in nested…</w:t>
            </w:r>
          </w:p>
        </w:tc>
        <w:tc>
          <w:tcPr>
            <w:tcW w:w="2071" w:type="dxa"/>
            <w:tcMar>
              <w:top w:w="40" w:type="dxa"/>
              <w:left w:w="70" w:type="dxa"/>
              <w:bottom w:w="40" w:type="dxa"/>
              <w:right w:w="70" w:type="dxa"/>
            </w:tcMar>
          </w:tcPr>
          <w:p w14:paraId="4AEA8265" w14:textId="77777777" w:rsidR="0039479F" w:rsidRDefault="00000000">
            <w:pPr>
              <w:spacing w:line="216" w:lineRule="auto"/>
            </w:pPr>
            <w:r>
              <w:rPr>
                <w:sz w:val="16"/>
                <w:szCs w:val="16"/>
              </w:rPr>
              <w:t>Rothrock selection criteria (age &gt;=60 y, new focal…</w:t>
            </w:r>
          </w:p>
        </w:tc>
        <w:tc>
          <w:tcPr>
            <w:tcW w:w="3949" w:type="dxa"/>
            <w:tcMar>
              <w:top w:w="40" w:type="dxa"/>
              <w:left w:w="70" w:type="dxa"/>
              <w:bottom w:w="40" w:type="dxa"/>
              <w:right w:w="70" w:type="dxa"/>
            </w:tcMar>
          </w:tcPr>
          <w:p w14:paraId="21994990" w14:textId="77777777" w:rsidR="0039479F" w:rsidRDefault="00000000">
            <w:pPr>
              <w:spacing w:line="216" w:lineRule="auto"/>
            </w:pPr>
            <w:r>
              <w:rPr>
                <w:sz w:val="16"/>
                <w:szCs w:val="16"/>
              </w:rPr>
              <w:t>Prevalence of significant findings 10.1%. Rothrock criteria sensitivity 97.1% (34/35) overall and 100% (10/10) in the nested subgroup, with potential scan reduction of 22.8% and 11.4%</w:t>
            </w:r>
          </w:p>
        </w:tc>
      </w:tr>
      <w:tr w:rsidR="0039479F" w14:paraId="68E33107" w14:textId="77777777">
        <w:tc>
          <w:tcPr>
            <w:tcW w:w="1578" w:type="dxa"/>
            <w:tcMar>
              <w:top w:w="40" w:type="dxa"/>
              <w:left w:w="70" w:type="dxa"/>
              <w:bottom w:w="40" w:type="dxa"/>
              <w:right w:w="70" w:type="dxa"/>
            </w:tcMar>
          </w:tcPr>
          <w:p w14:paraId="15B7D5E3" w14:textId="77777777" w:rsidR="0039479F" w:rsidRDefault="00000000">
            <w:pPr>
              <w:spacing w:line="216" w:lineRule="auto"/>
            </w:pPr>
            <w:r>
              <w:rPr>
                <w:sz w:val="16"/>
                <w:szCs w:val="16"/>
              </w:rPr>
              <w:t>Jordan et al. (2009)</w:t>
            </w:r>
          </w:p>
        </w:tc>
        <w:tc>
          <w:tcPr>
            <w:tcW w:w="986" w:type="dxa"/>
            <w:tcMar>
              <w:top w:w="40" w:type="dxa"/>
              <w:left w:w="70" w:type="dxa"/>
              <w:bottom w:w="40" w:type="dxa"/>
              <w:right w:w="70" w:type="dxa"/>
            </w:tcMar>
          </w:tcPr>
          <w:p w14:paraId="48951FC2"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1BF03B75" w14:textId="77777777" w:rsidR="0039479F" w:rsidRDefault="00000000">
            <w:pPr>
              <w:spacing w:line="216" w:lineRule="auto"/>
            </w:pPr>
            <w:r>
              <w:rPr>
                <w:sz w:val="16"/>
                <w:szCs w:val="16"/>
              </w:rPr>
              <w:t xml:space="preserve">5510 records </w:t>
            </w:r>
            <w:proofErr w:type="gramStart"/>
            <w:r>
              <w:rPr>
                <w:sz w:val="16"/>
                <w:szCs w:val="16"/>
              </w:rPr>
              <w:t>screened;…</w:t>
            </w:r>
            <w:proofErr w:type="gramEnd"/>
          </w:p>
        </w:tc>
        <w:tc>
          <w:tcPr>
            <w:tcW w:w="2071" w:type="dxa"/>
            <w:tcMar>
              <w:top w:w="40" w:type="dxa"/>
              <w:left w:w="70" w:type="dxa"/>
              <w:bottom w:w="40" w:type="dxa"/>
              <w:right w:w="70" w:type="dxa"/>
            </w:tcMar>
          </w:tcPr>
          <w:p w14:paraId="6A25B325" w14:textId="77777777" w:rsidR="0039479F" w:rsidRDefault="00000000">
            <w:pPr>
              <w:spacing w:line="216" w:lineRule="auto"/>
            </w:pPr>
            <w:r>
              <w:rPr>
                <w:sz w:val="16"/>
                <w:szCs w:val="16"/>
              </w:rPr>
              <w:t>Non-contrast head CT</w:t>
            </w:r>
          </w:p>
        </w:tc>
        <w:tc>
          <w:tcPr>
            <w:tcW w:w="3949" w:type="dxa"/>
            <w:tcMar>
              <w:top w:w="40" w:type="dxa"/>
              <w:left w:w="70" w:type="dxa"/>
              <w:bottom w:w="40" w:type="dxa"/>
              <w:right w:w="70" w:type="dxa"/>
            </w:tcMar>
          </w:tcPr>
          <w:p w14:paraId="435682C2" w14:textId="77777777" w:rsidR="0039479F" w:rsidRDefault="00000000">
            <w:pPr>
              <w:spacing w:line="216" w:lineRule="auto"/>
            </w:pPr>
            <w:r>
              <w:rPr>
                <w:sz w:val="16"/>
                <w:szCs w:val="16"/>
              </w:rPr>
              <w:t>Positive CT in 281/882 (31.8%) but clinically significant in only 9 (1.02%). Most positive studies were incidental. Incremental cost per clinically significant case detected was US$50,078 (2006 dollars)</w:t>
            </w:r>
          </w:p>
        </w:tc>
      </w:tr>
      <w:tr w:rsidR="0039479F" w14:paraId="2DCFEC3F" w14:textId="77777777">
        <w:tc>
          <w:tcPr>
            <w:tcW w:w="1578" w:type="dxa"/>
            <w:tcMar>
              <w:top w:w="40" w:type="dxa"/>
              <w:left w:w="70" w:type="dxa"/>
              <w:bottom w:w="40" w:type="dxa"/>
              <w:right w:w="70" w:type="dxa"/>
            </w:tcMar>
          </w:tcPr>
          <w:p w14:paraId="6EDCD09A" w14:textId="77777777" w:rsidR="0039479F" w:rsidRDefault="00000000">
            <w:pPr>
              <w:spacing w:line="216" w:lineRule="auto"/>
            </w:pPr>
            <w:r>
              <w:rPr>
                <w:sz w:val="16"/>
                <w:szCs w:val="16"/>
              </w:rPr>
              <w:t>Ramchandren et al. (2007)</w:t>
            </w:r>
          </w:p>
        </w:tc>
        <w:tc>
          <w:tcPr>
            <w:tcW w:w="986" w:type="dxa"/>
            <w:tcMar>
              <w:top w:w="40" w:type="dxa"/>
              <w:left w:w="70" w:type="dxa"/>
              <w:bottom w:w="40" w:type="dxa"/>
              <w:right w:w="70" w:type="dxa"/>
            </w:tcMar>
          </w:tcPr>
          <w:p w14:paraId="283B95D7"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10F0102E" w14:textId="77777777" w:rsidR="0039479F" w:rsidRDefault="00000000">
            <w:pPr>
              <w:spacing w:line="216" w:lineRule="auto"/>
            </w:pPr>
            <w:r>
              <w:rPr>
                <w:sz w:val="16"/>
                <w:szCs w:val="16"/>
              </w:rPr>
              <w:t>63</w:t>
            </w:r>
          </w:p>
        </w:tc>
        <w:tc>
          <w:tcPr>
            <w:tcW w:w="2071" w:type="dxa"/>
            <w:tcMar>
              <w:top w:w="40" w:type="dxa"/>
              <w:left w:w="70" w:type="dxa"/>
              <w:bottom w:w="40" w:type="dxa"/>
              <w:right w:w="70" w:type="dxa"/>
            </w:tcMar>
          </w:tcPr>
          <w:p w14:paraId="64A97B97" w14:textId="77777777" w:rsidR="0039479F" w:rsidRDefault="00000000">
            <w:pPr>
              <w:spacing w:line="216" w:lineRule="auto"/>
            </w:pPr>
            <w:r>
              <w:rPr>
                <w:sz w:val="16"/>
                <w:szCs w:val="16"/>
              </w:rPr>
              <w:t>Demographic and clinical features</w:t>
            </w:r>
          </w:p>
        </w:tc>
        <w:tc>
          <w:tcPr>
            <w:tcW w:w="3949" w:type="dxa"/>
            <w:tcMar>
              <w:top w:w="40" w:type="dxa"/>
              <w:left w:w="70" w:type="dxa"/>
              <w:bottom w:w="40" w:type="dxa"/>
              <w:right w:w="70" w:type="dxa"/>
            </w:tcMar>
          </w:tcPr>
          <w:p w14:paraId="54F7499D" w14:textId="77777777" w:rsidR="0039479F" w:rsidRDefault="00000000">
            <w:pPr>
              <w:spacing w:line="216" w:lineRule="auto"/>
            </w:pPr>
            <w:r>
              <w:rPr>
                <w:sz w:val="16"/>
                <w:szCs w:val="16"/>
              </w:rPr>
              <w:t>Abnormal neurological examination in 43%. Emergent neuroimaging revealed an underlying headache aetiology in 27%, including cerebral venous thrombosis, reversible posterior leukoencephalopathy, pseudotumour and intracranial haemorrhage. Odds of intracranial pathology 2.7 times higher with abnormal examination</w:t>
            </w:r>
          </w:p>
        </w:tc>
      </w:tr>
      <w:tr w:rsidR="0039479F" w14:paraId="5B2A4840" w14:textId="77777777">
        <w:tc>
          <w:tcPr>
            <w:tcW w:w="1578" w:type="dxa"/>
            <w:tcMar>
              <w:top w:w="40" w:type="dxa"/>
              <w:left w:w="70" w:type="dxa"/>
              <w:bottom w:w="40" w:type="dxa"/>
              <w:right w:w="70" w:type="dxa"/>
            </w:tcMar>
          </w:tcPr>
          <w:p w14:paraId="1CA6E90E" w14:textId="77777777" w:rsidR="0039479F" w:rsidRDefault="00000000">
            <w:pPr>
              <w:spacing w:line="216" w:lineRule="auto"/>
            </w:pPr>
            <w:r>
              <w:rPr>
                <w:sz w:val="16"/>
                <w:szCs w:val="16"/>
              </w:rPr>
              <w:t>Perry et al. (2002)</w:t>
            </w:r>
          </w:p>
        </w:tc>
        <w:tc>
          <w:tcPr>
            <w:tcW w:w="986" w:type="dxa"/>
            <w:tcMar>
              <w:top w:w="40" w:type="dxa"/>
              <w:left w:w="70" w:type="dxa"/>
              <w:bottom w:w="40" w:type="dxa"/>
              <w:right w:w="70" w:type="dxa"/>
            </w:tcMar>
          </w:tcPr>
          <w:p w14:paraId="4A479274" w14:textId="77777777" w:rsidR="0039479F" w:rsidRDefault="00000000">
            <w:pPr>
              <w:spacing w:line="216" w:lineRule="auto"/>
            </w:pPr>
            <w:r>
              <w:rPr>
                <w:sz w:val="16"/>
                <w:szCs w:val="16"/>
              </w:rPr>
              <w:t>Canada</w:t>
            </w:r>
          </w:p>
        </w:tc>
        <w:tc>
          <w:tcPr>
            <w:tcW w:w="1282" w:type="dxa"/>
            <w:tcMar>
              <w:top w:w="40" w:type="dxa"/>
              <w:left w:w="70" w:type="dxa"/>
              <w:bottom w:w="40" w:type="dxa"/>
              <w:right w:w="70" w:type="dxa"/>
            </w:tcMar>
          </w:tcPr>
          <w:p w14:paraId="36CA5A36" w14:textId="77777777" w:rsidR="0039479F" w:rsidRDefault="00000000">
            <w:pPr>
              <w:spacing w:line="216" w:lineRule="auto"/>
            </w:pPr>
            <w:r>
              <w:rPr>
                <w:sz w:val="16"/>
                <w:szCs w:val="16"/>
              </w:rPr>
              <w:t>891</w:t>
            </w:r>
          </w:p>
        </w:tc>
        <w:tc>
          <w:tcPr>
            <w:tcW w:w="2071" w:type="dxa"/>
            <w:tcMar>
              <w:top w:w="40" w:type="dxa"/>
              <w:left w:w="70" w:type="dxa"/>
              <w:bottom w:w="40" w:type="dxa"/>
              <w:right w:w="70" w:type="dxa"/>
            </w:tcMar>
          </w:tcPr>
          <w:p w14:paraId="0BF39CF1" w14:textId="77777777" w:rsidR="0039479F" w:rsidRDefault="00000000">
            <w:pPr>
              <w:spacing w:line="216" w:lineRule="auto"/>
            </w:pPr>
            <w:r>
              <w:rPr>
                <w:sz w:val="16"/>
                <w:szCs w:val="16"/>
              </w:rPr>
              <w:t>CT and lumbar puncture utilisation</w:t>
            </w:r>
          </w:p>
        </w:tc>
        <w:tc>
          <w:tcPr>
            <w:tcW w:w="3949" w:type="dxa"/>
            <w:tcMar>
              <w:top w:w="40" w:type="dxa"/>
              <w:left w:w="70" w:type="dxa"/>
              <w:bottom w:w="40" w:type="dxa"/>
              <w:right w:w="70" w:type="dxa"/>
            </w:tcMar>
          </w:tcPr>
          <w:p w14:paraId="1BD87C6E" w14:textId="77777777" w:rsidR="0039479F" w:rsidRDefault="00000000">
            <w:pPr>
              <w:spacing w:line="216" w:lineRule="auto"/>
            </w:pPr>
            <w:r>
              <w:rPr>
                <w:sz w:val="16"/>
                <w:szCs w:val="16"/>
              </w:rPr>
              <w:t>SAH in 10/891 (1.1%); CT in 313 (35.1%) and LP in 85 (9.5%). Only 9 (2.9%) CTs and 2 (2.4%) LPs were positive for SAH. Of 296 with normal CT, 232 (78.4%) had no subsequent LP. Mean length of stay 4.0 h with no testing, 5.0 h with CT and 7.1 h with LP (p=0.001)</w:t>
            </w:r>
          </w:p>
        </w:tc>
      </w:tr>
    </w:tbl>
    <w:p w14:paraId="00229340" w14:textId="77777777" w:rsidR="0039479F" w:rsidRDefault="00000000">
      <w:pPr>
        <w:spacing w:before="90" w:after="220" w:line="240" w:lineRule="auto"/>
      </w:pPr>
      <w:r>
        <w:rPr>
          <w:sz w:val="17"/>
          <w:szCs w:val="17"/>
        </w:rPr>
        <w:t>Note. Diagnostic yield is expressed as reported by the original authors; definitions of a clinically significant finding differ between studies and are not interchangeable. Long entries are abbreviated here; the complete extraction for every report is in Supplementary material S5.</w:t>
      </w:r>
    </w:p>
    <w:p w14:paraId="4977A31D" w14:textId="77777777" w:rsidR="0039479F" w:rsidRDefault="00000000">
      <w:pPr>
        <w:pStyle w:val="Heading2"/>
        <w:keepNext/>
        <w:spacing w:before="220" w:after="110"/>
      </w:pPr>
      <w:r>
        <w:lastRenderedPageBreak/>
        <w:t>3.10 Computed tomographic angiography and magnetic resonance imaging</w:t>
      </w:r>
    </w:p>
    <w:p w14:paraId="0DB97777" w14:textId="77777777" w:rsidR="0039479F" w:rsidRDefault="00000000">
      <w:pPr>
        <w:spacing w:after="140"/>
        <w:jc w:val="both"/>
      </w:pPr>
      <w:r>
        <w:t>Eleven reports evaluated vascular and magnetic resonance imaging in patients whose non-contrast CT was normal or whose presentation suggested a vascular cause other than aneurysmal rupture. This is the point in the pathway at which the differential broadens beyond subarachnoid haemorrhage, and the yields are correspondingly higher than for repeat plain imaging. Among 512 neurologically intact patients with acute severe headache and a normal unenhanced CT, CT angiography demonstrated a vascular lesion in 34 (6.6%), predominantly small aneurysms with a mean maximal diameter of 3.9 mm (SD 2.6) (Han et al., 2013). In a smaller consecutive cohort of 70 patients with a normal examination, normal CT and normal CSF, a vascular abnormality was present in 13 (19%), comprising eight unruptured aneurysms, two cerebral venous thromboses, two cases of reversible cerebral vasoconstriction syndrome and one infarct (Alons et al., 2015). A multicentre cohort of 384 patients found abnormalities on CT angiography in 12 of the 190 with a normal non-contrast CT, including three cerebral venous thromboses and two cervical dissections; abnormal non-contrast CT, reduced consciousness and presentation within six hours were independently associated with an abnormal angiogram, and combining the three raised the C-statistic from 0.80 (95% CI 0.75–0.80) to 0.84 (95% CI 0.80–0.88) (Alons et al., 2018).</w:t>
      </w:r>
    </w:p>
    <w:p w14:paraId="1F28CF9F" w14:textId="77777777" w:rsidR="0039479F" w:rsidRDefault="00000000">
      <w:pPr>
        <w:spacing w:after="140"/>
        <w:jc w:val="both"/>
      </w:pPr>
      <w:r>
        <w:t>The interpretive difficulty is that a small unruptured aneurysm found after a negative CT and negative CSF examination is not necessarily the cause of the headache, and detection rates of 6.6% to 19% therefore translate into a substantial number of incidental findings requiring follow-up. Yield is higher when angiography is directed by a specific clinical hypothesis: cervical artery dissection was present in 6.1% of the 850 angiograms performed for suspected dissection compared with 1.5% of all 9,204 angiograms, with new headache (OR 2.5, 95% CI 1.2–5.7) and partial Horner syndrome (OR 14.4, 95% CI 4.2–49.9) predicting carotid dissection (Ebrahimzadeh et al., 2022), and CT angiography of the head and neck led to a change in acute management in 14.9% of 1,445 studies overall (Gaini et al., 2026).</w:t>
      </w:r>
    </w:p>
    <w:p w14:paraId="7BB1D3DC" w14:textId="77777777" w:rsidR="0039479F" w:rsidRDefault="00000000">
      <w:pPr>
        <w:spacing w:after="140"/>
        <w:jc w:val="both"/>
      </w:pPr>
      <w:r>
        <w:t>Magnetic resonance imaging occupies a distinct place because it detects conditions that are invisible or ambiguous on CT. Emergency MRI identified significant headache-related findings in 136 of 696 outpatients (20%), against incidental findings in 22% (Happonen et al., 2023), and in patients scanned within one month of a negative head CT the overall diagnostic yield was 17.3% (28 of 162), rising to 24.7% among ED patients and 25.4% in the early-revisit subgroup, with 90% of those with a positive scan admitted for treatment (Kim et al., 2024). Table 11 presents the vascular and magnetic resonance imaging studies.</w:t>
      </w:r>
    </w:p>
    <w:p w14:paraId="70199B9A" w14:textId="77777777" w:rsidR="0039479F" w:rsidRDefault="00000000">
      <w:pPr>
        <w:keepNext/>
        <w:spacing w:before="200" w:after="90"/>
      </w:pPr>
      <w:r>
        <w:rPr>
          <w:b/>
          <w:bCs/>
          <w:sz w:val="21"/>
          <w:szCs w:val="21"/>
        </w:rPr>
        <w:t>Table 11. Computed tomographic angiography and magnetic resonance imaging after a non-diagnostic non-contrast computed tomogram</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1085"/>
        <w:gridCol w:w="1282"/>
        <w:gridCol w:w="1973"/>
        <w:gridCol w:w="3948"/>
      </w:tblGrid>
      <w:tr w:rsidR="0039479F" w14:paraId="090F227C" w14:textId="77777777">
        <w:trPr>
          <w:tblHeader/>
        </w:trPr>
        <w:tc>
          <w:tcPr>
            <w:tcW w:w="1578" w:type="dxa"/>
            <w:shd w:val="clear" w:color="auto" w:fill="F2F2F2"/>
            <w:tcMar>
              <w:top w:w="40" w:type="dxa"/>
              <w:left w:w="70" w:type="dxa"/>
              <w:bottom w:w="40" w:type="dxa"/>
              <w:right w:w="70" w:type="dxa"/>
            </w:tcMar>
          </w:tcPr>
          <w:p w14:paraId="21734661" w14:textId="77777777" w:rsidR="0039479F" w:rsidRDefault="00000000">
            <w:pPr>
              <w:spacing w:line="216" w:lineRule="auto"/>
            </w:pPr>
            <w:r>
              <w:rPr>
                <w:b/>
                <w:bCs/>
                <w:sz w:val="16"/>
                <w:szCs w:val="16"/>
              </w:rPr>
              <w:t>Study</w:t>
            </w:r>
          </w:p>
        </w:tc>
        <w:tc>
          <w:tcPr>
            <w:tcW w:w="1085" w:type="dxa"/>
            <w:shd w:val="clear" w:color="auto" w:fill="F2F2F2"/>
            <w:tcMar>
              <w:top w:w="40" w:type="dxa"/>
              <w:left w:w="70" w:type="dxa"/>
              <w:bottom w:w="40" w:type="dxa"/>
              <w:right w:w="70" w:type="dxa"/>
            </w:tcMar>
          </w:tcPr>
          <w:p w14:paraId="5E5FAC36" w14:textId="77777777" w:rsidR="0039479F" w:rsidRDefault="00000000">
            <w:pPr>
              <w:spacing w:line="216" w:lineRule="auto"/>
            </w:pPr>
            <w:r>
              <w:rPr>
                <w:b/>
                <w:bCs/>
                <w:sz w:val="16"/>
                <w:szCs w:val="16"/>
              </w:rPr>
              <w:t>Country</w:t>
            </w:r>
          </w:p>
        </w:tc>
        <w:tc>
          <w:tcPr>
            <w:tcW w:w="1282" w:type="dxa"/>
            <w:shd w:val="clear" w:color="auto" w:fill="F2F2F2"/>
            <w:tcMar>
              <w:top w:w="40" w:type="dxa"/>
              <w:left w:w="70" w:type="dxa"/>
              <w:bottom w:w="40" w:type="dxa"/>
              <w:right w:w="70" w:type="dxa"/>
            </w:tcMar>
          </w:tcPr>
          <w:p w14:paraId="175E7D92"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1F03F75F" w14:textId="77777777" w:rsidR="0039479F" w:rsidRDefault="00000000">
            <w:pPr>
              <w:spacing w:line="216" w:lineRule="auto"/>
            </w:pPr>
            <w:r>
              <w:rPr>
                <w:b/>
                <w:bCs/>
                <w:sz w:val="16"/>
                <w:szCs w:val="16"/>
              </w:rPr>
              <w:t>Index test</w:t>
            </w:r>
          </w:p>
        </w:tc>
        <w:tc>
          <w:tcPr>
            <w:tcW w:w="3948" w:type="dxa"/>
            <w:shd w:val="clear" w:color="auto" w:fill="F2F2F2"/>
            <w:tcMar>
              <w:top w:w="40" w:type="dxa"/>
              <w:left w:w="70" w:type="dxa"/>
              <w:bottom w:w="40" w:type="dxa"/>
              <w:right w:w="70" w:type="dxa"/>
            </w:tcMar>
          </w:tcPr>
          <w:p w14:paraId="7635CD3A" w14:textId="77777777" w:rsidR="0039479F" w:rsidRDefault="00000000">
            <w:pPr>
              <w:spacing w:line="216" w:lineRule="auto"/>
            </w:pPr>
            <w:r>
              <w:rPr>
                <w:b/>
                <w:bCs/>
                <w:sz w:val="16"/>
                <w:szCs w:val="16"/>
              </w:rPr>
              <w:t>Results as reported</w:t>
            </w:r>
          </w:p>
        </w:tc>
      </w:tr>
      <w:tr w:rsidR="0039479F" w14:paraId="66FD3BFF" w14:textId="77777777">
        <w:tc>
          <w:tcPr>
            <w:tcW w:w="1578" w:type="dxa"/>
            <w:tcMar>
              <w:top w:w="40" w:type="dxa"/>
              <w:left w:w="70" w:type="dxa"/>
              <w:bottom w:w="40" w:type="dxa"/>
              <w:right w:w="70" w:type="dxa"/>
            </w:tcMar>
          </w:tcPr>
          <w:p w14:paraId="24AA9EA1" w14:textId="77777777" w:rsidR="0039479F" w:rsidRDefault="00000000">
            <w:pPr>
              <w:spacing w:line="216" w:lineRule="auto"/>
            </w:pPr>
            <w:r>
              <w:rPr>
                <w:sz w:val="16"/>
                <w:szCs w:val="16"/>
              </w:rPr>
              <w:t>Gaini et al. (2026)</w:t>
            </w:r>
          </w:p>
        </w:tc>
        <w:tc>
          <w:tcPr>
            <w:tcW w:w="1085" w:type="dxa"/>
            <w:tcMar>
              <w:top w:w="40" w:type="dxa"/>
              <w:left w:w="70" w:type="dxa"/>
              <w:bottom w:w="40" w:type="dxa"/>
              <w:right w:w="70" w:type="dxa"/>
            </w:tcMar>
          </w:tcPr>
          <w:p w14:paraId="40944714"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137793C6" w14:textId="77777777" w:rsidR="0039479F" w:rsidRDefault="00000000">
            <w:pPr>
              <w:spacing w:line="216" w:lineRule="auto"/>
            </w:pPr>
            <w:r>
              <w:rPr>
                <w:sz w:val="16"/>
                <w:szCs w:val="16"/>
              </w:rPr>
              <w:t>1445</w:t>
            </w:r>
          </w:p>
        </w:tc>
        <w:tc>
          <w:tcPr>
            <w:tcW w:w="1973" w:type="dxa"/>
            <w:tcMar>
              <w:top w:w="40" w:type="dxa"/>
              <w:left w:w="70" w:type="dxa"/>
              <w:bottom w:w="40" w:type="dxa"/>
              <w:right w:w="70" w:type="dxa"/>
            </w:tcMar>
          </w:tcPr>
          <w:p w14:paraId="6D6CCDAC" w14:textId="77777777" w:rsidR="0039479F" w:rsidRDefault="00000000">
            <w:pPr>
              <w:spacing w:line="216" w:lineRule="auto"/>
            </w:pPr>
            <w:r>
              <w:rPr>
                <w:sz w:val="16"/>
                <w:szCs w:val="16"/>
              </w:rPr>
              <w:t>CT angiography of head and neck</w:t>
            </w:r>
          </w:p>
        </w:tc>
        <w:tc>
          <w:tcPr>
            <w:tcW w:w="3948" w:type="dxa"/>
            <w:tcMar>
              <w:top w:w="40" w:type="dxa"/>
              <w:left w:w="70" w:type="dxa"/>
              <w:bottom w:w="40" w:type="dxa"/>
              <w:right w:w="70" w:type="dxa"/>
            </w:tcMar>
          </w:tcPr>
          <w:p w14:paraId="021B28EA" w14:textId="77777777" w:rsidR="0039479F" w:rsidRDefault="00000000">
            <w:pPr>
              <w:spacing w:line="216" w:lineRule="auto"/>
            </w:pPr>
            <w:r>
              <w:rPr>
                <w:sz w:val="16"/>
                <w:szCs w:val="16"/>
              </w:rPr>
              <w:t>216/1445 (14.9%) resulted in acute management change; highest yield for stroke codes (21.2%) and vision changes (14.7%), lowest for dizziness (4.0%). Predictors for stroke codes: abnormal CT head OR 2.84, focal deficit OR 2.2, new versus recurring symptoms OR 2.39, maximal symptom severity at onset OR 3.95, tobacco use OR 2.02</w:t>
            </w:r>
          </w:p>
        </w:tc>
      </w:tr>
      <w:tr w:rsidR="0039479F" w14:paraId="3073CE8C" w14:textId="77777777">
        <w:tc>
          <w:tcPr>
            <w:tcW w:w="1578" w:type="dxa"/>
            <w:tcMar>
              <w:top w:w="40" w:type="dxa"/>
              <w:left w:w="70" w:type="dxa"/>
              <w:bottom w:w="40" w:type="dxa"/>
              <w:right w:w="70" w:type="dxa"/>
            </w:tcMar>
          </w:tcPr>
          <w:p w14:paraId="1BF39F2D" w14:textId="77777777" w:rsidR="0039479F" w:rsidRDefault="00000000">
            <w:pPr>
              <w:spacing w:line="216" w:lineRule="auto"/>
            </w:pPr>
            <w:r>
              <w:rPr>
                <w:sz w:val="16"/>
                <w:szCs w:val="16"/>
              </w:rPr>
              <w:t>Kim et al. (2024)</w:t>
            </w:r>
          </w:p>
        </w:tc>
        <w:tc>
          <w:tcPr>
            <w:tcW w:w="1085" w:type="dxa"/>
            <w:tcMar>
              <w:top w:w="40" w:type="dxa"/>
              <w:left w:w="70" w:type="dxa"/>
              <w:bottom w:w="40" w:type="dxa"/>
              <w:right w:w="70" w:type="dxa"/>
            </w:tcMar>
          </w:tcPr>
          <w:p w14:paraId="6C2E3D4A" w14:textId="77777777" w:rsidR="0039479F" w:rsidRDefault="00000000">
            <w:pPr>
              <w:spacing w:line="216" w:lineRule="auto"/>
            </w:pPr>
            <w:r>
              <w:rPr>
                <w:sz w:val="16"/>
                <w:szCs w:val="16"/>
              </w:rPr>
              <w:t>South Korea</w:t>
            </w:r>
          </w:p>
        </w:tc>
        <w:tc>
          <w:tcPr>
            <w:tcW w:w="1282" w:type="dxa"/>
            <w:tcMar>
              <w:top w:w="40" w:type="dxa"/>
              <w:left w:w="70" w:type="dxa"/>
              <w:bottom w:w="40" w:type="dxa"/>
              <w:right w:w="70" w:type="dxa"/>
            </w:tcMar>
          </w:tcPr>
          <w:p w14:paraId="44F225B6" w14:textId="77777777" w:rsidR="0039479F" w:rsidRDefault="00000000">
            <w:pPr>
              <w:spacing w:line="216" w:lineRule="auto"/>
            </w:pPr>
            <w:r>
              <w:rPr>
                <w:sz w:val="16"/>
                <w:szCs w:val="16"/>
              </w:rPr>
              <w:t>162</w:t>
            </w:r>
          </w:p>
        </w:tc>
        <w:tc>
          <w:tcPr>
            <w:tcW w:w="1973" w:type="dxa"/>
            <w:tcMar>
              <w:top w:w="40" w:type="dxa"/>
              <w:left w:w="70" w:type="dxa"/>
              <w:bottom w:w="40" w:type="dxa"/>
              <w:right w:w="70" w:type="dxa"/>
            </w:tcMar>
          </w:tcPr>
          <w:p w14:paraId="189D8B44" w14:textId="77777777" w:rsidR="0039479F" w:rsidRDefault="00000000">
            <w:pPr>
              <w:spacing w:line="216" w:lineRule="auto"/>
            </w:pPr>
            <w:r>
              <w:rPr>
                <w:sz w:val="16"/>
                <w:szCs w:val="16"/>
              </w:rPr>
              <w:t>Cranial MRI</w:t>
            </w:r>
          </w:p>
        </w:tc>
        <w:tc>
          <w:tcPr>
            <w:tcW w:w="3948" w:type="dxa"/>
            <w:tcMar>
              <w:top w:w="40" w:type="dxa"/>
              <w:left w:w="70" w:type="dxa"/>
              <w:bottom w:w="40" w:type="dxa"/>
              <w:right w:w="70" w:type="dxa"/>
            </w:tcMar>
          </w:tcPr>
          <w:p w14:paraId="6EF46281" w14:textId="77777777" w:rsidR="0039479F" w:rsidRDefault="00000000">
            <w:pPr>
              <w:spacing w:line="216" w:lineRule="auto"/>
            </w:pPr>
            <w:r>
              <w:rPr>
                <w:sz w:val="16"/>
                <w:szCs w:val="16"/>
              </w:rPr>
              <w:t>Overall MRI diagnostic yield 17.3% (28/162), false-referral rate 1.2%. Yield higher for ED (24.7%, 21/85) than outpatient clinics (9.1%, 7/77; p=0.02); highest in ED early-revisit group (25.4%), with systemic signs 45% and symptom change 46.7%. Of positive MRI, 90% received admission and treatment</w:t>
            </w:r>
          </w:p>
        </w:tc>
      </w:tr>
      <w:tr w:rsidR="0039479F" w14:paraId="7870B0C6" w14:textId="77777777">
        <w:tc>
          <w:tcPr>
            <w:tcW w:w="1578" w:type="dxa"/>
            <w:tcMar>
              <w:top w:w="40" w:type="dxa"/>
              <w:left w:w="70" w:type="dxa"/>
              <w:bottom w:w="40" w:type="dxa"/>
              <w:right w:w="70" w:type="dxa"/>
            </w:tcMar>
          </w:tcPr>
          <w:p w14:paraId="65C7A90C" w14:textId="77777777" w:rsidR="0039479F" w:rsidRDefault="00000000">
            <w:pPr>
              <w:spacing w:line="216" w:lineRule="auto"/>
            </w:pPr>
            <w:r>
              <w:rPr>
                <w:sz w:val="16"/>
                <w:szCs w:val="16"/>
              </w:rPr>
              <w:t>Happonen et al. (2023)</w:t>
            </w:r>
          </w:p>
        </w:tc>
        <w:tc>
          <w:tcPr>
            <w:tcW w:w="1085" w:type="dxa"/>
            <w:tcMar>
              <w:top w:w="40" w:type="dxa"/>
              <w:left w:w="70" w:type="dxa"/>
              <w:bottom w:w="40" w:type="dxa"/>
              <w:right w:w="70" w:type="dxa"/>
            </w:tcMar>
          </w:tcPr>
          <w:p w14:paraId="37AD298C" w14:textId="77777777" w:rsidR="0039479F" w:rsidRDefault="00000000">
            <w:pPr>
              <w:spacing w:line="216" w:lineRule="auto"/>
            </w:pPr>
            <w:r>
              <w:rPr>
                <w:sz w:val="16"/>
                <w:szCs w:val="16"/>
              </w:rPr>
              <w:t>Finland</w:t>
            </w:r>
          </w:p>
        </w:tc>
        <w:tc>
          <w:tcPr>
            <w:tcW w:w="1282" w:type="dxa"/>
            <w:tcMar>
              <w:top w:w="40" w:type="dxa"/>
              <w:left w:w="70" w:type="dxa"/>
              <w:bottom w:w="40" w:type="dxa"/>
              <w:right w:w="70" w:type="dxa"/>
            </w:tcMar>
          </w:tcPr>
          <w:p w14:paraId="091FA0D3" w14:textId="77777777" w:rsidR="0039479F" w:rsidRDefault="00000000">
            <w:pPr>
              <w:spacing w:line="216" w:lineRule="auto"/>
            </w:pPr>
            <w:r>
              <w:rPr>
                <w:sz w:val="16"/>
                <w:szCs w:val="16"/>
              </w:rPr>
              <w:t>696</w:t>
            </w:r>
          </w:p>
        </w:tc>
        <w:tc>
          <w:tcPr>
            <w:tcW w:w="1973" w:type="dxa"/>
            <w:tcMar>
              <w:top w:w="40" w:type="dxa"/>
              <w:left w:w="70" w:type="dxa"/>
              <w:bottom w:w="40" w:type="dxa"/>
              <w:right w:w="70" w:type="dxa"/>
            </w:tcMar>
          </w:tcPr>
          <w:p w14:paraId="1D6984A3" w14:textId="77777777" w:rsidR="0039479F" w:rsidRDefault="00000000">
            <w:pPr>
              <w:spacing w:line="216" w:lineRule="auto"/>
            </w:pPr>
            <w:r>
              <w:rPr>
                <w:sz w:val="16"/>
                <w:szCs w:val="16"/>
              </w:rPr>
              <w:t>Emergency MRI</w:t>
            </w:r>
          </w:p>
        </w:tc>
        <w:tc>
          <w:tcPr>
            <w:tcW w:w="3948" w:type="dxa"/>
            <w:tcMar>
              <w:top w:w="40" w:type="dxa"/>
              <w:left w:w="70" w:type="dxa"/>
              <w:bottom w:w="40" w:type="dxa"/>
              <w:right w:w="70" w:type="dxa"/>
            </w:tcMar>
          </w:tcPr>
          <w:p w14:paraId="74122DB7" w14:textId="77777777" w:rsidR="0039479F" w:rsidRDefault="00000000">
            <w:pPr>
              <w:spacing w:line="216" w:lineRule="auto"/>
            </w:pPr>
            <w:r>
              <w:rPr>
                <w:sz w:val="16"/>
                <w:szCs w:val="16"/>
              </w:rPr>
              <w:t>Significant headache-related findings in 136/696 (20%); incidental findings in 22%. Predisposing factors: age, smoking, nausea, signs or symptoms of infection; protective factors: numbness and migraine history. A predictive clinical score reached only moderate performance</w:t>
            </w:r>
          </w:p>
        </w:tc>
      </w:tr>
      <w:tr w:rsidR="0039479F" w14:paraId="1A62F29D" w14:textId="77777777">
        <w:tc>
          <w:tcPr>
            <w:tcW w:w="1578" w:type="dxa"/>
            <w:tcMar>
              <w:top w:w="40" w:type="dxa"/>
              <w:left w:w="70" w:type="dxa"/>
              <w:bottom w:w="40" w:type="dxa"/>
              <w:right w:w="70" w:type="dxa"/>
            </w:tcMar>
          </w:tcPr>
          <w:p w14:paraId="163AA055" w14:textId="77777777" w:rsidR="0039479F" w:rsidRDefault="00000000">
            <w:pPr>
              <w:spacing w:line="216" w:lineRule="auto"/>
            </w:pPr>
            <w:r>
              <w:rPr>
                <w:sz w:val="16"/>
                <w:szCs w:val="16"/>
              </w:rPr>
              <w:t>Ebrahimzadeh et al. (2022)</w:t>
            </w:r>
          </w:p>
        </w:tc>
        <w:tc>
          <w:tcPr>
            <w:tcW w:w="1085" w:type="dxa"/>
            <w:tcMar>
              <w:top w:w="40" w:type="dxa"/>
              <w:left w:w="70" w:type="dxa"/>
              <w:bottom w:w="40" w:type="dxa"/>
              <w:right w:w="70" w:type="dxa"/>
            </w:tcMar>
          </w:tcPr>
          <w:p w14:paraId="62258EDB"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55E64751" w14:textId="77777777" w:rsidR="0039479F" w:rsidRDefault="00000000">
            <w:pPr>
              <w:spacing w:line="216" w:lineRule="auto"/>
            </w:pPr>
            <w:r>
              <w:rPr>
                <w:sz w:val="16"/>
                <w:szCs w:val="16"/>
              </w:rPr>
              <w:t>9204 CTAs; 850 for suspected…</w:t>
            </w:r>
          </w:p>
        </w:tc>
        <w:tc>
          <w:tcPr>
            <w:tcW w:w="1973" w:type="dxa"/>
            <w:tcMar>
              <w:top w:w="40" w:type="dxa"/>
              <w:left w:w="70" w:type="dxa"/>
              <w:bottom w:w="40" w:type="dxa"/>
              <w:right w:w="70" w:type="dxa"/>
            </w:tcMar>
          </w:tcPr>
          <w:p w14:paraId="7E4ACD82" w14:textId="77777777" w:rsidR="0039479F" w:rsidRDefault="00000000">
            <w:pPr>
              <w:spacing w:line="216" w:lineRule="auto"/>
            </w:pPr>
            <w:r>
              <w:rPr>
                <w:sz w:val="16"/>
                <w:szCs w:val="16"/>
              </w:rPr>
              <w:t>CT angiography, with MR angiography/fat-saturated imaging…</w:t>
            </w:r>
          </w:p>
        </w:tc>
        <w:tc>
          <w:tcPr>
            <w:tcW w:w="3948" w:type="dxa"/>
            <w:tcMar>
              <w:top w:w="40" w:type="dxa"/>
              <w:left w:w="70" w:type="dxa"/>
              <w:bottom w:w="40" w:type="dxa"/>
              <w:right w:w="70" w:type="dxa"/>
            </w:tcMar>
          </w:tcPr>
          <w:p w14:paraId="16BAE153" w14:textId="77777777" w:rsidR="0039479F" w:rsidRDefault="00000000">
            <w:pPr>
              <w:spacing w:line="216" w:lineRule="auto"/>
            </w:pPr>
            <w:r>
              <w:rPr>
                <w:sz w:val="16"/>
                <w:szCs w:val="16"/>
              </w:rPr>
              <w:t>Cervical artery dissection in 1.5% (142/9204) of all CTAs and 6.1% (53/850) of those for suspected dissection. Predictors: new headache OR 2.5 (1.2-5.7) and partial Horner syndrome OR 14.4 (4.2-49.9) for carotid dissection; cervical fracture OR 5.5 (2.1-14.6) for vertebral dissection. MRA/fat-saturated imaging was positive for…</w:t>
            </w:r>
          </w:p>
        </w:tc>
      </w:tr>
      <w:tr w:rsidR="0039479F" w14:paraId="7916ED09" w14:textId="77777777">
        <w:tc>
          <w:tcPr>
            <w:tcW w:w="1578" w:type="dxa"/>
            <w:tcMar>
              <w:top w:w="40" w:type="dxa"/>
              <w:left w:w="70" w:type="dxa"/>
              <w:bottom w:w="40" w:type="dxa"/>
              <w:right w:w="70" w:type="dxa"/>
            </w:tcMar>
          </w:tcPr>
          <w:p w14:paraId="6102331F" w14:textId="77777777" w:rsidR="0039479F" w:rsidRDefault="00000000">
            <w:pPr>
              <w:spacing w:line="216" w:lineRule="auto"/>
            </w:pPr>
            <w:r>
              <w:rPr>
                <w:sz w:val="16"/>
                <w:szCs w:val="16"/>
              </w:rPr>
              <w:t>Almqvist et al. (2020)</w:t>
            </w:r>
          </w:p>
        </w:tc>
        <w:tc>
          <w:tcPr>
            <w:tcW w:w="1085" w:type="dxa"/>
            <w:tcMar>
              <w:top w:w="40" w:type="dxa"/>
              <w:left w:w="70" w:type="dxa"/>
              <w:bottom w:w="40" w:type="dxa"/>
              <w:right w:w="70" w:type="dxa"/>
            </w:tcMar>
          </w:tcPr>
          <w:p w14:paraId="2C700E0B" w14:textId="77777777" w:rsidR="0039479F" w:rsidRDefault="00000000">
            <w:pPr>
              <w:spacing w:line="216" w:lineRule="auto"/>
            </w:pPr>
            <w:r>
              <w:rPr>
                <w:sz w:val="16"/>
                <w:szCs w:val="16"/>
              </w:rPr>
              <w:t>Sweden</w:t>
            </w:r>
          </w:p>
        </w:tc>
        <w:tc>
          <w:tcPr>
            <w:tcW w:w="1282" w:type="dxa"/>
            <w:tcMar>
              <w:top w:w="40" w:type="dxa"/>
              <w:left w:w="70" w:type="dxa"/>
              <w:bottom w:w="40" w:type="dxa"/>
              <w:right w:w="70" w:type="dxa"/>
            </w:tcMar>
          </w:tcPr>
          <w:p w14:paraId="61D79768" w14:textId="77777777" w:rsidR="0039479F" w:rsidRDefault="00000000">
            <w:pPr>
              <w:spacing w:line="216" w:lineRule="auto"/>
            </w:pPr>
            <w:r>
              <w:rPr>
                <w:sz w:val="16"/>
                <w:szCs w:val="16"/>
              </w:rPr>
              <w:t>104 (plus 10 validation)</w:t>
            </w:r>
          </w:p>
        </w:tc>
        <w:tc>
          <w:tcPr>
            <w:tcW w:w="1973" w:type="dxa"/>
            <w:tcMar>
              <w:top w:w="40" w:type="dxa"/>
              <w:left w:w="70" w:type="dxa"/>
              <w:bottom w:w="40" w:type="dxa"/>
              <w:right w:w="70" w:type="dxa"/>
            </w:tcMar>
          </w:tcPr>
          <w:p w14:paraId="26D861B3" w14:textId="77777777" w:rsidR="0039479F" w:rsidRDefault="00000000">
            <w:pPr>
              <w:spacing w:line="216" w:lineRule="auto"/>
            </w:pPr>
            <w:r>
              <w:rPr>
                <w:sz w:val="16"/>
                <w:szCs w:val="16"/>
              </w:rPr>
              <w:t>Non-enhanced CT re-evaluated for high-attenuation dural…</w:t>
            </w:r>
          </w:p>
        </w:tc>
        <w:tc>
          <w:tcPr>
            <w:tcW w:w="3948" w:type="dxa"/>
            <w:tcMar>
              <w:top w:w="40" w:type="dxa"/>
              <w:left w:w="70" w:type="dxa"/>
              <w:bottom w:w="40" w:type="dxa"/>
              <w:right w:w="70" w:type="dxa"/>
            </w:tcMar>
          </w:tcPr>
          <w:p w14:paraId="5628DF9A" w14:textId="77777777" w:rsidR="0039479F" w:rsidRDefault="00000000">
            <w:pPr>
              <w:spacing w:line="216" w:lineRule="auto"/>
            </w:pPr>
            <w:r>
              <w:rPr>
                <w:sz w:val="16"/>
                <w:szCs w:val="16"/>
              </w:rPr>
              <w:t xml:space="preserve">1/104 (&lt;1%) had a suspected thrombus on non-enhanced CT, confirmed on CT venography; 99% had CTV excluding CVST; 11% had other explanatory findings. In </w:t>
            </w:r>
            <w:r>
              <w:rPr>
                <w:sz w:val="16"/>
                <w:szCs w:val="16"/>
              </w:rPr>
              <w:lastRenderedPageBreak/>
              <w:t>the validation cohort all patients presenting within 10 days had a high-attenuation (HU &gt;65) venous structure</w:t>
            </w:r>
          </w:p>
        </w:tc>
      </w:tr>
      <w:tr w:rsidR="0039479F" w14:paraId="605FA45A" w14:textId="77777777">
        <w:tc>
          <w:tcPr>
            <w:tcW w:w="1578" w:type="dxa"/>
            <w:tcMar>
              <w:top w:w="40" w:type="dxa"/>
              <w:left w:w="70" w:type="dxa"/>
              <w:bottom w:w="40" w:type="dxa"/>
              <w:right w:w="70" w:type="dxa"/>
            </w:tcMar>
          </w:tcPr>
          <w:p w14:paraId="7F906727" w14:textId="77777777" w:rsidR="0039479F" w:rsidRDefault="00000000">
            <w:pPr>
              <w:spacing w:line="216" w:lineRule="auto"/>
            </w:pPr>
            <w:r>
              <w:rPr>
                <w:sz w:val="16"/>
                <w:szCs w:val="16"/>
              </w:rPr>
              <w:lastRenderedPageBreak/>
              <w:t>Ashraf et al. (2019)</w:t>
            </w:r>
          </w:p>
        </w:tc>
        <w:tc>
          <w:tcPr>
            <w:tcW w:w="1085" w:type="dxa"/>
            <w:tcMar>
              <w:top w:w="40" w:type="dxa"/>
              <w:left w:w="70" w:type="dxa"/>
              <w:bottom w:w="40" w:type="dxa"/>
              <w:right w:w="70" w:type="dxa"/>
            </w:tcMar>
          </w:tcPr>
          <w:p w14:paraId="61D25128" w14:textId="77777777" w:rsidR="0039479F" w:rsidRDefault="00000000">
            <w:pPr>
              <w:spacing w:line="216" w:lineRule="auto"/>
            </w:pPr>
            <w:r>
              <w:rPr>
                <w:sz w:val="16"/>
                <w:szCs w:val="16"/>
              </w:rPr>
              <w:t>Pakistan</w:t>
            </w:r>
          </w:p>
        </w:tc>
        <w:tc>
          <w:tcPr>
            <w:tcW w:w="1282" w:type="dxa"/>
            <w:tcMar>
              <w:top w:w="40" w:type="dxa"/>
              <w:left w:w="70" w:type="dxa"/>
              <w:bottom w:w="40" w:type="dxa"/>
              <w:right w:w="70" w:type="dxa"/>
            </w:tcMar>
          </w:tcPr>
          <w:p w14:paraId="5C804D76" w14:textId="77777777" w:rsidR="0039479F" w:rsidRDefault="00000000">
            <w:pPr>
              <w:spacing w:line="216" w:lineRule="auto"/>
            </w:pPr>
            <w:r>
              <w:rPr>
                <w:sz w:val="16"/>
                <w:szCs w:val="16"/>
              </w:rPr>
              <w:t>245</w:t>
            </w:r>
          </w:p>
        </w:tc>
        <w:tc>
          <w:tcPr>
            <w:tcW w:w="1973" w:type="dxa"/>
            <w:tcMar>
              <w:top w:w="40" w:type="dxa"/>
              <w:left w:w="70" w:type="dxa"/>
              <w:bottom w:w="40" w:type="dxa"/>
              <w:right w:w="70" w:type="dxa"/>
            </w:tcMar>
          </w:tcPr>
          <w:p w14:paraId="41289137" w14:textId="77777777" w:rsidR="0039479F" w:rsidRDefault="00000000">
            <w:pPr>
              <w:spacing w:line="216" w:lineRule="auto"/>
            </w:pPr>
            <w:r>
              <w:rPr>
                <w:sz w:val="16"/>
                <w:szCs w:val="16"/>
              </w:rPr>
              <w:t>FLAIR MRI sequence</w:t>
            </w:r>
          </w:p>
        </w:tc>
        <w:tc>
          <w:tcPr>
            <w:tcW w:w="3948" w:type="dxa"/>
            <w:tcMar>
              <w:top w:w="40" w:type="dxa"/>
              <w:left w:w="70" w:type="dxa"/>
              <w:bottom w:w="40" w:type="dxa"/>
              <w:right w:w="70" w:type="dxa"/>
            </w:tcMar>
          </w:tcPr>
          <w:p w14:paraId="4C57D3A8" w14:textId="77777777" w:rsidR="0039479F" w:rsidRDefault="00000000">
            <w:pPr>
              <w:spacing w:line="216" w:lineRule="auto"/>
            </w:pPr>
            <w:r>
              <w:rPr>
                <w:sz w:val="16"/>
                <w:szCs w:val="16"/>
              </w:rPr>
              <w:t>Diagnostic accuracy of FLAIR compared against CSF examination as reference standard was determined in 245 patients (mean age 52.13, SD 10.45 years)</w:t>
            </w:r>
          </w:p>
        </w:tc>
      </w:tr>
      <w:tr w:rsidR="0039479F" w14:paraId="4BFFDF68" w14:textId="77777777">
        <w:tc>
          <w:tcPr>
            <w:tcW w:w="1578" w:type="dxa"/>
            <w:tcMar>
              <w:top w:w="40" w:type="dxa"/>
              <w:left w:w="70" w:type="dxa"/>
              <w:bottom w:w="40" w:type="dxa"/>
              <w:right w:w="70" w:type="dxa"/>
            </w:tcMar>
          </w:tcPr>
          <w:p w14:paraId="5031061B" w14:textId="77777777" w:rsidR="0039479F" w:rsidRDefault="00000000">
            <w:pPr>
              <w:spacing w:line="216" w:lineRule="auto"/>
            </w:pPr>
            <w:r>
              <w:rPr>
                <w:sz w:val="16"/>
                <w:szCs w:val="16"/>
              </w:rPr>
              <w:t>Alons et al. (2018)</w:t>
            </w:r>
          </w:p>
        </w:tc>
        <w:tc>
          <w:tcPr>
            <w:tcW w:w="1085" w:type="dxa"/>
            <w:tcMar>
              <w:top w:w="40" w:type="dxa"/>
              <w:left w:w="70" w:type="dxa"/>
              <w:bottom w:w="40" w:type="dxa"/>
              <w:right w:w="70" w:type="dxa"/>
            </w:tcMar>
          </w:tcPr>
          <w:p w14:paraId="03C42BDA" w14:textId="77777777" w:rsidR="0039479F" w:rsidRDefault="00000000">
            <w:pPr>
              <w:spacing w:line="216" w:lineRule="auto"/>
            </w:pPr>
            <w:r>
              <w:rPr>
                <w:sz w:val="16"/>
                <w:szCs w:val="16"/>
              </w:rPr>
              <w:t>Netherlands</w:t>
            </w:r>
          </w:p>
        </w:tc>
        <w:tc>
          <w:tcPr>
            <w:tcW w:w="1282" w:type="dxa"/>
            <w:tcMar>
              <w:top w:w="40" w:type="dxa"/>
              <w:left w:w="70" w:type="dxa"/>
              <w:bottom w:w="40" w:type="dxa"/>
              <w:right w:w="70" w:type="dxa"/>
            </w:tcMar>
          </w:tcPr>
          <w:p w14:paraId="17D30F35" w14:textId="77777777" w:rsidR="0039479F" w:rsidRDefault="00000000">
            <w:pPr>
              <w:spacing w:line="216" w:lineRule="auto"/>
            </w:pPr>
            <w:r>
              <w:rPr>
                <w:sz w:val="16"/>
                <w:szCs w:val="16"/>
              </w:rPr>
              <w:t>384</w:t>
            </w:r>
          </w:p>
        </w:tc>
        <w:tc>
          <w:tcPr>
            <w:tcW w:w="1973" w:type="dxa"/>
            <w:tcMar>
              <w:top w:w="40" w:type="dxa"/>
              <w:left w:w="70" w:type="dxa"/>
              <w:bottom w:w="40" w:type="dxa"/>
              <w:right w:w="70" w:type="dxa"/>
            </w:tcMar>
          </w:tcPr>
          <w:p w14:paraId="16FB22E6" w14:textId="77777777" w:rsidR="0039479F" w:rsidRDefault="00000000">
            <w:pPr>
              <w:spacing w:line="216" w:lineRule="auto"/>
            </w:pPr>
            <w:r>
              <w:rPr>
                <w:sz w:val="16"/>
                <w:szCs w:val="16"/>
              </w:rPr>
              <w:t>Clinical features plus non-contrast CT findings to select…</w:t>
            </w:r>
          </w:p>
        </w:tc>
        <w:tc>
          <w:tcPr>
            <w:tcW w:w="3948" w:type="dxa"/>
            <w:tcMar>
              <w:top w:w="40" w:type="dxa"/>
              <w:left w:w="70" w:type="dxa"/>
              <w:bottom w:w="40" w:type="dxa"/>
              <w:right w:w="70" w:type="dxa"/>
            </w:tcMar>
          </w:tcPr>
          <w:p w14:paraId="3B767F56" w14:textId="77777777" w:rsidR="0039479F" w:rsidRDefault="00000000">
            <w:pPr>
              <w:spacing w:line="216" w:lineRule="auto"/>
            </w:pPr>
            <w:r>
              <w:rPr>
                <w:sz w:val="16"/>
                <w:szCs w:val="16"/>
              </w:rPr>
              <w:t>Non-contrast CT abnormal in 194; abnormalities on CTA in 116 of these (99 aneurysms). Among 190 with normal non-contrast CT, 12 had CTA abnormalities (4 unruptured aneurysms, 3 cerebral venous thrombosis, 2 RCVS, 2 cervical dissections, 1 cerebellar infarction). Independent associations: abnormal non-contrast CT, lowered…</w:t>
            </w:r>
          </w:p>
        </w:tc>
      </w:tr>
      <w:tr w:rsidR="0039479F" w14:paraId="510F38E8" w14:textId="77777777">
        <w:tc>
          <w:tcPr>
            <w:tcW w:w="1578" w:type="dxa"/>
            <w:tcMar>
              <w:top w:w="40" w:type="dxa"/>
              <w:left w:w="70" w:type="dxa"/>
              <w:bottom w:w="40" w:type="dxa"/>
              <w:right w:w="70" w:type="dxa"/>
            </w:tcMar>
          </w:tcPr>
          <w:p w14:paraId="322A7877" w14:textId="77777777" w:rsidR="0039479F" w:rsidRDefault="00000000">
            <w:pPr>
              <w:spacing w:line="216" w:lineRule="auto"/>
            </w:pPr>
            <w:r>
              <w:rPr>
                <w:sz w:val="16"/>
                <w:szCs w:val="16"/>
              </w:rPr>
              <w:t>Alons et al. (2015)</w:t>
            </w:r>
          </w:p>
        </w:tc>
        <w:tc>
          <w:tcPr>
            <w:tcW w:w="1085" w:type="dxa"/>
            <w:tcMar>
              <w:top w:w="40" w:type="dxa"/>
              <w:left w:w="70" w:type="dxa"/>
              <w:bottom w:w="40" w:type="dxa"/>
              <w:right w:w="70" w:type="dxa"/>
            </w:tcMar>
          </w:tcPr>
          <w:p w14:paraId="225C4559" w14:textId="77777777" w:rsidR="0039479F" w:rsidRDefault="00000000">
            <w:pPr>
              <w:spacing w:line="216" w:lineRule="auto"/>
            </w:pPr>
            <w:r>
              <w:rPr>
                <w:sz w:val="16"/>
                <w:szCs w:val="16"/>
              </w:rPr>
              <w:t>Netherlands</w:t>
            </w:r>
          </w:p>
        </w:tc>
        <w:tc>
          <w:tcPr>
            <w:tcW w:w="1282" w:type="dxa"/>
            <w:tcMar>
              <w:top w:w="40" w:type="dxa"/>
              <w:left w:w="70" w:type="dxa"/>
              <w:bottom w:w="40" w:type="dxa"/>
              <w:right w:w="70" w:type="dxa"/>
            </w:tcMar>
          </w:tcPr>
          <w:p w14:paraId="48DD322F" w14:textId="77777777" w:rsidR="0039479F" w:rsidRDefault="00000000">
            <w:pPr>
              <w:spacing w:line="216" w:lineRule="auto"/>
            </w:pPr>
            <w:r>
              <w:rPr>
                <w:sz w:val="16"/>
                <w:szCs w:val="16"/>
              </w:rPr>
              <w:t>70</w:t>
            </w:r>
          </w:p>
        </w:tc>
        <w:tc>
          <w:tcPr>
            <w:tcW w:w="1973" w:type="dxa"/>
            <w:tcMar>
              <w:top w:w="40" w:type="dxa"/>
              <w:left w:w="70" w:type="dxa"/>
              <w:bottom w:w="40" w:type="dxa"/>
              <w:right w:w="70" w:type="dxa"/>
            </w:tcMar>
          </w:tcPr>
          <w:p w14:paraId="68DB2085" w14:textId="77777777" w:rsidR="0039479F" w:rsidRDefault="00000000">
            <w:pPr>
              <w:spacing w:line="216" w:lineRule="auto"/>
            </w:pPr>
            <w:r>
              <w:rPr>
                <w:sz w:val="16"/>
                <w:szCs w:val="16"/>
              </w:rPr>
              <w:t>CT angiography</w:t>
            </w:r>
          </w:p>
        </w:tc>
        <w:tc>
          <w:tcPr>
            <w:tcW w:w="3948" w:type="dxa"/>
            <w:tcMar>
              <w:top w:w="40" w:type="dxa"/>
              <w:left w:w="70" w:type="dxa"/>
              <w:bottom w:w="40" w:type="dxa"/>
              <w:right w:w="70" w:type="dxa"/>
            </w:tcMar>
          </w:tcPr>
          <w:p w14:paraId="397B7A4A" w14:textId="77777777" w:rsidR="0039479F" w:rsidRDefault="00000000">
            <w:pPr>
              <w:spacing w:line="216" w:lineRule="auto"/>
            </w:pPr>
            <w:r>
              <w:rPr>
                <w:sz w:val="16"/>
                <w:szCs w:val="16"/>
              </w:rPr>
              <w:t>Vascular abnormality in 13/70 (19%): 8 unruptured intracranial aneurysms (11%), 2 cerebral venous thrombosis (3%), 2 RCVS (3%), 1 cerebral ischaemia (1%). Four had a prior aneurysm or cerebral venous thrombosis</w:t>
            </w:r>
          </w:p>
        </w:tc>
      </w:tr>
      <w:tr w:rsidR="0039479F" w14:paraId="17058815" w14:textId="77777777">
        <w:tc>
          <w:tcPr>
            <w:tcW w:w="1578" w:type="dxa"/>
            <w:tcMar>
              <w:top w:w="40" w:type="dxa"/>
              <w:left w:w="70" w:type="dxa"/>
              <w:bottom w:w="40" w:type="dxa"/>
              <w:right w:w="70" w:type="dxa"/>
            </w:tcMar>
          </w:tcPr>
          <w:p w14:paraId="5006F5D2" w14:textId="77777777" w:rsidR="0039479F" w:rsidRDefault="00000000">
            <w:pPr>
              <w:spacing w:line="216" w:lineRule="auto"/>
            </w:pPr>
            <w:r>
              <w:rPr>
                <w:sz w:val="16"/>
                <w:szCs w:val="16"/>
              </w:rPr>
              <w:t>Han et al. (2013)</w:t>
            </w:r>
          </w:p>
        </w:tc>
        <w:tc>
          <w:tcPr>
            <w:tcW w:w="1085" w:type="dxa"/>
            <w:tcMar>
              <w:top w:w="40" w:type="dxa"/>
              <w:left w:w="70" w:type="dxa"/>
              <w:bottom w:w="40" w:type="dxa"/>
              <w:right w:w="70" w:type="dxa"/>
            </w:tcMar>
          </w:tcPr>
          <w:p w14:paraId="36115574" w14:textId="77777777" w:rsidR="0039479F" w:rsidRDefault="00000000">
            <w:pPr>
              <w:spacing w:line="216" w:lineRule="auto"/>
            </w:pPr>
            <w:r>
              <w:rPr>
                <w:sz w:val="16"/>
                <w:szCs w:val="16"/>
              </w:rPr>
              <w:t>South Korea</w:t>
            </w:r>
          </w:p>
        </w:tc>
        <w:tc>
          <w:tcPr>
            <w:tcW w:w="1282" w:type="dxa"/>
            <w:tcMar>
              <w:top w:w="40" w:type="dxa"/>
              <w:left w:w="70" w:type="dxa"/>
              <w:bottom w:w="40" w:type="dxa"/>
              <w:right w:w="70" w:type="dxa"/>
            </w:tcMar>
          </w:tcPr>
          <w:p w14:paraId="520806A6" w14:textId="77777777" w:rsidR="0039479F" w:rsidRDefault="00000000">
            <w:pPr>
              <w:spacing w:line="216" w:lineRule="auto"/>
            </w:pPr>
            <w:r>
              <w:rPr>
                <w:sz w:val="16"/>
                <w:szCs w:val="16"/>
              </w:rPr>
              <w:t>512</w:t>
            </w:r>
          </w:p>
        </w:tc>
        <w:tc>
          <w:tcPr>
            <w:tcW w:w="1973" w:type="dxa"/>
            <w:tcMar>
              <w:top w:w="40" w:type="dxa"/>
              <w:left w:w="70" w:type="dxa"/>
              <w:bottom w:w="40" w:type="dxa"/>
              <w:right w:w="70" w:type="dxa"/>
            </w:tcMar>
          </w:tcPr>
          <w:p w14:paraId="18F40166" w14:textId="77777777" w:rsidR="0039479F" w:rsidRDefault="00000000">
            <w:pPr>
              <w:spacing w:line="216" w:lineRule="auto"/>
            </w:pPr>
            <w:r>
              <w:rPr>
                <w:sz w:val="16"/>
                <w:szCs w:val="16"/>
              </w:rPr>
              <w:t>CT angiography</w:t>
            </w:r>
          </w:p>
        </w:tc>
        <w:tc>
          <w:tcPr>
            <w:tcW w:w="3948" w:type="dxa"/>
            <w:tcMar>
              <w:top w:w="40" w:type="dxa"/>
              <w:left w:w="70" w:type="dxa"/>
              <w:bottom w:w="40" w:type="dxa"/>
              <w:right w:w="70" w:type="dxa"/>
            </w:tcMar>
          </w:tcPr>
          <w:p w14:paraId="63E65987" w14:textId="77777777" w:rsidR="0039479F" w:rsidRDefault="00000000">
            <w:pPr>
              <w:spacing w:line="216" w:lineRule="auto"/>
            </w:pPr>
            <w:r>
              <w:rPr>
                <w:sz w:val="16"/>
                <w:szCs w:val="16"/>
              </w:rPr>
              <w:t>Vascular lesions in 34/512 (6.6%): 33 aneurysms, 2 moyamoya disease, 1 arterial dissection. Aneurysms most commonly on the internal carotid artery (12), anterior communicating artery (7) and middle cerebral artery (7); mean maximal diameter 3.9 (SD 2.6) mm</w:t>
            </w:r>
          </w:p>
        </w:tc>
      </w:tr>
      <w:tr w:rsidR="0039479F" w14:paraId="2D767D90" w14:textId="77777777">
        <w:tc>
          <w:tcPr>
            <w:tcW w:w="1578" w:type="dxa"/>
            <w:tcMar>
              <w:top w:w="40" w:type="dxa"/>
              <w:left w:w="70" w:type="dxa"/>
              <w:bottom w:w="40" w:type="dxa"/>
              <w:right w:w="70" w:type="dxa"/>
            </w:tcMar>
          </w:tcPr>
          <w:p w14:paraId="4A4240A8" w14:textId="77777777" w:rsidR="0039479F" w:rsidRDefault="00000000">
            <w:pPr>
              <w:spacing w:line="216" w:lineRule="auto"/>
            </w:pPr>
            <w:r>
              <w:rPr>
                <w:sz w:val="16"/>
                <w:szCs w:val="16"/>
              </w:rPr>
              <w:t>Gilbert et al. (2012)</w:t>
            </w:r>
          </w:p>
        </w:tc>
        <w:tc>
          <w:tcPr>
            <w:tcW w:w="1085" w:type="dxa"/>
            <w:tcMar>
              <w:top w:w="40" w:type="dxa"/>
              <w:left w:w="70" w:type="dxa"/>
              <w:bottom w:w="40" w:type="dxa"/>
              <w:right w:w="70" w:type="dxa"/>
            </w:tcMar>
          </w:tcPr>
          <w:p w14:paraId="6AB73B41"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12691EBB" w14:textId="77777777" w:rsidR="0039479F" w:rsidRDefault="00000000">
            <w:pPr>
              <w:spacing w:line="216" w:lineRule="auto"/>
            </w:pPr>
            <w:r>
              <w:rPr>
                <w:sz w:val="16"/>
                <w:szCs w:val="16"/>
              </w:rPr>
              <w:t>Weighted national sample</w:t>
            </w:r>
          </w:p>
        </w:tc>
        <w:tc>
          <w:tcPr>
            <w:tcW w:w="1973" w:type="dxa"/>
            <w:tcMar>
              <w:top w:w="40" w:type="dxa"/>
              <w:left w:w="70" w:type="dxa"/>
              <w:bottom w:w="40" w:type="dxa"/>
              <w:right w:w="70" w:type="dxa"/>
            </w:tcMar>
          </w:tcPr>
          <w:p w14:paraId="65CCB7E9" w14:textId="77777777" w:rsidR="0039479F" w:rsidRDefault="00000000">
            <w:pPr>
              <w:spacing w:line="216" w:lineRule="auto"/>
            </w:pPr>
            <w:r>
              <w:rPr>
                <w:sz w:val="16"/>
                <w:szCs w:val="16"/>
              </w:rPr>
              <w:t>Clinical and demographic factors; CT/MRI utilisation</w:t>
            </w:r>
          </w:p>
        </w:tc>
        <w:tc>
          <w:tcPr>
            <w:tcW w:w="3948" w:type="dxa"/>
            <w:tcMar>
              <w:top w:w="40" w:type="dxa"/>
              <w:left w:w="70" w:type="dxa"/>
              <w:bottom w:w="40" w:type="dxa"/>
              <w:right w:w="70" w:type="dxa"/>
            </w:tcMar>
          </w:tcPr>
          <w:p w14:paraId="79B84686" w14:textId="77777777" w:rsidR="0039479F" w:rsidRDefault="00000000">
            <w:pPr>
              <w:spacing w:line="216" w:lineRule="auto"/>
            </w:pPr>
            <w:r>
              <w:rPr>
                <w:sz w:val="16"/>
                <w:szCs w:val="16"/>
              </w:rPr>
              <w:t>Imaging rose from 12.5% to 31.0% (p&lt;0.01) while prevalence of intracranial pathology fell from 10.1% to 3.5% (p&lt;0.05). Ten of 18 factors were associated with increased odds of intracranial pathology, including age &gt;=50 y, ambulance arrival, triage immediacy &lt;15 min, systolic BP &gt;=160 or diastolic BP &gt;=100 mmHg, and disturbance…</w:t>
            </w:r>
          </w:p>
        </w:tc>
      </w:tr>
      <w:tr w:rsidR="0039479F" w14:paraId="5D1DF190" w14:textId="77777777">
        <w:tc>
          <w:tcPr>
            <w:tcW w:w="1578" w:type="dxa"/>
            <w:tcMar>
              <w:top w:w="40" w:type="dxa"/>
              <w:left w:w="70" w:type="dxa"/>
              <w:bottom w:w="40" w:type="dxa"/>
              <w:right w:w="70" w:type="dxa"/>
            </w:tcMar>
          </w:tcPr>
          <w:p w14:paraId="35BBD2F5" w14:textId="77777777" w:rsidR="0039479F" w:rsidRDefault="00000000">
            <w:pPr>
              <w:spacing w:line="216" w:lineRule="auto"/>
            </w:pPr>
            <w:r>
              <w:rPr>
                <w:sz w:val="16"/>
                <w:szCs w:val="16"/>
              </w:rPr>
              <w:t>Carstairs et al. (2006)</w:t>
            </w:r>
          </w:p>
        </w:tc>
        <w:tc>
          <w:tcPr>
            <w:tcW w:w="1085" w:type="dxa"/>
            <w:tcMar>
              <w:top w:w="40" w:type="dxa"/>
              <w:left w:w="70" w:type="dxa"/>
              <w:bottom w:w="40" w:type="dxa"/>
              <w:right w:w="70" w:type="dxa"/>
            </w:tcMar>
          </w:tcPr>
          <w:p w14:paraId="0198CC16"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5DDA1B9E" w14:textId="77777777" w:rsidR="0039479F" w:rsidRDefault="00000000">
            <w:pPr>
              <w:spacing w:line="216" w:lineRule="auto"/>
            </w:pPr>
            <w:r>
              <w:rPr>
                <w:sz w:val="16"/>
                <w:szCs w:val="16"/>
              </w:rPr>
              <w:t>131 approached; 116…</w:t>
            </w:r>
          </w:p>
        </w:tc>
        <w:tc>
          <w:tcPr>
            <w:tcW w:w="1973" w:type="dxa"/>
            <w:tcMar>
              <w:top w:w="40" w:type="dxa"/>
              <w:left w:w="70" w:type="dxa"/>
              <w:bottom w:w="40" w:type="dxa"/>
              <w:right w:w="70" w:type="dxa"/>
            </w:tcMar>
          </w:tcPr>
          <w:p w14:paraId="13625C03" w14:textId="77777777" w:rsidR="0039479F" w:rsidRDefault="00000000">
            <w:pPr>
              <w:spacing w:line="216" w:lineRule="auto"/>
            </w:pPr>
            <w:r>
              <w:rPr>
                <w:sz w:val="16"/>
                <w:szCs w:val="16"/>
              </w:rPr>
              <w:t>CT angiography in conjunction with CT and LP</w:t>
            </w:r>
          </w:p>
        </w:tc>
        <w:tc>
          <w:tcPr>
            <w:tcW w:w="3948" w:type="dxa"/>
            <w:tcMar>
              <w:top w:w="40" w:type="dxa"/>
              <w:left w:w="70" w:type="dxa"/>
              <w:bottom w:w="40" w:type="dxa"/>
              <w:right w:w="70" w:type="dxa"/>
            </w:tcMar>
          </w:tcPr>
          <w:p w14:paraId="3F709557" w14:textId="77777777" w:rsidR="0039479F" w:rsidRDefault="00000000">
            <w:pPr>
              <w:spacing w:line="216" w:lineRule="auto"/>
            </w:pPr>
            <w:r>
              <w:rPr>
                <w:sz w:val="16"/>
                <w:szCs w:val="16"/>
              </w:rPr>
              <w:t>5/116 (4.3%) ultimately had SAH and/or aneurysm. In 6/116 (5.1%) an aneurysm was found on CTA with normal CT and positive LP; 3 had positive CTA with normal CT and LP; 1 false-positive CTA. No previously undiagnosed intracranial pathology on follow-up of all 131</w:t>
            </w:r>
          </w:p>
        </w:tc>
      </w:tr>
    </w:tbl>
    <w:p w14:paraId="60C8FBAD" w14:textId="77777777" w:rsidR="0039479F" w:rsidRDefault="00000000">
      <w:pPr>
        <w:spacing w:before="90" w:after="220" w:line="240" w:lineRule="auto"/>
      </w:pPr>
      <w:r>
        <w:rPr>
          <w:sz w:val="17"/>
          <w:szCs w:val="17"/>
        </w:rPr>
        <w:t>Note. Detection of an incidental unruptured aneurysm is not equivalent to identification of the cause of the presenting headache; yields are reported as published. Long entries are abbreviated here; the complete extraction for every report is in Supplementary material S5.</w:t>
      </w:r>
    </w:p>
    <w:p w14:paraId="196BF7F0" w14:textId="77777777" w:rsidR="0039479F" w:rsidRDefault="00000000">
      <w:pPr>
        <w:pStyle w:val="Heading2"/>
        <w:keepNext/>
        <w:spacing w:before="220" w:after="110"/>
      </w:pPr>
      <w:r>
        <w:t>3.11 Blood-based biomarkers</w:t>
      </w:r>
    </w:p>
    <w:p w14:paraId="5E136EBA" w14:textId="77777777" w:rsidR="0039479F" w:rsidRDefault="00000000">
      <w:pPr>
        <w:spacing w:after="140"/>
        <w:jc w:val="both"/>
      </w:pPr>
      <w:r>
        <w:t>Sixteen reports evaluated blood-based biomarkers. Their performance divides cleanly according to whether the target condition is thrombotic. For cerebral venous thrombosis, D-dimer has genuine rule-out value: in a prospective multicentre study of 343 patients with symptoms suggestive of sinus thrombosis, a threshold of 500 µg/L gave a sensitivity of 97.1%, specificity 91.2% and negative predictive value 99.6% (Kosinski et al., 2004); in a consecutive series of 54 patients in whom D-dimer was measured before imaging, sensitivity was 83% with a negative predictive value of 95%, and both false negatives had headache of more than 30 days' duration (Lalive et al., 2003). A recent consecutive cohort of patients undergoing venography reported that a clinical probability score alone allocated only one third of cases to each probability stratum, but that combining low or moderate clinical probability with a D-dimer of 500 µg/L or less produced a negative predictive value of 0.99 (Dahl et al., 2026). The duration caveat is important and consistent, and the practical reading is that D-dimer is useful for excluding acute thrombosis when combined with a clinical probability assessment, and unreliable when the headache is chronic.</w:t>
      </w:r>
    </w:p>
    <w:p w14:paraId="2A8BCCC8" w14:textId="77777777" w:rsidR="0039479F" w:rsidRDefault="00000000">
      <w:pPr>
        <w:spacing w:after="140"/>
        <w:jc w:val="both"/>
      </w:pPr>
      <w:r>
        <w:t>For undifferentiated secondary headache and for subarachnoid haemorrhage, no blood biomarker approached the accuracy required of a rule-out test. A prospective multicentre cross-sectional study of 1,522 patients with non-traumatic headache and no neurological deficit reported a bedside D-dimer sensitivity of 82.5% (95% CI 70–91) and specificity of 89.2% (95% CI 87–91) for intracranial pathology (Eken et al., 2026) — insufficient sensitivity to withhold imaging. Copeptin was independently associated with serious secondary headache after adjustment (OR 1.74, 95% CI 1.26–2.39) but achieved an area under the curve of only 0.70 (95% CI 0.63–0.76) (Blum et al., 2017). S100B performed no better, with an area under the curve of 0.67 and, at 0.06 µg/L, a sensitivity of 75% (95% CI 48–93) and specificity of 62% (95% CI 48–74) (Grau-Mercier et al., 2023); a separate multicentre study found four of five haemorrhages had S100β below the 0.10 µg/L threshold, and its authors concluded that the marker has no role in the diagnostic strategy (Muller et al., 2022).</w:t>
      </w:r>
    </w:p>
    <w:p w14:paraId="503BEE1F" w14:textId="77777777" w:rsidR="0039479F" w:rsidRDefault="00000000">
      <w:pPr>
        <w:spacing w:after="140"/>
        <w:jc w:val="both"/>
      </w:pPr>
      <w:r>
        <w:t xml:space="preserve">A substantial subgroup of reports evaluated complete blood count indices, principally the neutrophil-to-lymphocyte ratio, for discriminating subarachnoid haemorrhage from primary headache. Reported accuracy was </w:t>
      </w:r>
      <w:r>
        <w:lastRenderedPageBreak/>
        <w:t>high — a ratio above 4.02 gave a sensitivity of 85.95% and specificity of 97.46% with a positive likelihood ratio of 33.79 (Eryigit et al., 2017), and the neutrophil count alone reached an area under the curve of 0.918 (95% CI 0.855–0.960) (Zhang et al., 2019a) — but every such study used a case–control design contrasting confirmed haemorrhage with confirmed primary headache. That architecture inflates apparent discrimination and does not reproduce the ED question, in which the alternative diagnoses are undifferentiated. Where a comparable index was applied without that contrast, performance fell sharply, leucocytosis or a left shift giving a sensitivity of 89.8% (95% CI 84.5–93.5) but a specificity of 46.7% (95% CI 39.6–53.9) (Kilic et al., 2017). Table 12 presents the biomarker studies.</w:t>
      </w:r>
    </w:p>
    <w:p w14:paraId="262AF075" w14:textId="77777777" w:rsidR="0039479F" w:rsidRDefault="00000000">
      <w:pPr>
        <w:keepNext/>
        <w:spacing w:before="200" w:after="90"/>
      </w:pPr>
      <w:r>
        <w:rPr>
          <w:b/>
          <w:bCs/>
          <w:sz w:val="21"/>
          <w:szCs w:val="21"/>
        </w:rPr>
        <w:t>Table 12. Blood-based biomarkers for identifying a serious secondary headache</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381"/>
        <w:gridCol w:w="1085"/>
        <w:gridCol w:w="1381"/>
        <w:gridCol w:w="1677"/>
        <w:gridCol w:w="1381"/>
        <w:gridCol w:w="2961"/>
      </w:tblGrid>
      <w:tr w:rsidR="0039479F" w14:paraId="464D6D4E" w14:textId="77777777">
        <w:trPr>
          <w:tblHeader/>
        </w:trPr>
        <w:tc>
          <w:tcPr>
            <w:tcW w:w="1381" w:type="dxa"/>
            <w:shd w:val="clear" w:color="auto" w:fill="F2F2F2"/>
            <w:tcMar>
              <w:top w:w="40" w:type="dxa"/>
              <w:left w:w="70" w:type="dxa"/>
              <w:bottom w:w="40" w:type="dxa"/>
              <w:right w:w="70" w:type="dxa"/>
            </w:tcMar>
          </w:tcPr>
          <w:p w14:paraId="58578022" w14:textId="77777777" w:rsidR="0039479F" w:rsidRDefault="00000000">
            <w:pPr>
              <w:spacing w:line="216" w:lineRule="auto"/>
            </w:pPr>
            <w:r>
              <w:rPr>
                <w:b/>
                <w:bCs/>
                <w:sz w:val="16"/>
                <w:szCs w:val="16"/>
              </w:rPr>
              <w:t>Study</w:t>
            </w:r>
          </w:p>
        </w:tc>
        <w:tc>
          <w:tcPr>
            <w:tcW w:w="1085" w:type="dxa"/>
            <w:shd w:val="clear" w:color="auto" w:fill="F2F2F2"/>
            <w:tcMar>
              <w:top w:w="40" w:type="dxa"/>
              <w:left w:w="70" w:type="dxa"/>
              <w:bottom w:w="40" w:type="dxa"/>
              <w:right w:w="70" w:type="dxa"/>
            </w:tcMar>
          </w:tcPr>
          <w:p w14:paraId="2FDB8B11" w14:textId="77777777" w:rsidR="0039479F" w:rsidRDefault="00000000">
            <w:pPr>
              <w:spacing w:line="216" w:lineRule="auto"/>
            </w:pPr>
            <w:r>
              <w:rPr>
                <w:b/>
                <w:bCs/>
                <w:sz w:val="16"/>
                <w:szCs w:val="16"/>
              </w:rPr>
              <w:t>Country</w:t>
            </w:r>
          </w:p>
        </w:tc>
        <w:tc>
          <w:tcPr>
            <w:tcW w:w="1381" w:type="dxa"/>
            <w:shd w:val="clear" w:color="auto" w:fill="F2F2F2"/>
            <w:tcMar>
              <w:top w:w="40" w:type="dxa"/>
              <w:left w:w="70" w:type="dxa"/>
              <w:bottom w:w="40" w:type="dxa"/>
              <w:right w:w="70" w:type="dxa"/>
            </w:tcMar>
          </w:tcPr>
          <w:p w14:paraId="1472E88A" w14:textId="77777777" w:rsidR="0039479F" w:rsidRDefault="00000000">
            <w:pPr>
              <w:spacing w:line="216" w:lineRule="auto"/>
            </w:pPr>
            <w:r>
              <w:rPr>
                <w:b/>
                <w:bCs/>
                <w:sz w:val="16"/>
                <w:szCs w:val="16"/>
              </w:rPr>
              <w:t>Design</w:t>
            </w:r>
          </w:p>
        </w:tc>
        <w:tc>
          <w:tcPr>
            <w:tcW w:w="1677" w:type="dxa"/>
            <w:shd w:val="clear" w:color="auto" w:fill="F2F2F2"/>
            <w:tcMar>
              <w:top w:w="40" w:type="dxa"/>
              <w:left w:w="70" w:type="dxa"/>
              <w:bottom w:w="40" w:type="dxa"/>
              <w:right w:w="70" w:type="dxa"/>
            </w:tcMar>
          </w:tcPr>
          <w:p w14:paraId="174FB60D" w14:textId="77777777" w:rsidR="0039479F" w:rsidRDefault="00000000">
            <w:pPr>
              <w:spacing w:line="216" w:lineRule="auto"/>
            </w:pPr>
            <w:r>
              <w:rPr>
                <w:b/>
                <w:bCs/>
                <w:sz w:val="16"/>
                <w:szCs w:val="16"/>
              </w:rPr>
              <w:t>Index test</w:t>
            </w:r>
          </w:p>
        </w:tc>
        <w:tc>
          <w:tcPr>
            <w:tcW w:w="1381" w:type="dxa"/>
            <w:shd w:val="clear" w:color="auto" w:fill="F2F2F2"/>
            <w:tcMar>
              <w:top w:w="40" w:type="dxa"/>
              <w:left w:w="70" w:type="dxa"/>
              <w:bottom w:w="40" w:type="dxa"/>
              <w:right w:w="70" w:type="dxa"/>
            </w:tcMar>
          </w:tcPr>
          <w:p w14:paraId="6807C1E0" w14:textId="77777777" w:rsidR="0039479F" w:rsidRDefault="00000000">
            <w:pPr>
              <w:spacing w:line="216" w:lineRule="auto"/>
            </w:pPr>
            <w:r>
              <w:rPr>
                <w:b/>
                <w:bCs/>
                <w:sz w:val="16"/>
                <w:szCs w:val="16"/>
              </w:rPr>
              <w:t>Target condition</w:t>
            </w:r>
          </w:p>
        </w:tc>
        <w:tc>
          <w:tcPr>
            <w:tcW w:w="2961" w:type="dxa"/>
            <w:shd w:val="clear" w:color="auto" w:fill="F2F2F2"/>
            <w:tcMar>
              <w:top w:w="40" w:type="dxa"/>
              <w:left w:w="70" w:type="dxa"/>
              <w:bottom w:w="40" w:type="dxa"/>
              <w:right w:w="70" w:type="dxa"/>
            </w:tcMar>
          </w:tcPr>
          <w:p w14:paraId="0CA58E36" w14:textId="77777777" w:rsidR="0039479F" w:rsidRDefault="00000000">
            <w:pPr>
              <w:spacing w:line="216" w:lineRule="auto"/>
            </w:pPr>
            <w:r>
              <w:rPr>
                <w:b/>
                <w:bCs/>
                <w:sz w:val="16"/>
                <w:szCs w:val="16"/>
              </w:rPr>
              <w:t>Results as reported</w:t>
            </w:r>
          </w:p>
        </w:tc>
      </w:tr>
      <w:tr w:rsidR="0039479F" w14:paraId="2E3AA6D8" w14:textId="77777777">
        <w:tc>
          <w:tcPr>
            <w:tcW w:w="1381" w:type="dxa"/>
            <w:tcMar>
              <w:top w:w="40" w:type="dxa"/>
              <w:left w:w="70" w:type="dxa"/>
              <w:bottom w:w="40" w:type="dxa"/>
              <w:right w:w="70" w:type="dxa"/>
            </w:tcMar>
          </w:tcPr>
          <w:p w14:paraId="23673250" w14:textId="77777777" w:rsidR="0039479F" w:rsidRDefault="00000000">
            <w:pPr>
              <w:spacing w:line="216" w:lineRule="auto"/>
            </w:pPr>
            <w:r>
              <w:rPr>
                <w:sz w:val="16"/>
                <w:szCs w:val="16"/>
              </w:rPr>
              <w:t>Dahl et al. (2026)</w:t>
            </w:r>
          </w:p>
        </w:tc>
        <w:tc>
          <w:tcPr>
            <w:tcW w:w="1085" w:type="dxa"/>
            <w:tcMar>
              <w:top w:w="40" w:type="dxa"/>
              <w:left w:w="70" w:type="dxa"/>
              <w:bottom w:w="40" w:type="dxa"/>
              <w:right w:w="70" w:type="dxa"/>
            </w:tcMar>
          </w:tcPr>
          <w:p w14:paraId="4901ECE5" w14:textId="77777777" w:rsidR="0039479F" w:rsidRDefault="00000000">
            <w:pPr>
              <w:spacing w:line="216" w:lineRule="auto"/>
            </w:pPr>
            <w:r>
              <w:rPr>
                <w:sz w:val="16"/>
                <w:szCs w:val="16"/>
              </w:rPr>
              <w:t>Norway</w:t>
            </w:r>
          </w:p>
        </w:tc>
        <w:tc>
          <w:tcPr>
            <w:tcW w:w="1381" w:type="dxa"/>
            <w:tcMar>
              <w:top w:w="40" w:type="dxa"/>
              <w:left w:w="70" w:type="dxa"/>
              <w:bottom w:w="40" w:type="dxa"/>
              <w:right w:w="70" w:type="dxa"/>
            </w:tcMar>
          </w:tcPr>
          <w:p w14:paraId="69E9F21E" w14:textId="77777777" w:rsidR="0039479F" w:rsidRDefault="00000000">
            <w:pPr>
              <w:spacing w:line="216" w:lineRule="auto"/>
            </w:pPr>
            <w:r>
              <w:rPr>
                <w:sz w:val="16"/>
                <w:szCs w:val="16"/>
              </w:rPr>
              <w:t>Retrospective consecutive cohort</w:t>
            </w:r>
          </w:p>
        </w:tc>
        <w:tc>
          <w:tcPr>
            <w:tcW w:w="1677" w:type="dxa"/>
            <w:tcMar>
              <w:top w:w="40" w:type="dxa"/>
              <w:left w:w="70" w:type="dxa"/>
              <w:bottom w:w="40" w:type="dxa"/>
              <w:right w:w="70" w:type="dxa"/>
            </w:tcMar>
          </w:tcPr>
          <w:p w14:paraId="4EFA5C70" w14:textId="77777777" w:rsidR="0039479F" w:rsidRDefault="00000000">
            <w:pPr>
              <w:spacing w:line="216" w:lineRule="auto"/>
            </w:pPr>
            <w:r>
              <w:rPr>
                <w:sz w:val="16"/>
                <w:szCs w:val="16"/>
              </w:rPr>
              <w:t>CVT clinical probability score with and without…</w:t>
            </w:r>
          </w:p>
        </w:tc>
        <w:tc>
          <w:tcPr>
            <w:tcW w:w="1381" w:type="dxa"/>
            <w:tcMar>
              <w:top w:w="40" w:type="dxa"/>
              <w:left w:w="70" w:type="dxa"/>
              <w:bottom w:w="40" w:type="dxa"/>
              <w:right w:w="70" w:type="dxa"/>
            </w:tcMar>
          </w:tcPr>
          <w:p w14:paraId="75B911F8" w14:textId="77777777" w:rsidR="0039479F" w:rsidRDefault="00000000">
            <w:pPr>
              <w:spacing w:line="216" w:lineRule="auto"/>
            </w:pPr>
            <w:r>
              <w:rPr>
                <w:sz w:val="16"/>
                <w:szCs w:val="16"/>
              </w:rPr>
              <w:t>Cerebral venous thrombosis</w:t>
            </w:r>
          </w:p>
        </w:tc>
        <w:tc>
          <w:tcPr>
            <w:tcW w:w="2961" w:type="dxa"/>
            <w:tcMar>
              <w:top w:w="40" w:type="dxa"/>
              <w:left w:w="70" w:type="dxa"/>
              <w:bottom w:w="40" w:type="dxa"/>
              <w:right w:w="70" w:type="dxa"/>
            </w:tcMar>
          </w:tcPr>
          <w:p w14:paraId="57F35CC4" w14:textId="77777777" w:rsidR="0039479F" w:rsidRDefault="00000000">
            <w:pPr>
              <w:spacing w:line="216" w:lineRule="auto"/>
            </w:pPr>
            <w:r>
              <w:rPr>
                <w:sz w:val="16"/>
                <w:szCs w:val="16"/>
              </w:rPr>
              <w:t>CVT confirmed in 6.6%. The score distributed one-third of CVT patients into each probability group (sensitivity 0.33 per group); NPV 0.96 for the high-probability group and 0.99 for combined low/moderate probability plus D-dimer &gt;500 ug/L. Positive predictive values were low</w:t>
            </w:r>
          </w:p>
        </w:tc>
      </w:tr>
      <w:tr w:rsidR="0039479F" w14:paraId="0FA6528A" w14:textId="77777777">
        <w:tc>
          <w:tcPr>
            <w:tcW w:w="1381" w:type="dxa"/>
            <w:tcMar>
              <w:top w:w="40" w:type="dxa"/>
              <w:left w:w="70" w:type="dxa"/>
              <w:bottom w:w="40" w:type="dxa"/>
              <w:right w:w="70" w:type="dxa"/>
            </w:tcMar>
          </w:tcPr>
          <w:p w14:paraId="1B1F6591" w14:textId="77777777" w:rsidR="0039479F" w:rsidRDefault="00000000">
            <w:pPr>
              <w:spacing w:line="216" w:lineRule="auto"/>
            </w:pPr>
            <w:r>
              <w:rPr>
                <w:sz w:val="16"/>
                <w:szCs w:val="16"/>
              </w:rPr>
              <w:t>Eken et al. (2026)</w:t>
            </w:r>
          </w:p>
        </w:tc>
        <w:tc>
          <w:tcPr>
            <w:tcW w:w="1085" w:type="dxa"/>
            <w:tcMar>
              <w:top w:w="40" w:type="dxa"/>
              <w:left w:w="70" w:type="dxa"/>
              <w:bottom w:w="40" w:type="dxa"/>
              <w:right w:w="70" w:type="dxa"/>
            </w:tcMar>
          </w:tcPr>
          <w:p w14:paraId="1E882EE4"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697B91AE" w14:textId="77777777" w:rsidR="0039479F" w:rsidRDefault="00000000">
            <w:pPr>
              <w:spacing w:line="216" w:lineRule="auto"/>
            </w:pPr>
            <w:r>
              <w:rPr>
                <w:sz w:val="16"/>
                <w:szCs w:val="16"/>
              </w:rPr>
              <w:t>Prospective multicentre…</w:t>
            </w:r>
          </w:p>
        </w:tc>
        <w:tc>
          <w:tcPr>
            <w:tcW w:w="1677" w:type="dxa"/>
            <w:tcMar>
              <w:top w:w="40" w:type="dxa"/>
              <w:left w:w="70" w:type="dxa"/>
              <w:bottom w:w="40" w:type="dxa"/>
              <w:right w:w="70" w:type="dxa"/>
            </w:tcMar>
          </w:tcPr>
          <w:p w14:paraId="4490AA89" w14:textId="77777777" w:rsidR="0039479F" w:rsidRDefault="00000000">
            <w:pPr>
              <w:spacing w:line="216" w:lineRule="auto"/>
            </w:pPr>
            <w:r>
              <w:rPr>
                <w:sz w:val="16"/>
                <w:szCs w:val="16"/>
              </w:rPr>
              <w:t>Bedside D-dimer (threshold 500 ng/mL)</w:t>
            </w:r>
          </w:p>
        </w:tc>
        <w:tc>
          <w:tcPr>
            <w:tcW w:w="1381" w:type="dxa"/>
            <w:tcMar>
              <w:top w:w="40" w:type="dxa"/>
              <w:left w:w="70" w:type="dxa"/>
              <w:bottom w:w="40" w:type="dxa"/>
              <w:right w:w="70" w:type="dxa"/>
            </w:tcMar>
          </w:tcPr>
          <w:p w14:paraId="7CEB19F0" w14:textId="77777777" w:rsidR="0039479F" w:rsidRDefault="00000000">
            <w:pPr>
              <w:spacing w:line="216" w:lineRule="auto"/>
            </w:pPr>
            <w:r>
              <w:rPr>
                <w:sz w:val="16"/>
                <w:szCs w:val="16"/>
              </w:rPr>
              <w:t>Secondary headache due to…</w:t>
            </w:r>
          </w:p>
        </w:tc>
        <w:tc>
          <w:tcPr>
            <w:tcW w:w="2961" w:type="dxa"/>
            <w:tcMar>
              <w:top w:w="40" w:type="dxa"/>
              <w:left w:w="70" w:type="dxa"/>
              <w:bottom w:w="40" w:type="dxa"/>
              <w:right w:w="70" w:type="dxa"/>
            </w:tcMar>
          </w:tcPr>
          <w:p w14:paraId="624F1A06" w14:textId="77777777" w:rsidR="0039479F" w:rsidRDefault="00000000">
            <w:pPr>
              <w:spacing w:line="216" w:lineRule="auto"/>
            </w:pPr>
            <w:r>
              <w:rPr>
                <w:sz w:val="16"/>
                <w:szCs w:val="16"/>
              </w:rPr>
              <w:t>Intracranial pathology 57/1522 (3.7%): SAH 20 (35.1%), ischaemic stroke 16 (28.1%), cerebral vein thrombosis 6 (10.5%), subdural haemorrhage 6 (10.5%). D-dimer sensitivity 82.5% (70-91), specificity 89.2% (87-91)</w:t>
            </w:r>
          </w:p>
        </w:tc>
      </w:tr>
      <w:tr w:rsidR="0039479F" w14:paraId="02B5D2D1" w14:textId="77777777">
        <w:tc>
          <w:tcPr>
            <w:tcW w:w="1381" w:type="dxa"/>
            <w:tcMar>
              <w:top w:w="40" w:type="dxa"/>
              <w:left w:w="70" w:type="dxa"/>
              <w:bottom w:w="40" w:type="dxa"/>
              <w:right w:w="70" w:type="dxa"/>
            </w:tcMar>
          </w:tcPr>
          <w:p w14:paraId="7AB9435C" w14:textId="77777777" w:rsidR="0039479F" w:rsidRDefault="00000000">
            <w:pPr>
              <w:spacing w:line="216" w:lineRule="auto"/>
            </w:pPr>
            <w:r>
              <w:rPr>
                <w:sz w:val="16"/>
                <w:szCs w:val="16"/>
              </w:rPr>
              <w:t>Çınaroğlu et al. (2024)</w:t>
            </w:r>
          </w:p>
        </w:tc>
        <w:tc>
          <w:tcPr>
            <w:tcW w:w="1085" w:type="dxa"/>
            <w:tcMar>
              <w:top w:w="40" w:type="dxa"/>
              <w:left w:w="70" w:type="dxa"/>
              <w:bottom w:w="40" w:type="dxa"/>
              <w:right w:w="70" w:type="dxa"/>
            </w:tcMar>
          </w:tcPr>
          <w:p w14:paraId="305A0859"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08FF15C7" w14:textId="77777777" w:rsidR="0039479F" w:rsidRDefault="00000000">
            <w:pPr>
              <w:spacing w:line="216" w:lineRule="auto"/>
            </w:pPr>
            <w:r>
              <w:rPr>
                <w:sz w:val="16"/>
                <w:szCs w:val="16"/>
              </w:rPr>
              <w:t>Prospective comparative study</w:t>
            </w:r>
          </w:p>
        </w:tc>
        <w:tc>
          <w:tcPr>
            <w:tcW w:w="1677" w:type="dxa"/>
            <w:tcMar>
              <w:top w:w="40" w:type="dxa"/>
              <w:left w:w="70" w:type="dxa"/>
              <w:bottom w:w="40" w:type="dxa"/>
              <w:right w:w="70" w:type="dxa"/>
            </w:tcMar>
          </w:tcPr>
          <w:p w14:paraId="3CF325CC" w14:textId="77777777" w:rsidR="0039479F" w:rsidRDefault="00000000">
            <w:pPr>
              <w:spacing w:line="216" w:lineRule="auto"/>
            </w:pPr>
            <w:r>
              <w:rPr>
                <w:sz w:val="16"/>
                <w:szCs w:val="16"/>
              </w:rPr>
              <w:t>Cerebral near-infrared spectroscopy (regional…</w:t>
            </w:r>
          </w:p>
        </w:tc>
        <w:tc>
          <w:tcPr>
            <w:tcW w:w="1381" w:type="dxa"/>
            <w:tcMar>
              <w:top w:w="40" w:type="dxa"/>
              <w:left w:w="70" w:type="dxa"/>
              <w:bottom w:w="40" w:type="dxa"/>
              <w:right w:w="70" w:type="dxa"/>
            </w:tcMar>
          </w:tcPr>
          <w:p w14:paraId="56FDC6EB" w14:textId="77777777" w:rsidR="0039479F" w:rsidRDefault="00000000">
            <w:pPr>
              <w:spacing w:line="216" w:lineRule="auto"/>
            </w:pPr>
            <w:r>
              <w:rPr>
                <w:sz w:val="16"/>
                <w:szCs w:val="16"/>
              </w:rPr>
              <w:t>Intracranial haemorrhage</w:t>
            </w:r>
          </w:p>
        </w:tc>
        <w:tc>
          <w:tcPr>
            <w:tcW w:w="2961" w:type="dxa"/>
            <w:tcMar>
              <w:top w:w="40" w:type="dxa"/>
              <w:left w:w="70" w:type="dxa"/>
              <w:bottom w:w="40" w:type="dxa"/>
              <w:right w:w="70" w:type="dxa"/>
            </w:tcMar>
          </w:tcPr>
          <w:p w14:paraId="60C50DF8" w14:textId="77777777" w:rsidR="0039479F" w:rsidRDefault="00000000">
            <w:pPr>
              <w:spacing w:line="216" w:lineRule="auto"/>
            </w:pPr>
            <w:r>
              <w:rPr>
                <w:sz w:val="16"/>
                <w:szCs w:val="16"/>
              </w:rPr>
              <w:t>Right and left rSO2 significantly lower and rSO2 difference significantly higher in the intracranial haemorrhage group (P&lt;0.001). ROC cut-offs: right rSO2 &lt;=67, left rSO2 &lt;=67, difference &gt;=9</w:t>
            </w:r>
          </w:p>
        </w:tc>
      </w:tr>
      <w:tr w:rsidR="0039479F" w14:paraId="7769F1D6" w14:textId="77777777">
        <w:tc>
          <w:tcPr>
            <w:tcW w:w="1381" w:type="dxa"/>
            <w:tcMar>
              <w:top w:w="40" w:type="dxa"/>
              <w:left w:w="70" w:type="dxa"/>
              <w:bottom w:w="40" w:type="dxa"/>
              <w:right w:w="70" w:type="dxa"/>
            </w:tcMar>
          </w:tcPr>
          <w:p w14:paraId="146548BC" w14:textId="77777777" w:rsidR="0039479F" w:rsidRDefault="00000000">
            <w:pPr>
              <w:spacing w:line="216" w:lineRule="auto"/>
            </w:pPr>
            <w:r>
              <w:rPr>
                <w:sz w:val="16"/>
                <w:szCs w:val="16"/>
              </w:rPr>
              <w:t>Grau-Mercier et al. (2023)</w:t>
            </w:r>
          </w:p>
        </w:tc>
        <w:tc>
          <w:tcPr>
            <w:tcW w:w="1085" w:type="dxa"/>
            <w:tcMar>
              <w:top w:w="40" w:type="dxa"/>
              <w:left w:w="70" w:type="dxa"/>
              <w:bottom w:w="40" w:type="dxa"/>
              <w:right w:w="70" w:type="dxa"/>
            </w:tcMar>
          </w:tcPr>
          <w:p w14:paraId="0CA41F9B" w14:textId="77777777" w:rsidR="0039479F" w:rsidRDefault="00000000">
            <w:pPr>
              <w:spacing w:line="216" w:lineRule="auto"/>
            </w:pPr>
            <w:r>
              <w:rPr>
                <w:sz w:val="16"/>
                <w:szCs w:val="16"/>
              </w:rPr>
              <w:t>France</w:t>
            </w:r>
          </w:p>
        </w:tc>
        <w:tc>
          <w:tcPr>
            <w:tcW w:w="1381" w:type="dxa"/>
            <w:tcMar>
              <w:top w:w="40" w:type="dxa"/>
              <w:left w:w="70" w:type="dxa"/>
              <w:bottom w:w="40" w:type="dxa"/>
              <w:right w:w="70" w:type="dxa"/>
            </w:tcMar>
          </w:tcPr>
          <w:p w14:paraId="0F5D367B" w14:textId="77777777" w:rsidR="0039479F" w:rsidRDefault="00000000">
            <w:pPr>
              <w:spacing w:line="216" w:lineRule="auto"/>
            </w:pPr>
            <w:r>
              <w:rPr>
                <w:sz w:val="16"/>
                <w:szCs w:val="16"/>
              </w:rPr>
              <w:t>Phase 2 prospective…</w:t>
            </w:r>
          </w:p>
        </w:tc>
        <w:tc>
          <w:tcPr>
            <w:tcW w:w="1677" w:type="dxa"/>
            <w:tcMar>
              <w:top w:w="40" w:type="dxa"/>
              <w:left w:w="70" w:type="dxa"/>
              <w:bottom w:w="40" w:type="dxa"/>
              <w:right w:w="70" w:type="dxa"/>
            </w:tcMar>
          </w:tcPr>
          <w:p w14:paraId="05FFD6DE" w14:textId="77777777" w:rsidR="0039479F" w:rsidRDefault="00000000">
            <w:pPr>
              <w:spacing w:line="216" w:lineRule="auto"/>
            </w:pPr>
            <w:r>
              <w:rPr>
                <w:sz w:val="16"/>
                <w:szCs w:val="16"/>
              </w:rPr>
              <w:t>Serum S100B protein</w:t>
            </w:r>
          </w:p>
        </w:tc>
        <w:tc>
          <w:tcPr>
            <w:tcW w:w="1381" w:type="dxa"/>
            <w:tcMar>
              <w:top w:w="40" w:type="dxa"/>
              <w:left w:w="70" w:type="dxa"/>
              <w:bottom w:w="40" w:type="dxa"/>
              <w:right w:w="70" w:type="dxa"/>
            </w:tcMar>
          </w:tcPr>
          <w:p w14:paraId="42E2AF61" w14:textId="77777777" w:rsidR="0039479F" w:rsidRDefault="00000000">
            <w:pPr>
              <w:spacing w:line="216" w:lineRule="auto"/>
            </w:pPr>
            <w:r>
              <w:rPr>
                <w:sz w:val="16"/>
                <w:szCs w:val="16"/>
              </w:rPr>
              <w:t>Secondary headache</w:t>
            </w:r>
          </w:p>
        </w:tc>
        <w:tc>
          <w:tcPr>
            <w:tcW w:w="2961" w:type="dxa"/>
            <w:tcMar>
              <w:top w:w="40" w:type="dxa"/>
              <w:left w:w="70" w:type="dxa"/>
              <w:bottom w:w="40" w:type="dxa"/>
              <w:right w:w="70" w:type="dxa"/>
            </w:tcMar>
          </w:tcPr>
          <w:p w14:paraId="0D6F06F1" w14:textId="77777777" w:rsidR="0039479F" w:rsidRDefault="00000000">
            <w:pPr>
              <w:spacing w:line="216" w:lineRule="auto"/>
            </w:pPr>
            <w:r>
              <w:rPr>
                <w:sz w:val="16"/>
                <w:szCs w:val="16"/>
              </w:rPr>
              <w:t>Serum S100B higher in secondary headache; area under ROC curve 0.67. At 0.06 ug/L: sensitivity 75% (48-93), specificity 62% (48-74), PPV 35% (20-54), NPV 90% (76-97)</w:t>
            </w:r>
          </w:p>
        </w:tc>
      </w:tr>
      <w:tr w:rsidR="0039479F" w14:paraId="7A7385BB" w14:textId="77777777">
        <w:tc>
          <w:tcPr>
            <w:tcW w:w="1381" w:type="dxa"/>
            <w:tcMar>
              <w:top w:w="40" w:type="dxa"/>
              <w:left w:w="70" w:type="dxa"/>
              <w:bottom w:w="40" w:type="dxa"/>
              <w:right w:w="70" w:type="dxa"/>
            </w:tcMar>
          </w:tcPr>
          <w:p w14:paraId="366F97FA" w14:textId="77777777" w:rsidR="0039479F" w:rsidRDefault="00000000">
            <w:pPr>
              <w:spacing w:line="216" w:lineRule="auto"/>
            </w:pPr>
            <w:r>
              <w:rPr>
                <w:sz w:val="16"/>
                <w:szCs w:val="16"/>
              </w:rPr>
              <w:t>Yang et al. (2023)</w:t>
            </w:r>
          </w:p>
        </w:tc>
        <w:tc>
          <w:tcPr>
            <w:tcW w:w="1085" w:type="dxa"/>
            <w:tcMar>
              <w:top w:w="40" w:type="dxa"/>
              <w:left w:w="70" w:type="dxa"/>
              <w:bottom w:w="40" w:type="dxa"/>
              <w:right w:w="70" w:type="dxa"/>
            </w:tcMar>
          </w:tcPr>
          <w:p w14:paraId="722627C3" w14:textId="77777777" w:rsidR="0039479F" w:rsidRDefault="00000000">
            <w:pPr>
              <w:spacing w:line="216" w:lineRule="auto"/>
            </w:pPr>
            <w:r>
              <w:rPr>
                <w:sz w:val="16"/>
                <w:szCs w:val="16"/>
              </w:rPr>
              <w:t>United…</w:t>
            </w:r>
          </w:p>
        </w:tc>
        <w:tc>
          <w:tcPr>
            <w:tcW w:w="1381" w:type="dxa"/>
            <w:tcMar>
              <w:top w:w="40" w:type="dxa"/>
              <w:left w:w="70" w:type="dxa"/>
              <w:bottom w:w="40" w:type="dxa"/>
              <w:right w:w="70" w:type="dxa"/>
            </w:tcMar>
          </w:tcPr>
          <w:p w14:paraId="3CD04ACB" w14:textId="77777777" w:rsidR="0039479F" w:rsidRDefault="00000000">
            <w:pPr>
              <w:spacing w:line="216" w:lineRule="auto"/>
            </w:pPr>
            <w:r>
              <w:rPr>
                <w:sz w:val="16"/>
                <w:szCs w:val="16"/>
              </w:rPr>
              <w:t>Retrospective database study…</w:t>
            </w:r>
          </w:p>
        </w:tc>
        <w:tc>
          <w:tcPr>
            <w:tcW w:w="1677" w:type="dxa"/>
            <w:tcMar>
              <w:top w:w="40" w:type="dxa"/>
              <w:left w:w="70" w:type="dxa"/>
              <w:bottom w:w="40" w:type="dxa"/>
              <w:right w:w="70" w:type="dxa"/>
            </w:tcMar>
          </w:tcPr>
          <w:p w14:paraId="1DD21767" w14:textId="77777777" w:rsidR="0039479F" w:rsidRDefault="00000000">
            <w:pPr>
              <w:spacing w:line="216" w:lineRule="auto"/>
            </w:pPr>
            <w:r>
              <w:rPr>
                <w:sz w:val="16"/>
                <w:szCs w:val="16"/>
              </w:rPr>
              <w:t>Machine-learning models (logistic regression and…</w:t>
            </w:r>
          </w:p>
        </w:tc>
        <w:tc>
          <w:tcPr>
            <w:tcW w:w="1381" w:type="dxa"/>
            <w:tcMar>
              <w:top w:w="40" w:type="dxa"/>
              <w:left w:w="70" w:type="dxa"/>
              <w:bottom w:w="40" w:type="dxa"/>
              <w:right w:w="70" w:type="dxa"/>
            </w:tcMar>
          </w:tcPr>
          <w:p w14:paraId="1FD8931A" w14:textId="77777777" w:rsidR="0039479F" w:rsidRDefault="00000000">
            <w:pPr>
              <w:spacing w:line="216" w:lineRule="auto"/>
            </w:pPr>
            <w:r>
              <w:rPr>
                <w:sz w:val="16"/>
                <w:szCs w:val="16"/>
              </w:rPr>
              <w:t>Primary versus secondary headache</w:t>
            </w:r>
          </w:p>
        </w:tc>
        <w:tc>
          <w:tcPr>
            <w:tcW w:w="2961" w:type="dxa"/>
            <w:tcMar>
              <w:top w:w="40" w:type="dxa"/>
              <w:left w:w="70" w:type="dxa"/>
              <w:bottom w:w="40" w:type="dxa"/>
              <w:right w:w="70" w:type="dxa"/>
            </w:tcMar>
          </w:tcPr>
          <w:p w14:paraId="52900743" w14:textId="77777777" w:rsidR="0039479F" w:rsidRDefault="00000000">
            <w:pPr>
              <w:spacing w:line="216" w:lineRule="auto"/>
            </w:pPr>
            <w:r>
              <w:rPr>
                <w:sz w:val="16"/>
                <w:szCs w:val="16"/>
              </w:rPr>
              <w:t>A machine-learning predictive model for primary versus secondary headache was constructed from complete blood count parameters, their ratios and demographic and clinical characteristics</w:t>
            </w:r>
          </w:p>
        </w:tc>
      </w:tr>
      <w:tr w:rsidR="0039479F" w14:paraId="038C12F2" w14:textId="77777777">
        <w:tc>
          <w:tcPr>
            <w:tcW w:w="1381" w:type="dxa"/>
            <w:tcMar>
              <w:top w:w="40" w:type="dxa"/>
              <w:left w:w="70" w:type="dxa"/>
              <w:bottom w:w="40" w:type="dxa"/>
              <w:right w:w="70" w:type="dxa"/>
            </w:tcMar>
          </w:tcPr>
          <w:p w14:paraId="3CDE4275" w14:textId="77777777" w:rsidR="0039479F" w:rsidRDefault="00000000">
            <w:pPr>
              <w:spacing w:line="216" w:lineRule="auto"/>
            </w:pPr>
            <w:r>
              <w:rPr>
                <w:sz w:val="16"/>
                <w:szCs w:val="16"/>
              </w:rPr>
              <w:t>Muller et al. (2022)</w:t>
            </w:r>
          </w:p>
        </w:tc>
        <w:tc>
          <w:tcPr>
            <w:tcW w:w="1085" w:type="dxa"/>
            <w:tcMar>
              <w:top w:w="40" w:type="dxa"/>
              <w:left w:w="70" w:type="dxa"/>
              <w:bottom w:w="40" w:type="dxa"/>
              <w:right w:w="70" w:type="dxa"/>
            </w:tcMar>
          </w:tcPr>
          <w:p w14:paraId="35A84F28" w14:textId="77777777" w:rsidR="0039479F" w:rsidRDefault="00000000">
            <w:pPr>
              <w:spacing w:line="216" w:lineRule="auto"/>
            </w:pPr>
            <w:r>
              <w:rPr>
                <w:sz w:val="16"/>
                <w:szCs w:val="16"/>
              </w:rPr>
              <w:t>France</w:t>
            </w:r>
          </w:p>
        </w:tc>
        <w:tc>
          <w:tcPr>
            <w:tcW w:w="1381" w:type="dxa"/>
            <w:tcMar>
              <w:top w:w="40" w:type="dxa"/>
              <w:left w:w="70" w:type="dxa"/>
              <w:bottom w:w="40" w:type="dxa"/>
              <w:right w:w="70" w:type="dxa"/>
            </w:tcMar>
          </w:tcPr>
          <w:p w14:paraId="14F18468" w14:textId="77777777" w:rsidR="0039479F" w:rsidRDefault="00000000">
            <w:pPr>
              <w:spacing w:line="216" w:lineRule="auto"/>
            </w:pPr>
            <w:r>
              <w:rPr>
                <w:sz w:val="16"/>
                <w:szCs w:val="16"/>
              </w:rPr>
              <w:t>Prospective non-randomised…</w:t>
            </w:r>
          </w:p>
        </w:tc>
        <w:tc>
          <w:tcPr>
            <w:tcW w:w="1677" w:type="dxa"/>
            <w:tcMar>
              <w:top w:w="40" w:type="dxa"/>
              <w:left w:w="70" w:type="dxa"/>
              <w:bottom w:w="40" w:type="dxa"/>
              <w:right w:w="70" w:type="dxa"/>
            </w:tcMar>
          </w:tcPr>
          <w:p w14:paraId="10713937" w14:textId="77777777" w:rsidR="0039479F" w:rsidRDefault="00000000">
            <w:pPr>
              <w:spacing w:line="216" w:lineRule="auto"/>
            </w:pPr>
            <w:r>
              <w:rPr>
                <w:sz w:val="16"/>
                <w:szCs w:val="16"/>
              </w:rPr>
              <w:t>Serum S100beta protein (threshold 0.10 ug/L)</w:t>
            </w:r>
          </w:p>
        </w:tc>
        <w:tc>
          <w:tcPr>
            <w:tcW w:w="1381" w:type="dxa"/>
            <w:tcMar>
              <w:top w:w="40" w:type="dxa"/>
              <w:left w:w="70" w:type="dxa"/>
              <w:bottom w:w="40" w:type="dxa"/>
              <w:right w:w="70" w:type="dxa"/>
            </w:tcMar>
          </w:tcPr>
          <w:p w14:paraId="62ACA5A1" w14:textId="77777777" w:rsidR="0039479F" w:rsidRDefault="00000000">
            <w:pPr>
              <w:spacing w:line="216" w:lineRule="auto"/>
            </w:pPr>
            <w:r>
              <w:rPr>
                <w:sz w:val="16"/>
                <w:szCs w:val="16"/>
              </w:rPr>
              <w:t>Subarachnoid haemorrhage</w:t>
            </w:r>
          </w:p>
        </w:tc>
        <w:tc>
          <w:tcPr>
            <w:tcW w:w="2961" w:type="dxa"/>
            <w:tcMar>
              <w:top w:w="40" w:type="dxa"/>
              <w:left w:w="70" w:type="dxa"/>
              <w:bottom w:w="40" w:type="dxa"/>
              <w:right w:w="70" w:type="dxa"/>
            </w:tcMar>
          </w:tcPr>
          <w:p w14:paraId="145B099A" w14:textId="77777777" w:rsidR="0039479F" w:rsidRDefault="00000000">
            <w:pPr>
              <w:spacing w:line="216" w:lineRule="auto"/>
            </w:pPr>
            <w:r>
              <w:rPr>
                <w:sz w:val="16"/>
                <w:szCs w:val="16"/>
              </w:rPr>
              <w:t>5/60 had SAH; 4 of these had S100beta below 0.10 ug/L. Negative predictive value 93% (95% CI 0.86-1). The authors concluded S100beta at this threshold has no role in the SAH diagnostic strategy</w:t>
            </w:r>
          </w:p>
        </w:tc>
      </w:tr>
      <w:tr w:rsidR="0039479F" w14:paraId="609661A7" w14:textId="77777777">
        <w:tc>
          <w:tcPr>
            <w:tcW w:w="1381" w:type="dxa"/>
            <w:tcMar>
              <w:top w:w="40" w:type="dxa"/>
              <w:left w:w="70" w:type="dxa"/>
              <w:bottom w:w="40" w:type="dxa"/>
              <w:right w:w="70" w:type="dxa"/>
            </w:tcMar>
          </w:tcPr>
          <w:p w14:paraId="2FBF71A8" w14:textId="77777777" w:rsidR="0039479F" w:rsidRDefault="00000000">
            <w:pPr>
              <w:spacing w:line="216" w:lineRule="auto"/>
            </w:pPr>
            <w:r>
              <w:rPr>
                <w:sz w:val="16"/>
                <w:szCs w:val="16"/>
              </w:rPr>
              <w:t>Domitrz et al. (2020)</w:t>
            </w:r>
          </w:p>
        </w:tc>
        <w:tc>
          <w:tcPr>
            <w:tcW w:w="1085" w:type="dxa"/>
            <w:tcMar>
              <w:top w:w="40" w:type="dxa"/>
              <w:left w:w="70" w:type="dxa"/>
              <w:bottom w:w="40" w:type="dxa"/>
              <w:right w:w="70" w:type="dxa"/>
            </w:tcMar>
          </w:tcPr>
          <w:p w14:paraId="5E780628" w14:textId="77777777" w:rsidR="0039479F" w:rsidRDefault="00000000">
            <w:pPr>
              <w:spacing w:line="216" w:lineRule="auto"/>
            </w:pPr>
            <w:r>
              <w:rPr>
                <w:sz w:val="16"/>
                <w:szCs w:val="16"/>
              </w:rPr>
              <w:t>Poland</w:t>
            </w:r>
          </w:p>
        </w:tc>
        <w:tc>
          <w:tcPr>
            <w:tcW w:w="1381" w:type="dxa"/>
            <w:tcMar>
              <w:top w:w="40" w:type="dxa"/>
              <w:left w:w="70" w:type="dxa"/>
              <w:bottom w:w="40" w:type="dxa"/>
              <w:right w:w="70" w:type="dxa"/>
            </w:tcMar>
          </w:tcPr>
          <w:p w14:paraId="3D911B5A" w14:textId="77777777" w:rsidR="0039479F" w:rsidRDefault="00000000">
            <w:pPr>
              <w:spacing w:line="216" w:lineRule="auto"/>
            </w:pPr>
            <w:r>
              <w:rPr>
                <w:sz w:val="16"/>
                <w:szCs w:val="16"/>
              </w:rPr>
              <w:t>Retrospective case-control…</w:t>
            </w:r>
          </w:p>
        </w:tc>
        <w:tc>
          <w:tcPr>
            <w:tcW w:w="1677" w:type="dxa"/>
            <w:tcMar>
              <w:top w:w="40" w:type="dxa"/>
              <w:left w:w="70" w:type="dxa"/>
              <w:bottom w:w="40" w:type="dxa"/>
              <w:right w:w="70" w:type="dxa"/>
            </w:tcMar>
          </w:tcPr>
          <w:p w14:paraId="02D317FA" w14:textId="77777777" w:rsidR="0039479F" w:rsidRDefault="00000000">
            <w:pPr>
              <w:spacing w:line="216" w:lineRule="auto"/>
            </w:pPr>
            <w:r>
              <w:rPr>
                <w:sz w:val="16"/>
                <w:szCs w:val="16"/>
              </w:rPr>
              <w:t>D-dimer (normal &lt;=0.5 ug/mL versus elevated &gt;0.5…</w:t>
            </w:r>
          </w:p>
        </w:tc>
        <w:tc>
          <w:tcPr>
            <w:tcW w:w="1381" w:type="dxa"/>
            <w:tcMar>
              <w:top w:w="40" w:type="dxa"/>
              <w:left w:w="70" w:type="dxa"/>
              <w:bottom w:w="40" w:type="dxa"/>
              <w:right w:w="70" w:type="dxa"/>
            </w:tcMar>
          </w:tcPr>
          <w:p w14:paraId="774B81D9" w14:textId="77777777" w:rsidR="0039479F" w:rsidRDefault="00000000">
            <w:pPr>
              <w:spacing w:line="216" w:lineRule="auto"/>
            </w:pPr>
            <w:r>
              <w:rPr>
                <w:sz w:val="16"/>
                <w:szCs w:val="16"/>
              </w:rPr>
              <w:t>Cerebral venous and sinus…</w:t>
            </w:r>
          </w:p>
        </w:tc>
        <w:tc>
          <w:tcPr>
            <w:tcW w:w="2961" w:type="dxa"/>
            <w:tcMar>
              <w:top w:w="40" w:type="dxa"/>
              <w:left w:w="70" w:type="dxa"/>
              <w:bottom w:w="40" w:type="dxa"/>
              <w:right w:w="70" w:type="dxa"/>
            </w:tcMar>
          </w:tcPr>
          <w:p w14:paraId="26C14C3C" w14:textId="77777777" w:rsidR="0039479F" w:rsidRDefault="00000000">
            <w:pPr>
              <w:spacing w:line="216" w:lineRule="auto"/>
            </w:pPr>
            <w:r>
              <w:rPr>
                <w:sz w:val="16"/>
                <w:szCs w:val="16"/>
              </w:rPr>
              <w:t>Median D-dimer 1.0 (SD 0.57) ug/mL in CVST versus mean 0.50 (SD 0.45) ug/mL in controls (p&lt;0.005). Higher D-dimer associated with complications and fatal course (p&lt;0.005)</w:t>
            </w:r>
          </w:p>
        </w:tc>
      </w:tr>
      <w:tr w:rsidR="0039479F" w14:paraId="41C4D93B" w14:textId="77777777">
        <w:tc>
          <w:tcPr>
            <w:tcW w:w="1381" w:type="dxa"/>
            <w:tcMar>
              <w:top w:w="40" w:type="dxa"/>
              <w:left w:w="70" w:type="dxa"/>
              <w:bottom w:w="40" w:type="dxa"/>
              <w:right w:w="70" w:type="dxa"/>
            </w:tcMar>
          </w:tcPr>
          <w:p w14:paraId="042D24EE" w14:textId="77777777" w:rsidR="0039479F" w:rsidRDefault="00000000">
            <w:pPr>
              <w:spacing w:line="216" w:lineRule="auto"/>
            </w:pPr>
            <w:r>
              <w:rPr>
                <w:sz w:val="16"/>
                <w:szCs w:val="16"/>
              </w:rPr>
              <w:t>Zhang et al. (2019b)</w:t>
            </w:r>
          </w:p>
        </w:tc>
        <w:tc>
          <w:tcPr>
            <w:tcW w:w="1085" w:type="dxa"/>
            <w:tcMar>
              <w:top w:w="40" w:type="dxa"/>
              <w:left w:w="70" w:type="dxa"/>
              <w:bottom w:w="40" w:type="dxa"/>
              <w:right w:w="70" w:type="dxa"/>
            </w:tcMar>
          </w:tcPr>
          <w:p w14:paraId="52EE6918" w14:textId="77777777" w:rsidR="0039479F" w:rsidRDefault="00000000">
            <w:pPr>
              <w:spacing w:line="216" w:lineRule="auto"/>
            </w:pPr>
            <w:r>
              <w:rPr>
                <w:sz w:val="16"/>
                <w:szCs w:val="16"/>
              </w:rPr>
              <w:t>China</w:t>
            </w:r>
          </w:p>
        </w:tc>
        <w:tc>
          <w:tcPr>
            <w:tcW w:w="1381" w:type="dxa"/>
            <w:tcMar>
              <w:top w:w="40" w:type="dxa"/>
              <w:left w:w="70" w:type="dxa"/>
              <w:bottom w:w="40" w:type="dxa"/>
              <w:right w:w="70" w:type="dxa"/>
            </w:tcMar>
          </w:tcPr>
          <w:p w14:paraId="1F42A51F" w14:textId="77777777" w:rsidR="0039479F" w:rsidRDefault="00000000">
            <w:pPr>
              <w:spacing w:line="216" w:lineRule="auto"/>
            </w:pPr>
            <w:r>
              <w:rPr>
                <w:sz w:val="16"/>
                <w:szCs w:val="16"/>
              </w:rPr>
              <w:t>Retrospective comparative study</w:t>
            </w:r>
          </w:p>
        </w:tc>
        <w:tc>
          <w:tcPr>
            <w:tcW w:w="1677" w:type="dxa"/>
            <w:tcMar>
              <w:top w:w="40" w:type="dxa"/>
              <w:left w:w="70" w:type="dxa"/>
              <w:bottom w:w="40" w:type="dxa"/>
              <w:right w:w="70" w:type="dxa"/>
            </w:tcMar>
          </w:tcPr>
          <w:p w14:paraId="5AC56336" w14:textId="77777777" w:rsidR="0039479F" w:rsidRDefault="00000000">
            <w:pPr>
              <w:spacing w:line="216" w:lineRule="auto"/>
            </w:pPr>
            <w:r>
              <w:rPr>
                <w:sz w:val="16"/>
                <w:szCs w:val="16"/>
              </w:rPr>
              <w:t>Plasma D-dimer and coagulation parameters</w:t>
            </w:r>
          </w:p>
        </w:tc>
        <w:tc>
          <w:tcPr>
            <w:tcW w:w="1381" w:type="dxa"/>
            <w:tcMar>
              <w:top w:w="40" w:type="dxa"/>
              <w:left w:w="70" w:type="dxa"/>
              <w:bottom w:w="40" w:type="dxa"/>
              <w:right w:w="70" w:type="dxa"/>
            </w:tcMar>
          </w:tcPr>
          <w:p w14:paraId="617BFD5C" w14:textId="77777777" w:rsidR="0039479F" w:rsidRDefault="00000000">
            <w:pPr>
              <w:spacing w:line="216" w:lineRule="auto"/>
            </w:pPr>
            <w:r>
              <w:rPr>
                <w:sz w:val="16"/>
                <w:szCs w:val="16"/>
              </w:rPr>
              <w:t>Spontaneous subarachnoid…</w:t>
            </w:r>
          </w:p>
        </w:tc>
        <w:tc>
          <w:tcPr>
            <w:tcW w:w="2961" w:type="dxa"/>
            <w:tcMar>
              <w:top w:w="40" w:type="dxa"/>
              <w:left w:w="70" w:type="dxa"/>
              <w:bottom w:w="40" w:type="dxa"/>
              <w:right w:w="70" w:type="dxa"/>
            </w:tcMar>
          </w:tcPr>
          <w:p w14:paraId="6CB39E17" w14:textId="77777777" w:rsidR="0039479F" w:rsidRDefault="00000000">
            <w:pPr>
              <w:spacing w:line="216" w:lineRule="auto"/>
            </w:pPr>
            <w:r>
              <w:rPr>
                <w:sz w:val="16"/>
                <w:szCs w:val="16"/>
              </w:rPr>
              <w:t>D-dimer significantly increased and activated partial thromboplastin time decreased in SAH versus non-SAH (both p&lt;0.001); prothrombin time, INR, thrombin time and fibrinogen did not differ. Area under ROC curve reported for D-dimer discrimination</w:t>
            </w:r>
          </w:p>
        </w:tc>
      </w:tr>
      <w:tr w:rsidR="0039479F" w14:paraId="4FF73D72" w14:textId="77777777">
        <w:tc>
          <w:tcPr>
            <w:tcW w:w="1381" w:type="dxa"/>
            <w:tcMar>
              <w:top w:w="40" w:type="dxa"/>
              <w:left w:w="70" w:type="dxa"/>
              <w:bottom w:w="40" w:type="dxa"/>
              <w:right w:w="70" w:type="dxa"/>
            </w:tcMar>
          </w:tcPr>
          <w:p w14:paraId="37CE9675" w14:textId="77777777" w:rsidR="0039479F" w:rsidRDefault="00000000">
            <w:pPr>
              <w:spacing w:line="216" w:lineRule="auto"/>
            </w:pPr>
            <w:r>
              <w:rPr>
                <w:sz w:val="16"/>
                <w:szCs w:val="16"/>
              </w:rPr>
              <w:t>Zhang et al. (2019a)</w:t>
            </w:r>
          </w:p>
        </w:tc>
        <w:tc>
          <w:tcPr>
            <w:tcW w:w="1085" w:type="dxa"/>
            <w:tcMar>
              <w:top w:w="40" w:type="dxa"/>
              <w:left w:w="70" w:type="dxa"/>
              <w:bottom w:w="40" w:type="dxa"/>
              <w:right w:w="70" w:type="dxa"/>
            </w:tcMar>
          </w:tcPr>
          <w:p w14:paraId="0B6EE12C" w14:textId="77777777" w:rsidR="0039479F" w:rsidRDefault="00000000">
            <w:pPr>
              <w:spacing w:line="216" w:lineRule="auto"/>
            </w:pPr>
            <w:r>
              <w:rPr>
                <w:sz w:val="16"/>
                <w:szCs w:val="16"/>
              </w:rPr>
              <w:t>China</w:t>
            </w:r>
          </w:p>
        </w:tc>
        <w:tc>
          <w:tcPr>
            <w:tcW w:w="1381" w:type="dxa"/>
            <w:tcMar>
              <w:top w:w="40" w:type="dxa"/>
              <w:left w:w="70" w:type="dxa"/>
              <w:bottom w:w="40" w:type="dxa"/>
              <w:right w:w="70" w:type="dxa"/>
            </w:tcMar>
          </w:tcPr>
          <w:p w14:paraId="37C10038" w14:textId="77777777" w:rsidR="0039479F" w:rsidRDefault="00000000">
            <w:pPr>
              <w:spacing w:line="216" w:lineRule="auto"/>
            </w:pPr>
            <w:r>
              <w:rPr>
                <w:sz w:val="16"/>
                <w:szCs w:val="16"/>
              </w:rPr>
              <w:t>Retrospective comparative study</w:t>
            </w:r>
          </w:p>
        </w:tc>
        <w:tc>
          <w:tcPr>
            <w:tcW w:w="1677" w:type="dxa"/>
            <w:tcMar>
              <w:top w:w="40" w:type="dxa"/>
              <w:left w:w="70" w:type="dxa"/>
              <w:bottom w:w="40" w:type="dxa"/>
              <w:right w:w="70" w:type="dxa"/>
            </w:tcMar>
          </w:tcPr>
          <w:p w14:paraId="023236C5" w14:textId="77777777" w:rsidR="0039479F" w:rsidRDefault="00000000">
            <w:pPr>
              <w:spacing w:line="216" w:lineRule="auto"/>
            </w:pPr>
            <w:r>
              <w:rPr>
                <w:sz w:val="16"/>
                <w:szCs w:val="16"/>
              </w:rPr>
              <w:t xml:space="preserve">Neutrophil count, neutrophil-lymphocyte </w:t>
            </w:r>
            <w:proofErr w:type="gramStart"/>
            <w:r>
              <w:rPr>
                <w:sz w:val="16"/>
                <w:szCs w:val="16"/>
              </w:rPr>
              <w:t>ratio,…</w:t>
            </w:r>
            <w:proofErr w:type="gramEnd"/>
          </w:p>
        </w:tc>
        <w:tc>
          <w:tcPr>
            <w:tcW w:w="1381" w:type="dxa"/>
            <w:tcMar>
              <w:top w:w="40" w:type="dxa"/>
              <w:left w:w="70" w:type="dxa"/>
              <w:bottom w:w="40" w:type="dxa"/>
              <w:right w:w="70" w:type="dxa"/>
            </w:tcMar>
          </w:tcPr>
          <w:p w14:paraId="5B6BCF8C" w14:textId="77777777" w:rsidR="0039479F" w:rsidRDefault="00000000">
            <w:pPr>
              <w:spacing w:line="216" w:lineRule="auto"/>
            </w:pPr>
            <w:r>
              <w:rPr>
                <w:sz w:val="16"/>
                <w:szCs w:val="16"/>
              </w:rPr>
              <w:t>Spontaneous subarachnoid…</w:t>
            </w:r>
          </w:p>
        </w:tc>
        <w:tc>
          <w:tcPr>
            <w:tcW w:w="2961" w:type="dxa"/>
            <w:tcMar>
              <w:top w:w="40" w:type="dxa"/>
              <w:left w:w="70" w:type="dxa"/>
              <w:bottom w:w="40" w:type="dxa"/>
              <w:right w:w="70" w:type="dxa"/>
            </w:tcMar>
          </w:tcPr>
          <w:p w14:paraId="52061F9A" w14:textId="77777777" w:rsidR="0039479F" w:rsidRDefault="00000000">
            <w:pPr>
              <w:spacing w:line="216" w:lineRule="auto"/>
            </w:pPr>
            <w:r>
              <w:rPr>
                <w:sz w:val="16"/>
                <w:szCs w:val="16"/>
              </w:rPr>
              <w:t>Areas under ROC curve: neutrophil count 0.918 (0.855-0.960), neutrophil-lymphocyte ratio 0.828 (0.751-0.890), platelet-lymphocyte ratio 0.616 (0.524-0.701); all pairwise differences significant (p&lt;0.05)</w:t>
            </w:r>
          </w:p>
        </w:tc>
      </w:tr>
      <w:tr w:rsidR="0039479F" w14:paraId="541E5CE6" w14:textId="77777777">
        <w:tc>
          <w:tcPr>
            <w:tcW w:w="1381" w:type="dxa"/>
            <w:tcMar>
              <w:top w:w="40" w:type="dxa"/>
              <w:left w:w="70" w:type="dxa"/>
              <w:bottom w:w="40" w:type="dxa"/>
              <w:right w:w="70" w:type="dxa"/>
            </w:tcMar>
          </w:tcPr>
          <w:p w14:paraId="5AFD2AD5" w14:textId="77777777" w:rsidR="0039479F" w:rsidRDefault="00000000">
            <w:pPr>
              <w:spacing w:line="216" w:lineRule="auto"/>
            </w:pPr>
            <w:r>
              <w:rPr>
                <w:sz w:val="16"/>
                <w:szCs w:val="16"/>
              </w:rPr>
              <w:t>Goktekin &amp; Yilmaz (2018)</w:t>
            </w:r>
          </w:p>
        </w:tc>
        <w:tc>
          <w:tcPr>
            <w:tcW w:w="1085" w:type="dxa"/>
            <w:tcMar>
              <w:top w:w="40" w:type="dxa"/>
              <w:left w:w="70" w:type="dxa"/>
              <w:bottom w:w="40" w:type="dxa"/>
              <w:right w:w="70" w:type="dxa"/>
            </w:tcMar>
          </w:tcPr>
          <w:p w14:paraId="3D612736"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532A29CB" w14:textId="77777777" w:rsidR="0039479F" w:rsidRDefault="00000000">
            <w:pPr>
              <w:spacing w:line="216" w:lineRule="auto"/>
            </w:pPr>
            <w:r>
              <w:rPr>
                <w:sz w:val="16"/>
                <w:szCs w:val="16"/>
              </w:rPr>
              <w:t>Retrospective case-control study</w:t>
            </w:r>
          </w:p>
        </w:tc>
        <w:tc>
          <w:tcPr>
            <w:tcW w:w="1677" w:type="dxa"/>
            <w:tcMar>
              <w:top w:w="40" w:type="dxa"/>
              <w:left w:w="70" w:type="dxa"/>
              <w:bottom w:w="40" w:type="dxa"/>
              <w:right w:w="70" w:type="dxa"/>
            </w:tcMar>
          </w:tcPr>
          <w:p w14:paraId="13922F29" w14:textId="77777777" w:rsidR="0039479F" w:rsidRDefault="00000000">
            <w:pPr>
              <w:spacing w:line="216" w:lineRule="auto"/>
            </w:pPr>
            <w:r>
              <w:rPr>
                <w:sz w:val="16"/>
                <w:szCs w:val="16"/>
              </w:rPr>
              <w:t xml:space="preserve">Haematological parameters (white cell </w:t>
            </w:r>
            <w:proofErr w:type="gramStart"/>
            <w:r>
              <w:rPr>
                <w:sz w:val="16"/>
                <w:szCs w:val="16"/>
              </w:rPr>
              <w:t>count,…</w:t>
            </w:r>
            <w:proofErr w:type="gramEnd"/>
          </w:p>
        </w:tc>
        <w:tc>
          <w:tcPr>
            <w:tcW w:w="1381" w:type="dxa"/>
            <w:tcMar>
              <w:top w:w="40" w:type="dxa"/>
              <w:left w:w="70" w:type="dxa"/>
              <w:bottom w:w="40" w:type="dxa"/>
              <w:right w:w="70" w:type="dxa"/>
            </w:tcMar>
          </w:tcPr>
          <w:p w14:paraId="6A27E646" w14:textId="77777777" w:rsidR="0039479F" w:rsidRDefault="00000000">
            <w:pPr>
              <w:spacing w:line="216" w:lineRule="auto"/>
            </w:pPr>
            <w:r>
              <w:rPr>
                <w:sz w:val="16"/>
                <w:szCs w:val="16"/>
              </w:rPr>
              <w:t>Subarachnoid haemorrhage</w:t>
            </w:r>
          </w:p>
        </w:tc>
        <w:tc>
          <w:tcPr>
            <w:tcW w:w="2961" w:type="dxa"/>
            <w:tcMar>
              <w:top w:w="40" w:type="dxa"/>
              <w:left w:w="70" w:type="dxa"/>
              <w:bottom w:w="40" w:type="dxa"/>
              <w:right w:w="70" w:type="dxa"/>
            </w:tcMar>
          </w:tcPr>
          <w:p w14:paraId="17B9F5FB" w14:textId="77777777" w:rsidR="0039479F" w:rsidRDefault="00000000">
            <w:pPr>
              <w:spacing w:line="216" w:lineRule="auto"/>
            </w:pPr>
            <w:r>
              <w:rPr>
                <w:sz w:val="16"/>
                <w:szCs w:val="16"/>
              </w:rPr>
              <w:t>White cell count, haematocrit, haemoglobin, mean corpuscular volume, platelets, mean platelet volume, lymphocyte and neutrophil counts and neutrophil-lymphocyte ratio differentiated SAH from migraine. Increased white cell count and neutrophil-lymphocyte ratio and decreased mean…</w:t>
            </w:r>
          </w:p>
        </w:tc>
      </w:tr>
      <w:tr w:rsidR="0039479F" w14:paraId="7C4F59BB" w14:textId="77777777">
        <w:tc>
          <w:tcPr>
            <w:tcW w:w="1381" w:type="dxa"/>
            <w:tcMar>
              <w:top w:w="40" w:type="dxa"/>
              <w:left w:w="70" w:type="dxa"/>
              <w:bottom w:w="40" w:type="dxa"/>
              <w:right w:w="70" w:type="dxa"/>
            </w:tcMar>
          </w:tcPr>
          <w:p w14:paraId="2BDEBEAB" w14:textId="77777777" w:rsidR="0039479F" w:rsidRDefault="00000000">
            <w:pPr>
              <w:spacing w:line="216" w:lineRule="auto"/>
            </w:pPr>
            <w:r>
              <w:rPr>
                <w:sz w:val="16"/>
                <w:szCs w:val="16"/>
              </w:rPr>
              <w:t>Blum et al. (2017)</w:t>
            </w:r>
          </w:p>
        </w:tc>
        <w:tc>
          <w:tcPr>
            <w:tcW w:w="1085" w:type="dxa"/>
            <w:tcMar>
              <w:top w:w="40" w:type="dxa"/>
              <w:left w:w="70" w:type="dxa"/>
              <w:bottom w:w="40" w:type="dxa"/>
              <w:right w:w="70" w:type="dxa"/>
            </w:tcMar>
          </w:tcPr>
          <w:p w14:paraId="1B457B2B" w14:textId="77777777" w:rsidR="0039479F" w:rsidRDefault="00000000">
            <w:pPr>
              <w:spacing w:line="216" w:lineRule="auto"/>
            </w:pPr>
            <w:r>
              <w:rPr>
                <w:sz w:val="16"/>
                <w:szCs w:val="16"/>
              </w:rPr>
              <w:t>Switzerland</w:t>
            </w:r>
          </w:p>
        </w:tc>
        <w:tc>
          <w:tcPr>
            <w:tcW w:w="1381" w:type="dxa"/>
            <w:tcMar>
              <w:top w:w="40" w:type="dxa"/>
              <w:left w:w="70" w:type="dxa"/>
              <w:bottom w:w="40" w:type="dxa"/>
              <w:right w:w="70" w:type="dxa"/>
            </w:tcMar>
          </w:tcPr>
          <w:p w14:paraId="5392DA51" w14:textId="77777777" w:rsidR="0039479F" w:rsidRDefault="00000000">
            <w:pPr>
              <w:spacing w:line="216" w:lineRule="auto"/>
            </w:pPr>
            <w:r>
              <w:rPr>
                <w:sz w:val="16"/>
                <w:szCs w:val="16"/>
              </w:rPr>
              <w:t>Prospective multicentre…</w:t>
            </w:r>
          </w:p>
        </w:tc>
        <w:tc>
          <w:tcPr>
            <w:tcW w:w="1677" w:type="dxa"/>
            <w:tcMar>
              <w:top w:w="40" w:type="dxa"/>
              <w:left w:w="70" w:type="dxa"/>
              <w:bottom w:w="40" w:type="dxa"/>
              <w:right w:w="70" w:type="dxa"/>
            </w:tcMar>
          </w:tcPr>
          <w:p w14:paraId="43CE2A05" w14:textId="77777777" w:rsidR="0039479F" w:rsidRDefault="00000000">
            <w:pPr>
              <w:spacing w:line="216" w:lineRule="auto"/>
            </w:pPr>
            <w:r>
              <w:rPr>
                <w:sz w:val="16"/>
                <w:szCs w:val="16"/>
              </w:rPr>
              <w:t>Copeptin measured at ED presentation</w:t>
            </w:r>
          </w:p>
        </w:tc>
        <w:tc>
          <w:tcPr>
            <w:tcW w:w="1381" w:type="dxa"/>
            <w:tcMar>
              <w:top w:w="40" w:type="dxa"/>
              <w:left w:w="70" w:type="dxa"/>
              <w:bottom w:w="40" w:type="dxa"/>
              <w:right w:w="70" w:type="dxa"/>
            </w:tcMar>
          </w:tcPr>
          <w:p w14:paraId="572EDE6D" w14:textId="77777777" w:rsidR="0039479F" w:rsidRDefault="00000000">
            <w:pPr>
              <w:spacing w:line="216" w:lineRule="auto"/>
            </w:pPr>
            <w:r>
              <w:rPr>
                <w:sz w:val="16"/>
                <w:szCs w:val="16"/>
              </w:rPr>
              <w:t>Serious secondary headache</w:t>
            </w:r>
          </w:p>
        </w:tc>
        <w:tc>
          <w:tcPr>
            <w:tcW w:w="2961" w:type="dxa"/>
            <w:tcMar>
              <w:top w:w="40" w:type="dxa"/>
              <w:left w:w="70" w:type="dxa"/>
              <w:bottom w:w="40" w:type="dxa"/>
              <w:right w:w="70" w:type="dxa"/>
            </w:tcMar>
          </w:tcPr>
          <w:p w14:paraId="3C17E8EB" w14:textId="77777777" w:rsidR="0039479F" w:rsidRDefault="00000000">
            <w:pPr>
              <w:spacing w:line="216" w:lineRule="auto"/>
            </w:pPr>
            <w:r>
              <w:rPr>
                <w:sz w:val="16"/>
                <w:szCs w:val="16"/>
              </w:rPr>
              <w:t xml:space="preserve">Serious secondary headache in 75/391 (19%). Copeptin associated with serious secondary headache (OR 2.03, 95% CI 1.52-2.70, p&lt;0.0001); area under ROC curve 0.70 (0.63-0.76). After adjustment </w:t>
            </w:r>
            <w:r>
              <w:rPr>
                <w:sz w:val="16"/>
                <w:szCs w:val="16"/>
              </w:rPr>
              <w:lastRenderedPageBreak/>
              <w:t>for age &gt;50, focal neurological abnormalities and thunderclap onset, copeptin remained…</w:t>
            </w:r>
          </w:p>
        </w:tc>
      </w:tr>
      <w:tr w:rsidR="0039479F" w14:paraId="1FD3E5F3" w14:textId="77777777">
        <w:tc>
          <w:tcPr>
            <w:tcW w:w="1381" w:type="dxa"/>
            <w:tcMar>
              <w:top w:w="40" w:type="dxa"/>
              <w:left w:w="70" w:type="dxa"/>
              <w:bottom w:w="40" w:type="dxa"/>
              <w:right w:w="70" w:type="dxa"/>
            </w:tcMar>
          </w:tcPr>
          <w:p w14:paraId="0B325D63" w14:textId="77777777" w:rsidR="0039479F" w:rsidRDefault="00000000">
            <w:pPr>
              <w:spacing w:line="216" w:lineRule="auto"/>
            </w:pPr>
            <w:r>
              <w:rPr>
                <w:sz w:val="16"/>
                <w:szCs w:val="16"/>
              </w:rPr>
              <w:lastRenderedPageBreak/>
              <w:t>Eryigit et al. (2017)</w:t>
            </w:r>
          </w:p>
        </w:tc>
        <w:tc>
          <w:tcPr>
            <w:tcW w:w="1085" w:type="dxa"/>
            <w:tcMar>
              <w:top w:w="40" w:type="dxa"/>
              <w:left w:w="70" w:type="dxa"/>
              <w:bottom w:w="40" w:type="dxa"/>
              <w:right w:w="70" w:type="dxa"/>
            </w:tcMar>
          </w:tcPr>
          <w:p w14:paraId="26355B95"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68073AF1" w14:textId="77777777" w:rsidR="0039479F" w:rsidRDefault="00000000">
            <w:pPr>
              <w:spacing w:line="216" w:lineRule="auto"/>
            </w:pPr>
            <w:r>
              <w:rPr>
                <w:sz w:val="16"/>
                <w:szCs w:val="16"/>
              </w:rPr>
              <w:t>Retrospective comparative study</w:t>
            </w:r>
          </w:p>
        </w:tc>
        <w:tc>
          <w:tcPr>
            <w:tcW w:w="1677" w:type="dxa"/>
            <w:tcMar>
              <w:top w:w="40" w:type="dxa"/>
              <w:left w:w="70" w:type="dxa"/>
              <w:bottom w:w="40" w:type="dxa"/>
              <w:right w:w="70" w:type="dxa"/>
            </w:tcMar>
          </w:tcPr>
          <w:p w14:paraId="786D2B41" w14:textId="77777777" w:rsidR="0039479F" w:rsidRDefault="00000000">
            <w:pPr>
              <w:spacing w:line="216" w:lineRule="auto"/>
            </w:pPr>
            <w:r>
              <w:rPr>
                <w:sz w:val="16"/>
                <w:szCs w:val="16"/>
              </w:rPr>
              <w:t>Neutrophil-lymphocyte ratio on admission</w:t>
            </w:r>
          </w:p>
        </w:tc>
        <w:tc>
          <w:tcPr>
            <w:tcW w:w="1381" w:type="dxa"/>
            <w:tcMar>
              <w:top w:w="40" w:type="dxa"/>
              <w:left w:w="70" w:type="dxa"/>
              <w:bottom w:w="40" w:type="dxa"/>
              <w:right w:w="70" w:type="dxa"/>
            </w:tcMar>
          </w:tcPr>
          <w:p w14:paraId="0F21588C" w14:textId="77777777" w:rsidR="0039479F" w:rsidRDefault="00000000">
            <w:pPr>
              <w:spacing w:line="216" w:lineRule="auto"/>
            </w:pPr>
            <w:r>
              <w:rPr>
                <w:sz w:val="16"/>
                <w:szCs w:val="16"/>
              </w:rPr>
              <w:t>Subarachnoid haemorrhage versus…</w:t>
            </w:r>
          </w:p>
        </w:tc>
        <w:tc>
          <w:tcPr>
            <w:tcW w:w="2961" w:type="dxa"/>
            <w:tcMar>
              <w:top w:w="40" w:type="dxa"/>
              <w:left w:w="70" w:type="dxa"/>
              <w:bottom w:w="40" w:type="dxa"/>
              <w:right w:w="70" w:type="dxa"/>
            </w:tcMar>
          </w:tcPr>
          <w:p w14:paraId="0D4EB71F" w14:textId="77777777" w:rsidR="0039479F" w:rsidRDefault="00000000">
            <w:pPr>
              <w:spacing w:line="216" w:lineRule="auto"/>
            </w:pPr>
            <w:r>
              <w:rPr>
                <w:sz w:val="16"/>
                <w:szCs w:val="16"/>
              </w:rPr>
              <w:t>Median neutrophil-lymphocyte ratio significantly higher in SAH than migraine and other headaches (p&lt;0.001). Cut-off 4.02: sensitivity 85.95%, specificity 97.46%, LR+ 33.79, LR- 0.14</w:t>
            </w:r>
          </w:p>
        </w:tc>
      </w:tr>
      <w:tr w:rsidR="0039479F" w14:paraId="1495D702" w14:textId="77777777">
        <w:tc>
          <w:tcPr>
            <w:tcW w:w="1381" w:type="dxa"/>
            <w:tcMar>
              <w:top w:w="40" w:type="dxa"/>
              <w:left w:w="70" w:type="dxa"/>
              <w:bottom w:w="40" w:type="dxa"/>
              <w:right w:w="70" w:type="dxa"/>
            </w:tcMar>
          </w:tcPr>
          <w:p w14:paraId="1F294BE8" w14:textId="77777777" w:rsidR="0039479F" w:rsidRDefault="00000000">
            <w:pPr>
              <w:spacing w:line="216" w:lineRule="auto"/>
            </w:pPr>
            <w:r>
              <w:rPr>
                <w:sz w:val="16"/>
                <w:szCs w:val="16"/>
              </w:rPr>
              <w:t>Kilic et al. (2017)</w:t>
            </w:r>
          </w:p>
        </w:tc>
        <w:tc>
          <w:tcPr>
            <w:tcW w:w="1085" w:type="dxa"/>
            <w:tcMar>
              <w:top w:w="40" w:type="dxa"/>
              <w:left w:w="70" w:type="dxa"/>
              <w:bottom w:w="40" w:type="dxa"/>
              <w:right w:w="70" w:type="dxa"/>
            </w:tcMar>
          </w:tcPr>
          <w:p w14:paraId="0E51D8B4"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74F32790" w14:textId="77777777" w:rsidR="0039479F" w:rsidRDefault="00000000">
            <w:pPr>
              <w:spacing w:line="216" w:lineRule="auto"/>
            </w:pPr>
            <w:r>
              <w:rPr>
                <w:sz w:val="16"/>
                <w:szCs w:val="16"/>
              </w:rPr>
              <w:t>Retrospective case-control study</w:t>
            </w:r>
          </w:p>
        </w:tc>
        <w:tc>
          <w:tcPr>
            <w:tcW w:w="1677" w:type="dxa"/>
            <w:tcMar>
              <w:top w:w="40" w:type="dxa"/>
              <w:left w:w="70" w:type="dxa"/>
              <w:bottom w:w="40" w:type="dxa"/>
              <w:right w:w="70" w:type="dxa"/>
            </w:tcMar>
          </w:tcPr>
          <w:p w14:paraId="2F41A5AA" w14:textId="77777777" w:rsidR="0039479F" w:rsidRDefault="00000000">
            <w:pPr>
              <w:spacing w:line="216" w:lineRule="auto"/>
            </w:pPr>
            <w:r>
              <w:rPr>
                <w:sz w:val="16"/>
                <w:szCs w:val="16"/>
              </w:rPr>
              <w:t>Leucocytosis or left shift (increase in…</w:t>
            </w:r>
          </w:p>
        </w:tc>
        <w:tc>
          <w:tcPr>
            <w:tcW w:w="1381" w:type="dxa"/>
            <w:tcMar>
              <w:top w:w="40" w:type="dxa"/>
              <w:left w:w="70" w:type="dxa"/>
              <w:bottom w:w="40" w:type="dxa"/>
              <w:right w:w="70" w:type="dxa"/>
            </w:tcMar>
          </w:tcPr>
          <w:p w14:paraId="047D4965" w14:textId="77777777" w:rsidR="0039479F" w:rsidRDefault="00000000">
            <w:pPr>
              <w:spacing w:line="216" w:lineRule="auto"/>
            </w:pPr>
            <w:r>
              <w:rPr>
                <w:sz w:val="16"/>
                <w:szCs w:val="16"/>
              </w:rPr>
              <w:t>Subarachnoid haemorrhage</w:t>
            </w:r>
          </w:p>
        </w:tc>
        <w:tc>
          <w:tcPr>
            <w:tcW w:w="2961" w:type="dxa"/>
            <w:tcMar>
              <w:top w:w="40" w:type="dxa"/>
              <w:left w:w="70" w:type="dxa"/>
              <w:bottom w:w="40" w:type="dxa"/>
              <w:right w:w="70" w:type="dxa"/>
            </w:tcMar>
          </w:tcPr>
          <w:p w14:paraId="55756AFA" w14:textId="77777777" w:rsidR="0039479F" w:rsidRDefault="00000000">
            <w:pPr>
              <w:spacing w:line="216" w:lineRule="auto"/>
            </w:pPr>
            <w:r>
              <w:rPr>
                <w:sz w:val="16"/>
                <w:szCs w:val="16"/>
              </w:rPr>
              <w:t>On initial ED admission: sensitivity 89.8% (84.5-93.5), specificity 46.7% (39.6-53.9), NPV 82.1% (73.5-88.4), PPV 62.8% (56.8-68.4)</w:t>
            </w:r>
          </w:p>
        </w:tc>
      </w:tr>
      <w:tr w:rsidR="0039479F" w14:paraId="2D49C9E3" w14:textId="77777777">
        <w:tc>
          <w:tcPr>
            <w:tcW w:w="1381" w:type="dxa"/>
            <w:tcMar>
              <w:top w:w="40" w:type="dxa"/>
              <w:left w:w="70" w:type="dxa"/>
              <w:bottom w:w="40" w:type="dxa"/>
              <w:right w:w="70" w:type="dxa"/>
            </w:tcMar>
          </w:tcPr>
          <w:p w14:paraId="53662791" w14:textId="77777777" w:rsidR="0039479F" w:rsidRDefault="00000000">
            <w:pPr>
              <w:spacing w:line="216" w:lineRule="auto"/>
            </w:pPr>
            <w:r>
              <w:rPr>
                <w:sz w:val="16"/>
                <w:szCs w:val="16"/>
              </w:rPr>
              <w:t>Demir et al. (2015)</w:t>
            </w:r>
          </w:p>
        </w:tc>
        <w:tc>
          <w:tcPr>
            <w:tcW w:w="1085" w:type="dxa"/>
            <w:tcMar>
              <w:top w:w="40" w:type="dxa"/>
              <w:left w:w="70" w:type="dxa"/>
              <w:bottom w:w="40" w:type="dxa"/>
              <w:right w:w="70" w:type="dxa"/>
            </w:tcMar>
          </w:tcPr>
          <w:p w14:paraId="1108B63A"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16438CAA" w14:textId="77777777" w:rsidR="0039479F" w:rsidRDefault="00000000">
            <w:pPr>
              <w:spacing w:line="216" w:lineRule="auto"/>
            </w:pPr>
            <w:r>
              <w:rPr>
                <w:sz w:val="16"/>
                <w:szCs w:val="16"/>
              </w:rPr>
              <w:t>Retrospective cross-sectional…</w:t>
            </w:r>
          </w:p>
        </w:tc>
        <w:tc>
          <w:tcPr>
            <w:tcW w:w="1677" w:type="dxa"/>
            <w:tcMar>
              <w:top w:w="40" w:type="dxa"/>
              <w:left w:w="70" w:type="dxa"/>
              <w:bottom w:w="40" w:type="dxa"/>
              <w:right w:w="70" w:type="dxa"/>
            </w:tcMar>
          </w:tcPr>
          <w:p w14:paraId="38781513" w14:textId="77777777" w:rsidR="0039479F" w:rsidRDefault="00000000">
            <w:pPr>
              <w:spacing w:line="216" w:lineRule="auto"/>
            </w:pPr>
            <w:r>
              <w:rPr>
                <w:sz w:val="16"/>
                <w:szCs w:val="16"/>
              </w:rPr>
              <w:t>Red cell distribution width</w:t>
            </w:r>
          </w:p>
        </w:tc>
        <w:tc>
          <w:tcPr>
            <w:tcW w:w="1381" w:type="dxa"/>
            <w:tcMar>
              <w:top w:w="40" w:type="dxa"/>
              <w:left w:w="70" w:type="dxa"/>
              <w:bottom w:w="40" w:type="dxa"/>
              <w:right w:w="70" w:type="dxa"/>
            </w:tcMar>
          </w:tcPr>
          <w:p w14:paraId="71CD4008" w14:textId="77777777" w:rsidR="0039479F" w:rsidRDefault="00000000">
            <w:pPr>
              <w:spacing w:line="216" w:lineRule="auto"/>
            </w:pPr>
            <w:r>
              <w:rPr>
                <w:sz w:val="16"/>
                <w:szCs w:val="16"/>
              </w:rPr>
              <w:t>Cerebral venous sinus thrombosis</w:t>
            </w:r>
          </w:p>
        </w:tc>
        <w:tc>
          <w:tcPr>
            <w:tcW w:w="2961" w:type="dxa"/>
            <w:tcMar>
              <w:top w:w="40" w:type="dxa"/>
              <w:left w:w="70" w:type="dxa"/>
              <w:bottom w:w="40" w:type="dxa"/>
              <w:right w:w="70" w:type="dxa"/>
            </w:tcMar>
          </w:tcPr>
          <w:p w14:paraId="6A1E73B5" w14:textId="77777777" w:rsidR="0039479F" w:rsidRDefault="00000000">
            <w:pPr>
              <w:spacing w:line="216" w:lineRule="auto"/>
            </w:pPr>
            <w:r>
              <w:rPr>
                <w:sz w:val="16"/>
                <w:szCs w:val="16"/>
              </w:rPr>
              <w:t>Red cell distribution width 15.3 (SD 1.4) in CVST versus 13.3 (SD 0.5) in primary headache (P&lt;0.0001); area under ROC curve 0.996 (95% CI 0.99-...)</w:t>
            </w:r>
          </w:p>
        </w:tc>
      </w:tr>
      <w:tr w:rsidR="0039479F" w14:paraId="4AD422CB" w14:textId="77777777">
        <w:tc>
          <w:tcPr>
            <w:tcW w:w="1381" w:type="dxa"/>
            <w:tcMar>
              <w:top w:w="40" w:type="dxa"/>
              <w:left w:w="70" w:type="dxa"/>
              <w:bottom w:w="40" w:type="dxa"/>
              <w:right w:w="70" w:type="dxa"/>
            </w:tcMar>
          </w:tcPr>
          <w:p w14:paraId="02D2C8DC" w14:textId="77777777" w:rsidR="0039479F" w:rsidRDefault="00000000">
            <w:pPr>
              <w:spacing w:line="216" w:lineRule="auto"/>
            </w:pPr>
            <w:r>
              <w:rPr>
                <w:sz w:val="16"/>
                <w:szCs w:val="16"/>
              </w:rPr>
              <w:t>Kosinski et al. (2004)</w:t>
            </w:r>
          </w:p>
        </w:tc>
        <w:tc>
          <w:tcPr>
            <w:tcW w:w="1085" w:type="dxa"/>
            <w:tcMar>
              <w:top w:w="40" w:type="dxa"/>
              <w:left w:w="70" w:type="dxa"/>
              <w:bottom w:w="40" w:type="dxa"/>
              <w:right w:w="70" w:type="dxa"/>
            </w:tcMar>
          </w:tcPr>
          <w:p w14:paraId="6B7046A8" w14:textId="77777777" w:rsidR="0039479F" w:rsidRDefault="00000000">
            <w:pPr>
              <w:spacing w:line="216" w:lineRule="auto"/>
            </w:pPr>
            <w:r>
              <w:rPr>
                <w:sz w:val="16"/>
                <w:szCs w:val="16"/>
              </w:rPr>
              <w:t>Germany</w:t>
            </w:r>
          </w:p>
        </w:tc>
        <w:tc>
          <w:tcPr>
            <w:tcW w:w="1381" w:type="dxa"/>
            <w:tcMar>
              <w:top w:w="40" w:type="dxa"/>
              <w:left w:w="70" w:type="dxa"/>
              <w:bottom w:w="40" w:type="dxa"/>
              <w:right w:w="70" w:type="dxa"/>
            </w:tcMar>
          </w:tcPr>
          <w:p w14:paraId="4D5397B7" w14:textId="77777777" w:rsidR="0039479F" w:rsidRDefault="00000000">
            <w:pPr>
              <w:spacing w:line="216" w:lineRule="auto"/>
            </w:pPr>
            <w:r>
              <w:rPr>
                <w:sz w:val="16"/>
                <w:szCs w:val="16"/>
              </w:rPr>
              <w:t>Prospective multicentre study…</w:t>
            </w:r>
          </w:p>
        </w:tc>
        <w:tc>
          <w:tcPr>
            <w:tcW w:w="1677" w:type="dxa"/>
            <w:tcMar>
              <w:top w:w="40" w:type="dxa"/>
              <w:left w:w="70" w:type="dxa"/>
              <w:bottom w:w="40" w:type="dxa"/>
              <w:right w:w="70" w:type="dxa"/>
            </w:tcMar>
          </w:tcPr>
          <w:p w14:paraId="1AF01BA1" w14:textId="77777777" w:rsidR="0039479F" w:rsidRDefault="00000000">
            <w:pPr>
              <w:spacing w:line="216" w:lineRule="auto"/>
            </w:pPr>
            <w:r>
              <w:rPr>
                <w:sz w:val="16"/>
                <w:szCs w:val="16"/>
              </w:rPr>
              <w:t>D-dimer (cut-off &gt;500 ug/L)</w:t>
            </w:r>
          </w:p>
        </w:tc>
        <w:tc>
          <w:tcPr>
            <w:tcW w:w="1381" w:type="dxa"/>
            <w:tcMar>
              <w:top w:w="40" w:type="dxa"/>
              <w:left w:w="70" w:type="dxa"/>
              <w:bottom w:w="40" w:type="dxa"/>
              <w:right w:w="70" w:type="dxa"/>
            </w:tcMar>
          </w:tcPr>
          <w:p w14:paraId="0860A24B" w14:textId="77777777" w:rsidR="0039479F" w:rsidRDefault="00000000">
            <w:pPr>
              <w:spacing w:line="216" w:lineRule="auto"/>
            </w:pPr>
            <w:r>
              <w:rPr>
                <w:sz w:val="16"/>
                <w:szCs w:val="16"/>
              </w:rPr>
              <w:t>Cerebral sinus thrombosis</w:t>
            </w:r>
          </w:p>
        </w:tc>
        <w:tc>
          <w:tcPr>
            <w:tcW w:w="2961" w:type="dxa"/>
            <w:tcMar>
              <w:top w:w="40" w:type="dxa"/>
              <w:left w:w="70" w:type="dxa"/>
              <w:bottom w:w="40" w:type="dxa"/>
              <w:right w:w="70" w:type="dxa"/>
            </w:tcMar>
          </w:tcPr>
          <w:p w14:paraId="7E3ED090" w14:textId="77777777" w:rsidR="0039479F" w:rsidRDefault="00000000">
            <w:pPr>
              <w:spacing w:line="216" w:lineRule="auto"/>
            </w:pPr>
            <w:r>
              <w:rPr>
                <w:sz w:val="16"/>
                <w:szCs w:val="16"/>
              </w:rPr>
              <w:t>CST in 35/343; 34 had D-dimer above cut-off. Sensitivity 97.1%, NPV 99.6%, specificity 91.2%, PPV 55.7%. D-dimer correlated positively with thrombosis extent and negatively with symptom duration</w:t>
            </w:r>
          </w:p>
        </w:tc>
      </w:tr>
      <w:tr w:rsidR="0039479F" w14:paraId="1C335F01" w14:textId="77777777">
        <w:tc>
          <w:tcPr>
            <w:tcW w:w="1381" w:type="dxa"/>
            <w:tcMar>
              <w:top w:w="40" w:type="dxa"/>
              <w:left w:w="70" w:type="dxa"/>
              <w:bottom w:w="40" w:type="dxa"/>
              <w:right w:w="70" w:type="dxa"/>
            </w:tcMar>
          </w:tcPr>
          <w:p w14:paraId="47479099" w14:textId="77777777" w:rsidR="0039479F" w:rsidRDefault="00000000">
            <w:pPr>
              <w:spacing w:line="216" w:lineRule="auto"/>
            </w:pPr>
            <w:r>
              <w:rPr>
                <w:sz w:val="16"/>
                <w:szCs w:val="16"/>
              </w:rPr>
              <w:t>Lalive et al. (2003)</w:t>
            </w:r>
          </w:p>
        </w:tc>
        <w:tc>
          <w:tcPr>
            <w:tcW w:w="1085" w:type="dxa"/>
            <w:tcMar>
              <w:top w:w="40" w:type="dxa"/>
              <w:left w:w="70" w:type="dxa"/>
              <w:bottom w:w="40" w:type="dxa"/>
              <w:right w:w="70" w:type="dxa"/>
            </w:tcMar>
          </w:tcPr>
          <w:p w14:paraId="1F832908" w14:textId="77777777" w:rsidR="0039479F" w:rsidRDefault="00000000">
            <w:pPr>
              <w:spacing w:line="216" w:lineRule="auto"/>
            </w:pPr>
            <w:r>
              <w:rPr>
                <w:sz w:val="16"/>
                <w:szCs w:val="16"/>
              </w:rPr>
              <w:t>Switzerland</w:t>
            </w:r>
          </w:p>
        </w:tc>
        <w:tc>
          <w:tcPr>
            <w:tcW w:w="1381" w:type="dxa"/>
            <w:tcMar>
              <w:top w:w="40" w:type="dxa"/>
              <w:left w:w="70" w:type="dxa"/>
              <w:bottom w:w="40" w:type="dxa"/>
              <w:right w:w="70" w:type="dxa"/>
            </w:tcMar>
          </w:tcPr>
          <w:p w14:paraId="05C9DD85" w14:textId="77777777" w:rsidR="0039479F" w:rsidRDefault="00000000">
            <w:pPr>
              <w:spacing w:line="216" w:lineRule="auto"/>
            </w:pPr>
            <w:r>
              <w:rPr>
                <w:sz w:val="16"/>
                <w:szCs w:val="16"/>
              </w:rPr>
              <w:t>Prospective consecutive cohort</w:t>
            </w:r>
          </w:p>
        </w:tc>
        <w:tc>
          <w:tcPr>
            <w:tcW w:w="1677" w:type="dxa"/>
            <w:tcMar>
              <w:top w:w="40" w:type="dxa"/>
              <w:left w:w="70" w:type="dxa"/>
              <w:bottom w:w="40" w:type="dxa"/>
              <w:right w:w="70" w:type="dxa"/>
            </w:tcMar>
          </w:tcPr>
          <w:p w14:paraId="2C43E0FA" w14:textId="77777777" w:rsidR="0039479F" w:rsidRDefault="00000000">
            <w:pPr>
              <w:spacing w:line="216" w:lineRule="auto"/>
            </w:pPr>
            <w:r>
              <w:rPr>
                <w:sz w:val="16"/>
                <w:szCs w:val="16"/>
              </w:rPr>
              <w:t>D-dimer (&gt;500 ng/mL) measured before brain imaging</w:t>
            </w:r>
          </w:p>
        </w:tc>
        <w:tc>
          <w:tcPr>
            <w:tcW w:w="1381" w:type="dxa"/>
            <w:tcMar>
              <w:top w:w="40" w:type="dxa"/>
              <w:left w:w="70" w:type="dxa"/>
              <w:bottom w:w="40" w:type="dxa"/>
              <w:right w:w="70" w:type="dxa"/>
            </w:tcMar>
          </w:tcPr>
          <w:p w14:paraId="431AB05C" w14:textId="77777777" w:rsidR="0039479F" w:rsidRDefault="00000000">
            <w:pPr>
              <w:spacing w:line="216" w:lineRule="auto"/>
            </w:pPr>
            <w:r>
              <w:rPr>
                <w:sz w:val="16"/>
                <w:szCs w:val="16"/>
              </w:rPr>
              <w:t>Cerebral venous thrombosis</w:t>
            </w:r>
          </w:p>
        </w:tc>
        <w:tc>
          <w:tcPr>
            <w:tcW w:w="2961" w:type="dxa"/>
            <w:tcMar>
              <w:top w:w="40" w:type="dxa"/>
              <w:left w:w="70" w:type="dxa"/>
              <w:bottom w:w="40" w:type="dxa"/>
              <w:right w:w="70" w:type="dxa"/>
            </w:tcMar>
          </w:tcPr>
          <w:p w14:paraId="71EC9595" w14:textId="77777777" w:rsidR="0039479F" w:rsidRDefault="00000000">
            <w:pPr>
              <w:spacing w:line="216" w:lineRule="auto"/>
            </w:pPr>
            <w:r>
              <w:rPr>
                <w:sz w:val="16"/>
                <w:szCs w:val="16"/>
              </w:rPr>
              <w:t>CVT in 12/54 (22%); 10/12 (83%) had D-dimer &gt;500 ng/mL. Sensitivity 83%, NPV 95%, specificity 90%, PPV 71%. The two false negatives had chronic headache of more than 30 days</w:t>
            </w:r>
          </w:p>
        </w:tc>
      </w:tr>
    </w:tbl>
    <w:p w14:paraId="79D07629" w14:textId="77777777" w:rsidR="0039479F" w:rsidRDefault="00000000">
      <w:pPr>
        <w:spacing w:before="90" w:after="220" w:line="240" w:lineRule="auto"/>
      </w:pPr>
      <w:r>
        <w:rPr>
          <w:sz w:val="17"/>
          <w:szCs w:val="17"/>
        </w:rPr>
        <w:t>Note. Case–control studies contrasting patients with a confirmed target condition against patients with a confirmed primary headache overestimate discrimination relative to an undifferentiated emergency department population. Long entries are abbreviated here; the complete extraction for every report is in Supplementary material S5.</w:t>
      </w:r>
    </w:p>
    <w:p w14:paraId="4D520A11" w14:textId="77777777" w:rsidR="0039479F" w:rsidRDefault="00000000">
      <w:pPr>
        <w:pStyle w:val="Heading2"/>
        <w:keepNext/>
        <w:spacing w:before="220" w:after="110"/>
      </w:pPr>
      <w:r>
        <w:t>3.12 Bedside adjunct tests</w:t>
      </w:r>
    </w:p>
    <w:p w14:paraId="5F58FBBA" w14:textId="77777777" w:rsidR="0039479F" w:rsidRDefault="00000000">
      <w:pPr>
        <w:spacing w:after="140"/>
        <w:jc w:val="both"/>
      </w:pPr>
      <w:r>
        <w:t>Twelve reports evaluated bedside adjuncts that address conditions the standard pathway does not test for. Two are supported well enough to influence practice. The first is ocular fundus examination. Fundus abnormalities were present in 42 of 497 consecutive ED headache patients (8.5%, 95% CI 6–11) on neuro-ophthalmologist review of non-mydriatic photographs, including 12 with disc oedema, and 14 of the 34 patients with an abnormal fundus who underwent brain imaging (41%) had normal imaging (Thulasi et al., 2013); in a broader ED population selected for headache, deficit, visual change or severe hypertension, urgent fundus pathology was present in 16% (95% CI 13–21) (Dunn et al., 2021) and relevant findings in 10% (95% CI 7–13) (Bruce et al., 2013), with optic nerve head oedema specifically in 2.6% (95% CI 1.9–3.6) (Sachdeva et al., 2018). The limiting factor is not prevalence but the examiner: emergency physician sensitivity against ophthalmic reference was 40% (95% CI 27–54) with specificity 82% (95% CI 76–86) (Dunn et al., 2021), and in a before-and-after crossover study emergency clinician sensitivity rose from 0% with direct ophthalmoscopy to 29% with fundus photography, with specificity rising from 59% to 84% and management changing in 39% (95% CI 31–48) of patients (Dunn et al., 2022). Robotically acquired retinal optical coherence tomography, interpreted by emergency physicians, achieved a sensitivity of 69% (95% CI 49–89) for any abnormality and 100% (95% CI 79–100) for urgent or emergency abnormalities in a pilot study (Song et al., 2023).</w:t>
      </w:r>
    </w:p>
    <w:p w14:paraId="73BDE855" w14:textId="77777777" w:rsidR="0039479F" w:rsidRDefault="00000000">
      <w:pPr>
        <w:spacing w:after="140"/>
        <w:jc w:val="both"/>
      </w:pPr>
      <w:r>
        <w:t>The second is carbon monoxide measurement, which identifies a cause that is both common in the right season and invisible to every other test in the pathway. Non-invasive pulse CO-oximetry in 483 consecutive adults with headache identified 38 with a saturation above 10%, of whom 31 (6.4% of the population) had confirmed poisoning, giving a positive predictive value of 82%; seven of these (23%) were occult (Zorbalar et al., 2014). A controlled study using breath analysis found elevated carboxyhaemoglobin in 7.1% of 170 headache patients against 1.0% of 98 controls (P &lt; 0.05) (Eberhardt et al., 2006), and in a cross-sectional study of 4,073 patients screened at triage, headache was the commonest presenting complaint among those with occult poisoning (Koyuncu et al., 2020).</w:t>
      </w:r>
    </w:p>
    <w:p w14:paraId="5786F5F2" w14:textId="77777777" w:rsidR="0039479F" w:rsidRDefault="00000000">
      <w:pPr>
        <w:spacing w:after="140"/>
        <w:jc w:val="both"/>
      </w:pPr>
      <w:r>
        <w:t xml:space="preserve">Optic nerve sheath diameter measurement was evaluated in two smaller studies with consistent direction but limited discrimination: median diameter was 5.5 mm with an abnormal CT against 4.3–4.4 mm with a normal CT (P &lt; 0.001) (Canakci et al., 2018), and measured on CT it distinguished haemorrhage from control with an </w:t>
      </w:r>
      <w:r>
        <w:lastRenderedPageBreak/>
        <w:t>area under the curve of 0.791 (95% CI 0.710–0.872), sensitivity and specificity both being 72% at a 6.1 mm threshold (Yesilaras et al., 2017). Table 13 presents the bedside adjunct studies.</w:t>
      </w:r>
    </w:p>
    <w:p w14:paraId="6F96227F" w14:textId="77777777" w:rsidR="0039479F" w:rsidRDefault="00000000">
      <w:pPr>
        <w:keepNext/>
        <w:spacing w:before="200" w:after="90"/>
      </w:pPr>
      <w:r>
        <w:rPr>
          <w:b/>
          <w:bCs/>
          <w:sz w:val="21"/>
          <w:szCs w:val="21"/>
        </w:rPr>
        <w:t>Table 13. Bedside adjunct tests in emergency department headache populations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1085"/>
        <w:gridCol w:w="1381"/>
        <w:gridCol w:w="1973"/>
        <w:gridCol w:w="3849"/>
      </w:tblGrid>
      <w:tr w:rsidR="0039479F" w14:paraId="5E17B104" w14:textId="77777777">
        <w:trPr>
          <w:tblHeader/>
        </w:trPr>
        <w:tc>
          <w:tcPr>
            <w:tcW w:w="1578" w:type="dxa"/>
            <w:shd w:val="clear" w:color="auto" w:fill="F2F2F2"/>
            <w:tcMar>
              <w:top w:w="40" w:type="dxa"/>
              <w:left w:w="70" w:type="dxa"/>
              <w:bottom w:w="40" w:type="dxa"/>
              <w:right w:w="70" w:type="dxa"/>
            </w:tcMar>
          </w:tcPr>
          <w:p w14:paraId="6DB65D51" w14:textId="77777777" w:rsidR="0039479F" w:rsidRDefault="00000000">
            <w:pPr>
              <w:spacing w:line="216" w:lineRule="auto"/>
            </w:pPr>
            <w:r>
              <w:rPr>
                <w:b/>
                <w:bCs/>
                <w:sz w:val="16"/>
                <w:szCs w:val="16"/>
              </w:rPr>
              <w:t>Study</w:t>
            </w:r>
          </w:p>
        </w:tc>
        <w:tc>
          <w:tcPr>
            <w:tcW w:w="1085" w:type="dxa"/>
            <w:shd w:val="clear" w:color="auto" w:fill="F2F2F2"/>
            <w:tcMar>
              <w:top w:w="40" w:type="dxa"/>
              <w:left w:w="70" w:type="dxa"/>
              <w:bottom w:w="40" w:type="dxa"/>
              <w:right w:w="70" w:type="dxa"/>
            </w:tcMar>
          </w:tcPr>
          <w:p w14:paraId="0826DDF2" w14:textId="77777777" w:rsidR="0039479F" w:rsidRDefault="00000000">
            <w:pPr>
              <w:spacing w:line="216" w:lineRule="auto"/>
            </w:pPr>
            <w:r>
              <w:rPr>
                <w:b/>
                <w:bCs/>
                <w:sz w:val="16"/>
                <w:szCs w:val="16"/>
              </w:rPr>
              <w:t>Country</w:t>
            </w:r>
          </w:p>
        </w:tc>
        <w:tc>
          <w:tcPr>
            <w:tcW w:w="1381" w:type="dxa"/>
            <w:shd w:val="clear" w:color="auto" w:fill="F2F2F2"/>
            <w:tcMar>
              <w:top w:w="40" w:type="dxa"/>
              <w:left w:w="70" w:type="dxa"/>
              <w:bottom w:w="40" w:type="dxa"/>
              <w:right w:w="70" w:type="dxa"/>
            </w:tcMar>
          </w:tcPr>
          <w:p w14:paraId="561D4795"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3C500196" w14:textId="77777777" w:rsidR="0039479F" w:rsidRDefault="00000000">
            <w:pPr>
              <w:spacing w:line="216" w:lineRule="auto"/>
            </w:pPr>
            <w:r>
              <w:rPr>
                <w:b/>
                <w:bCs/>
                <w:sz w:val="16"/>
                <w:szCs w:val="16"/>
              </w:rPr>
              <w:t>Index test</w:t>
            </w:r>
          </w:p>
        </w:tc>
        <w:tc>
          <w:tcPr>
            <w:tcW w:w="3849" w:type="dxa"/>
            <w:shd w:val="clear" w:color="auto" w:fill="F2F2F2"/>
            <w:tcMar>
              <w:top w:w="40" w:type="dxa"/>
              <w:left w:w="70" w:type="dxa"/>
              <w:bottom w:w="40" w:type="dxa"/>
              <w:right w:w="70" w:type="dxa"/>
            </w:tcMar>
          </w:tcPr>
          <w:p w14:paraId="6459A4E4" w14:textId="77777777" w:rsidR="0039479F" w:rsidRDefault="00000000">
            <w:pPr>
              <w:spacing w:line="216" w:lineRule="auto"/>
            </w:pPr>
            <w:r>
              <w:rPr>
                <w:b/>
                <w:bCs/>
                <w:sz w:val="16"/>
                <w:szCs w:val="16"/>
              </w:rPr>
              <w:t>Results as reported</w:t>
            </w:r>
          </w:p>
        </w:tc>
      </w:tr>
      <w:tr w:rsidR="0039479F" w14:paraId="5E5AD324" w14:textId="77777777">
        <w:tc>
          <w:tcPr>
            <w:tcW w:w="1578" w:type="dxa"/>
            <w:tcMar>
              <w:top w:w="40" w:type="dxa"/>
              <w:left w:w="70" w:type="dxa"/>
              <w:bottom w:w="40" w:type="dxa"/>
              <w:right w:w="70" w:type="dxa"/>
            </w:tcMar>
          </w:tcPr>
          <w:p w14:paraId="4DEEDFC3" w14:textId="77777777" w:rsidR="0039479F" w:rsidRDefault="00000000">
            <w:pPr>
              <w:spacing w:line="216" w:lineRule="auto"/>
            </w:pPr>
            <w:r>
              <w:rPr>
                <w:sz w:val="16"/>
                <w:szCs w:val="16"/>
              </w:rPr>
              <w:t>Yan et al. (2026)</w:t>
            </w:r>
          </w:p>
        </w:tc>
        <w:tc>
          <w:tcPr>
            <w:tcW w:w="1085" w:type="dxa"/>
            <w:tcMar>
              <w:top w:w="40" w:type="dxa"/>
              <w:left w:w="70" w:type="dxa"/>
              <w:bottom w:w="40" w:type="dxa"/>
              <w:right w:w="70" w:type="dxa"/>
            </w:tcMar>
          </w:tcPr>
          <w:p w14:paraId="600B1899"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24BBA0D7" w14:textId="77777777" w:rsidR="0039479F" w:rsidRDefault="00000000">
            <w:pPr>
              <w:spacing w:line="216" w:lineRule="auto"/>
            </w:pPr>
            <w:r>
              <w:rPr>
                <w:sz w:val="16"/>
                <w:szCs w:val="16"/>
              </w:rPr>
              <w:t xml:space="preserve">1838 visits; 194 with </w:t>
            </w:r>
            <w:proofErr w:type="gramStart"/>
            <w:r>
              <w:rPr>
                <w:sz w:val="16"/>
                <w:szCs w:val="16"/>
              </w:rPr>
              <w:t>headache;…</w:t>
            </w:r>
            <w:proofErr w:type="gramEnd"/>
          </w:p>
        </w:tc>
        <w:tc>
          <w:tcPr>
            <w:tcW w:w="1973" w:type="dxa"/>
            <w:tcMar>
              <w:top w:w="40" w:type="dxa"/>
              <w:left w:w="70" w:type="dxa"/>
              <w:bottom w:w="40" w:type="dxa"/>
              <w:right w:w="70" w:type="dxa"/>
            </w:tcMar>
          </w:tcPr>
          <w:p w14:paraId="4D162A3A" w14:textId="77777777" w:rsidR="0039479F" w:rsidRDefault="00000000">
            <w:pPr>
              <w:spacing w:line="216" w:lineRule="auto"/>
            </w:pPr>
            <w:r>
              <w:rPr>
                <w:sz w:val="16"/>
                <w:szCs w:val="16"/>
              </w:rPr>
              <w:t>Non-mydriatic fundus photography with optical coherence…</w:t>
            </w:r>
          </w:p>
        </w:tc>
        <w:tc>
          <w:tcPr>
            <w:tcW w:w="3849" w:type="dxa"/>
            <w:tcMar>
              <w:top w:w="40" w:type="dxa"/>
              <w:left w:w="70" w:type="dxa"/>
              <w:bottom w:w="40" w:type="dxa"/>
              <w:right w:w="70" w:type="dxa"/>
            </w:tcMar>
          </w:tcPr>
          <w:p w14:paraId="665ECFE8" w14:textId="77777777" w:rsidR="0039479F" w:rsidRDefault="00000000">
            <w:pPr>
              <w:spacing w:line="216" w:lineRule="auto"/>
            </w:pPr>
            <w:r>
              <w:rPr>
                <w:sz w:val="16"/>
                <w:szCs w:val="16"/>
              </w:rPr>
              <w:t xml:space="preserve">149/194 (76.4%) underwent imaging. Group 1 (isolated headache): 40 imaged, 1 papilloedema, 1 dilated </w:t>
            </w:r>
            <w:proofErr w:type="gramStart"/>
            <w:r>
              <w:rPr>
                <w:sz w:val="16"/>
                <w:szCs w:val="16"/>
              </w:rPr>
              <w:t>vessels</w:t>
            </w:r>
            <w:proofErr w:type="gramEnd"/>
            <w:r>
              <w:rPr>
                <w:sz w:val="16"/>
                <w:szCs w:val="16"/>
              </w:rPr>
              <w:t xml:space="preserve"> from carotid-cavernous fistula. Group 2 (neurological issue with headache): 37 imaged, 4 papilloedema</w:t>
            </w:r>
          </w:p>
        </w:tc>
      </w:tr>
      <w:tr w:rsidR="0039479F" w14:paraId="00E5E873" w14:textId="77777777">
        <w:tc>
          <w:tcPr>
            <w:tcW w:w="1578" w:type="dxa"/>
            <w:tcMar>
              <w:top w:w="40" w:type="dxa"/>
              <w:left w:w="70" w:type="dxa"/>
              <w:bottom w:w="40" w:type="dxa"/>
              <w:right w:w="70" w:type="dxa"/>
            </w:tcMar>
          </w:tcPr>
          <w:p w14:paraId="5D630071" w14:textId="77777777" w:rsidR="0039479F" w:rsidRDefault="00000000">
            <w:pPr>
              <w:spacing w:line="216" w:lineRule="auto"/>
            </w:pPr>
            <w:r>
              <w:rPr>
                <w:sz w:val="16"/>
                <w:szCs w:val="16"/>
              </w:rPr>
              <w:t>Song et al. (2023)</w:t>
            </w:r>
          </w:p>
        </w:tc>
        <w:tc>
          <w:tcPr>
            <w:tcW w:w="1085" w:type="dxa"/>
            <w:tcMar>
              <w:top w:w="40" w:type="dxa"/>
              <w:left w:w="70" w:type="dxa"/>
              <w:bottom w:w="40" w:type="dxa"/>
              <w:right w:w="70" w:type="dxa"/>
            </w:tcMar>
          </w:tcPr>
          <w:p w14:paraId="3A14CC43"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4AECFEAE" w14:textId="77777777" w:rsidR="0039479F" w:rsidRDefault="00000000">
            <w:pPr>
              <w:spacing w:line="216" w:lineRule="auto"/>
            </w:pPr>
            <w:r>
              <w:rPr>
                <w:sz w:val="16"/>
                <w:szCs w:val="16"/>
              </w:rPr>
              <w:t>38 patients (72 eyes); 9…</w:t>
            </w:r>
          </w:p>
        </w:tc>
        <w:tc>
          <w:tcPr>
            <w:tcW w:w="1973" w:type="dxa"/>
            <w:tcMar>
              <w:top w:w="40" w:type="dxa"/>
              <w:left w:w="70" w:type="dxa"/>
              <w:bottom w:w="40" w:type="dxa"/>
              <w:right w:w="70" w:type="dxa"/>
            </w:tcMar>
          </w:tcPr>
          <w:p w14:paraId="00F338F9" w14:textId="77777777" w:rsidR="0039479F" w:rsidRDefault="00000000">
            <w:pPr>
              <w:spacing w:line="216" w:lineRule="auto"/>
            </w:pPr>
            <w:r>
              <w:rPr>
                <w:sz w:val="16"/>
                <w:szCs w:val="16"/>
              </w:rPr>
              <w:t>Emergency physician interpretation of robotically acquired…</w:t>
            </w:r>
          </w:p>
        </w:tc>
        <w:tc>
          <w:tcPr>
            <w:tcW w:w="3849" w:type="dxa"/>
            <w:tcMar>
              <w:top w:w="40" w:type="dxa"/>
              <w:left w:w="70" w:type="dxa"/>
              <w:bottom w:w="40" w:type="dxa"/>
              <w:right w:w="70" w:type="dxa"/>
            </w:tcMar>
          </w:tcPr>
          <w:p w14:paraId="0DDD612E" w14:textId="77777777" w:rsidR="0039479F" w:rsidRDefault="00000000">
            <w:pPr>
              <w:spacing w:line="216" w:lineRule="auto"/>
            </w:pPr>
            <w:r>
              <w:rPr>
                <w:sz w:val="16"/>
                <w:szCs w:val="16"/>
              </w:rPr>
              <w:t>33 (46%) eyes normal, 16 (22%) with urgent or emergency abnormality. Emergency physician OCT interpretation: sensitivity 69% (49-89) for any abnormality and 100% (79-100) for urgent/emergency abnormality</w:t>
            </w:r>
          </w:p>
        </w:tc>
      </w:tr>
      <w:tr w:rsidR="0039479F" w14:paraId="34D3F70B" w14:textId="77777777">
        <w:tc>
          <w:tcPr>
            <w:tcW w:w="1578" w:type="dxa"/>
            <w:tcMar>
              <w:top w:w="40" w:type="dxa"/>
              <w:left w:w="70" w:type="dxa"/>
              <w:bottom w:w="40" w:type="dxa"/>
              <w:right w:w="70" w:type="dxa"/>
            </w:tcMar>
          </w:tcPr>
          <w:p w14:paraId="0F132E61" w14:textId="77777777" w:rsidR="0039479F" w:rsidRDefault="00000000">
            <w:pPr>
              <w:spacing w:line="216" w:lineRule="auto"/>
            </w:pPr>
            <w:r>
              <w:rPr>
                <w:sz w:val="16"/>
                <w:szCs w:val="16"/>
              </w:rPr>
              <w:t>Dunn et al. (2022)</w:t>
            </w:r>
          </w:p>
        </w:tc>
        <w:tc>
          <w:tcPr>
            <w:tcW w:w="1085" w:type="dxa"/>
            <w:tcMar>
              <w:top w:w="40" w:type="dxa"/>
              <w:left w:w="70" w:type="dxa"/>
              <w:bottom w:w="40" w:type="dxa"/>
              <w:right w:w="70" w:type="dxa"/>
            </w:tcMar>
          </w:tcPr>
          <w:p w14:paraId="6DE6E99C" w14:textId="77777777" w:rsidR="0039479F" w:rsidRDefault="00000000">
            <w:pPr>
              <w:spacing w:line="216" w:lineRule="auto"/>
            </w:pPr>
            <w:r>
              <w:rPr>
                <w:sz w:val="16"/>
                <w:szCs w:val="16"/>
              </w:rPr>
              <w:t>Australia</w:t>
            </w:r>
          </w:p>
        </w:tc>
        <w:tc>
          <w:tcPr>
            <w:tcW w:w="1381" w:type="dxa"/>
            <w:tcMar>
              <w:top w:w="40" w:type="dxa"/>
              <w:left w:w="70" w:type="dxa"/>
              <w:bottom w:w="40" w:type="dxa"/>
              <w:right w:w="70" w:type="dxa"/>
            </w:tcMar>
          </w:tcPr>
          <w:p w14:paraId="4E9CF35E" w14:textId="77777777" w:rsidR="0039479F" w:rsidRDefault="00000000">
            <w:pPr>
              <w:spacing w:line="216" w:lineRule="auto"/>
            </w:pPr>
            <w:r>
              <w:rPr>
                <w:sz w:val="16"/>
                <w:szCs w:val="16"/>
              </w:rPr>
              <w:t>133</w:t>
            </w:r>
          </w:p>
        </w:tc>
        <w:tc>
          <w:tcPr>
            <w:tcW w:w="1973" w:type="dxa"/>
            <w:tcMar>
              <w:top w:w="40" w:type="dxa"/>
              <w:left w:w="70" w:type="dxa"/>
              <w:bottom w:w="40" w:type="dxa"/>
              <w:right w:w="70" w:type="dxa"/>
            </w:tcMar>
          </w:tcPr>
          <w:p w14:paraId="763133FD" w14:textId="77777777" w:rsidR="0039479F" w:rsidRDefault="00000000">
            <w:pPr>
              <w:spacing w:line="216" w:lineRule="auto"/>
            </w:pPr>
            <w:r>
              <w:rPr>
                <w:sz w:val="16"/>
                <w:szCs w:val="16"/>
              </w:rPr>
              <w:t>Direct ophthalmoscopy versus non-mydriatic fundus…</w:t>
            </w:r>
          </w:p>
        </w:tc>
        <w:tc>
          <w:tcPr>
            <w:tcW w:w="3849" w:type="dxa"/>
            <w:tcMar>
              <w:top w:w="40" w:type="dxa"/>
              <w:left w:w="70" w:type="dxa"/>
              <w:bottom w:w="40" w:type="dxa"/>
              <w:right w:w="70" w:type="dxa"/>
            </w:tcMar>
          </w:tcPr>
          <w:p w14:paraId="58A45EC1" w14:textId="77777777" w:rsidR="0039479F" w:rsidRDefault="00000000">
            <w:pPr>
              <w:spacing w:line="216" w:lineRule="auto"/>
            </w:pPr>
            <w:r>
              <w:rPr>
                <w:sz w:val="16"/>
                <w:szCs w:val="16"/>
              </w:rPr>
              <w:t>Management changed in 52/133 (39%, 95% CI 31-48). Emergency clinician sensitivity improved from 0% (direct ophthalmoscopy) to 29% (fundus photography) and specificity from 59% to 84%; telemedicine registrar review reached 50% sensitivity and 86% specificity. Period prevalence of acute fundus pathology 10.5% (6-17)</w:t>
            </w:r>
          </w:p>
        </w:tc>
      </w:tr>
      <w:tr w:rsidR="0039479F" w14:paraId="31FE69EF" w14:textId="77777777">
        <w:tc>
          <w:tcPr>
            <w:tcW w:w="1578" w:type="dxa"/>
            <w:tcMar>
              <w:top w:w="40" w:type="dxa"/>
              <w:left w:w="70" w:type="dxa"/>
              <w:bottom w:w="40" w:type="dxa"/>
              <w:right w:w="70" w:type="dxa"/>
            </w:tcMar>
          </w:tcPr>
          <w:p w14:paraId="42B92E2C" w14:textId="77777777" w:rsidR="0039479F" w:rsidRDefault="00000000">
            <w:pPr>
              <w:spacing w:line="216" w:lineRule="auto"/>
            </w:pPr>
            <w:r>
              <w:rPr>
                <w:sz w:val="16"/>
                <w:szCs w:val="16"/>
              </w:rPr>
              <w:t>Dunn et al. (2021)</w:t>
            </w:r>
          </w:p>
        </w:tc>
        <w:tc>
          <w:tcPr>
            <w:tcW w:w="1085" w:type="dxa"/>
            <w:tcMar>
              <w:top w:w="40" w:type="dxa"/>
              <w:left w:w="70" w:type="dxa"/>
              <w:bottom w:w="40" w:type="dxa"/>
              <w:right w:w="70" w:type="dxa"/>
            </w:tcMar>
          </w:tcPr>
          <w:p w14:paraId="552D2B45" w14:textId="77777777" w:rsidR="0039479F" w:rsidRDefault="00000000">
            <w:pPr>
              <w:spacing w:line="216" w:lineRule="auto"/>
            </w:pPr>
            <w:r>
              <w:rPr>
                <w:sz w:val="16"/>
                <w:szCs w:val="16"/>
              </w:rPr>
              <w:t>Australia</w:t>
            </w:r>
          </w:p>
        </w:tc>
        <w:tc>
          <w:tcPr>
            <w:tcW w:w="1381" w:type="dxa"/>
            <w:tcMar>
              <w:top w:w="40" w:type="dxa"/>
              <w:left w:w="70" w:type="dxa"/>
              <w:bottom w:w="40" w:type="dxa"/>
              <w:right w:w="70" w:type="dxa"/>
            </w:tcMar>
          </w:tcPr>
          <w:p w14:paraId="40E1D560" w14:textId="77777777" w:rsidR="0039479F" w:rsidRDefault="00000000">
            <w:pPr>
              <w:spacing w:line="216" w:lineRule="auto"/>
            </w:pPr>
            <w:r>
              <w:rPr>
                <w:sz w:val="16"/>
                <w:szCs w:val="16"/>
              </w:rPr>
              <w:t>345</w:t>
            </w:r>
          </w:p>
        </w:tc>
        <w:tc>
          <w:tcPr>
            <w:tcW w:w="1973" w:type="dxa"/>
            <w:tcMar>
              <w:top w:w="40" w:type="dxa"/>
              <w:left w:w="70" w:type="dxa"/>
              <w:bottom w:w="40" w:type="dxa"/>
              <w:right w:w="70" w:type="dxa"/>
            </w:tcMar>
          </w:tcPr>
          <w:p w14:paraId="32C39F83" w14:textId="77777777" w:rsidR="0039479F" w:rsidRDefault="00000000">
            <w:pPr>
              <w:spacing w:line="216" w:lineRule="auto"/>
            </w:pPr>
            <w:r>
              <w:rPr>
                <w:sz w:val="16"/>
                <w:szCs w:val="16"/>
              </w:rPr>
              <w:t>Non-mydriatic fundus photography interpreted by emergency…</w:t>
            </w:r>
          </w:p>
        </w:tc>
        <w:tc>
          <w:tcPr>
            <w:tcW w:w="3849" w:type="dxa"/>
            <w:tcMar>
              <w:top w:w="40" w:type="dxa"/>
              <w:left w:w="70" w:type="dxa"/>
              <w:bottom w:w="40" w:type="dxa"/>
              <w:right w:w="70" w:type="dxa"/>
            </w:tcMar>
          </w:tcPr>
          <w:p w14:paraId="15CB440D" w14:textId="77777777" w:rsidR="0039479F" w:rsidRDefault="00000000">
            <w:pPr>
              <w:spacing w:line="216" w:lineRule="auto"/>
            </w:pPr>
            <w:r>
              <w:rPr>
                <w:sz w:val="16"/>
                <w:szCs w:val="16"/>
              </w:rPr>
              <w:t>Urgent fundus pathology in 56/345 (16%, 95% CI 13-21). Emergency physician versus ophthalmic agreement 74% (kappa 0.196, P=0.001); sensitivity 40% (27-54), specificity 82% (76-86)</w:t>
            </w:r>
          </w:p>
        </w:tc>
      </w:tr>
      <w:tr w:rsidR="0039479F" w14:paraId="2E7AC789" w14:textId="77777777">
        <w:tc>
          <w:tcPr>
            <w:tcW w:w="1578" w:type="dxa"/>
            <w:tcMar>
              <w:top w:w="40" w:type="dxa"/>
              <w:left w:w="70" w:type="dxa"/>
              <w:bottom w:w="40" w:type="dxa"/>
              <w:right w:w="70" w:type="dxa"/>
            </w:tcMar>
          </w:tcPr>
          <w:p w14:paraId="0832CD0B" w14:textId="77777777" w:rsidR="0039479F" w:rsidRDefault="00000000">
            <w:pPr>
              <w:spacing w:line="216" w:lineRule="auto"/>
            </w:pPr>
            <w:r>
              <w:rPr>
                <w:sz w:val="16"/>
                <w:szCs w:val="16"/>
              </w:rPr>
              <w:t>Koyuncu et al. (2020)</w:t>
            </w:r>
          </w:p>
        </w:tc>
        <w:tc>
          <w:tcPr>
            <w:tcW w:w="1085" w:type="dxa"/>
            <w:tcMar>
              <w:top w:w="40" w:type="dxa"/>
              <w:left w:w="70" w:type="dxa"/>
              <w:bottom w:w="40" w:type="dxa"/>
              <w:right w:w="70" w:type="dxa"/>
            </w:tcMar>
          </w:tcPr>
          <w:p w14:paraId="1FF0E2F5"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773FA12D" w14:textId="77777777" w:rsidR="0039479F" w:rsidRDefault="00000000">
            <w:pPr>
              <w:spacing w:line="216" w:lineRule="auto"/>
            </w:pPr>
            <w:r>
              <w:rPr>
                <w:sz w:val="16"/>
                <w:szCs w:val="16"/>
              </w:rPr>
              <w:t>4073</w:t>
            </w:r>
          </w:p>
        </w:tc>
        <w:tc>
          <w:tcPr>
            <w:tcW w:w="1973" w:type="dxa"/>
            <w:tcMar>
              <w:top w:w="40" w:type="dxa"/>
              <w:left w:w="70" w:type="dxa"/>
              <w:bottom w:w="40" w:type="dxa"/>
              <w:right w:w="70" w:type="dxa"/>
            </w:tcMar>
          </w:tcPr>
          <w:p w14:paraId="5F1722D2" w14:textId="77777777" w:rsidR="0039479F" w:rsidRDefault="00000000">
            <w:pPr>
              <w:spacing w:line="216" w:lineRule="auto"/>
            </w:pPr>
            <w:r>
              <w:rPr>
                <w:sz w:val="16"/>
                <w:szCs w:val="16"/>
              </w:rPr>
              <w:t>Non-invasive pulse CO-oximetry</w:t>
            </w:r>
          </w:p>
        </w:tc>
        <w:tc>
          <w:tcPr>
            <w:tcW w:w="3849" w:type="dxa"/>
            <w:tcMar>
              <w:top w:w="40" w:type="dxa"/>
              <w:left w:w="70" w:type="dxa"/>
              <w:bottom w:w="40" w:type="dxa"/>
              <w:right w:w="70" w:type="dxa"/>
            </w:tcMar>
          </w:tcPr>
          <w:p w14:paraId="159FCCA6" w14:textId="77777777" w:rsidR="0039479F" w:rsidRDefault="00000000">
            <w:pPr>
              <w:spacing w:line="216" w:lineRule="auto"/>
            </w:pPr>
            <w:r>
              <w:rPr>
                <w:sz w:val="16"/>
                <w:szCs w:val="16"/>
              </w:rPr>
              <w:t>106/4073 (2.6%) diagnosed with CO poisoning; headache was the commonest presenting complaint in occult poisoning. Non-invasive pulse CO-oximetry and arterial blood gas measurement were compatible</w:t>
            </w:r>
          </w:p>
        </w:tc>
      </w:tr>
      <w:tr w:rsidR="0039479F" w14:paraId="003AA3BE" w14:textId="77777777">
        <w:tc>
          <w:tcPr>
            <w:tcW w:w="1578" w:type="dxa"/>
            <w:tcMar>
              <w:top w:w="40" w:type="dxa"/>
              <w:left w:w="70" w:type="dxa"/>
              <w:bottom w:w="40" w:type="dxa"/>
              <w:right w:w="70" w:type="dxa"/>
            </w:tcMar>
          </w:tcPr>
          <w:p w14:paraId="37459455" w14:textId="77777777" w:rsidR="0039479F" w:rsidRDefault="00000000">
            <w:pPr>
              <w:spacing w:line="216" w:lineRule="auto"/>
            </w:pPr>
            <w:r>
              <w:rPr>
                <w:sz w:val="16"/>
                <w:szCs w:val="16"/>
              </w:rPr>
              <w:t>Canakci et al. (2018)</w:t>
            </w:r>
          </w:p>
        </w:tc>
        <w:tc>
          <w:tcPr>
            <w:tcW w:w="1085" w:type="dxa"/>
            <w:tcMar>
              <w:top w:w="40" w:type="dxa"/>
              <w:left w:w="70" w:type="dxa"/>
              <w:bottom w:w="40" w:type="dxa"/>
              <w:right w:w="70" w:type="dxa"/>
            </w:tcMar>
          </w:tcPr>
          <w:p w14:paraId="03585840"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6F3E3AC8" w14:textId="77777777" w:rsidR="0039479F" w:rsidRDefault="00000000">
            <w:pPr>
              <w:spacing w:line="216" w:lineRule="auto"/>
            </w:pPr>
            <w:r>
              <w:rPr>
                <w:sz w:val="16"/>
                <w:szCs w:val="16"/>
              </w:rPr>
              <w:t>100</w:t>
            </w:r>
          </w:p>
        </w:tc>
        <w:tc>
          <w:tcPr>
            <w:tcW w:w="1973" w:type="dxa"/>
            <w:tcMar>
              <w:top w:w="40" w:type="dxa"/>
              <w:left w:w="70" w:type="dxa"/>
              <w:bottom w:w="40" w:type="dxa"/>
              <w:right w:w="70" w:type="dxa"/>
            </w:tcMar>
          </w:tcPr>
          <w:p w14:paraId="4161F8F3" w14:textId="77777777" w:rsidR="0039479F" w:rsidRDefault="00000000">
            <w:pPr>
              <w:spacing w:line="216" w:lineRule="auto"/>
            </w:pPr>
            <w:r>
              <w:rPr>
                <w:sz w:val="16"/>
                <w:szCs w:val="16"/>
              </w:rPr>
              <w:t>Bedside ocular ultrasound optic nerve sheath diameter…</w:t>
            </w:r>
          </w:p>
        </w:tc>
        <w:tc>
          <w:tcPr>
            <w:tcW w:w="3849" w:type="dxa"/>
            <w:tcMar>
              <w:top w:w="40" w:type="dxa"/>
              <w:left w:w="70" w:type="dxa"/>
              <w:bottom w:w="40" w:type="dxa"/>
              <w:right w:w="70" w:type="dxa"/>
            </w:tcMar>
          </w:tcPr>
          <w:p w14:paraId="66986A80" w14:textId="77777777" w:rsidR="0039479F" w:rsidRDefault="00000000">
            <w:pPr>
              <w:spacing w:line="216" w:lineRule="auto"/>
            </w:pPr>
            <w:r>
              <w:rPr>
                <w:sz w:val="16"/>
                <w:szCs w:val="16"/>
              </w:rPr>
              <w:t>Median ONSD 4.3-4.4 mm with normal CT versus 5.5 mm with abnormal CT (P&lt;0.001); ONSD ipsilateral to the lesion significantly higher than contralateral</w:t>
            </w:r>
          </w:p>
        </w:tc>
      </w:tr>
      <w:tr w:rsidR="0039479F" w14:paraId="6ADAD608" w14:textId="77777777">
        <w:tc>
          <w:tcPr>
            <w:tcW w:w="1578" w:type="dxa"/>
            <w:tcMar>
              <w:top w:w="40" w:type="dxa"/>
              <w:left w:w="70" w:type="dxa"/>
              <w:bottom w:w="40" w:type="dxa"/>
              <w:right w:w="70" w:type="dxa"/>
            </w:tcMar>
          </w:tcPr>
          <w:p w14:paraId="64A8716F" w14:textId="77777777" w:rsidR="0039479F" w:rsidRDefault="00000000">
            <w:pPr>
              <w:spacing w:line="216" w:lineRule="auto"/>
            </w:pPr>
            <w:r>
              <w:rPr>
                <w:sz w:val="16"/>
                <w:szCs w:val="16"/>
              </w:rPr>
              <w:t>Sachdeva et al. (2018)</w:t>
            </w:r>
          </w:p>
        </w:tc>
        <w:tc>
          <w:tcPr>
            <w:tcW w:w="1085" w:type="dxa"/>
            <w:tcMar>
              <w:top w:w="40" w:type="dxa"/>
              <w:left w:w="70" w:type="dxa"/>
              <w:bottom w:w="40" w:type="dxa"/>
              <w:right w:w="70" w:type="dxa"/>
            </w:tcMar>
          </w:tcPr>
          <w:p w14:paraId="2D149F1F"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0B292A6D" w14:textId="77777777" w:rsidR="0039479F" w:rsidRDefault="00000000">
            <w:pPr>
              <w:spacing w:line="216" w:lineRule="auto"/>
            </w:pPr>
            <w:r>
              <w:rPr>
                <w:sz w:val="16"/>
                <w:szCs w:val="16"/>
              </w:rPr>
              <w:t>1408</w:t>
            </w:r>
          </w:p>
        </w:tc>
        <w:tc>
          <w:tcPr>
            <w:tcW w:w="1973" w:type="dxa"/>
            <w:tcMar>
              <w:top w:w="40" w:type="dxa"/>
              <w:left w:w="70" w:type="dxa"/>
              <w:bottom w:w="40" w:type="dxa"/>
              <w:right w:w="70" w:type="dxa"/>
            </w:tcMar>
          </w:tcPr>
          <w:p w14:paraId="454D59FC" w14:textId="77777777" w:rsidR="0039479F" w:rsidRDefault="00000000">
            <w:pPr>
              <w:spacing w:line="216" w:lineRule="auto"/>
            </w:pPr>
            <w:r>
              <w:rPr>
                <w:sz w:val="16"/>
                <w:szCs w:val="16"/>
              </w:rPr>
              <w:t>Non-mydriatic ocular fundus photography</w:t>
            </w:r>
          </w:p>
        </w:tc>
        <w:tc>
          <w:tcPr>
            <w:tcW w:w="3849" w:type="dxa"/>
            <w:tcMar>
              <w:top w:w="40" w:type="dxa"/>
              <w:left w:w="70" w:type="dxa"/>
              <w:bottom w:w="40" w:type="dxa"/>
              <w:right w:w="70" w:type="dxa"/>
            </w:tcMar>
          </w:tcPr>
          <w:p w14:paraId="4381EFD7" w14:textId="77777777" w:rsidR="0039479F" w:rsidRDefault="00000000">
            <w:pPr>
              <w:spacing w:line="216" w:lineRule="auto"/>
            </w:pPr>
            <w:r>
              <w:rPr>
                <w:sz w:val="16"/>
                <w:szCs w:val="16"/>
              </w:rPr>
              <w:t>Optic nerve head oedema in 37/1408 (2.6%, 95% CI 1.9-3.6), bilateral in 27/37 (73%). Commonest final diagnoses idiopathic intracranial hypertension (19), CSF shunt malfunction/infection (3), optic neuritis (3). Associations: BMI &gt;=35 kg/m2 OR 1.9 (p=0.0002), younger age OR 0.5 per 10 y (p&lt;0.0001), visual loss OR 5 (p=0.0002)</w:t>
            </w:r>
          </w:p>
        </w:tc>
      </w:tr>
      <w:tr w:rsidR="0039479F" w14:paraId="18717C83" w14:textId="77777777">
        <w:tc>
          <w:tcPr>
            <w:tcW w:w="1578" w:type="dxa"/>
            <w:tcMar>
              <w:top w:w="40" w:type="dxa"/>
              <w:left w:w="70" w:type="dxa"/>
              <w:bottom w:w="40" w:type="dxa"/>
              <w:right w:w="70" w:type="dxa"/>
            </w:tcMar>
          </w:tcPr>
          <w:p w14:paraId="6851E352" w14:textId="77777777" w:rsidR="0039479F" w:rsidRDefault="00000000">
            <w:pPr>
              <w:spacing w:line="216" w:lineRule="auto"/>
            </w:pPr>
            <w:r>
              <w:rPr>
                <w:sz w:val="16"/>
                <w:szCs w:val="16"/>
              </w:rPr>
              <w:t>Yesilaras et al. (2017)</w:t>
            </w:r>
          </w:p>
        </w:tc>
        <w:tc>
          <w:tcPr>
            <w:tcW w:w="1085" w:type="dxa"/>
            <w:tcMar>
              <w:top w:w="40" w:type="dxa"/>
              <w:left w:w="70" w:type="dxa"/>
              <w:bottom w:w="40" w:type="dxa"/>
              <w:right w:w="70" w:type="dxa"/>
            </w:tcMar>
          </w:tcPr>
          <w:p w14:paraId="288AA8B7"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6A774BD8" w14:textId="77777777" w:rsidR="0039479F" w:rsidRDefault="00000000">
            <w:pPr>
              <w:spacing w:line="216" w:lineRule="auto"/>
            </w:pPr>
            <w:r>
              <w:rPr>
                <w:sz w:val="16"/>
                <w:szCs w:val="16"/>
              </w:rPr>
              <w:t>61 SAH and 61 matched controls</w:t>
            </w:r>
          </w:p>
        </w:tc>
        <w:tc>
          <w:tcPr>
            <w:tcW w:w="1973" w:type="dxa"/>
            <w:tcMar>
              <w:top w:w="40" w:type="dxa"/>
              <w:left w:w="70" w:type="dxa"/>
              <w:bottom w:w="40" w:type="dxa"/>
              <w:right w:w="70" w:type="dxa"/>
            </w:tcMar>
          </w:tcPr>
          <w:p w14:paraId="7DA595BA" w14:textId="77777777" w:rsidR="0039479F" w:rsidRDefault="00000000">
            <w:pPr>
              <w:spacing w:line="216" w:lineRule="auto"/>
            </w:pPr>
            <w:r>
              <w:rPr>
                <w:sz w:val="16"/>
                <w:szCs w:val="16"/>
              </w:rPr>
              <w:t>Optic nerve sheath diameter measured on non-contrast head CT</w:t>
            </w:r>
          </w:p>
        </w:tc>
        <w:tc>
          <w:tcPr>
            <w:tcW w:w="3849" w:type="dxa"/>
            <w:tcMar>
              <w:top w:w="40" w:type="dxa"/>
              <w:left w:w="70" w:type="dxa"/>
              <w:bottom w:w="40" w:type="dxa"/>
              <w:right w:w="70" w:type="dxa"/>
            </w:tcMar>
          </w:tcPr>
          <w:p w14:paraId="546DEEDD" w14:textId="77777777" w:rsidR="0039479F" w:rsidRDefault="00000000">
            <w:pPr>
              <w:spacing w:line="216" w:lineRule="auto"/>
            </w:pPr>
            <w:r>
              <w:rPr>
                <w:sz w:val="16"/>
                <w:szCs w:val="16"/>
              </w:rPr>
              <w:t>Median ONSD 6.72 mm (IQR 1.42) in SAH versus 5.76 mm (IQR 0.96) in controls (p&lt;0.001). Area under ROC curve 0.791 (0.710-0.872); at 6.1 mm threshold sensitivity and specificity both 72%. Inter-rater and intra-rater intraclass correlation 0.84 and 0.95</w:t>
            </w:r>
          </w:p>
        </w:tc>
      </w:tr>
      <w:tr w:rsidR="0039479F" w14:paraId="3E90E707" w14:textId="77777777">
        <w:tc>
          <w:tcPr>
            <w:tcW w:w="1578" w:type="dxa"/>
            <w:tcMar>
              <w:top w:w="40" w:type="dxa"/>
              <w:left w:w="70" w:type="dxa"/>
              <w:bottom w:w="40" w:type="dxa"/>
              <w:right w:w="70" w:type="dxa"/>
            </w:tcMar>
          </w:tcPr>
          <w:p w14:paraId="54C27A77" w14:textId="77777777" w:rsidR="0039479F" w:rsidRDefault="00000000">
            <w:pPr>
              <w:spacing w:line="216" w:lineRule="auto"/>
            </w:pPr>
            <w:r>
              <w:rPr>
                <w:sz w:val="16"/>
                <w:szCs w:val="16"/>
              </w:rPr>
              <w:t>Zorbalar et al. (2014)</w:t>
            </w:r>
          </w:p>
        </w:tc>
        <w:tc>
          <w:tcPr>
            <w:tcW w:w="1085" w:type="dxa"/>
            <w:tcMar>
              <w:top w:w="40" w:type="dxa"/>
              <w:left w:w="70" w:type="dxa"/>
              <w:bottom w:w="40" w:type="dxa"/>
              <w:right w:w="70" w:type="dxa"/>
            </w:tcMar>
          </w:tcPr>
          <w:p w14:paraId="43E10F02"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2C098928" w14:textId="77777777" w:rsidR="0039479F" w:rsidRDefault="00000000">
            <w:pPr>
              <w:spacing w:line="216" w:lineRule="auto"/>
            </w:pPr>
            <w:r>
              <w:rPr>
                <w:sz w:val="16"/>
                <w:szCs w:val="16"/>
              </w:rPr>
              <w:t>483</w:t>
            </w:r>
          </w:p>
        </w:tc>
        <w:tc>
          <w:tcPr>
            <w:tcW w:w="1973" w:type="dxa"/>
            <w:tcMar>
              <w:top w:w="40" w:type="dxa"/>
              <w:left w:w="70" w:type="dxa"/>
              <w:bottom w:w="40" w:type="dxa"/>
              <w:right w:w="70" w:type="dxa"/>
            </w:tcMar>
          </w:tcPr>
          <w:p w14:paraId="04DF9DAD" w14:textId="77777777" w:rsidR="0039479F" w:rsidRDefault="00000000">
            <w:pPr>
              <w:spacing w:line="216" w:lineRule="auto"/>
            </w:pPr>
            <w:r>
              <w:rPr>
                <w:sz w:val="16"/>
                <w:szCs w:val="16"/>
              </w:rPr>
              <w:t>Non-invasive pulse CO-oximetry (SpCO)</w:t>
            </w:r>
          </w:p>
        </w:tc>
        <w:tc>
          <w:tcPr>
            <w:tcW w:w="3849" w:type="dxa"/>
            <w:tcMar>
              <w:top w:w="40" w:type="dxa"/>
              <w:left w:w="70" w:type="dxa"/>
              <w:bottom w:w="40" w:type="dxa"/>
              <w:right w:w="70" w:type="dxa"/>
            </w:tcMar>
          </w:tcPr>
          <w:p w14:paraId="11B096AB" w14:textId="77777777" w:rsidR="0039479F" w:rsidRDefault="00000000">
            <w:pPr>
              <w:spacing w:line="216" w:lineRule="auto"/>
            </w:pPr>
            <w:r>
              <w:rPr>
                <w:sz w:val="16"/>
                <w:szCs w:val="16"/>
              </w:rPr>
              <w:t>38 had SpCO &gt;10%, of whom 31 (6.4% of the study population) had confirmed CO poisoning; positive predictive value of SpCO 82%. 24 (77%) of poisoning cases were suspected and 7 (23%) occult</w:t>
            </w:r>
          </w:p>
        </w:tc>
      </w:tr>
      <w:tr w:rsidR="0039479F" w14:paraId="207C5025" w14:textId="77777777">
        <w:tc>
          <w:tcPr>
            <w:tcW w:w="1578" w:type="dxa"/>
            <w:tcMar>
              <w:top w:w="40" w:type="dxa"/>
              <w:left w:w="70" w:type="dxa"/>
              <w:bottom w:w="40" w:type="dxa"/>
              <w:right w:w="70" w:type="dxa"/>
            </w:tcMar>
          </w:tcPr>
          <w:p w14:paraId="57FBC744" w14:textId="77777777" w:rsidR="0039479F" w:rsidRDefault="00000000">
            <w:pPr>
              <w:spacing w:line="216" w:lineRule="auto"/>
            </w:pPr>
            <w:r>
              <w:rPr>
                <w:sz w:val="16"/>
                <w:szCs w:val="16"/>
              </w:rPr>
              <w:t>Bruce et al. (2013)</w:t>
            </w:r>
          </w:p>
        </w:tc>
        <w:tc>
          <w:tcPr>
            <w:tcW w:w="1085" w:type="dxa"/>
            <w:tcMar>
              <w:top w:w="40" w:type="dxa"/>
              <w:left w:w="70" w:type="dxa"/>
              <w:bottom w:w="40" w:type="dxa"/>
              <w:right w:w="70" w:type="dxa"/>
            </w:tcMar>
          </w:tcPr>
          <w:p w14:paraId="71185FBB"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4F1D7594" w14:textId="77777777" w:rsidR="0039479F" w:rsidRDefault="00000000">
            <w:pPr>
              <w:spacing w:line="216" w:lineRule="auto"/>
            </w:pPr>
            <w:r>
              <w:rPr>
                <w:sz w:val="16"/>
                <w:szCs w:val="16"/>
              </w:rPr>
              <w:t>354 photographed; 239 (68</w:t>
            </w:r>
            <w:proofErr w:type="gramStart"/>
            <w:r>
              <w:rPr>
                <w:sz w:val="16"/>
                <w:szCs w:val="16"/>
              </w:rPr>
              <w:t>%)…</w:t>
            </w:r>
            <w:proofErr w:type="gramEnd"/>
          </w:p>
        </w:tc>
        <w:tc>
          <w:tcPr>
            <w:tcW w:w="1973" w:type="dxa"/>
            <w:tcMar>
              <w:top w:w="40" w:type="dxa"/>
              <w:left w:w="70" w:type="dxa"/>
              <w:bottom w:w="40" w:type="dxa"/>
              <w:right w:w="70" w:type="dxa"/>
            </w:tcMar>
          </w:tcPr>
          <w:p w14:paraId="3834974B" w14:textId="77777777" w:rsidR="0039479F" w:rsidRDefault="00000000">
            <w:pPr>
              <w:spacing w:line="216" w:lineRule="auto"/>
            </w:pPr>
            <w:r>
              <w:rPr>
                <w:sz w:val="16"/>
                <w:szCs w:val="16"/>
              </w:rPr>
              <w:t>Emergency physician review of non-mydriatic fundus…</w:t>
            </w:r>
          </w:p>
        </w:tc>
        <w:tc>
          <w:tcPr>
            <w:tcW w:w="3849" w:type="dxa"/>
            <w:tcMar>
              <w:top w:w="40" w:type="dxa"/>
              <w:left w:w="70" w:type="dxa"/>
              <w:bottom w:w="40" w:type="dxa"/>
              <w:right w:w="70" w:type="dxa"/>
            </w:tcMar>
          </w:tcPr>
          <w:p w14:paraId="549CDAA2" w14:textId="77777777" w:rsidR="0039479F" w:rsidRDefault="00000000">
            <w:pPr>
              <w:spacing w:line="216" w:lineRule="auto"/>
            </w:pPr>
            <w:r>
              <w:rPr>
                <w:sz w:val="16"/>
                <w:szCs w:val="16"/>
              </w:rPr>
              <w:t xml:space="preserve">35/354 (10%, 95% CI 7-13) had relevant findings by neuro-ophthalmologist review, including </w:t>
            </w:r>
            <w:proofErr w:type="gramStart"/>
            <w:r>
              <w:rPr>
                <w:sz w:val="16"/>
                <w:szCs w:val="16"/>
              </w:rPr>
              <w:t>6 disc</w:t>
            </w:r>
            <w:proofErr w:type="gramEnd"/>
            <w:r>
              <w:rPr>
                <w:sz w:val="16"/>
                <w:szCs w:val="16"/>
              </w:rPr>
              <w:t xml:space="preserve"> oedema and 6 grade III/IV hypertensive retinopathy</w:t>
            </w:r>
          </w:p>
        </w:tc>
      </w:tr>
      <w:tr w:rsidR="0039479F" w14:paraId="045A6648" w14:textId="77777777">
        <w:tc>
          <w:tcPr>
            <w:tcW w:w="1578" w:type="dxa"/>
            <w:tcMar>
              <w:top w:w="40" w:type="dxa"/>
              <w:left w:w="70" w:type="dxa"/>
              <w:bottom w:w="40" w:type="dxa"/>
              <w:right w:w="70" w:type="dxa"/>
            </w:tcMar>
          </w:tcPr>
          <w:p w14:paraId="5C1B665E" w14:textId="77777777" w:rsidR="0039479F" w:rsidRDefault="00000000">
            <w:pPr>
              <w:spacing w:line="216" w:lineRule="auto"/>
            </w:pPr>
            <w:r>
              <w:rPr>
                <w:sz w:val="16"/>
                <w:szCs w:val="16"/>
              </w:rPr>
              <w:t>Thulasi et al. (2013)</w:t>
            </w:r>
          </w:p>
        </w:tc>
        <w:tc>
          <w:tcPr>
            <w:tcW w:w="1085" w:type="dxa"/>
            <w:tcMar>
              <w:top w:w="40" w:type="dxa"/>
              <w:left w:w="70" w:type="dxa"/>
              <w:bottom w:w="40" w:type="dxa"/>
              <w:right w:w="70" w:type="dxa"/>
            </w:tcMar>
          </w:tcPr>
          <w:p w14:paraId="22331691"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1CF57A2A" w14:textId="77777777" w:rsidR="0039479F" w:rsidRDefault="00000000">
            <w:pPr>
              <w:spacing w:line="216" w:lineRule="auto"/>
            </w:pPr>
            <w:r>
              <w:rPr>
                <w:sz w:val="16"/>
                <w:szCs w:val="16"/>
              </w:rPr>
              <w:t>497</w:t>
            </w:r>
          </w:p>
        </w:tc>
        <w:tc>
          <w:tcPr>
            <w:tcW w:w="1973" w:type="dxa"/>
            <w:tcMar>
              <w:top w:w="40" w:type="dxa"/>
              <w:left w:w="70" w:type="dxa"/>
              <w:bottom w:w="40" w:type="dxa"/>
              <w:right w:w="70" w:type="dxa"/>
            </w:tcMar>
          </w:tcPr>
          <w:p w14:paraId="105C6DA9" w14:textId="77777777" w:rsidR="0039479F" w:rsidRDefault="00000000">
            <w:pPr>
              <w:spacing w:line="216" w:lineRule="auto"/>
            </w:pPr>
            <w:r>
              <w:rPr>
                <w:sz w:val="16"/>
                <w:szCs w:val="16"/>
              </w:rPr>
              <w:t>Non-mydriatic ocular fundus photography reviewed by two…</w:t>
            </w:r>
          </w:p>
        </w:tc>
        <w:tc>
          <w:tcPr>
            <w:tcW w:w="3849" w:type="dxa"/>
            <w:tcMar>
              <w:top w:w="40" w:type="dxa"/>
              <w:left w:w="70" w:type="dxa"/>
              <w:bottom w:w="40" w:type="dxa"/>
              <w:right w:w="70" w:type="dxa"/>
            </w:tcMar>
          </w:tcPr>
          <w:p w14:paraId="44E79C0D" w14:textId="77777777" w:rsidR="0039479F" w:rsidRDefault="00000000">
            <w:pPr>
              <w:spacing w:line="216" w:lineRule="auto"/>
            </w:pPr>
            <w:r>
              <w:rPr>
                <w:sz w:val="16"/>
                <w:szCs w:val="16"/>
              </w:rPr>
              <w:t xml:space="preserve">Fundus abnormalities in 42/497 (8.5%, 95% CI 6-11): </w:t>
            </w:r>
            <w:proofErr w:type="gramStart"/>
            <w:r>
              <w:rPr>
                <w:sz w:val="16"/>
                <w:szCs w:val="16"/>
              </w:rPr>
              <w:t>12 disc</w:t>
            </w:r>
            <w:proofErr w:type="gramEnd"/>
            <w:r>
              <w:rPr>
                <w:sz w:val="16"/>
                <w:szCs w:val="16"/>
              </w:rPr>
              <w:t xml:space="preserve"> oedema, 9 optic nerve pallor, 6 grade III/IV hypertensive retinopathy, 15 isolated retinal haemorrhages. Predictors: BMI &gt;=35 kg/m2 OR 2.3 (p=0.02), younger age OR 0.7 per 10 y (p=0.02), higher mean arterial pressure OR 1.3 per 10 mmHg (p=0.003). Of 34 with abnormal…</w:t>
            </w:r>
          </w:p>
        </w:tc>
      </w:tr>
      <w:tr w:rsidR="0039479F" w14:paraId="2DA6A89F" w14:textId="77777777">
        <w:tc>
          <w:tcPr>
            <w:tcW w:w="1578" w:type="dxa"/>
            <w:tcMar>
              <w:top w:w="40" w:type="dxa"/>
              <w:left w:w="70" w:type="dxa"/>
              <w:bottom w:w="40" w:type="dxa"/>
              <w:right w:w="70" w:type="dxa"/>
            </w:tcMar>
          </w:tcPr>
          <w:p w14:paraId="1B129D8B" w14:textId="77777777" w:rsidR="0039479F" w:rsidRDefault="00000000">
            <w:pPr>
              <w:spacing w:line="216" w:lineRule="auto"/>
            </w:pPr>
            <w:r>
              <w:rPr>
                <w:sz w:val="16"/>
                <w:szCs w:val="16"/>
              </w:rPr>
              <w:t>Eberhardt et al. (2006)</w:t>
            </w:r>
          </w:p>
        </w:tc>
        <w:tc>
          <w:tcPr>
            <w:tcW w:w="1085" w:type="dxa"/>
            <w:tcMar>
              <w:top w:w="40" w:type="dxa"/>
              <w:left w:w="70" w:type="dxa"/>
              <w:bottom w:w="40" w:type="dxa"/>
              <w:right w:w="70" w:type="dxa"/>
            </w:tcMar>
          </w:tcPr>
          <w:p w14:paraId="3432989E"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1415A4F1" w14:textId="77777777" w:rsidR="0039479F" w:rsidRDefault="00000000">
            <w:pPr>
              <w:spacing w:line="216" w:lineRule="auto"/>
            </w:pPr>
            <w:r>
              <w:rPr>
                <w:sz w:val="16"/>
                <w:szCs w:val="16"/>
              </w:rPr>
              <w:t>170 subjects and 98 controls</w:t>
            </w:r>
          </w:p>
        </w:tc>
        <w:tc>
          <w:tcPr>
            <w:tcW w:w="1973" w:type="dxa"/>
            <w:tcMar>
              <w:top w:w="40" w:type="dxa"/>
              <w:left w:w="70" w:type="dxa"/>
              <w:bottom w:w="40" w:type="dxa"/>
              <w:right w:w="70" w:type="dxa"/>
            </w:tcMar>
          </w:tcPr>
          <w:p w14:paraId="1D65663A" w14:textId="77777777" w:rsidR="0039479F" w:rsidRDefault="00000000">
            <w:pPr>
              <w:spacing w:line="216" w:lineRule="auto"/>
            </w:pPr>
            <w:r>
              <w:rPr>
                <w:sz w:val="16"/>
                <w:szCs w:val="16"/>
              </w:rPr>
              <w:t>Non-invasive CO breath analyser</w:t>
            </w:r>
          </w:p>
        </w:tc>
        <w:tc>
          <w:tcPr>
            <w:tcW w:w="3849" w:type="dxa"/>
            <w:tcMar>
              <w:top w:w="40" w:type="dxa"/>
              <w:left w:w="70" w:type="dxa"/>
              <w:bottom w:w="40" w:type="dxa"/>
              <w:right w:w="70" w:type="dxa"/>
            </w:tcMar>
          </w:tcPr>
          <w:p w14:paraId="560F8D25" w14:textId="77777777" w:rsidR="0039479F" w:rsidRDefault="00000000">
            <w:pPr>
              <w:spacing w:line="216" w:lineRule="auto"/>
            </w:pPr>
            <w:r>
              <w:rPr>
                <w:sz w:val="16"/>
                <w:szCs w:val="16"/>
              </w:rPr>
              <w:t>12/170 (7.1%) headache patients had elevated carboxyhaemoglobin confirmed on venous testing versus 1/98 (1.0%) controls (p&lt;0.05)</w:t>
            </w:r>
          </w:p>
        </w:tc>
      </w:tr>
    </w:tbl>
    <w:p w14:paraId="6D9FAFFB" w14:textId="77777777" w:rsidR="0039479F" w:rsidRDefault="00000000">
      <w:pPr>
        <w:spacing w:before="90" w:after="220" w:line="240" w:lineRule="auto"/>
      </w:pPr>
      <w:r>
        <w:rPr>
          <w:sz w:val="17"/>
          <w:szCs w:val="17"/>
        </w:rPr>
        <w:t>Note. Diagnostic accuracy for fundus imaging depends heavily on who interprets the image; emergency physician and specialist estimates are reported separately where the study provided both. Long entries are abbreviated here; the complete extraction for every report is in Supplementary material S5.</w:t>
      </w:r>
    </w:p>
    <w:p w14:paraId="222F1052" w14:textId="77777777" w:rsidR="0039479F" w:rsidRDefault="00000000">
      <w:pPr>
        <w:pStyle w:val="Heading2"/>
        <w:keepNext/>
        <w:spacing w:before="220" w:after="110"/>
      </w:pPr>
      <w:r>
        <w:t>3.13 Meningitis: bedside signs and the decision to perform lumbar puncture</w:t>
      </w:r>
    </w:p>
    <w:p w14:paraId="0291CF11" w14:textId="77777777" w:rsidR="0039479F" w:rsidRDefault="00000000">
      <w:pPr>
        <w:spacing w:after="140"/>
        <w:jc w:val="both"/>
      </w:pPr>
      <w:r>
        <w:t xml:space="preserve">Eleven reports evaluated bedside signs for meningitis, and their collective message is unambiguous: none of the classical signs, including jolt accentuation of headache, is sensitive enough to withhold lumbar puncture. Reported sensitivities for jolt accentuation ranged from 21% (Nakao et al., 2014) through 62.5% (Afhami et al., 2017), 63.9% (95% CI 51.9–76.0) (Tamune et al., 2013), 68.9% (Kuzume et al., 2019) and 69.6% (Mofidi et al., 2017) to 75.0% (95% CI 61.8–84.8) under a narrow definition (Sato et al., 2017). Specificity was equally unstable, from 3.8% (Kuzume et al., 2019) and 33.3% (Mofidi et al., 2017) to 88.3% (Afhami et al., 2017), and </w:t>
      </w:r>
      <w:r>
        <w:lastRenderedPageBreak/>
        <w:t>the resulting negative likelihood ratios cluster close to unity — 0.80 (95% CI 0.48–1.34) in one cohort (Sato et al., 2017) — which is to say that a negative result changes the probability of meningitis very little. In a specific setting the sign was almost useless as a screen, with a sensitivity of 0.29 and specificity of 0.96 for herpes zoster-associated meningitis (Miyazawa et al., 2025). The other classical signs performed no better as rule-out tests: among 230 neurologically intact adults undergoing lumbar puncture, sensitivities were 21% for jolt accentuation, 13% for nuchal rigidity and 2% each for the Kernig and Brudzinski signs (Nakao et al., 2014).</w:t>
      </w:r>
    </w:p>
    <w:p w14:paraId="2EC17846" w14:textId="77777777" w:rsidR="0039479F" w:rsidRDefault="00000000">
      <w:pPr>
        <w:spacing w:after="140"/>
        <w:jc w:val="both"/>
      </w:pPr>
      <w:r>
        <w:t>The corollary is that meningitis frequently presents without meningeal signs at all. In a prospective consecutive cohort of 338 adults undergoing lumbar puncture with structured neurological assessment, 96 (28.4%) had meningitis in the absence of meningeal irritation signs; in that group younger age, headache, nausea, vomiting, painful eye movements and phonophobia increased the likelihood, whereas fever, leucocytosis, lymphopenia, C-reactive protein and immunosuppression did not (Fellner et al., 2020). Attempts to identify patients in whom lumbar puncture can safely be omitted have therefore been framed in the opposite direction, as rules for ruling out infection rather than in: a composite of age over 80 years, cognitive impairment and absence of the meningitis triad had a positive predictive value of 98% and specificity of 99% for the absence of central nervous system infection (Kirkegaard-Biosca et al., 2024). Among adults with fever and headache but no altered mental status or deficit, only C-reactive protein discriminated between diagnostic groups, with medians of 5.6 mg/dL without meningitis, 0.2 mg/dL with aseptic meningitis and 21.7 mg/dL in the single bacterial case (Takada et al., 2024). Table 14 presents the studies in this domain.</w:t>
      </w:r>
    </w:p>
    <w:p w14:paraId="4F2FD8A4" w14:textId="77777777" w:rsidR="0039479F" w:rsidRDefault="00000000">
      <w:pPr>
        <w:keepNext/>
        <w:spacing w:before="200" w:after="90"/>
      </w:pPr>
      <w:r>
        <w:rPr>
          <w:b/>
          <w:bCs/>
          <w:sz w:val="21"/>
          <w:szCs w:val="21"/>
        </w:rPr>
        <w:t>Table 14. Bedside signs and clinical rules in suspected meningitis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1085"/>
        <w:gridCol w:w="1282"/>
        <w:gridCol w:w="1973"/>
        <w:gridCol w:w="3948"/>
      </w:tblGrid>
      <w:tr w:rsidR="0039479F" w14:paraId="4B82A405" w14:textId="77777777">
        <w:trPr>
          <w:tblHeader/>
        </w:trPr>
        <w:tc>
          <w:tcPr>
            <w:tcW w:w="1578" w:type="dxa"/>
            <w:shd w:val="clear" w:color="auto" w:fill="F2F2F2"/>
            <w:tcMar>
              <w:top w:w="40" w:type="dxa"/>
              <w:left w:w="70" w:type="dxa"/>
              <w:bottom w:w="40" w:type="dxa"/>
              <w:right w:w="70" w:type="dxa"/>
            </w:tcMar>
          </w:tcPr>
          <w:p w14:paraId="7996F9CB" w14:textId="77777777" w:rsidR="0039479F" w:rsidRDefault="00000000">
            <w:pPr>
              <w:spacing w:line="216" w:lineRule="auto"/>
            </w:pPr>
            <w:r>
              <w:rPr>
                <w:b/>
                <w:bCs/>
                <w:sz w:val="16"/>
                <w:szCs w:val="16"/>
              </w:rPr>
              <w:t>Study</w:t>
            </w:r>
          </w:p>
        </w:tc>
        <w:tc>
          <w:tcPr>
            <w:tcW w:w="1085" w:type="dxa"/>
            <w:shd w:val="clear" w:color="auto" w:fill="F2F2F2"/>
            <w:tcMar>
              <w:top w:w="40" w:type="dxa"/>
              <w:left w:w="70" w:type="dxa"/>
              <w:bottom w:w="40" w:type="dxa"/>
              <w:right w:w="70" w:type="dxa"/>
            </w:tcMar>
          </w:tcPr>
          <w:p w14:paraId="2FF9E85E" w14:textId="77777777" w:rsidR="0039479F" w:rsidRDefault="00000000">
            <w:pPr>
              <w:spacing w:line="216" w:lineRule="auto"/>
            </w:pPr>
            <w:r>
              <w:rPr>
                <w:b/>
                <w:bCs/>
                <w:sz w:val="16"/>
                <w:szCs w:val="16"/>
              </w:rPr>
              <w:t>Country</w:t>
            </w:r>
          </w:p>
        </w:tc>
        <w:tc>
          <w:tcPr>
            <w:tcW w:w="1282" w:type="dxa"/>
            <w:shd w:val="clear" w:color="auto" w:fill="F2F2F2"/>
            <w:tcMar>
              <w:top w:w="40" w:type="dxa"/>
              <w:left w:w="70" w:type="dxa"/>
              <w:bottom w:w="40" w:type="dxa"/>
              <w:right w:w="70" w:type="dxa"/>
            </w:tcMar>
          </w:tcPr>
          <w:p w14:paraId="21542F4C"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35A74596" w14:textId="77777777" w:rsidR="0039479F" w:rsidRDefault="00000000">
            <w:pPr>
              <w:spacing w:line="216" w:lineRule="auto"/>
            </w:pPr>
            <w:r>
              <w:rPr>
                <w:b/>
                <w:bCs/>
                <w:sz w:val="16"/>
                <w:szCs w:val="16"/>
              </w:rPr>
              <w:t>Index test</w:t>
            </w:r>
          </w:p>
        </w:tc>
        <w:tc>
          <w:tcPr>
            <w:tcW w:w="3948" w:type="dxa"/>
            <w:shd w:val="clear" w:color="auto" w:fill="F2F2F2"/>
            <w:tcMar>
              <w:top w:w="40" w:type="dxa"/>
              <w:left w:w="70" w:type="dxa"/>
              <w:bottom w:w="40" w:type="dxa"/>
              <w:right w:w="70" w:type="dxa"/>
            </w:tcMar>
          </w:tcPr>
          <w:p w14:paraId="6D255033" w14:textId="77777777" w:rsidR="0039479F" w:rsidRDefault="00000000">
            <w:pPr>
              <w:spacing w:line="216" w:lineRule="auto"/>
            </w:pPr>
            <w:r>
              <w:rPr>
                <w:b/>
                <w:bCs/>
                <w:sz w:val="16"/>
                <w:szCs w:val="16"/>
              </w:rPr>
              <w:t>Results as reported</w:t>
            </w:r>
          </w:p>
        </w:tc>
      </w:tr>
      <w:tr w:rsidR="0039479F" w14:paraId="771ADC77" w14:textId="77777777">
        <w:tc>
          <w:tcPr>
            <w:tcW w:w="1578" w:type="dxa"/>
            <w:tcMar>
              <w:top w:w="40" w:type="dxa"/>
              <w:left w:w="70" w:type="dxa"/>
              <w:bottom w:w="40" w:type="dxa"/>
              <w:right w:w="70" w:type="dxa"/>
            </w:tcMar>
          </w:tcPr>
          <w:p w14:paraId="6DDB3871" w14:textId="77777777" w:rsidR="0039479F" w:rsidRDefault="00000000">
            <w:pPr>
              <w:spacing w:line="216" w:lineRule="auto"/>
            </w:pPr>
            <w:r>
              <w:rPr>
                <w:sz w:val="16"/>
                <w:szCs w:val="16"/>
              </w:rPr>
              <w:t>Miyazawa et al. (2025)</w:t>
            </w:r>
          </w:p>
        </w:tc>
        <w:tc>
          <w:tcPr>
            <w:tcW w:w="1085" w:type="dxa"/>
            <w:tcMar>
              <w:top w:w="40" w:type="dxa"/>
              <w:left w:w="70" w:type="dxa"/>
              <w:bottom w:w="40" w:type="dxa"/>
              <w:right w:w="70" w:type="dxa"/>
            </w:tcMar>
          </w:tcPr>
          <w:p w14:paraId="0E114515"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4793FE2F" w14:textId="77777777" w:rsidR="0039479F" w:rsidRDefault="00000000">
            <w:pPr>
              <w:spacing w:line="216" w:lineRule="auto"/>
            </w:pPr>
            <w:r>
              <w:rPr>
                <w:sz w:val="16"/>
                <w:szCs w:val="16"/>
              </w:rPr>
              <w:t>70</w:t>
            </w:r>
          </w:p>
        </w:tc>
        <w:tc>
          <w:tcPr>
            <w:tcW w:w="1973" w:type="dxa"/>
            <w:tcMar>
              <w:top w:w="40" w:type="dxa"/>
              <w:left w:w="70" w:type="dxa"/>
              <w:bottom w:w="40" w:type="dxa"/>
              <w:right w:w="70" w:type="dxa"/>
            </w:tcMar>
          </w:tcPr>
          <w:p w14:paraId="138B3CD3" w14:textId="77777777" w:rsidR="0039479F" w:rsidRDefault="00000000">
            <w:pPr>
              <w:spacing w:line="216" w:lineRule="auto"/>
            </w:pPr>
            <w:r>
              <w:rPr>
                <w:sz w:val="16"/>
                <w:szCs w:val="16"/>
              </w:rPr>
              <w:t>Jolt accentuation and other clinical features</w:t>
            </w:r>
          </w:p>
        </w:tc>
        <w:tc>
          <w:tcPr>
            <w:tcW w:w="3948" w:type="dxa"/>
            <w:tcMar>
              <w:top w:w="40" w:type="dxa"/>
              <w:left w:w="70" w:type="dxa"/>
              <w:bottom w:w="40" w:type="dxa"/>
              <w:right w:w="70" w:type="dxa"/>
            </w:tcMar>
          </w:tcPr>
          <w:p w14:paraId="5FA925C5" w14:textId="77777777" w:rsidR="0039479F" w:rsidRDefault="00000000">
            <w:pPr>
              <w:spacing w:line="216" w:lineRule="auto"/>
            </w:pPr>
            <w:r>
              <w:rPr>
                <w:sz w:val="16"/>
                <w:szCs w:val="16"/>
              </w:rPr>
              <w:t>Meningitis in 17/70. Jolt accentuation present in 29.4% with versus 3.8% without meningitis (p=0.0077); sensitivity 0.29, specificity 0.96</w:t>
            </w:r>
          </w:p>
        </w:tc>
      </w:tr>
      <w:tr w:rsidR="0039479F" w14:paraId="2B7B92A4" w14:textId="77777777">
        <w:tc>
          <w:tcPr>
            <w:tcW w:w="1578" w:type="dxa"/>
            <w:tcMar>
              <w:top w:w="40" w:type="dxa"/>
              <w:left w:w="70" w:type="dxa"/>
              <w:bottom w:w="40" w:type="dxa"/>
              <w:right w:w="70" w:type="dxa"/>
            </w:tcMar>
          </w:tcPr>
          <w:p w14:paraId="5C88C2A1" w14:textId="77777777" w:rsidR="0039479F" w:rsidRDefault="00000000">
            <w:pPr>
              <w:spacing w:line="216" w:lineRule="auto"/>
            </w:pPr>
            <w:r>
              <w:rPr>
                <w:sz w:val="16"/>
                <w:szCs w:val="16"/>
              </w:rPr>
              <w:t>Kirkegaard-Biosca et al. (2024)</w:t>
            </w:r>
          </w:p>
        </w:tc>
        <w:tc>
          <w:tcPr>
            <w:tcW w:w="1085" w:type="dxa"/>
            <w:tcMar>
              <w:top w:w="40" w:type="dxa"/>
              <w:left w:w="70" w:type="dxa"/>
              <w:bottom w:w="40" w:type="dxa"/>
              <w:right w:w="70" w:type="dxa"/>
            </w:tcMar>
          </w:tcPr>
          <w:p w14:paraId="059F8F01" w14:textId="77777777" w:rsidR="0039479F" w:rsidRDefault="00000000">
            <w:pPr>
              <w:spacing w:line="216" w:lineRule="auto"/>
            </w:pPr>
            <w:r>
              <w:rPr>
                <w:sz w:val="16"/>
                <w:szCs w:val="16"/>
              </w:rPr>
              <w:t>Spain</w:t>
            </w:r>
          </w:p>
        </w:tc>
        <w:tc>
          <w:tcPr>
            <w:tcW w:w="1282" w:type="dxa"/>
            <w:tcMar>
              <w:top w:w="40" w:type="dxa"/>
              <w:left w:w="70" w:type="dxa"/>
              <w:bottom w:w="40" w:type="dxa"/>
              <w:right w:w="70" w:type="dxa"/>
            </w:tcMar>
          </w:tcPr>
          <w:p w14:paraId="553DDE26" w14:textId="77777777" w:rsidR="0039479F" w:rsidRDefault="00000000">
            <w:pPr>
              <w:spacing w:line="216" w:lineRule="auto"/>
            </w:pPr>
            <w:r>
              <w:rPr>
                <w:sz w:val="16"/>
                <w:szCs w:val="16"/>
              </w:rPr>
              <w:t>489</w:t>
            </w:r>
          </w:p>
        </w:tc>
        <w:tc>
          <w:tcPr>
            <w:tcW w:w="1973" w:type="dxa"/>
            <w:tcMar>
              <w:top w:w="40" w:type="dxa"/>
              <w:left w:w="70" w:type="dxa"/>
              <w:bottom w:w="40" w:type="dxa"/>
              <w:right w:w="70" w:type="dxa"/>
            </w:tcMar>
          </w:tcPr>
          <w:p w14:paraId="418027E7" w14:textId="77777777" w:rsidR="0039479F" w:rsidRDefault="00000000">
            <w:pPr>
              <w:spacing w:line="216" w:lineRule="auto"/>
            </w:pPr>
            <w:r>
              <w:rPr>
                <w:sz w:val="16"/>
                <w:szCs w:val="16"/>
              </w:rPr>
              <w:t>Composite clinical variable (age &gt;80 y, cognitive…</w:t>
            </w:r>
          </w:p>
        </w:tc>
        <w:tc>
          <w:tcPr>
            <w:tcW w:w="3948" w:type="dxa"/>
            <w:tcMar>
              <w:top w:w="40" w:type="dxa"/>
              <w:left w:w="70" w:type="dxa"/>
              <w:bottom w:w="40" w:type="dxa"/>
              <w:right w:w="70" w:type="dxa"/>
            </w:tcMar>
          </w:tcPr>
          <w:p w14:paraId="6C87A96C" w14:textId="77777777" w:rsidR="0039479F" w:rsidRDefault="00000000">
            <w:pPr>
              <w:spacing w:line="216" w:lineRule="auto"/>
            </w:pPr>
            <w:r>
              <w:rPr>
                <w:sz w:val="16"/>
                <w:szCs w:val="16"/>
              </w:rPr>
              <w:t>CNS infection 77/489 (15.7%). Composite variable for identifying non-CNS-infection: PPV 98%, specificity 99%. Independent associations with absence of CNS infection: female sex OR 1.89 (1.12-3.20), age &gt;80 y OR 3.14 (1.20-8.19), cognitive impairment OR 3.91 (1.18-13.01), absence of meningitis triad OR 4.12 (1.72-9.85)</w:t>
            </w:r>
          </w:p>
        </w:tc>
      </w:tr>
      <w:tr w:rsidR="0039479F" w14:paraId="7023C662" w14:textId="77777777">
        <w:tc>
          <w:tcPr>
            <w:tcW w:w="1578" w:type="dxa"/>
            <w:tcMar>
              <w:top w:w="40" w:type="dxa"/>
              <w:left w:w="70" w:type="dxa"/>
              <w:bottom w:w="40" w:type="dxa"/>
              <w:right w:w="70" w:type="dxa"/>
            </w:tcMar>
          </w:tcPr>
          <w:p w14:paraId="3EB5618A" w14:textId="77777777" w:rsidR="0039479F" w:rsidRDefault="00000000">
            <w:pPr>
              <w:spacing w:line="216" w:lineRule="auto"/>
            </w:pPr>
            <w:r>
              <w:rPr>
                <w:sz w:val="16"/>
                <w:szCs w:val="16"/>
              </w:rPr>
              <w:t>Takada et al. (2024)</w:t>
            </w:r>
          </w:p>
        </w:tc>
        <w:tc>
          <w:tcPr>
            <w:tcW w:w="1085" w:type="dxa"/>
            <w:tcMar>
              <w:top w:w="40" w:type="dxa"/>
              <w:left w:w="70" w:type="dxa"/>
              <w:bottom w:w="40" w:type="dxa"/>
              <w:right w:w="70" w:type="dxa"/>
            </w:tcMar>
          </w:tcPr>
          <w:p w14:paraId="4F6BBB4E"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72FD86CF" w14:textId="77777777" w:rsidR="0039479F" w:rsidRDefault="00000000">
            <w:pPr>
              <w:spacing w:line="216" w:lineRule="auto"/>
            </w:pPr>
            <w:r>
              <w:rPr>
                <w:sz w:val="16"/>
                <w:szCs w:val="16"/>
              </w:rPr>
              <w:t>80</w:t>
            </w:r>
          </w:p>
        </w:tc>
        <w:tc>
          <w:tcPr>
            <w:tcW w:w="1973" w:type="dxa"/>
            <w:tcMar>
              <w:top w:w="40" w:type="dxa"/>
              <w:left w:w="70" w:type="dxa"/>
              <w:bottom w:w="40" w:type="dxa"/>
              <w:right w:w="70" w:type="dxa"/>
            </w:tcMar>
          </w:tcPr>
          <w:p w14:paraId="0329AD7C" w14:textId="77777777" w:rsidR="0039479F" w:rsidRDefault="00000000">
            <w:pPr>
              <w:spacing w:line="216" w:lineRule="auto"/>
            </w:pPr>
            <w:r>
              <w:rPr>
                <w:sz w:val="16"/>
                <w:szCs w:val="16"/>
              </w:rPr>
              <w:t xml:space="preserve">CRP, mean platelet volume, neutrophil-lymphocyte </w:t>
            </w:r>
            <w:proofErr w:type="gramStart"/>
            <w:r>
              <w:rPr>
                <w:sz w:val="16"/>
                <w:szCs w:val="16"/>
              </w:rPr>
              <w:t>ratio,…</w:t>
            </w:r>
            <w:proofErr w:type="gramEnd"/>
          </w:p>
        </w:tc>
        <w:tc>
          <w:tcPr>
            <w:tcW w:w="3948" w:type="dxa"/>
            <w:tcMar>
              <w:top w:w="40" w:type="dxa"/>
              <w:left w:w="70" w:type="dxa"/>
              <w:bottom w:w="40" w:type="dxa"/>
              <w:right w:w="70" w:type="dxa"/>
            </w:tcMar>
          </w:tcPr>
          <w:p w14:paraId="70F1324E" w14:textId="77777777" w:rsidR="0039479F" w:rsidRDefault="00000000">
            <w:pPr>
              <w:spacing w:line="216" w:lineRule="auto"/>
            </w:pPr>
            <w:r>
              <w:rPr>
                <w:sz w:val="16"/>
                <w:szCs w:val="16"/>
              </w:rPr>
              <w:t>52 no meningitis, 27 aseptic meningitis, 1 bacterial meningitis. Only CRP discriminated: median 5.6 mg/dL (IQR 2.1-11.3) no meningitis, 0.2 (0.1-1.2) aseptic meningitis, 21.7 bacterial meningitis</w:t>
            </w:r>
          </w:p>
        </w:tc>
      </w:tr>
      <w:tr w:rsidR="0039479F" w14:paraId="0F70ECBB" w14:textId="77777777">
        <w:tc>
          <w:tcPr>
            <w:tcW w:w="1578" w:type="dxa"/>
            <w:tcMar>
              <w:top w:w="40" w:type="dxa"/>
              <w:left w:w="70" w:type="dxa"/>
              <w:bottom w:w="40" w:type="dxa"/>
              <w:right w:w="70" w:type="dxa"/>
            </w:tcMar>
          </w:tcPr>
          <w:p w14:paraId="277E8BAC" w14:textId="77777777" w:rsidR="0039479F" w:rsidRDefault="00000000">
            <w:pPr>
              <w:spacing w:line="216" w:lineRule="auto"/>
            </w:pPr>
            <w:r>
              <w:rPr>
                <w:sz w:val="16"/>
                <w:szCs w:val="16"/>
              </w:rPr>
              <w:t>Fellner et al. (2020)</w:t>
            </w:r>
          </w:p>
        </w:tc>
        <w:tc>
          <w:tcPr>
            <w:tcW w:w="1085" w:type="dxa"/>
            <w:tcMar>
              <w:top w:w="40" w:type="dxa"/>
              <w:left w:w="70" w:type="dxa"/>
              <w:bottom w:w="40" w:type="dxa"/>
              <w:right w:w="70" w:type="dxa"/>
            </w:tcMar>
          </w:tcPr>
          <w:p w14:paraId="3CC118E1" w14:textId="77777777" w:rsidR="0039479F" w:rsidRDefault="00000000">
            <w:pPr>
              <w:spacing w:line="216" w:lineRule="auto"/>
            </w:pPr>
            <w:r>
              <w:rPr>
                <w:sz w:val="16"/>
                <w:szCs w:val="16"/>
              </w:rPr>
              <w:t>Israel</w:t>
            </w:r>
          </w:p>
        </w:tc>
        <w:tc>
          <w:tcPr>
            <w:tcW w:w="1282" w:type="dxa"/>
            <w:tcMar>
              <w:top w:w="40" w:type="dxa"/>
              <w:left w:w="70" w:type="dxa"/>
              <w:bottom w:w="40" w:type="dxa"/>
              <w:right w:w="70" w:type="dxa"/>
            </w:tcMar>
          </w:tcPr>
          <w:p w14:paraId="56E44FF2" w14:textId="77777777" w:rsidR="0039479F" w:rsidRDefault="00000000">
            <w:pPr>
              <w:spacing w:line="216" w:lineRule="auto"/>
            </w:pPr>
            <w:r>
              <w:rPr>
                <w:sz w:val="16"/>
                <w:szCs w:val="16"/>
              </w:rPr>
              <w:t>338</w:t>
            </w:r>
          </w:p>
        </w:tc>
        <w:tc>
          <w:tcPr>
            <w:tcW w:w="1973" w:type="dxa"/>
            <w:tcMar>
              <w:top w:w="40" w:type="dxa"/>
              <w:left w:w="70" w:type="dxa"/>
              <w:bottom w:w="40" w:type="dxa"/>
              <w:right w:w="70" w:type="dxa"/>
            </w:tcMar>
          </w:tcPr>
          <w:p w14:paraId="0FDBD973" w14:textId="77777777" w:rsidR="0039479F" w:rsidRDefault="00000000">
            <w:pPr>
              <w:spacing w:line="216" w:lineRule="auto"/>
            </w:pPr>
            <w:r>
              <w:rPr>
                <w:sz w:val="16"/>
                <w:szCs w:val="16"/>
              </w:rPr>
              <w:t>Clinical markers in the absence of meningeal irritation…</w:t>
            </w:r>
          </w:p>
        </w:tc>
        <w:tc>
          <w:tcPr>
            <w:tcW w:w="3948" w:type="dxa"/>
            <w:tcMar>
              <w:top w:w="40" w:type="dxa"/>
              <w:left w:w="70" w:type="dxa"/>
              <w:bottom w:w="40" w:type="dxa"/>
              <w:right w:w="70" w:type="dxa"/>
            </w:tcMar>
          </w:tcPr>
          <w:p w14:paraId="0031BECA" w14:textId="77777777" w:rsidR="0039479F" w:rsidRDefault="00000000">
            <w:pPr>
              <w:spacing w:line="216" w:lineRule="auto"/>
            </w:pPr>
            <w:r>
              <w:rPr>
                <w:sz w:val="16"/>
                <w:szCs w:val="16"/>
              </w:rPr>
              <w:t>96/338 (28.4%) meningitis without meningeal irritation signs. In the absence of such signs, younger age (p=0.005), headache (p&lt;0.001), nausea (p&lt;0.001), vomiting (p=0.001), painful eye movements (p&lt;0.001) and phonophobia (p=0.04) increased the likelihood of meningitis; fever, leucocytosis, lymphopenia, CRP and…</w:t>
            </w:r>
          </w:p>
        </w:tc>
      </w:tr>
      <w:tr w:rsidR="0039479F" w14:paraId="33696B7C" w14:textId="77777777">
        <w:tc>
          <w:tcPr>
            <w:tcW w:w="1578" w:type="dxa"/>
            <w:tcMar>
              <w:top w:w="40" w:type="dxa"/>
              <w:left w:w="70" w:type="dxa"/>
              <w:bottom w:w="40" w:type="dxa"/>
              <w:right w:w="70" w:type="dxa"/>
            </w:tcMar>
          </w:tcPr>
          <w:p w14:paraId="7A366EE4" w14:textId="77777777" w:rsidR="0039479F" w:rsidRDefault="00000000">
            <w:pPr>
              <w:spacing w:line="216" w:lineRule="auto"/>
            </w:pPr>
            <w:r>
              <w:rPr>
                <w:sz w:val="16"/>
                <w:szCs w:val="16"/>
              </w:rPr>
              <w:t>Kuzume et al. (2019)</w:t>
            </w:r>
          </w:p>
        </w:tc>
        <w:tc>
          <w:tcPr>
            <w:tcW w:w="1085" w:type="dxa"/>
            <w:tcMar>
              <w:top w:w="40" w:type="dxa"/>
              <w:left w:w="70" w:type="dxa"/>
              <w:bottom w:w="40" w:type="dxa"/>
              <w:right w:w="70" w:type="dxa"/>
            </w:tcMar>
          </w:tcPr>
          <w:p w14:paraId="15490870"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2DD5740D" w14:textId="77777777" w:rsidR="0039479F" w:rsidRDefault="00000000">
            <w:pPr>
              <w:spacing w:line="216" w:lineRule="auto"/>
            </w:pPr>
            <w:r>
              <w:rPr>
                <w:sz w:val="16"/>
                <w:szCs w:val="16"/>
              </w:rPr>
              <w:t>87</w:t>
            </w:r>
          </w:p>
        </w:tc>
        <w:tc>
          <w:tcPr>
            <w:tcW w:w="1973" w:type="dxa"/>
            <w:tcMar>
              <w:top w:w="40" w:type="dxa"/>
              <w:left w:w="70" w:type="dxa"/>
              <w:bottom w:w="40" w:type="dxa"/>
              <w:right w:w="70" w:type="dxa"/>
            </w:tcMar>
          </w:tcPr>
          <w:p w14:paraId="70D1D583" w14:textId="77777777" w:rsidR="0039479F" w:rsidRDefault="00000000">
            <w:pPr>
              <w:spacing w:line="216" w:lineRule="auto"/>
            </w:pPr>
            <w:r>
              <w:rPr>
                <w:sz w:val="16"/>
                <w:szCs w:val="16"/>
              </w:rPr>
              <w:t>Jolt accentuation of headache</w:t>
            </w:r>
          </w:p>
        </w:tc>
        <w:tc>
          <w:tcPr>
            <w:tcW w:w="3948" w:type="dxa"/>
            <w:tcMar>
              <w:top w:w="40" w:type="dxa"/>
              <w:left w:w="70" w:type="dxa"/>
              <w:bottom w:w="40" w:type="dxa"/>
              <w:right w:w="70" w:type="dxa"/>
            </w:tcMar>
          </w:tcPr>
          <w:p w14:paraId="3CF8E4AC" w14:textId="77777777" w:rsidR="0039479F" w:rsidRDefault="00000000">
            <w:pPr>
              <w:spacing w:line="216" w:lineRule="auto"/>
            </w:pPr>
            <w:r>
              <w:rPr>
                <w:sz w:val="16"/>
                <w:szCs w:val="16"/>
              </w:rPr>
              <w:t>61 aseptic meningitis versus 26 meningism. Jolt accentuation sensitivity 68.9%, specificity 3.8%. Absence of jolt accentuation associated with aseptic meningitis (OR 0.048, 95% CI 0.004-0.554)</w:t>
            </w:r>
          </w:p>
        </w:tc>
      </w:tr>
      <w:tr w:rsidR="0039479F" w14:paraId="3A835225" w14:textId="77777777">
        <w:tc>
          <w:tcPr>
            <w:tcW w:w="1578" w:type="dxa"/>
            <w:tcMar>
              <w:top w:w="40" w:type="dxa"/>
              <w:left w:w="70" w:type="dxa"/>
              <w:bottom w:w="40" w:type="dxa"/>
              <w:right w:w="70" w:type="dxa"/>
            </w:tcMar>
          </w:tcPr>
          <w:p w14:paraId="6E4D3515" w14:textId="77777777" w:rsidR="0039479F" w:rsidRDefault="00000000">
            <w:pPr>
              <w:spacing w:line="216" w:lineRule="auto"/>
            </w:pPr>
            <w:r>
              <w:rPr>
                <w:sz w:val="16"/>
                <w:szCs w:val="16"/>
              </w:rPr>
              <w:t>Ala et al. (2018)</w:t>
            </w:r>
          </w:p>
        </w:tc>
        <w:tc>
          <w:tcPr>
            <w:tcW w:w="1085" w:type="dxa"/>
            <w:tcMar>
              <w:top w:w="40" w:type="dxa"/>
              <w:left w:w="70" w:type="dxa"/>
              <w:bottom w:w="40" w:type="dxa"/>
              <w:right w:w="70" w:type="dxa"/>
            </w:tcMar>
          </w:tcPr>
          <w:p w14:paraId="22FA59F2" w14:textId="77777777" w:rsidR="0039479F" w:rsidRDefault="00000000">
            <w:pPr>
              <w:spacing w:line="216" w:lineRule="auto"/>
            </w:pPr>
            <w:r>
              <w:rPr>
                <w:sz w:val="16"/>
                <w:szCs w:val="16"/>
              </w:rPr>
              <w:t>Iran</w:t>
            </w:r>
          </w:p>
        </w:tc>
        <w:tc>
          <w:tcPr>
            <w:tcW w:w="1282" w:type="dxa"/>
            <w:tcMar>
              <w:top w:w="40" w:type="dxa"/>
              <w:left w:w="70" w:type="dxa"/>
              <w:bottom w:w="40" w:type="dxa"/>
              <w:right w:w="70" w:type="dxa"/>
            </w:tcMar>
          </w:tcPr>
          <w:p w14:paraId="7959615E" w14:textId="77777777" w:rsidR="0039479F" w:rsidRDefault="00000000">
            <w:pPr>
              <w:spacing w:line="216" w:lineRule="auto"/>
            </w:pPr>
            <w:r>
              <w:rPr>
                <w:sz w:val="16"/>
                <w:szCs w:val="16"/>
              </w:rPr>
              <w:t>120</w:t>
            </w:r>
          </w:p>
        </w:tc>
        <w:tc>
          <w:tcPr>
            <w:tcW w:w="1973" w:type="dxa"/>
            <w:tcMar>
              <w:top w:w="40" w:type="dxa"/>
              <w:left w:w="70" w:type="dxa"/>
              <w:bottom w:w="40" w:type="dxa"/>
              <w:right w:w="70" w:type="dxa"/>
            </w:tcMar>
          </w:tcPr>
          <w:p w14:paraId="74F945C9" w14:textId="77777777" w:rsidR="0039479F" w:rsidRDefault="00000000">
            <w:pPr>
              <w:spacing w:line="216" w:lineRule="auto"/>
            </w:pPr>
            <w:r>
              <w:rPr>
                <w:sz w:val="16"/>
                <w:szCs w:val="16"/>
              </w:rPr>
              <w:t>Neck stiffness, Kernig sign, Brudzinski sign, jolt…</w:t>
            </w:r>
          </w:p>
        </w:tc>
        <w:tc>
          <w:tcPr>
            <w:tcW w:w="3948" w:type="dxa"/>
            <w:tcMar>
              <w:top w:w="40" w:type="dxa"/>
              <w:left w:w="70" w:type="dxa"/>
              <w:bottom w:w="40" w:type="dxa"/>
              <w:right w:w="70" w:type="dxa"/>
            </w:tcMar>
          </w:tcPr>
          <w:p w14:paraId="19F72CED" w14:textId="77777777" w:rsidR="0039479F" w:rsidRDefault="00000000">
            <w:pPr>
              <w:spacing w:line="216" w:lineRule="auto"/>
            </w:pPr>
            <w:r>
              <w:rPr>
                <w:sz w:val="16"/>
                <w:szCs w:val="16"/>
              </w:rPr>
              <w:t>Meningitis in 45/120 (37.5%). Accuracy: neck stiffness 0.676 (0.575-0.776), Kernig 0.667 (0.552-0.782), Brudzinski 0.720 (0.619-0.821), jolt accentuation 0.749 (0.659-0.839). Jolt accentuation had highest sensitivity; Kernig and Brudzinski highest specificity</w:t>
            </w:r>
          </w:p>
        </w:tc>
      </w:tr>
      <w:tr w:rsidR="0039479F" w14:paraId="14FBC09F" w14:textId="77777777">
        <w:tc>
          <w:tcPr>
            <w:tcW w:w="1578" w:type="dxa"/>
            <w:tcMar>
              <w:top w:w="40" w:type="dxa"/>
              <w:left w:w="70" w:type="dxa"/>
              <w:bottom w:w="40" w:type="dxa"/>
              <w:right w:w="70" w:type="dxa"/>
            </w:tcMar>
          </w:tcPr>
          <w:p w14:paraId="5AF32B4F" w14:textId="77777777" w:rsidR="0039479F" w:rsidRDefault="00000000">
            <w:pPr>
              <w:spacing w:line="216" w:lineRule="auto"/>
            </w:pPr>
            <w:r>
              <w:rPr>
                <w:sz w:val="16"/>
                <w:szCs w:val="16"/>
              </w:rPr>
              <w:t>Afhami et al. (2017)</w:t>
            </w:r>
          </w:p>
        </w:tc>
        <w:tc>
          <w:tcPr>
            <w:tcW w:w="1085" w:type="dxa"/>
            <w:tcMar>
              <w:top w:w="40" w:type="dxa"/>
              <w:left w:w="70" w:type="dxa"/>
              <w:bottom w:w="40" w:type="dxa"/>
              <w:right w:w="70" w:type="dxa"/>
            </w:tcMar>
          </w:tcPr>
          <w:p w14:paraId="3DD155AF" w14:textId="77777777" w:rsidR="0039479F" w:rsidRDefault="00000000">
            <w:pPr>
              <w:spacing w:line="216" w:lineRule="auto"/>
            </w:pPr>
            <w:r>
              <w:rPr>
                <w:sz w:val="16"/>
                <w:szCs w:val="16"/>
              </w:rPr>
              <w:t>Iran</w:t>
            </w:r>
          </w:p>
        </w:tc>
        <w:tc>
          <w:tcPr>
            <w:tcW w:w="1282" w:type="dxa"/>
            <w:tcMar>
              <w:top w:w="40" w:type="dxa"/>
              <w:left w:w="70" w:type="dxa"/>
              <w:bottom w:w="40" w:type="dxa"/>
              <w:right w:w="70" w:type="dxa"/>
            </w:tcMar>
          </w:tcPr>
          <w:p w14:paraId="22D0E834" w14:textId="77777777" w:rsidR="0039479F" w:rsidRDefault="00000000">
            <w:pPr>
              <w:spacing w:line="216" w:lineRule="auto"/>
            </w:pPr>
            <w:r>
              <w:rPr>
                <w:sz w:val="16"/>
                <w:szCs w:val="16"/>
              </w:rPr>
              <w:t>250 approached; 227 analysed</w:t>
            </w:r>
          </w:p>
        </w:tc>
        <w:tc>
          <w:tcPr>
            <w:tcW w:w="1973" w:type="dxa"/>
            <w:tcMar>
              <w:top w:w="40" w:type="dxa"/>
              <w:left w:w="70" w:type="dxa"/>
              <w:bottom w:w="40" w:type="dxa"/>
              <w:right w:w="70" w:type="dxa"/>
            </w:tcMar>
          </w:tcPr>
          <w:p w14:paraId="4368CD43" w14:textId="77777777" w:rsidR="0039479F" w:rsidRDefault="00000000">
            <w:pPr>
              <w:spacing w:line="216" w:lineRule="auto"/>
            </w:pPr>
            <w:r>
              <w:rPr>
                <w:sz w:val="16"/>
                <w:szCs w:val="16"/>
              </w:rPr>
              <w:t>Jolt accentuation, nuchal rigidity, Kernig and…</w:t>
            </w:r>
          </w:p>
        </w:tc>
        <w:tc>
          <w:tcPr>
            <w:tcW w:w="3948" w:type="dxa"/>
            <w:tcMar>
              <w:top w:w="40" w:type="dxa"/>
              <w:left w:w="70" w:type="dxa"/>
              <w:bottom w:w="40" w:type="dxa"/>
              <w:right w:w="70" w:type="dxa"/>
            </w:tcMar>
          </w:tcPr>
          <w:p w14:paraId="269749ED" w14:textId="77777777" w:rsidR="0039479F" w:rsidRDefault="00000000">
            <w:pPr>
              <w:spacing w:line="216" w:lineRule="auto"/>
            </w:pPr>
            <w:r>
              <w:rPr>
                <w:sz w:val="16"/>
                <w:szCs w:val="16"/>
              </w:rPr>
              <w:t>Meningitis 64/227 (28.2%); jolt positive in 40/64 (62.5%). Jolt sensitivity 62.5%, specificity 88.3%, LR+ 5.36, LR- 0.42. Highest LR+ Kernig 6.79; lowest LR- nuchal rigidity 0.39</w:t>
            </w:r>
          </w:p>
        </w:tc>
      </w:tr>
      <w:tr w:rsidR="0039479F" w14:paraId="30EF1E98" w14:textId="77777777">
        <w:tc>
          <w:tcPr>
            <w:tcW w:w="1578" w:type="dxa"/>
            <w:tcMar>
              <w:top w:w="40" w:type="dxa"/>
              <w:left w:w="70" w:type="dxa"/>
              <w:bottom w:w="40" w:type="dxa"/>
              <w:right w:w="70" w:type="dxa"/>
            </w:tcMar>
          </w:tcPr>
          <w:p w14:paraId="19195E18" w14:textId="77777777" w:rsidR="0039479F" w:rsidRDefault="00000000">
            <w:pPr>
              <w:spacing w:line="216" w:lineRule="auto"/>
            </w:pPr>
            <w:r>
              <w:rPr>
                <w:sz w:val="16"/>
                <w:szCs w:val="16"/>
              </w:rPr>
              <w:t>Mofidi et al. (2017)</w:t>
            </w:r>
          </w:p>
        </w:tc>
        <w:tc>
          <w:tcPr>
            <w:tcW w:w="1085" w:type="dxa"/>
            <w:tcMar>
              <w:top w:w="40" w:type="dxa"/>
              <w:left w:w="70" w:type="dxa"/>
              <w:bottom w:w="40" w:type="dxa"/>
              <w:right w:w="70" w:type="dxa"/>
            </w:tcMar>
          </w:tcPr>
          <w:p w14:paraId="7D3B7962" w14:textId="77777777" w:rsidR="0039479F" w:rsidRDefault="00000000">
            <w:pPr>
              <w:spacing w:line="216" w:lineRule="auto"/>
            </w:pPr>
            <w:r>
              <w:rPr>
                <w:sz w:val="16"/>
                <w:szCs w:val="16"/>
              </w:rPr>
              <w:t>Iran</w:t>
            </w:r>
          </w:p>
        </w:tc>
        <w:tc>
          <w:tcPr>
            <w:tcW w:w="1282" w:type="dxa"/>
            <w:tcMar>
              <w:top w:w="40" w:type="dxa"/>
              <w:left w:w="70" w:type="dxa"/>
              <w:bottom w:w="40" w:type="dxa"/>
              <w:right w:w="70" w:type="dxa"/>
            </w:tcMar>
          </w:tcPr>
          <w:p w14:paraId="6DACAD6B" w14:textId="77777777" w:rsidR="0039479F" w:rsidRDefault="00000000">
            <w:pPr>
              <w:spacing w:line="216" w:lineRule="auto"/>
            </w:pPr>
            <w:r>
              <w:rPr>
                <w:sz w:val="16"/>
                <w:szCs w:val="16"/>
              </w:rPr>
              <w:t>48</w:t>
            </w:r>
          </w:p>
        </w:tc>
        <w:tc>
          <w:tcPr>
            <w:tcW w:w="1973" w:type="dxa"/>
            <w:tcMar>
              <w:top w:w="40" w:type="dxa"/>
              <w:left w:w="70" w:type="dxa"/>
              <w:bottom w:w="40" w:type="dxa"/>
              <w:right w:w="70" w:type="dxa"/>
            </w:tcMar>
          </w:tcPr>
          <w:p w14:paraId="1485D5CA" w14:textId="77777777" w:rsidR="0039479F" w:rsidRDefault="00000000">
            <w:pPr>
              <w:spacing w:line="216" w:lineRule="auto"/>
            </w:pPr>
            <w:r>
              <w:rPr>
                <w:sz w:val="16"/>
                <w:szCs w:val="16"/>
              </w:rPr>
              <w:t>Jolt accentuation, nuchal rigidity, Kernig and…</w:t>
            </w:r>
          </w:p>
        </w:tc>
        <w:tc>
          <w:tcPr>
            <w:tcW w:w="3948" w:type="dxa"/>
            <w:tcMar>
              <w:top w:w="40" w:type="dxa"/>
              <w:left w:w="70" w:type="dxa"/>
              <w:bottom w:w="40" w:type="dxa"/>
              <w:right w:w="70" w:type="dxa"/>
            </w:tcMar>
          </w:tcPr>
          <w:p w14:paraId="6D6759DB" w14:textId="77777777" w:rsidR="0039479F" w:rsidRDefault="00000000">
            <w:pPr>
              <w:spacing w:line="216" w:lineRule="auto"/>
            </w:pPr>
            <w:r>
              <w:rPr>
                <w:sz w:val="16"/>
                <w:szCs w:val="16"/>
              </w:rPr>
              <w:t>Meningitis 33/48 (68.8%). Jolt accentuation sensitivity 69.6%, specificity 33.3%, PPV 69.6%, NPV 33.3%, LR+ 1.02, LR- 0.91</w:t>
            </w:r>
          </w:p>
        </w:tc>
      </w:tr>
      <w:tr w:rsidR="0039479F" w14:paraId="72F1F644" w14:textId="77777777">
        <w:tc>
          <w:tcPr>
            <w:tcW w:w="1578" w:type="dxa"/>
            <w:tcMar>
              <w:top w:w="40" w:type="dxa"/>
              <w:left w:w="70" w:type="dxa"/>
              <w:bottom w:w="40" w:type="dxa"/>
              <w:right w:w="70" w:type="dxa"/>
            </w:tcMar>
          </w:tcPr>
          <w:p w14:paraId="607586C2" w14:textId="77777777" w:rsidR="0039479F" w:rsidRDefault="00000000">
            <w:pPr>
              <w:spacing w:line="216" w:lineRule="auto"/>
            </w:pPr>
            <w:r>
              <w:rPr>
                <w:sz w:val="16"/>
                <w:szCs w:val="16"/>
              </w:rPr>
              <w:t>Sato et al. (2017)</w:t>
            </w:r>
          </w:p>
        </w:tc>
        <w:tc>
          <w:tcPr>
            <w:tcW w:w="1085" w:type="dxa"/>
            <w:tcMar>
              <w:top w:w="40" w:type="dxa"/>
              <w:left w:w="70" w:type="dxa"/>
              <w:bottom w:w="40" w:type="dxa"/>
              <w:right w:w="70" w:type="dxa"/>
            </w:tcMar>
          </w:tcPr>
          <w:p w14:paraId="17BF9CA4"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2CE90317" w14:textId="77777777" w:rsidR="0039479F" w:rsidRDefault="00000000">
            <w:pPr>
              <w:spacing w:line="216" w:lineRule="auto"/>
            </w:pPr>
            <w:r>
              <w:rPr>
                <w:sz w:val="16"/>
                <w:szCs w:val="16"/>
              </w:rPr>
              <w:t>118 (broad); 108 (narrow)</w:t>
            </w:r>
          </w:p>
        </w:tc>
        <w:tc>
          <w:tcPr>
            <w:tcW w:w="1973" w:type="dxa"/>
            <w:tcMar>
              <w:top w:w="40" w:type="dxa"/>
              <w:left w:w="70" w:type="dxa"/>
              <w:bottom w:w="40" w:type="dxa"/>
              <w:right w:w="70" w:type="dxa"/>
            </w:tcMar>
          </w:tcPr>
          <w:p w14:paraId="02285616" w14:textId="77777777" w:rsidR="0039479F" w:rsidRDefault="00000000">
            <w:pPr>
              <w:spacing w:line="216" w:lineRule="auto"/>
            </w:pPr>
            <w:r>
              <w:rPr>
                <w:sz w:val="16"/>
                <w:szCs w:val="16"/>
              </w:rPr>
              <w:t>Jolt accentuation of headache</w:t>
            </w:r>
          </w:p>
        </w:tc>
        <w:tc>
          <w:tcPr>
            <w:tcW w:w="3948" w:type="dxa"/>
            <w:tcMar>
              <w:top w:w="40" w:type="dxa"/>
              <w:left w:w="70" w:type="dxa"/>
              <w:bottom w:w="40" w:type="dxa"/>
              <w:right w:w="70" w:type="dxa"/>
            </w:tcMar>
          </w:tcPr>
          <w:p w14:paraId="607B3D77" w14:textId="77777777" w:rsidR="0039479F" w:rsidRDefault="00000000">
            <w:pPr>
              <w:spacing w:line="216" w:lineRule="auto"/>
            </w:pPr>
            <w:r>
              <w:rPr>
                <w:sz w:val="16"/>
                <w:szCs w:val="16"/>
              </w:rPr>
              <w:t>Broad definition: sensitivity 70.7% (58.0-80.8), specificity 36.7% (25.6-49.3), LR+ 1.12 (0.87-1.44), LR- 0.80 (0.48-1.34). Narrow definition: sensitivity 75.0% (61.8-84.8), specificity 35.1% (24.0-48.0)</w:t>
            </w:r>
          </w:p>
        </w:tc>
      </w:tr>
      <w:tr w:rsidR="0039479F" w14:paraId="12A67C88" w14:textId="77777777">
        <w:tc>
          <w:tcPr>
            <w:tcW w:w="1578" w:type="dxa"/>
            <w:tcMar>
              <w:top w:w="40" w:type="dxa"/>
              <w:left w:w="70" w:type="dxa"/>
              <w:bottom w:w="40" w:type="dxa"/>
              <w:right w:w="70" w:type="dxa"/>
            </w:tcMar>
          </w:tcPr>
          <w:p w14:paraId="47817F18" w14:textId="77777777" w:rsidR="0039479F" w:rsidRDefault="00000000">
            <w:pPr>
              <w:spacing w:line="216" w:lineRule="auto"/>
            </w:pPr>
            <w:r>
              <w:rPr>
                <w:sz w:val="16"/>
                <w:szCs w:val="16"/>
              </w:rPr>
              <w:t>Nakao et al. (2014)</w:t>
            </w:r>
          </w:p>
        </w:tc>
        <w:tc>
          <w:tcPr>
            <w:tcW w:w="1085" w:type="dxa"/>
            <w:tcMar>
              <w:top w:w="40" w:type="dxa"/>
              <w:left w:w="70" w:type="dxa"/>
              <w:bottom w:w="40" w:type="dxa"/>
              <w:right w:w="70" w:type="dxa"/>
            </w:tcMar>
          </w:tcPr>
          <w:p w14:paraId="4DF5A73E"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641DC219" w14:textId="77777777" w:rsidR="0039479F" w:rsidRDefault="00000000">
            <w:pPr>
              <w:spacing w:line="216" w:lineRule="auto"/>
            </w:pPr>
            <w:r>
              <w:rPr>
                <w:sz w:val="16"/>
                <w:szCs w:val="16"/>
              </w:rPr>
              <w:t>230 consented; 197…</w:t>
            </w:r>
          </w:p>
        </w:tc>
        <w:tc>
          <w:tcPr>
            <w:tcW w:w="1973" w:type="dxa"/>
            <w:tcMar>
              <w:top w:w="40" w:type="dxa"/>
              <w:left w:w="70" w:type="dxa"/>
              <w:bottom w:w="40" w:type="dxa"/>
              <w:right w:w="70" w:type="dxa"/>
            </w:tcMar>
          </w:tcPr>
          <w:p w14:paraId="64AC2B59" w14:textId="77777777" w:rsidR="0039479F" w:rsidRDefault="00000000">
            <w:pPr>
              <w:spacing w:line="216" w:lineRule="auto"/>
            </w:pPr>
            <w:r>
              <w:rPr>
                <w:sz w:val="16"/>
                <w:szCs w:val="16"/>
              </w:rPr>
              <w:t>Jolt accentuation, Kernig sign, Brudzinski sign, nuchal…</w:t>
            </w:r>
          </w:p>
        </w:tc>
        <w:tc>
          <w:tcPr>
            <w:tcW w:w="3948" w:type="dxa"/>
            <w:tcMar>
              <w:top w:w="40" w:type="dxa"/>
              <w:left w:w="70" w:type="dxa"/>
              <w:bottom w:w="40" w:type="dxa"/>
              <w:right w:w="70" w:type="dxa"/>
            </w:tcMar>
          </w:tcPr>
          <w:p w14:paraId="3C07CF3F" w14:textId="77777777" w:rsidR="0039479F" w:rsidRDefault="00000000">
            <w:pPr>
              <w:spacing w:line="216" w:lineRule="auto"/>
            </w:pPr>
            <w:r>
              <w:rPr>
                <w:sz w:val="16"/>
                <w:szCs w:val="16"/>
              </w:rPr>
              <w:t>Pleocytosis in 47/230 (20%). Sensitivity: jolt accentuation 21%, Kernig 2%, Brudzinski 2%, nuchal rigidity 13%</w:t>
            </w:r>
          </w:p>
        </w:tc>
      </w:tr>
      <w:tr w:rsidR="0039479F" w14:paraId="1C926D17" w14:textId="77777777">
        <w:tc>
          <w:tcPr>
            <w:tcW w:w="1578" w:type="dxa"/>
            <w:tcMar>
              <w:top w:w="40" w:type="dxa"/>
              <w:left w:w="70" w:type="dxa"/>
              <w:bottom w:w="40" w:type="dxa"/>
              <w:right w:w="70" w:type="dxa"/>
            </w:tcMar>
          </w:tcPr>
          <w:p w14:paraId="18041C50" w14:textId="77777777" w:rsidR="0039479F" w:rsidRDefault="00000000">
            <w:pPr>
              <w:spacing w:line="216" w:lineRule="auto"/>
            </w:pPr>
            <w:r>
              <w:rPr>
                <w:sz w:val="16"/>
                <w:szCs w:val="16"/>
              </w:rPr>
              <w:t>Tamune et al. (2013)</w:t>
            </w:r>
          </w:p>
        </w:tc>
        <w:tc>
          <w:tcPr>
            <w:tcW w:w="1085" w:type="dxa"/>
            <w:tcMar>
              <w:top w:w="40" w:type="dxa"/>
              <w:left w:w="70" w:type="dxa"/>
              <w:bottom w:w="40" w:type="dxa"/>
              <w:right w:w="70" w:type="dxa"/>
            </w:tcMar>
          </w:tcPr>
          <w:p w14:paraId="70BEF7A9"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692FFCFD" w14:textId="77777777" w:rsidR="0039479F" w:rsidRDefault="00000000">
            <w:pPr>
              <w:spacing w:line="216" w:lineRule="auto"/>
            </w:pPr>
            <w:r>
              <w:rPr>
                <w:sz w:val="16"/>
                <w:szCs w:val="16"/>
              </w:rPr>
              <w:t>531</w:t>
            </w:r>
          </w:p>
        </w:tc>
        <w:tc>
          <w:tcPr>
            <w:tcW w:w="1973" w:type="dxa"/>
            <w:tcMar>
              <w:top w:w="40" w:type="dxa"/>
              <w:left w:w="70" w:type="dxa"/>
              <w:bottom w:w="40" w:type="dxa"/>
              <w:right w:w="70" w:type="dxa"/>
            </w:tcMar>
          </w:tcPr>
          <w:p w14:paraId="710953A5" w14:textId="77777777" w:rsidR="0039479F" w:rsidRDefault="00000000">
            <w:pPr>
              <w:spacing w:line="216" w:lineRule="auto"/>
            </w:pPr>
            <w:r>
              <w:rPr>
                <w:sz w:val="16"/>
                <w:szCs w:val="16"/>
              </w:rPr>
              <w:t>Jolt accentuation, Kernig sign, nuchal rigidity</w:t>
            </w:r>
          </w:p>
        </w:tc>
        <w:tc>
          <w:tcPr>
            <w:tcW w:w="3948" w:type="dxa"/>
            <w:tcMar>
              <w:top w:w="40" w:type="dxa"/>
              <w:left w:w="70" w:type="dxa"/>
              <w:bottom w:w="40" w:type="dxa"/>
              <w:right w:w="70" w:type="dxa"/>
            </w:tcMar>
          </w:tcPr>
          <w:p w14:paraId="0DDAC3B3" w14:textId="77777777" w:rsidR="0039479F" w:rsidRDefault="00000000">
            <w:pPr>
              <w:spacing w:line="216" w:lineRule="auto"/>
            </w:pPr>
            <w:r>
              <w:rPr>
                <w:sz w:val="16"/>
                <w:szCs w:val="16"/>
              </w:rPr>
              <w:t>Meningitis 139/531. Jolt accentuation sensitivity 63.9% (51.9-76.0), specificity 43.2% (34.7-51.6)</w:t>
            </w:r>
          </w:p>
        </w:tc>
      </w:tr>
    </w:tbl>
    <w:p w14:paraId="386FD4A3" w14:textId="77777777" w:rsidR="0039479F" w:rsidRDefault="00000000">
      <w:pPr>
        <w:spacing w:before="90" w:after="220" w:line="240" w:lineRule="auto"/>
      </w:pPr>
      <w:r>
        <w:rPr>
          <w:sz w:val="17"/>
          <w:szCs w:val="17"/>
        </w:rPr>
        <w:lastRenderedPageBreak/>
        <w:t>Note. Sensitivity for jolt accentuation is reported against the reference standard used in the source study, which was cerebrospinal fluid pleocytosis in some studies and a clinical diagnosis of meningitis in others. Long entries are abbreviated here; the complete extraction for every report is in Supplementary material S5.</w:t>
      </w:r>
    </w:p>
    <w:p w14:paraId="353D3D6B" w14:textId="77777777" w:rsidR="0039479F" w:rsidRDefault="00000000">
      <w:pPr>
        <w:pStyle w:val="Heading2"/>
        <w:keepNext/>
        <w:spacing w:before="220" w:after="110"/>
      </w:pPr>
      <w:r>
        <w:t>3.14 Triage performance and missed diagnosis after emergency discharge</w:t>
      </w:r>
    </w:p>
    <w:p w14:paraId="096A014C" w14:textId="77777777" w:rsidR="0039479F" w:rsidRDefault="00000000">
      <w:pPr>
        <w:spacing w:after="140"/>
        <w:jc w:val="both"/>
      </w:pPr>
      <w:r>
        <w:t>Eleven reports quantified what happens when the pathway fails, and they provide the outcome data against which any proposed algorithm must be judged. At population scale the absolute failure rate is low. In an analysis of 2,101,081 discharges with a non-specific diagnosis of atraumatic headache, 0.5% met the definition of a missed serious neurological condition, the commonest being ischaemic stroke (18.1% of missed conditions), with higher odds at advanced age, in men and in the presence of comorbid neurological disease, HIV or malignancy (Dubosh et al., 2019). In a statewide cohort of 1,502,831 adults discharged after an ED visit with a benign headache diagnosis, 2,150 (0.14%) were hospitalised for stroke within 30 days, an adjusted risk higher than after renal colic (HR 2.69, 95% CI 2.29–3.16) (Liberman et al., 2022).</w:t>
      </w:r>
    </w:p>
    <w:p w14:paraId="42C088C4" w14:textId="77777777" w:rsidR="0039479F" w:rsidRDefault="00000000">
      <w:pPr>
        <w:spacing w:after="140"/>
        <w:jc w:val="both"/>
      </w:pPr>
      <w:r>
        <w:t>Condition-specific misdiagnosis rates are an order of magnitude higher, because the denominator is the disease rather than the symptom. Probable ED misdiagnosis preceded hospitalisation in 3.6% (95% CI 1.1–4.1) of patients with cerebral venous thrombosis (Liberman et al., 2018), 3.1% (95% CI 2.7–3.5) of those with cervicocephalic artery dissection (Liberman et al., 2020) and 4.53% (95% CI 3.97–5.17) of those with posterior reversible encephalopathy syndrome or reversible cerebral vasoconstriction syndrome (Liberman et al., 2023). A single-centre structured chart review using a validated instrument found diagnostic error in 11 of 53 patients with cerebral venous thrombosis (20.8%, 95% CI 11.8–33.6), and a prior history of a headache disorder was significantly more common among those with error (36.4% versus 7.1%, P = 0.03) (Liberman et al., 2019). The consistent thread — patients who are younger, more often female and more often carry an existing headache diagnosis — identifies the specific cognitive trap the algorithm must guard against, namely attributing a new headache to a known primary disorder.</w:t>
      </w:r>
    </w:p>
    <w:p w14:paraId="6F4B9DF8" w14:textId="77777777" w:rsidR="0039479F" w:rsidRDefault="00000000">
      <w:pPr>
        <w:spacing w:after="140"/>
        <w:jc w:val="both"/>
      </w:pPr>
      <w:r>
        <w:t>Triage instruments perform poorly at the level of the individual patient. The Manchester Triage System achieved an area under the curve of 0.734 (95% CI 0.668–0.799) for identifying an urgent and severe neurological condition among 3,002 triage evaluations, with a sensitivity of 79.4% (95% CI 74.5–84.3) at urgent codes and specificity of 54.1% (Brigo et al., 2022), and in a consecutive series restricted to patients with a warning sign, undertriage occurred in 85.1% of those who should have been classified very urgent and 23.3% of those who should have been classified urgent (García-Azorín et al., 2023). Diagnostic labelling in the ED is similarly imprecise: of 211 patients discharged with a diagnosis of tension-type headache, only five met the diagnostic criteria, and on reclassification 64 (30.3%) had a secondary headache and 13 (6.1%) a life-threatening disorder (García-Azorín et al., 2020b). Importantly, a deliberate 9.6% reduction in head CT use was not followed by any increase in death (P = 0.337) or missed intracranial diagnosis (P = 0.312) (Miller et al., 2018), indicating that the current level of imaging is not the binding constraint on safety. Table 15 presents these studies.</w:t>
      </w:r>
    </w:p>
    <w:p w14:paraId="42F819F8" w14:textId="77777777" w:rsidR="0039479F" w:rsidRDefault="00000000">
      <w:pPr>
        <w:keepNext/>
        <w:spacing w:before="200" w:after="90"/>
      </w:pPr>
      <w:r>
        <w:rPr>
          <w:b/>
          <w:bCs/>
          <w:sz w:val="21"/>
          <w:szCs w:val="21"/>
        </w:rPr>
        <w:t>Table 15. Triage performance, diagnostic labelling and missed diagnosis after emergency department discharge</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986"/>
        <w:gridCol w:w="1282"/>
        <w:gridCol w:w="1973"/>
        <w:gridCol w:w="4047"/>
      </w:tblGrid>
      <w:tr w:rsidR="0039479F" w14:paraId="5D40191B" w14:textId="77777777">
        <w:trPr>
          <w:tblHeader/>
        </w:trPr>
        <w:tc>
          <w:tcPr>
            <w:tcW w:w="1578" w:type="dxa"/>
            <w:shd w:val="clear" w:color="auto" w:fill="F2F2F2"/>
            <w:tcMar>
              <w:top w:w="40" w:type="dxa"/>
              <w:left w:w="70" w:type="dxa"/>
              <w:bottom w:w="40" w:type="dxa"/>
              <w:right w:w="70" w:type="dxa"/>
            </w:tcMar>
          </w:tcPr>
          <w:p w14:paraId="43092812" w14:textId="77777777" w:rsidR="0039479F" w:rsidRDefault="00000000">
            <w:pPr>
              <w:spacing w:line="216" w:lineRule="auto"/>
            </w:pPr>
            <w:r>
              <w:rPr>
                <w:b/>
                <w:bCs/>
                <w:sz w:val="16"/>
                <w:szCs w:val="16"/>
              </w:rPr>
              <w:t>Study</w:t>
            </w:r>
          </w:p>
        </w:tc>
        <w:tc>
          <w:tcPr>
            <w:tcW w:w="986" w:type="dxa"/>
            <w:shd w:val="clear" w:color="auto" w:fill="F2F2F2"/>
            <w:tcMar>
              <w:top w:w="40" w:type="dxa"/>
              <w:left w:w="70" w:type="dxa"/>
              <w:bottom w:w="40" w:type="dxa"/>
              <w:right w:w="70" w:type="dxa"/>
            </w:tcMar>
          </w:tcPr>
          <w:p w14:paraId="5153005F" w14:textId="77777777" w:rsidR="0039479F" w:rsidRDefault="00000000">
            <w:pPr>
              <w:spacing w:line="216" w:lineRule="auto"/>
            </w:pPr>
            <w:r>
              <w:rPr>
                <w:b/>
                <w:bCs/>
                <w:sz w:val="16"/>
                <w:szCs w:val="16"/>
              </w:rPr>
              <w:t>Country</w:t>
            </w:r>
          </w:p>
        </w:tc>
        <w:tc>
          <w:tcPr>
            <w:tcW w:w="1282" w:type="dxa"/>
            <w:shd w:val="clear" w:color="auto" w:fill="F2F2F2"/>
            <w:tcMar>
              <w:top w:w="40" w:type="dxa"/>
              <w:left w:w="70" w:type="dxa"/>
              <w:bottom w:w="40" w:type="dxa"/>
              <w:right w:w="70" w:type="dxa"/>
            </w:tcMar>
          </w:tcPr>
          <w:p w14:paraId="78422170"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1C09B93B" w14:textId="77777777" w:rsidR="0039479F" w:rsidRDefault="00000000">
            <w:pPr>
              <w:spacing w:line="216" w:lineRule="auto"/>
            </w:pPr>
            <w:r>
              <w:rPr>
                <w:b/>
                <w:bCs/>
                <w:sz w:val="16"/>
                <w:szCs w:val="16"/>
              </w:rPr>
              <w:t>Index test or exposure</w:t>
            </w:r>
          </w:p>
        </w:tc>
        <w:tc>
          <w:tcPr>
            <w:tcW w:w="4047" w:type="dxa"/>
            <w:shd w:val="clear" w:color="auto" w:fill="F2F2F2"/>
            <w:tcMar>
              <w:top w:w="40" w:type="dxa"/>
              <w:left w:w="70" w:type="dxa"/>
              <w:bottom w:w="40" w:type="dxa"/>
              <w:right w:w="70" w:type="dxa"/>
            </w:tcMar>
          </w:tcPr>
          <w:p w14:paraId="3C13C382" w14:textId="77777777" w:rsidR="0039479F" w:rsidRDefault="00000000">
            <w:pPr>
              <w:spacing w:line="216" w:lineRule="auto"/>
            </w:pPr>
            <w:r>
              <w:rPr>
                <w:b/>
                <w:bCs/>
                <w:sz w:val="16"/>
                <w:szCs w:val="16"/>
              </w:rPr>
              <w:t>Results as reported</w:t>
            </w:r>
          </w:p>
        </w:tc>
      </w:tr>
      <w:tr w:rsidR="0039479F" w14:paraId="38383ED4" w14:textId="77777777">
        <w:tc>
          <w:tcPr>
            <w:tcW w:w="1578" w:type="dxa"/>
            <w:tcMar>
              <w:top w:w="40" w:type="dxa"/>
              <w:left w:w="70" w:type="dxa"/>
              <w:bottom w:w="40" w:type="dxa"/>
              <w:right w:w="70" w:type="dxa"/>
            </w:tcMar>
          </w:tcPr>
          <w:p w14:paraId="7F101A90" w14:textId="77777777" w:rsidR="0039479F" w:rsidRDefault="00000000">
            <w:pPr>
              <w:spacing w:line="216" w:lineRule="auto"/>
            </w:pPr>
            <w:r>
              <w:rPr>
                <w:sz w:val="16"/>
                <w:szCs w:val="16"/>
              </w:rPr>
              <w:t>Sasaki et al. (2025)</w:t>
            </w:r>
          </w:p>
        </w:tc>
        <w:tc>
          <w:tcPr>
            <w:tcW w:w="986" w:type="dxa"/>
            <w:tcMar>
              <w:top w:w="40" w:type="dxa"/>
              <w:left w:w="70" w:type="dxa"/>
              <w:bottom w:w="40" w:type="dxa"/>
              <w:right w:w="70" w:type="dxa"/>
            </w:tcMar>
          </w:tcPr>
          <w:p w14:paraId="27D80CE3"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26731CA2" w14:textId="77777777" w:rsidR="0039479F" w:rsidRDefault="00000000">
            <w:pPr>
              <w:spacing w:line="216" w:lineRule="auto"/>
            </w:pPr>
            <w:r>
              <w:rPr>
                <w:sz w:val="16"/>
                <w:szCs w:val="16"/>
              </w:rPr>
              <w:t>171</w:t>
            </w:r>
          </w:p>
        </w:tc>
        <w:tc>
          <w:tcPr>
            <w:tcW w:w="1973" w:type="dxa"/>
            <w:tcMar>
              <w:top w:w="40" w:type="dxa"/>
              <w:left w:w="70" w:type="dxa"/>
              <w:bottom w:w="40" w:type="dxa"/>
              <w:right w:w="70" w:type="dxa"/>
            </w:tcMar>
          </w:tcPr>
          <w:p w14:paraId="291E4739" w14:textId="77777777" w:rsidR="0039479F" w:rsidRDefault="00000000">
            <w:pPr>
              <w:spacing w:line="216" w:lineRule="auto"/>
            </w:pPr>
            <w:r>
              <w:rPr>
                <w:sz w:val="16"/>
                <w:szCs w:val="16"/>
              </w:rPr>
              <w:t>Diagnostic work-up including imaging</w:t>
            </w:r>
          </w:p>
        </w:tc>
        <w:tc>
          <w:tcPr>
            <w:tcW w:w="4047" w:type="dxa"/>
            <w:tcMar>
              <w:top w:w="40" w:type="dxa"/>
              <w:left w:w="70" w:type="dxa"/>
              <w:bottom w:w="40" w:type="dxa"/>
              <w:right w:w="70" w:type="dxa"/>
            </w:tcMar>
          </w:tcPr>
          <w:p w14:paraId="099F1D6B" w14:textId="77777777" w:rsidR="0039479F" w:rsidRDefault="00000000">
            <w:pPr>
              <w:spacing w:line="216" w:lineRule="auto"/>
            </w:pPr>
            <w:r>
              <w:rPr>
                <w:sz w:val="16"/>
                <w:szCs w:val="16"/>
              </w:rPr>
              <w:t>Primary 15.2%, secondary 58.4% and undiagnosed 26.3%. Imaging performed in 73.7%; all life-threatening secondary headaches were excluded. Recurrence of severe headache in undiagnosed cases was 11.9%</w:t>
            </w:r>
          </w:p>
        </w:tc>
      </w:tr>
      <w:tr w:rsidR="0039479F" w14:paraId="00D9D081" w14:textId="77777777">
        <w:tc>
          <w:tcPr>
            <w:tcW w:w="1578" w:type="dxa"/>
            <w:tcMar>
              <w:top w:w="40" w:type="dxa"/>
              <w:left w:w="70" w:type="dxa"/>
              <w:bottom w:w="40" w:type="dxa"/>
              <w:right w:w="70" w:type="dxa"/>
            </w:tcMar>
          </w:tcPr>
          <w:p w14:paraId="60CF2441" w14:textId="77777777" w:rsidR="0039479F" w:rsidRDefault="00000000">
            <w:pPr>
              <w:spacing w:line="216" w:lineRule="auto"/>
            </w:pPr>
            <w:r>
              <w:rPr>
                <w:sz w:val="16"/>
                <w:szCs w:val="16"/>
              </w:rPr>
              <w:t>García-Azorín et al. (2023)</w:t>
            </w:r>
          </w:p>
        </w:tc>
        <w:tc>
          <w:tcPr>
            <w:tcW w:w="986" w:type="dxa"/>
            <w:tcMar>
              <w:top w:w="40" w:type="dxa"/>
              <w:left w:w="70" w:type="dxa"/>
              <w:bottom w:w="40" w:type="dxa"/>
              <w:right w:w="70" w:type="dxa"/>
            </w:tcMar>
          </w:tcPr>
          <w:p w14:paraId="05AEB845" w14:textId="77777777" w:rsidR="0039479F" w:rsidRDefault="00000000">
            <w:pPr>
              <w:spacing w:line="216" w:lineRule="auto"/>
            </w:pPr>
            <w:r>
              <w:rPr>
                <w:sz w:val="16"/>
                <w:szCs w:val="16"/>
              </w:rPr>
              <w:t>Spain</w:t>
            </w:r>
          </w:p>
        </w:tc>
        <w:tc>
          <w:tcPr>
            <w:tcW w:w="1282" w:type="dxa"/>
            <w:tcMar>
              <w:top w:w="40" w:type="dxa"/>
              <w:left w:w="70" w:type="dxa"/>
              <w:bottom w:w="40" w:type="dxa"/>
              <w:right w:w="70" w:type="dxa"/>
            </w:tcMar>
          </w:tcPr>
          <w:p w14:paraId="1ADFDCB3" w14:textId="77777777" w:rsidR="0039479F" w:rsidRDefault="00000000">
            <w:pPr>
              <w:spacing w:line="216" w:lineRule="auto"/>
            </w:pPr>
            <w:r>
              <w:rPr>
                <w:sz w:val="16"/>
                <w:szCs w:val="16"/>
              </w:rPr>
              <w:t xml:space="preserve">1120 visits; 248 </w:t>
            </w:r>
            <w:proofErr w:type="gramStart"/>
            <w:r>
              <w:rPr>
                <w:sz w:val="16"/>
                <w:szCs w:val="16"/>
              </w:rPr>
              <w:t>eligible</w:t>
            </w:r>
            <w:proofErr w:type="gramEnd"/>
          </w:p>
        </w:tc>
        <w:tc>
          <w:tcPr>
            <w:tcW w:w="1973" w:type="dxa"/>
            <w:tcMar>
              <w:top w:w="40" w:type="dxa"/>
              <w:left w:w="70" w:type="dxa"/>
              <w:bottom w:w="40" w:type="dxa"/>
              <w:right w:w="70" w:type="dxa"/>
            </w:tcMar>
          </w:tcPr>
          <w:p w14:paraId="19228A42" w14:textId="77777777" w:rsidR="0039479F" w:rsidRDefault="00000000">
            <w:pPr>
              <w:spacing w:line="216" w:lineRule="auto"/>
            </w:pPr>
            <w:r>
              <w:rPr>
                <w:sz w:val="16"/>
                <w:szCs w:val="16"/>
              </w:rPr>
              <w:t>Manchester Triage System level</w:t>
            </w:r>
          </w:p>
        </w:tc>
        <w:tc>
          <w:tcPr>
            <w:tcW w:w="4047" w:type="dxa"/>
            <w:tcMar>
              <w:top w:w="40" w:type="dxa"/>
              <w:left w:w="70" w:type="dxa"/>
              <w:bottom w:w="40" w:type="dxa"/>
              <w:right w:w="70" w:type="dxa"/>
            </w:tcMar>
          </w:tcPr>
          <w:p w14:paraId="5D1EC78A" w14:textId="77777777" w:rsidR="0039479F" w:rsidRDefault="00000000">
            <w:pPr>
              <w:spacing w:line="216" w:lineRule="auto"/>
            </w:pPr>
            <w:r>
              <w:rPr>
                <w:sz w:val="16"/>
                <w:szCs w:val="16"/>
              </w:rPr>
              <w:t>Secondary headache in 126/248 (50.8% of sample; 11.2% of all visits); high-risk secondary headache in 60 (24.2%; 5.4%). Undertriage 85.1% at the very urgent level and 23.3% at the urgent level</w:t>
            </w:r>
          </w:p>
        </w:tc>
      </w:tr>
      <w:tr w:rsidR="0039479F" w14:paraId="5ECF1C7D" w14:textId="77777777">
        <w:tc>
          <w:tcPr>
            <w:tcW w:w="1578" w:type="dxa"/>
            <w:tcMar>
              <w:top w:w="40" w:type="dxa"/>
              <w:left w:w="70" w:type="dxa"/>
              <w:bottom w:w="40" w:type="dxa"/>
              <w:right w:w="70" w:type="dxa"/>
            </w:tcMar>
          </w:tcPr>
          <w:p w14:paraId="3F209066" w14:textId="77777777" w:rsidR="0039479F" w:rsidRDefault="00000000">
            <w:pPr>
              <w:spacing w:line="216" w:lineRule="auto"/>
            </w:pPr>
            <w:r>
              <w:rPr>
                <w:sz w:val="16"/>
                <w:szCs w:val="16"/>
              </w:rPr>
              <w:t>Liberman et al. (2023)</w:t>
            </w:r>
          </w:p>
        </w:tc>
        <w:tc>
          <w:tcPr>
            <w:tcW w:w="986" w:type="dxa"/>
            <w:tcMar>
              <w:top w:w="40" w:type="dxa"/>
              <w:left w:w="70" w:type="dxa"/>
              <w:bottom w:w="40" w:type="dxa"/>
              <w:right w:w="70" w:type="dxa"/>
            </w:tcMar>
          </w:tcPr>
          <w:p w14:paraId="5F5060FC"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29A5973D" w14:textId="77777777" w:rsidR="0039479F" w:rsidRDefault="00000000">
            <w:pPr>
              <w:spacing w:line="216" w:lineRule="auto"/>
            </w:pPr>
            <w:r>
              <w:rPr>
                <w:sz w:val="16"/>
                <w:szCs w:val="16"/>
              </w:rPr>
              <w:t>4633</w:t>
            </w:r>
          </w:p>
        </w:tc>
        <w:tc>
          <w:tcPr>
            <w:tcW w:w="1973" w:type="dxa"/>
            <w:tcMar>
              <w:top w:w="40" w:type="dxa"/>
              <w:left w:w="70" w:type="dxa"/>
              <w:bottom w:w="40" w:type="dxa"/>
              <w:right w:w="70" w:type="dxa"/>
            </w:tcMar>
          </w:tcPr>
          <w:p w14:paraId="50A7C405" w14:textId="77777777" w:rsidR="0039479F" w:rsidRDefault="00000000">
            <w:pPr>
              <w:spacing w:line="216" w:lineRule="auto"/>
            </w:pPr>
            <w:r>
              <w:rPr>
                <w:sz w:val="16"/>
                <w:szCs w:val="16"/>
              </w:rPr>
              <w:t>Preceding ED treat-and-release visit for a…</w:t>
            </w:r>
          </w:p>
        </w:tc>
        <w:tc>
          <w:tcPr>
            <w:tcW w:w="4047" w:type="dxa"/>
            <w:tcMar>
              <w:top w:w="40" w:type="dxa"/>
              <w:left w:w="70" w:type="dxa"/>
              <w:bottom w:w="40" w:type="dxa"/>
              <w:right w:w="70" w:type="dxa"/>
            </w:tcMar>
          </w:tcPr>
          <w:p w14:paraId="4F17CAE2" w14:textId="77777777" w:rsidR="0039479F" w:rsidRDefault="00000000">
            <w:pPr>
              <w:spacing w:line="216" w:lineRule="auto"/>
            </w:pPr>
            <w:r>
              <w:rPr>
                <w:sz w:val="16"/>
                <w:szCs w:val="16"/>
              </w:rPr>
              <w:t>210/4633 (4.53%, 95% CI 3.97-5.17) had probable preceding ED misdiagnosis; these patients were younger (48 versus 54 years, P&lt;0.001), more often female (80.4% versus 69.3%, P&lt;0.001), and more often had comorbid headache (84% versus 21.4%, P&lt;0.001)</w:t>
            </w:r>
          </w:p>
        </w:tc>
      </w:tr>
      <w:tr w:rsidR="0039479F" w14:paraId="1216E609" w14:textId="77777777">
        <w:tc>
          <w:tcPr>
            <w:tcW w:w="1578" w:type="dxa"/>
            <w:tcMar>
              <w:top w:w="40" w:type="dxa"/>
              <w:left w:w="70" w:type="dxa"/>
              <w:bottom w:w="40" w:type="dxa"/>
              <w:right w:w="70" w:type="dxa"/>
            </w:tcMar>
          </w:tcPr>
          <w:p w14:paraId="4A84BFD3" w14:textId="77777777" w:rsidR="0039479F" w:rsidRDefault="00000000">
            <w:pPr>
              <w:spacing w:line="216" w:lineRule="auto"/>
            </w:pPr>
            <w:r>
              <w:rPr>
                <w:sz w:val="16"/>
                <w:szCs w:val="16"/>
              </w:rPr>
              <w:t>Brigo et al. (2022)</w:t>
            </w:r>
          </w:p>
        </w:tc>
        <w:tc>
          <w:tcPr>
            <w:tcW w:w="986" w:type="dxa"/>
            <w:tcMar>
              <w:top w:w="40" w:type="dxa"/>
              <w:left w:w="70" w:type="dxa"/>
              <w:bottom w:w="40" w:type="dxa"/>
              <w:right w:w="70" w:type="dxa"/>
            </w:tcMar>
          </w:tcPr>
          <w:p w14:paraId="61BFE861" w14:textId="77777777" w:rsidR="0039479F" w:rsidRDefault="00000000">
            <w:pPr>
              <w:spacing w:line="216" w:lineRule="auto"/>
            </w:pPr>
            <w:r>
              <w:rPr>
                <w:sz w:val="16"/>
                <w:szCs w:val="16"/>
              </w:rPr>
              <w:t>Italy</w:t>
            </w:r>
          </w:p>
        </w:tc>
        <w:tc>
          <w:tcPr>
            <w:tcW w:w="1282" w:type="dxa"/>
            <w:tcMar>
              <w:top w:w="40" w:type="dxa"/>
              <w:left w:w="70" w:type="dxa"/>
              <w:bottom w:w="40" w:type="dxa"/>
              <w:right w:w="70" w:type="dxa"/>
            </w:tcMar>
          </w:tcPr>
          <w:p w14:paraId="1A42AC34" w14:textId="77777777" w:rsidR="0039479F" w:rsidRDefault="00000000">
            <w:pPr>
              <w:spacing w:line="216" w:lineRule="auto"/>
            </w:pPr>
            <w:r>
              <w:rPr>
                <w:sz w:val="16"/>
                <w:szCs w:val="16"/>
              </w:rPr>
              <w:t>3002 triage evaluations</w:t>
            </w:r>
          </w:p>
        </w:tc>
        <w:tc>
          <w:tcPr>
            <w:tcW w:w="1973" w:type="dxa"/>
            <w:tcMar>
              <w:top w:w="40" w:type="dxa"/>
              <w:left w:w="70" w:type="dxa"/>
              <w:bottom w:w="40" w:type="dxa"/>
              <w:right w:w="70" w:type="dxa"/>
            </w:tcMar>
          </w:tcPr>
          <w:p w14:paraId="0AD50E00" w14:textId="77777777" w:rsidR="0039479F" w:rsidRDefault="00000000">
            <w:pPr>
              <w:spacing w:line="216" w:lineRule="auto"/>
            </w:pPr>
            <w:r>
              <w:rPr>
                <w:sz w:val="16"/>
                <w:szCs w:val="16"/>
              </w:rPr>
              <w:t>Manchester Triage System</w:t>
            </w:r>
          </w:p>
        </w:tc>
        <w:tc>
          <w:tcPr>
            <w:tcW w:w="4047" w:type="dxa"/>
            <w:tcMar>
              <w:top w:w="40" w:type="dxa"/>
              <w:left w:w="70" w:type="dxa"/>
              <w:bottom w:w="40" w:type="dxa"/>
              <w:right w:w="70" w:type="dxa"/>
            </w:tcMar>
          </w:tcPr>
          <w:p w14:paraId="2A86D7F0" w14:textId="77777777" w:rsidR="0039479F" w:rsidRDefault="00000000">
            <w:pPr>
              <w:spacing w:line="216" w:lineRule="auto"/>
            </w:pPr>
            <w:r>
              <w:rPr>
                <w:sz w:val="16"/>
                <w:szCs w:val="16"/>
              </w:rPr>
              <w:t>68/3002 (2.3%) had an urgent and severe neurological condition. MTS area under ROC curve 0.734 (0.668-0.799); sensitivity for urgent codes 79.4% (74.5-84.3), specificity 54.1% (52.9-55.3)</w:t>
            </w:r>
          </w:p>
        </w:tc>
      </w:tr>
      <w:tr w:rsidR="0039479F" w14:paraId="4CFF9871" w14:textId="77777777">
        <w:tc>
          <w:tcPr>
            <w:tcW w:w="1578" w:type="dxa"/>
            <w:tcMar>
              <w:top w:w="40" w:type="dxa"/>
              <w:left w:w="70" w:type="dxa"/>
              <w:bottom w:w="40" w:type="dxa"/>
              <w:right w:w="70" w:type="dxa"/>
            </w:tcMar>
          </w:tcPr>
          <w:p w14:paraId="1383A490" w14:textId="77777777" w:rsidR="0039479F" w:rsidRDefault="00000000">
            <w:pPr>
              <w:spacing w:line="216" w:lineRule="auto"/>
            </w:pPr>
            <w:r>
              <w:rPr>
                <w:sz w:val="16"/>
                <w:szCs w:val="16"/>
              </w:rPr>
              <w:lastRenderedPageBreak/>
              <w:t>Liberman et al. (2022)</w:t>
            </w:r>
          </w:p>
        </w:tc>
        <w:tc>
          <w:tcPr>
            <w:tcW w:w="986" w:type="dxa"/>
            <w:tcMar>
              <w:top w:w="40" w:type="dxa"/>
              <w:left w:w="70" w:type="dxa"/>
              <w:bottom w:w="40" w:type="dxa"/>
              <w:right w:w="70" w:type="dxa"/>
            </w:tcMar>
          </w:tcPr>
          <w:p w14:paraId="3C4CF21E"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6EF13F83" w14:textId="77777777" w:rsidR="0039479F" w:rsidRDefault="00000000">
            <w:pPr>
              <w:spacing w:line="216" w:lineRule="auto"/>
            </w:pPr>
            <w:r>
              <w:rPr>
                <w:sz w:val="16"/>
                <w:szCs w:val="16"/>
              </w:rPr>
              <w:t>1502831</w:t>
            </w:r>
          </w:p>
        </w:tc>
        <w:tc>
          <w:tcPr>
            <w:tcW w:w="1973" w:type="dxa"/>
            <w:tcMar>
              <w:top w:w="40" w:type="dxa"/>
              <w:left w:w="70" w:type="dxa"/>
              <w:bottom w:w="40" w:type="dxa"/>
              <w:right w:w="70" w:type="dxa"/>
            </w:tcMar>
          </w:tcPr>
          <w:p w14:paraId="381E83E5" w14:textId="77777777" w:rsidR="0039479F" w:rsidRDefault="00000000">
            <w:pPr>
              <w:spacing w:line="216" w:lineRule="auto"/>
            </w:pPr>
            <w:r>
              <w:rPr>
                <w:sz w:val="16"/>
                <w:szCs w:val="16"/>
              </w:rPr>
              <w:t>Index ED discharge diagnosis</w:t>
            </w:r>
          </w:p>
        </w:tc>
        <w:tc>
          <w:tcPr>
            <w:tcW w:w="4047" w:type="dxa"/>
            <w:tcMar>
              <w:top w:w="40" w:type="dxa"/>
              <w:left w:w="70" w:type="dxa"/>
              <w:bottom w:w="40" w:type="dxa"/>
              <w:right w:w="70" w:type="dxa"/>
            </w:tcMar>
          </w:tcPr>
          <w:p w14:paraId="05B6B30C" w14:textId="77777777" w:rsidR="0039479F" w:rsidRDefault="00000000">
            <w:pPr>
              <w:spacing w:line="216" w:lineRule="auto"/>
            </w:pPr>
            <w:r>
              <w:rPr>
                <w:sz w:val="16"/>
                <w:szCs w:val="16"/>
              </w:rPr>
              <w:t>2150/1502831 (0.14%) were hospitalised for stroke within 30 days. Adjusted stroke risk was higher after headache than after renal colic (HR 2.69, 95% CI 2.29-3.16) or back pain (HR 4.0, 95% CI ...)</w:t>
            </w:r>
          </w:p>
        </w:tc>
      </w:tr>
      <w:tr w:rsidR="0039479F" w14:paraId="4DD5E155" w14:textId="77777777">
        <w:tc>
          <w:tcPr>
            <w:tcW w:w="1578" w:type="dxa"/>
            <w:tcMar>
              <w:top w:w="40" w:type="dxa"/>
              <w:left w:w="70" w:type="dxa"/>
              <w:bottom w:w="40" w:type="dxa"/>
              <w:right w:w="70" w:type="dxa"/>
            </w:tcMar>
          </w:tcPr>
          <w:p w14:paraId="04881307" w14:textId="77777777" w:rsidR="0039479F" w:rsidRDefault="00000000">
            <w:pPr>
              <w:spacing w:line="216" w:lineRule="auto"/>
            </w:pPr>
            <w:r>
              <w:rPr>
                <w:sz w:val="16"/>
                <w:szCs w:val="16"/>
              </w:rPr>
              <w:t>García-Azorín et al. (2020b)</w:t>
            </w:r>
          </w:p>
        </w:tc>
        <w:tc>
          <w:tcPr>
            <w:tcW w:w="986" w:type="dxa"/>
            <w:tcMar>
              <w:top w:w="40" w:type="dxa"/>
              <w:left w:w="70" w:type="dxa"/>
              <w:bottom w:w="40" w:type="dxa"/>
              <w:right w:w="70" w:type="dxa"/>
            </w:tcMar>
          </w:tcPr>
          <w:p w14:paraId="734E9D33" w14:textId="77777777" w:rsidR="0039479F" w:rsidRDefault="00000000">
            <w:pPr>
              <w:spacing w:line="216" w:lineRule="auto"/>
            </w:pPr>
            <w:r>
              <w:rPr>
                <w:sz w:val="16"/>
                <w:szCs w:val="16"/>
              </w:rPr>
              <w:t>Spain</w:t>
            </w:r>
          </w:p>
        </w:tc>
        <w:tc>
          <w:tcPr>
            <w:tcW w:w="1282" w:type="dxa"/>
            <w:tcMar>
              <w:top w:w="40" w:type="dxa"/>
              <w:left w:w="70" w:type="dxa"/>
              <w:bottom w:w="40" w:type="dxa"/>
              <w:right w:w="70" w:type="dxa"/>
            </w:tcMar>
          </w:tcPr>
          <w:p w14:paraId="29F1AD6E" w14:textId="77777777" w:rsidR="0039479F" w:rsidRDefault="00000000">
            <w:pPr>
              <w:spacing w:line="216" w:lineRule="auto"/>
            </w:pPr>
            <w:r>
              <w:rPr>
                <w:sz w:val="16"/>
                <w:szCs w:val="16"/>
              </w:rPr>
              <w:t>2132 screened; 211 with…</w:t>
            </w:r>
          </w:p>
        </w:tc>
        <w:tc>
          <w:tcPr>
            <w:tcW w:w="1973" w:type="dxa"/>
            <w:tcMar>
              <w:top w:w="40" w:type="dxa"/>
              <w:left w:w="70" w:type="dxa"/>
              <w:bottom w:w="40" w:type="dxa"/>
              <w:right w:w="70" w:type="dxa"/>
            </w:tcMar>
          </w:tcPr>
          <w:p w14:paraId="37973133" w14:textId="77777777" w:rsidR="0039479F" w:rsidRDefault="00000000">
            <w:pPr>
              <w:spacing w:line="216" w:lineRule="auto"/>
            </w:pPr>
            <w:r>
              <w:rPr>
                <w:sz w:val="16"/>
                <w:szCs w:val="16"/>
              </w:rPr>
              <w:t>Application of ICHD criteria</w:t>
            </w:r>
          </w:p>
        </w:tc>
        <w:tc>
          <w:tcPr>
            <w:tcW w:w="4047" w:type="dxa"/>
            <w:tcMar>
              <w:top w:w="40" w:type="dxa"/>
              <w:left w:w="70" w:type="dxa"/>
              <w:bottom w:w="40" w:type="dxa"/>
              <w:right w:w="70" w:type="dxa"/>
            </w:tcMar>
          </w:tcPr>
          <w:p w14:paraId="3E473C02" w14:textId="77777777" w:rsidR="0039479F" w:rsidRDefault="00000000">
            <w:pPr>
              <w:spacing w:line="216" w:lineRule="auto"/>
            </w:pPr>
            <w:r>
              <w:rPr>
                <w:sz w:val="16"/>
                <w:szCs w:val="16"/>
              </w:rPr>
              <w:t>Only 5/211 fulfilled ICHD criteria for tension-type headache. After reclassification, 21 fulfilled criteria for tension-type or probable tension-type headache; in 106 another headache was diagnosed, including migraine in 40 (18.9%), secondary headache in 64 (30.3%) and a life-threatening disorder in 13 (6.1%)</w:t>
            </w:r>
          </w:p>
        </w:tc>
      </w:tr>
      <w:tr w:rsidR="0039479F" w14:paraId="177DE4E2" w14:textId="77777777">
        <w:tc>
          <w:tcPr>
            <w:tcW w:w="1578" w:type="dxa"/>
            <w:tcMar>
              <w:top w:w="40" w:type="dxa"/>
              <w:left w:w="70" w:type="dxa"/>
              <w:bottom w:w="40" w:type="dxa"/>
              <w:right w:w="70" w:type="dxa"/>
            </w:tcMar>
          </w:tcPr>
          <w:p w14:paraId="21325418" w14:textId="77777777" w:rsidR="0039479F" w:rsidRDefault="00000000">
            <w:pPr>
              <w:spacing w:line="216" w:lineRule="auto"/>
            </w:pPr>
            <w:r>
              <w:rPr>
                <w:sz w:val="16"/>
                <w:szCs w:val="16"/>
              </w:rPr>
              <w:t>Liberman et al. (2020)</w:t>
            </w:r>
          </w:p>
        </w:tc>
        <w:tc>
          <w:tcPr>
            <w:tcW w:w="986" w:type="dxa"/>
            <w:tcMar>
              <w:top w:w="40" w:type="dxa"/>
              <w:left w:w="70" w:type="dxa"/>
              <w:bottom w:w="40" w:type="dxa"/>
              <w:right w:w="70" w:type="dxa"/>
            </w:tcMar>
          </w:tcPr>
          <w:p w14:paraId="22D0EADF"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43CF31CC" w14:textId="77777777" w:rsidR="0039479F" w:rsidRDefault="00000000">
            <w:pPr>
              <w:spacing w:line="216" w:lineRule="auto"/>
            </w:pPr>
            <w:r>
              <w:rPr>
                <w:sz w:val="16"/>
                <w:szCs w:val="16"/>
              </w:rPr>
              <w:t>7090</w:t>
            </w:r>
          </w:p>
        </w:tc>
        <w:tc>
          <w:tcPr>
            <w:tcW w:w="1973" w:type="dxa"/>
            <w:tcMar>
              <w:top w:w="40" w:type="dxa"/>
              <w:left w:w="70" w:type="dxa"/>
              <w:bottom w:w="40" w:type="dxa"/>
              <w:right w:w="70" w:type="dxa"/>
            </w:tcMar>
          </w:tcPr>
          <w:p w14:paraId="7EB62F34" w14:textId="77777777" w:rsidR="0039479F" w:rsidRDefault="00000000">
            <w:pPr>
              <w:spacing w:line="216" w:lineRule="auto"/>
            </w:pPr>
            <w:r>
              <w:rPr>
                <w:sz w:val="16"/>
                <w:szCs w:val="16"/>
              </w:rPr>
              <w:t>ED treat-and-release visit for headache, neck pain…</w:t>
            </w:r>
          </w:p>
        </w:tc>
        <w:tc>
          <w:tcPr>
            <w:tcW w:w="4047" w:type="dxa"/>
            <w:tcMar>
              <w:top w:w="40" w:type="dxa"/>
              <w:left w:w="70" w:type="dxa"/>
              <w:bottom w:w="40" w:type="dxa"/>
              <w:right w:w="70" w:type="dxa"/>
            </w:tcMar>
          </w:tcPr>
          <w:p w14:paraId="2E3DE4C3" w14:textId="77777777" w:rsidR="0039479F" w:rsidRDefault="00000000">
            <w:pPr>
              <w:spacing w:line="216" w:lineRule="auto"/>
            </w:pPr>
            <w:r>
              <w:rPr>
                <w:sz w:val="16"/>
                <w:szCs w:val="16"/>
              </w:rPr>
              <w:t>218/7090 (3.1%, 95% CI 2.7-3.5) had a preceding probable ED misdiagnosis. No difference in stroke (OR 0.82, 0.62-1.09) or in-hospital death (OR 0.26, 0.07-1.08) between misdiagnosed and other patients</w:t>
            </w:r>
          </w:p>
        </w:tc>
      </w:tr>
      <w:tr w:rsidR="0039479F" w14:paraId="38FFEB88" w14:textId="77777777">
        <w:tc>
          <w:tcPr>
            <w:tcW w:w="1578" w:type="dxa"/>
            <w:tcMar>
              <w:top w:w="40" w:type="dxa"/>
              <w:left w:w="70" w:type="dxa"/>
              <w:bottom w:w="40" w:type="dxa"/>
              <w:right w:w="70" w:type="dxa"/>
            </w:tcMar>
          </w:tcPr>
          <w:p w14:paraId="53C275FC" w14:textId="77777777" w:rsidR="0039479F" w:rsidRDefault="00000000">
            <w:pPr>
              <w:spacing w:line="216" w:lineRule="auto"/>
            </w:pPr>
            <w:r>
              <w:rPr>
                <w:sz w:val="16"/>
                <w:szCs w:val="16"/>
              </w:rPr>
              <w:t>Dubosh et al. (2019)</w:t>
            </w:r>
          </w:p>
        </w:tc>
        <w:tc>
          <w:tcPr>
            <w:tcW w:w="986" w:type="dxa"/>
            <w:tcMar>
              <w:top w:w="40" w:type="dxa"/>
              <w:left w:w="70" w:type="dxa"/>
              <w:bottom w:w="40" w:type="dxa"/>
              <w:right w:w="70" w:type="dxa"/>
            </w:tcMar>
          </w:tcPr>
          <w:p w14:paraId="6635341D"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221D2822" w14:textId="77777777" w:rsidR="0039479F" w:rsidRDefault="00000000">
            <w:pPr>
              <w:spacing w:line="216" w:lineRule="auto"/>
            </w:pPr>
            <w:r>
              <w:rPr>
                <w:sz w:val="16"/>
                <w:szCs w:val="16"/>
              </w:rPr>
              <w:t>2101081 headache discharges</w:t>
            </w:r>
          </w:p>
        </w:tc>
        <w:tc>
          <w:tcPr>
            <w:tcW w:w="1973" w:type="dxa"/>
            <w:tcMar>
              <w:top w:w="40" w:type="dxa"/>
              <w:left w:w="70" w:type="dxa"/>
              <w:bottom w:w="40" w:type="dxa"/>
              <w:right w:w="70" w:type="dxa"/>
            </w:tcMar>
          </w:tcPr>
          <w:p w14:paraId="539973E5" w14:textId="77777777" w:rsidR="0039479F" w:rsidRDefault="00000000">
            <w:pPr>
              <w:spacing w:line="216" w:lineRule="auto"/>
            </w:pPr>
            <w:r>
              <w:rPr>
                <w:sz w:val="16"/>
                <w:szCs w:val="16"/>
              </w:rPr>
              <w:t>ED discharge diagnosis</w:t>
            </w:r>
          </w:p>
        </w:tc>
        <w:tc>
          <w:tcPr>
            <w:tcW w:w="4047" w:type="dxa"/>
            <w:tcMar>
              <w:top w:w="40" w:type="dxa"/>
              <w:left w:w="70" w:type="dxa"/>
              <w:bottom w:w="40" w:type="dxa"/>
              <w:right w:w="70" w:type="dxa"/>
            </w:tcMar>
          </w:tcPr>
          <w:p w14:paraId="41000656" w14:textId="77777777" w:rsidR="0039479F" w:rsidRDefault="00000000">
            <w:pPr>
              <w:spacing w:line="216" w:lineRule="auto"/>
            </w:pPr>
            <w:r>
              <w:rPr>
                <w:sz w:val="16"/>
                <w:szCs w:val="16"/>
              </w:rPr>
              <w:t>0.5% of headache patients met the primary outcome. The commonest missed condition was ischaemic stroke (18.1%). Advanced age, male sex, non-Hispanic white ethnicity and comorbidities (neurological disorders, HIV/AIDS, malignancy) were associated with higher odds</w:t>
            </w:r>
          </w:p>
        </w:tc>
      </w:tr>
      <w:tr w:rsidR="0039479F" w14:paraId="6C378E39" w14:textId="77777777">
        <w:tc>
          <w:tcPr>
            <w:tcW w:w="1578" w:type="dxa"/>
            <w:tcMar>
              <w:top w:w="40" w:type="dxa"/>
              <w:left w:w="70" w:type="dxa"/>
              <w:bottom w:w="40" w:type="dxa"/>
              <w:right w:w="70" w:type="dxa"/>
            </w:tcMar>
          </w:tcPr>
          <w:p w14:paraId="4CFB9586" w14:textId="77777777" w:rsidR="0039479F" w:rsidRDefault="00000000">
            <w:pPr>
              <w:spacing w:line="216" w:lineRule="auto"/>
            </w:pPr>
            <w:r>
              <w:rPr>
                <w:sz w:val="16"/>
                <w:szCs w:val="16"/>
              </w:rPr>
              <w:t>Liberman et al. (2019)</w:t>
            </w:r>
          </w:p>
        </w:tc>
        <w:tc>
          <w:tcPr>
            <w:tcW w:w="986" w:type="dxa"/>
            <w:tcMar>
              <w:top w:w="40" w:type="dxa"/>
              <w:left w:w="70" w:type="dxa"/>
              <w:bottom w:w="40" w:type="dxa"/>
              <w:right w:w="70" w:type="dxa"/>
            </w:tcMar>
          </w:tcPr>
          <w:p w14:paraId="6AA41CB4"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34EE1C3A" w14:textId="77777777" w:rsidR="0039479F" w:rsidRDefault="00000000">
            <w:pPr>
              <w:spacing w:line="216" w:lineRule="auto"/>
            </w:pPr>
            <w:r>
              <w:rPr>
                <w:sz w:val="16"/>
                <w:szCs w:val="16"/>
              </w:rPr>
              <w:t>72 initially eligible; 53…</w:t>
            </w:r>
          </w:p>
        </w:tc>
        <w:tc>
          <w:tcPr>
            <w:tcW w:w="1973" w:type="dxa"/>
            <w:tcMar>
              <w:top w:w="40" w:type="dxa"/>
              <w:left w:w="70" w:type="dxa"/>
              <w:bottom w:w="40" w:type="dxa"/>
              <w:right w:w="70" w:type="dxa"/>
            </w:tcMar>
          </w:tcPr>
          <w:p w14:paraId="2DBDBA0F" w14:textId="77777777" w:rsidR="0039479F" w:rsidRDefault="00000000">
            <w:pPr>
              <w:spacing w:line="216" w:lineRule="auto"/>
            </w:pPr>
            <w:r>
              <w:rPr>
                <w:sz w:val="16"/>
                <w:szCs w:val="16"/>
              </w:rPr>
              <w:t xml:space="preserve">Safer Dx instrument applied by two </w:t>
            </w:r>
            <w:proofErr w:type="gramStart"/>
            <w:r>
              <w:rPr>
                <w:sz w:val="16"/>
                <w:szCs w:val="16"/>
              </w:rPr>
              <w:t>independent</w:t>
            </w:r>
            <w:proofErr w:type="gramEnd"/>
            <w:r>
              <w:rPr>
                <w:sz w:val="16"/>
                <w:szCs w:val="16"/>
              </w:rPr>
              <w:t>…</w:t>
            </w:r>
          </w:p>
        </w:tc>
        <w:tc>
          <w:tcPr>
            <w:tcW w:w="4047" w:type="dxa"/>
            <w:tcMar>
              <w:top w:w="40" w:type="dxa"/>
              <w:left w:w="70" w:type="dxa"/>
              <w:bottom w:w="40" w:type="dxa"/>
              <w:right w:w="70" w:type="dxa"/>
            </w:tcMar>
          </w:tcPr>
          <w:p w14:paraId="629794E2" w14:textId="77777777" w:rsidR="0039479F" w:rsidRDefault="00000000">
            <w:pPr>
              <w:spacing w:line="216" w:lineRule="auto"/>
            </w:pPr>
            <w:r>
              <w:rPr>
                <w:sz w:val="16"/>
                <w:szCs w:val="16"/>
              </w:rPr>
              <w:t>Diagnostic error in 11/53 (20.8%, 95% CI 11.8-33.6). Prior history of a headache disorder was significantly more common in those with diagnostic error (36.4% versus 7.1%, p=0.03)</w:t>
            </w:r>
          </w:p>
        </w:tc>
      </w:tr>
      <w:tr w:rsidR="0039479F" w14:paraId="1F2FC735" w14:textId="77777777">
        <w:tc>
          <w:tcPr>
            <w:tcW w:w="1578" w:type="dxa"/>
            <w:tcMar>
              <w:top w:w="40" w:type="dxa"/>
              <w:left w:w="70" w:type="dxa"/>
              <w:bottom w:w="40" w:type="dxa"/>
              <w:right w:w="70" w:type="dxa"/>
            </w:tcMar>
          </w:tcPr>
          <w:p w14:paraId="2A57FEAB" w14:textId="77777777" w:rsidR="0039479F" w:rsidRDefault="00000000">
            <w:pPr>
              <w:spacing w:line="216" w:lineRule="auto"/>
            </w:pPr>
            <w:r>
              <w:rPr>
                <w:sz w:val="16"/>
                <w:szCs w:val="16"/>
              </w:rPr>
              <w:t>Liberman et al. (2018)</w:t>
            </w:r>
          </w:p>
        </w:tc>
        <w:tc>
          <w:tcPr>
            <w:tcW w:w="986" w:type="dxa"/>
            <w:tcMar>
              <w:top w:w="40" w:type="dxa"/>
              <w:left w:w="70" w:type="dxa"/>
              <w:bottom w:w="40" w:type="dxa"/>
              <w:right w:w="70" w:type="dxa"/>
            </w:tcMar>
          </w:tcPr>
          <w:p w14:paraId="0CD1B792"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647C2086" w14:textId="77777777" w:rsidR="0039479F" w:rsidRDefault="00000000">
            <w:pPr>
              <w:spacing w:line="216" w:lineRule="auto"/>
            </w:pPr>
            <w:r>
              <w:rPr>
                <w:sz w:val="16"/>
                <w:szCs w:val="16"/>
              </w:rPr>
              <w:t>5966 (plus 134 confirmatory)</w:t>
            </w:r>
          </w:p>
        </w:tc>
        <w:tc>
          <w:tcPr>
            <w:tcW w:w="1973" w:type="dxa"/>
            <w:tcMar>
              <w:top w:w="40" w:type="dxa"/>
              <w:left w:w="70" w:type="dxa"/>
              <w:bottom w:w="40" w:type="dxa"/>
              <w:right w:w="70" w:type="dxa"/>
            </w:tcMar>
          </w:tcPr>
          <w:p w14:paraId="08F88F46" w14:textId="77777777" w:rsidR="0039479F" w:rsidRDefault="00000000">
            <w:pPr>
              <w:spacing w:line="216" w:lineRule="auto"/>
            </w:pPr>
            <w:r>
              <w:rPr>
                <w:sz w:val="16"/>
                <w:szCs w:val="16"/>
              </w:rPr>
              <w:t>ED treat-and-release visit for headache or seizure…</w:t>
            </w:r>
          </w:p>
        </w:tc>
        <w:tc>
          <w:tcPr>
            <w:tcW w:w="4047" w:type="dxa"/>
            <w:tcMar>
              <w:top w:w="40" w:type="dxa"/>
              <w:left w:w="70" w:type="dxa"/>
              <w:bottom w:w="40" w:type="dxa"/>
              <w:right w:w="70" w:type="dxa"/>
            </w:tcMar>
          </w:tcPr>
          <w:p w14:paraId="429D14B2" w14:textId="77777777" w:rsidR="0039479F" w:rsidRDefault="00000000">
            <w:pPr>
              <w:spacing w:line="216" w:lineRule="auto"/>
            </w:pPr>
            <w:r>
              <w:rPr>
                <w:sz w:val="16"/>
                <w:szCs w:val="16"/>
              </w:rPr>
              <w:t>216/5966 (3.6%, 95% CI 1.1-4.1) had probable misdiagnosis; 8/134 (6.0%, 2.6-11.4) in the confirmatory cohort. Misdiagnosis was associated with longer hospital stay (OR 1.62, 1.04-2.50) but not mortality, intracerebral haemorrhage or discharge disposition</w:t>
            </w:r>
          </w:p>
        </w:tc>
      </w:tr>
      <w:tr w:rsidR="0039479F" w14:paraId="657A980C" w14:textId="77777777">
        <w:tc>
          <w:tcPr>
            <w:tcW w:w="1578" w:type="dxa"/>
            <w:tcMar>
              <w:top w:w="40" w:type="dxa"/>
              <w:left w:w="70" w:type="dxa"/>
              <w:bottom w:w="40" w:type="dxa"/>
              <w:right w:w="70" w:type="dxa"/>
            </w:tcMar>
          </w:tcPr>
          <w:p w14:paraId="06FA0E3B" w14:textId="77777777" w:rsidR="0039479F" w:rsidRDefault="00000000">
            <w:pPr>
              <w:spacing w:line="216" w:lineRule="auto"/>
            </w:pPr>
            <w:r>
              <w:rPr>
                <w:sz w:val="16"/>
                <w:szCs w:val="16"/>
              </w:rPr>
              <w:t>Miller et al. (2018)</w:t>
            </w:r>
          </w:p>
        </w:tc>
        <w:tc>
          <w:tcPr>
            <w:tcW w:w="986" w:type="dxa"/>
            <w:tcMar>
              <w:top w:w="40" w:type="dxa"/>
              <w:left w:w="70" w:type="dxa"/>
              <w:bottom w:w="40" w:type="dxa"/>
              <w:right w:w="70" w:type="dxa"/>
            </w:tcMar>
          </w:tcPr>
          <w:p w14:paraId="420095F8"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2B862F33" w14:textId="77777777" w:rsidR="0039479F" w:rsidRDefault="00000000">
            <w:pPr>
              <w:spacing w:line="216" w:lineRule="auto"/>
            </w:pPr>
            <w:r>
              <w:rPr>
                <w:sz w:val="16"/>
                <w:szCs w:val="16"/>
              </w:rPr>
              <w:t>582 index visits</w:t>
            </w:r>
          </w:p>
        </w:tc>
        <w:tc>
          <w:tcPr>
            <w:tcW w:w="1973" w:type="dxa"/>
            <w:tcMar>
              <w:top w:w="40" w:type="dxa"/>
              <w:left w:w="70" w:type="dxa"/>
              <w:bottom w:w="40" w:type="dxa"/>
              <w:right w:w="70" w:type="dxa"/>
            </w:tcMar>
          </w:tcPr>
          <w:p w14:paraId="55CD84C7" w14:textId="77777777" w:rsidR="0039479F" w:rsidRDefault="00000000">
            <w:pPr>
              <w:spacing w:line="216" w:lineRule="auto"/>
            </w:pPr>
            <w:r>
              <w:rPr>
                <w:sz w:val="16"/>
                <w:szCs w:val="16"/>
              </w:rPr>
              <w:t>Reduced head CT use (9.6% decrease)</w:t>
            </w:r>
          </w:p>
        </w:tc>
        <w:tc>
          <w:tcPr>
            <w:tcW w:w="4047" w:type="dxa"/>
            <w:tcMar>
              <w:top w:w="40" w:type="dxa"/>
              <w:left w:w="70" w:type="dxa"/>
              <w:bottom w:w="40" w:type="dxa"/>
              <w:right w:w="70" w:type="dxa"/>
            </w:tcMar>
          </w:tcPr>
          <w:p w14:paraId="486BAA8C" w14:textId="77777777" w:rsidR="0039479F" w:rsidRDefault="00000000">
            <w:pPr>
              <w:spacing w:line="216" w:lineRule="auto"/>
            </w:pPr>
            <w:r>
              <w:rPr>
                <w:sz w:val="16"/>
                <w:szCs w:val="16"/>
              </w:rPr>
              <w:t>9 deaths and 10 missed intracranial diagnoses. No difference in the proportion of death (p=0.337) or missed intracranial diagnosis (p=0.312) after the reduction in head CT use</w:t>
            </w:r>
          </w:p>
        </w:tc>
      </w:tr>
    </w:tbl>
    <w:p w14:paraId="2B27E05F" w14:textId="77777777" w:rsidR="0039479F" w:rsidRDefault="00000000">
      <w:pPr>
        <w:spacing w:before="90" w:after="220" w:line="240" w:lineRule="auto"/>
      </w:pPr>
      <w:r>
        <w:rPr>
          <w:sz w:val="17"/>
          <w:szCs w:val="17"/>
        </w:rPr>
        <w:t>Note. Population-denominator studies estimate the proportion of discharged patients later found to have a serious condition; disease-denominator studies estimate the proportion of patients with a given condition whose diagnosis was missed at an earlier visit. The two are not interchangeable. Long entries are abbreviated here; the complete extraction for every report is in Supplementary material S5.</w:t>
      </w:r>
    </w:p>
    <w:p w14:paraId="33D77873" w14:textId="77777777" w:rsidR="0039479F" w:rsidRDefault="00000000">
      <w:pPr>
        <w:pStyle w:val="Heading2"/>
        <w:keepNext/>
        <w:spacing w:before="220" w:after="110"/>
      </w:pPr>
      <w:r>
        <w:t>3.15 Derived diagnostic algorithm</w:t>
      </w:r>
    </w:p>
    <w:p w14:paraId="6C34A8BE" w14:textId="77777777" w:rsidR="0039479F" w:rsidRDefault="00000000">
      <w:pPr>
        <w:spacing w:after="140"/>
        <w:jc w:val="both"/>
      </w:pPr>
      <w:r>
        <w:t>The algorithm in Figure 2 was derived directly from the synthesis above and follows the sequence of decisions the evidence actually supports. Its structure rests on four findings. First, no single clinical feature or composite red-flag list is specific enough to reduce investigation, but the most sensitive lists approach complete sensitivity (Chu et al., 2024; García-Azorín et al., 2022), so their proper role is as a floor beneath the decision not to investigate rather than as a trigger to investigate. Second, the interval from headache onset, not the severity of the headache, determines what a normal non-contrast CT means (Backes et al., 2012; Perry et al., 2011; Trainee Emergency Research Network, 2024), which is why time from onset is placed at the first branch point after the decision to image. Third, once a normal CT within six hours has been obtained, the marginal yield of lumbar puncture is low but its yield at scale is not zero (Migdal et al., 2015; Thompson et al., 2025), so the algorithm frames the step as a documented shared decision rather than as an automatic action. Fourth, a normal non-contrast CT does not exclude cerebral venous thrombosis, arterial dissection, reversible cerebral vasoconstriction syndrome, meningitis, raised intracranial pressure or carbon monoxide poisoning, each of which has its own decisive test (Alons et al., 2015; Ebrahimzadeh et al., 2022; Kosinski et al., 2004; Nakao et al., 2014; Thulasi et al., 2013; Zorbalar et al., 2014); the algorithm therefore does not terminate at a normal CT but routes to a phenotype-directed second tier.</w:t>
      </w:r>
    </w:p>
    <w:p w14:paraId="3B3A807A" w14:textId="77777777" w:rsidR="0039479F" w:rsidRDefault="00000000">
      <w:pPr>
        <w:spacing w:after="140"/>
        <w:jc w:val="both"/>
      </w:pPr>
      <w:r>
        <w:t>The algorithm is a synthesis product, not a validated instrument. It has not been derived in a patient-level dataset, has no reported operating characteristics of its own, and has not been prospectively tested. Its individual components carry the operating characteristics reported in Tables 5 to 15 and inherit their limitations, including the case-mix from which each was derived. It is presented as an explicit and auditable structure for the decision sequence, and as a framework for prospective evaluation.</w:t>
      </w:r>
    </w:p>
    <w:p w14:paraId="4E5FA11C" w14:textId="58D347C3" w:rsidR="0039479F" w:rsidRDefault="00853FCC">
      <w:pPr>
        <w:keepNext/>
        <w:spacing w:before="200" w:after="120" w:line="240" w:lineRule="auto"/>
        <w:jc w:val="center"/>
      </w:pPr>
      <w:r>
        <w:rPr>
          <w:noProof/>
        </w:rPr>
        <w:lastRenderedPageBreak/>
        <w:drawing>
          <wp:inline distT="0" distB="0" distL="0" distR="0" wp14:anchorId="3C74ED1D" wp14:editId="332D37B6">
            <wp:extent cx="6264910" cy="6741160"/>
            <wp:effectExtent l="0" t="0" r="2540" b="2540"/>
            <wp:docPr id="2109889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889468" name="Picture 21098894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64910" cy="6741160"/>
                    </a:xfrm>
                    <a:prstGeom prst="rect">
                      <a:avLst/>
                    </a:prstGeom>
                  </pic:spPr>
                </pic:pic>
              </a:graphicData>
            </a:graphic>
          </wp:inline>
        </w:drawing>
      </w:r>
    </w:p>
    <w:p w14:paraId="45B49260" w14:textId="77777777" w:rsidR="0039479F" w:rsidRDefault="00000000">
      <w:pPr>
        <w:spacing w:after="80" w:line="252" w:lineRule="auto"/>
      </w:pPr>
      <w:r>
        <w:rPr>
          <w:sz w:val="21"/>
          <w:szCs w:val="21"/>
        </w:rPr>
        <w:t>Figure 2. Evidence-based staged diagnostic algorithm for non-traumatic headache in the emergency department</w:t>
      </w:r>
    </w:p>
    <w:p w14:paraId="3B605999" w14:textId="77777777" w:rsidR="0039479F" w:rsidRDefault="00000000">
      <w:pPr>
        <w:spacing w:after="240" w:line="240" w:lineRule="auto"/>
      </w:pPr>
      <w:r>
        <w:rPr>
          <w:sz w:val="17"/>
          <w:szCs w:val="17"/>
        </w:rPr>
        <w:t>Note. Derived from the synthesised evidence presented in Sections 3.4 to 3.14. The algorithm has not been derived in a patient-level dataset and has not been prospectively validated; operating characteristics belong to its individual components, not to the algorithm as a whole.</w:t>
      </w:r>
    </w:p>
    <w:p w14:paraId="7A5A0B8F" w14:textId="77777777" w:rsidR="0039479F" w:rsidRDefault="00000000">
      <w:pPr>
        <w:pStyle w:val="Heading2"/>
        <w:keepNext/>
        <w:spacing w:before="220" w:after="110"/>
      </w:pPr>
      <w:r>
        <w:t>3.16 Structured confidence assessment</w:t>
      </w:r>
    </w:p>
    <w:p w14:paraId="6B7A6A01" w14:textId="77777777" w:rsidR="0039479F" w:rsidRDefault="00000000">
      <w:pPr>
        <w:spacing w:after="140"/>
        <w:jc w:val="both"/>
      </w:pPr>
      <w:r>
        <w:t>Confidence differs sharply between domains, and the difference is driven less by the number of studies than by their design and by whether the reported estimand answers the emergency question. The two domains in which confidence is highest — non-contrast CT timed from headache onset, and the sensitivity of composite decision rules — are the two in which large prospective multicentre cohorts with adjudicated reference standards and structured follow-up exist. The domains in which confidence is lowest are those dominated by single-centre retrospective series with case–control architecture, heterogeneous definitions of a positive result, or no consistent reference standard for whether a detected abnormality explained the presenting headache. Table 16 records the assessment for each domain with the reasons for each rating. This is a structured confidence assessment as defined in Section 2.12 and is not a GRADE certainty rating.</w:t>
      </w:r>
    </w:p>
    <w:p w14:paraId="52418858" w14:textId="77777777" w:rsidR="0039479F" w:rsidRDefault="00000000">
      <w:pPr>
        <w:keepNext/>
        <w:spacing w:before="200" w:after="90"/>
      </w:pPr>
      <w:r>
        <w:rPr>
          <w:b/>
          <w:bCs/>
          <w:sz w:val="21"/>
          <w:szCs w:val="21"/>
        </w:rPr>
        <w:lastRenderedPageBreak/>
        <w:t>Table 16. Structured confidence assessment by synthesis domain</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2310"/>
        <w:gridCol w:w="799"/>
        <w:gridCol w:w="2488"/>
        <w:gridCol w:w="2577"/>
        <w:gridCol w:w="1692"/>
      </w:tblGrid>
      <w:tr w:rsidR="0039479F" w14:paraId="3812CEE5" w14:textId="77777777">
        <w:trPr>
          <w:tblHeader/>
        </w:trPr>
        <w:tc>
          <w:tcPr>
            <w:tcW w:w="2310" w:type="dxa"/>
            <w:shd w:val="clear" w:color="auto" w:fill="F2F2F2"/>
            <w:tcMar>
              <w:top w:w="40" w:type="dxa"/>
              <w:left w:w="70" w:type="dxa"/>
              <w:bottom w:w="40" w:type="dxa"/>
              <w:right w:w="70" w:type="dxa"/>
            </w:tcMar>
          </w:tcPr>
          <w:p w14:paraId="37188C09" w14:textId="77777777" w:rsidR="0039479F" w:rsidRDefault="00000000">
            <w:pPr>
              <w:spacing w:line="216" w:lineRule="auto"/>
            </w:pPr>
            <w:r>
              <w:rPr>
                <w:b/>
                <w:bCs/>
                <w:sz w:val="16"/>
                <w:szCs w:val="16"/>
              </w:rPr>
              <w:t>Synthesis domain</w:t>
            </w:r>
          </w:p>
        </w:tc>
        <w:tc>
          <w:tcPr>
            <w:tcW w:w="799" w:type="dxa"/>
            <w:shd w:val="clear" w:color="auto" w:fill="F2F2F2"/>
            <w:tcMar>
              <w:top w:w="40" w:type="dxa"/>
              <w:left w:w="70" w:type="dxa"/>
              <w:bottom w:w="40" w:type="dxa"/>
              <w:right w:w="70" w:type="dxa"/>
            </w:tcMar>
          </w:tcPr>
          <w:p w14:paraId="43C0F69B" w14:textId="77777777" w:rsidR="0039479F" w:rsidRDefault="00000000">
            <w:pPr>
              <w:spacing w:line="216" w:lineRule="auto"/>
            </w:pPr>
            <w:r>
              <w:rPr>
                <w:b/>
                <w:bCs/>
                <w:sz w:val="16"/>
                <w:szCs w:val="16"/>
              </w:rPr>
              <w:t>Reports</w:t>
            </w:r>
          </w:p>
        </w:tc>
        <w:tc>
          <w:tcPr>
            <w:tcW w:w="2488" w:type="dxa"/>
            <w:shd w:val="clear" w:color="auto" w:fill="F2F2F2"/>
            <w:tcMar>
              <w:top w:w="40" w:type="dxa"/>
              <w:left w:w="70" w:type="dxa"/>
              <w:bottom w:w="40" w:type="dxa"/>
              <w:right w:w="70" w:type="dxa"/>
            </w:tcMar>
          </w:tcPr>
          <w:p w14:paraId="5CC18122" w14:textId="77777777" w:rsidR="0039479F" w:rsidRDefault="00000000">
            <w:pPr>
              <w:spacing w:line="216" w:lineRule="auto"/>
            </w:pPr>
            <w:r>
              <w:rPr>
                <w:b/>
                <w:bCs/>
                <w:sz w:val="16"/>
                <w:szCs w:val="16"/>
              </w:rPr>
              <w:t>Principal methodological limitation</w:t>
            </w:r>
          </w:p>
        </w:tc>
        <w:tc>
          <w:tcPr>
            <w:tcW w:w="2577" w:type="dxa"/>
            <w:shd w:val="clear" w:color="auto" w:fill="F2F2F2"/>
            <w:tcMar>
              <w:top w:w="40" w:type="dxa"/>
              <w:left w:w="70" w:type="dxa"/>
              <w:bottom w:w="40" w:type="dxa"/>
              <w:right w:w="70" w:type="dxa"/>
            </w:tcMar>
          </w:tcPr>
          <w:p w14:paraId="0683D39D" w14:textId="77777777" w:rsidR="0039479F" w:rsidRDefault="00000000">
            <w:pPr>
              <w:spacing w:line="216" w:lineRule="auto"/>
            </w:pPr>
            <w:r>
              <w:rPr>
                <w:b/>
                <w:bCs/>
                <w:sz w:val="16"/>
                <w:szCs w:val="16"/>
              </w:rPr>
              <w:t>Consistency and directness</w:t>
            </w:r>
          </w:p>
        </w:tc>
        <w:tc>
          <w:tcPr>
            <w:tcW w:w="1692" w:type="dxa"/>
            <w:shd w:val="clear" w:color="auto" w:fill="F2F2F2"/>
            <w:tcMar>
              <w:top w:w="40" w:type="dxa"/>
              <w:left w:w="70" w:type="dxa"/>
              <w:bottom w:w="40" w:type="dxa"/>
              <w:right w:w="70" w:type="dxa"/>
            </w:tcMar>
          </w:tcPr>
          <w:p w14:paraId="0A59F4D9" w14:textId="77777777" w:rsidR="0039479F" w:rsidRDefault="00000000">
            <w:pPr>
              <w:spacing w:line="216" w:lineRule="auto"/>
            </w:pPr>
            <w:r>
              <w:rPr>
                <w:b/>
                <w:bCs/>
                <w:sz w:val="16"/>
                <w:szCs w:val="16"/>
              </w:rPr>
              <w:t>Confidence</w:t>
            </w:r>
          </w:p>
        </w:tc>
      </w:tr>
      <w:tr w:rsidR="0039479F" w14:paraId="52336063" w14:textId="77777777">
        <w:tc>
          <w:tcPr>
            <w:tcW w:w="2310" w:type="dxa"/>
            <w:tcMar>
              <w:top w:w="40" w:type="dxa"/>
              <w:left w:w="70" w:type="dxa"/>
              <w:bottom w:w="40" w:type="dxa"/>
              <w:right w:w="70" w:type="dxa"/>
            </w:tcMar>
          </w:tcPr>
          <w:p w14:paraId="44980B85" w14:textId="77777777" w:rsidR="0039479F" w:rsidRDefault="00000000">
            <w:pPr>
              <w:spacing w:line="216" w:lineRule="auto"/>
            </w:pPr>
            <w:r>
              <w:rPr>
                <w:sz w:val="16"/>
                <w:szCs w:val="16"/>
              </w:rPr>
              <w:t>Aetiological spectrum and pre-test probability</w:t>
            </w:r>
          </w:p>
        </w:tc>
        <w:tc>
          <w:tcPr>
            <w:tcW w:w="799" w:type="dxa"/>
            <w:tcMar>
              <w:top w:w="40" w:type="dxa"/>
              <w:left w:w="70" w:type="dxa"/>
              <w:bottom w:w="40" w:type="dxa"/>
              <w:right w:w="70" w:type="dxa"/>
            </w:tcMar>
          </w:tcPr>
          <w:p w14:paraId="17FECF7A" w14:textId="77777777" w:rsidR="0039479F" w:rsidRDefault="00000000">
            <w:pPr>
              <w:spacing w:line="216" w:lineRule="auto"/>
            </w:pPr>
            <w:r>
              <w:rPr>
                <w:sz w:val="16"/>
                <w:szCs w:val="16"/>
              </w:rPr>
              <w:t>37</w:t>
            </w:r>
          </w:p>
        </w:tc>
        <w:tc>
          <w:tcPr>
            <w:tcW w:w="2488" w:type="dxa"/>
            <w:tcMar>
              <w:top w:w="40" w:type="dxa"/>
              <w:left w:w="70" w:type="dxa"/>
              <w:bottom w:w="40" w:type="dxa"/>
              <w:right w:w="70" w:type="dxa"/>
            </w:tcMar>
          </w:tcPr>
          <w:p w14:paraId="256A2CDA" w14:textId="77777777" w:rsidR="0039479F" w:rsidRDefault="00000000">
            <w:pPr>
              <w:spacing w:line="216" w:lineRule="auto"/>
            </w:pPr>
            <w:r>
              <w:rPr>
                <w:sz w:val="16"/>
                <w:szCs w:val="16"/>
              </w:rPr>
              <w:t>Predominantly retrospective; denominators differ between unselected populations and populations selected for investigation</w:t>
            </w:r>
          </w:p>
        </w:tc>
        <w:tc>
          <w:tcPr>
            <w:tcW w:w="2577" w:type="dxa"/>
            <w:tcMar>
              <w:top w:w="40" w:type="dxa"/>
              <w:left w:w="70" w:type="dxa"/>
              <w:bottom w:w="40" w:type="dxa"/>
              <w:right w:w="70" w:type="dxa"/>
            </w:tcMar>
          </w:tcPr>
          <w:p w14:paraId="75475D24" w14:textId="77777777" w:rsidR="0039479F" w:rsidRDefault="00000000">
            <w:pPr>
              <w:spacing w:line="216" w:lineRule="auto"/>
            </w:pPr>
            <w:r>
              <w:rPr>
                <w:sz w:val="16"/>
                <w:szCs w:val="16"/>
              </w:rPr>
              <w:t>Estimates in unselected populations cluster consistently between about 5% and 13%; directly applicable to the emergency population</w:t>
            </w:r>
          </w:p>
        </w:tc>
        <w:tc>
          <w:tcPr>
            <w:tcW w:w="1692" w:type="dxa"/>
            <w:tcMar>
              <w:top w:w="40" w:type="dxa"/>
              <w:left w:w="70" w:type="dxa"/>
              <w:bottom w:w="40" w:type="dxa"/>
              <w:right w:w="70" w:type="dxa"/>
            </w:tcMar>
          </w:tcPr>
          <w:p w14:paraId="4DCD25E3" w14:textId="77777777" w:rsidR="0039479F" w:rsidRDefault="00000000">
            <w:pPr>
              <w:spacing w:line="216" w:lineRule="auto"/>
            </w:pPr>
            <w:r>
              <w:rPr>
                <w:sz w:val="16"/>
                <w:szCs w:val="16"/>
              </w:rPr>
              <w:t>Moderate</w:t>
            </w:r>
          </w:p>
        </w:tc>
      </w:tr>
      <w:tr w:rsidR="0039479F" w14:paraId="5D4929F3" w14:textId="77777777">
        <w:tc>
          <w:tcPr>
            <w:tcW w:w="2310" w:type="dxa"/>
            <w:tcMar>
              <w:top w:w="40" w:type="dxa"/>
              <w:left w:w="70" w:type="dxa"/>
              <w:bottom w:w="40" w:type="dxa"/>
              <w:right w:w="70" w:type="dxa"/>
            </w:tcMar>
          </w:tcPr>
          <w:p w14:paraId="18059786" w14:textId="77777777" w:rsidR="0039479F" w:rsidRDefault="00000000">
            <w:pPr>
              <w:spacing w:line="216" w:lineRule="auto"/>
            </w:pPr>
            <w:r>
              <w:rPr>
                <w:sz w:val="16"/>
                <w:szCs w:val="16"/>
              </w:rPr>
              <w:t>Clinical features, red flags and decision rules</w:t>
            </w:r>
          </w:p>
        </w:tc>
        <w:tc>
          <w:tcPr>
            <w:tcW w:w="799" w:type="dxa"/>
            <w:tcMar>
              <w:top w:w="40" w:type="dxa"/>
              <w:left w:w="70" w:type="dxa"/>
              <w:bottom w:w="40" w:type="dxa"/>
              <w:right w:w="70" w:type="dxa"/>
            </w:tcMar>
          </w:tcPr>
          <w:p w14:paraId="2992B630" w14:textId="77777777" w:rsidR="0039479F" w:rsidRDefault="00000000">
            <w:pPr>
              <w:spacing w:line="216" w:lineRule="auto"/>
            </w:pPr>
            <w:r>
              <w:rPr>
                <w:sz w:val="16"/>
                <w:szCs w:val="16"/>
              </w:rPr>
              <w:t>43</w:t>
            </w:r>
          </w:p>
        </w:tc>
        <w:tc>
          <w:tcPr>
            <w:tcW w:w="2488" w:type="dxa"/>
            <w:tcMar>
              <w:top w:w="40" w:type="dxa"/>
              <w:left w:w="70" w:type="dxa"/>
              <w:bottom w:w="40" w:type="dxa"/>
              <w:right w:w="70" w:type="dxa"/>
            </w:tcMar>
          </w:tcPr>
          <w:p w14:paraId="7C64265A" w14:textId="77777777" w:rsidR="0039479F" w:rsidRDefault="00000000">
            <w:pPr>
              <w:spacing w:line="216" w:lineRule="auto"/>
            </w:pPr>
            <w:r>
              <w:rPr>
                <w:sz w:val="16"/>
                <w:szCs w:val="16"/>
              </w:rPr>
              <w:t>Several validations are retrospective; entry criteria restrict applicability to a minority of presentations</w:t>
            </w:r>
          </w:p>
        </w:tc>
        <w:tc>
          <w:tcPr>
            <w:tcW w:w="2577" w:type="dxa"/>
            <w:tcMar>
              <w:top w:w="40" w:type="dxa"/>
              <w:left w:w="70" w:type="dxa"/>
              <w:bottom w:w="40" w:type="dxa"/>
              <w:right w:w="70" w:type="dxa"/>
            </w:tcMar>
          </w:tcPr>
          <w:p w14:paraId="29203F83" w14:textId="77777777" w:rsidR="0039479F" w:rsidRDefault="00000000">
            <w:pPr>
              <w:spacing w:line="216" w:lineRule="auto"/>
            </w:pPr>
            <w:r>
              <w:rPr>
                <w:sz w:val="16"/>
                <w:szCs w:val="16"/>
              </w:rPr>
              <w:t>Sensitivity estimates are highly consistent across settings; specificity varies widely and transportability is unproven</w:t>
            </w:r>
          </w:p>
        </w:tc>
        <w:tc>
          <w:tcPr>
            <w:tcW w:w="1692" w:type="dxa"/>
            <w:tcMar>
              <w:top w:w="40" w:type="dxa"/>
              <w:left w:w="70" w:type="dxa"/>
              <w:bottom w:w="40" w:type="dxa"/>
              <w:right w:w="70" w:type="dxa"/>
            </w:tcMar>
          </w:tcPr>
          <w:p w14:paraId="55313EF5" w14:textId="77777777" w:rsidR="0039479F" w:rsidRDefault="00000000">
            <w:pPr>
              <w:spacing w:line="216" w:lineRule="auto"/>
            </w:pPr>
            <w:r>
              <w:rPr>
                <w:sz w:val="16"/>
                <w:szCs w:val="16"/>
              </w:rPr>
              <w:t>Moderate for sensitivity; low for specificity and applicability</w:t>
            </w:r>
          </w:p>
        </w:tc>
      </w:tr>
      <w:tr w:rsidR="0039479F" w14:paraId="426EEA78" w14:textId="77777777">
        <w:tc>
          <w:tcPr>
            <w:tcW w:w="2310" w:type="dxa"/>
            <w:tcMar>
              <w:top w:w="40" w:type="dxa"/>
              <w:left w:w="70" w:type="dxa"/>
              <w:bottom w:w="40" w:type="dxa"/>
              <w:right w:w="70" w:type="dxa"/>
            </w:tcMar>
          </w:tcPr>
          <w:p w14:paraId="5ADB2D29" w14:textId="77777777" w:rsidR="0039479F" w:rsidRDefault="00000000">
            <w:pPr>
              <w:spacing w:line="216" w:lineRule="auto"/>
            </w:pPr>
            <w:r>
              <w:rPr>
                <w:sz w:val="16"/>
                <w:szCs w:val="16"/>
              </w:rPr>
              <w:t>Neuroimaging yield and selection scores</w:t>
            </w:r>
          </w:p>
        </w:tc>
        <w:tc>
          <w:tcPr>
            <w:tcW w:w="799" w:type="dxa"/>
            <w:tcMar>
              <w:top w:w="40" w:type="dxa"/>
              <w:left w:w="70" w:type="dxa"/>
              <w:bottom w:w="40" w:type="dxa"/>
              <w:right w:w="70" w:type="dxa"/>
            </w:tcMar>
          </w:tcPr>
          <w:p w14:paraId="25606E97" w14:textId="77777777" w:rsidR="0039479F" w:rsidRDefault="00000000">
            <w:pPr>
              <w:spacing w:line="216" w:lineRule="auto"/>
            </w:pPr>
            <w:r>
              <w:rPr>
                <w:sz w:val="16"/>
                <w:szCs w:val="16"/>
              </w:rPr>
              <w:t>18</w:t>
            </w:r>
          </w:p>
        </w:tc>
        <w:tc>
          <w:tcPr>
            <w:tcW w:w="2488" w:type="dxa"/>
            <w:tcMar>
              <w:top w:w="40" w:type="dxa"/>
              <w:left w:w="70" w:type="dxa"/>
              <w:bottom w:w="40" w:type="dxa"/>
              <w:right w:w="70" w:type="dxa"/>
            </w:tcMar>
          </w:tcPr>
          <w:p w14:paraId="7F7F5185" w14:textId="77777777" w:rsidR="0039479F" w:rsidRDefault="00000000">
            <w:pPr>
              <w:spacing w:line="216" w:lineRule="auto"/>
            </w:pPr>
            <w:r>
              <w:rPr>
                <w:sz w:val="16"/>
                <w:szCs w:val="16"/>
              </w:rPr>
              <w:t>Almost entirely retrospective; the definition of a clinically significant finding is not standardised between studies</w:t>
            </w:r>
          </w:p>
        </w:tc>
        <w:tc>
          <w:tcPr>
            <w:tcW w:w="2577" w:type="dxa"/>
            <w:tcMar>
              <w:top w:w="40" w:type="dxa"/>
              <w:left w:w="70" w:type="dxa"/>
              <w:bottom w:w="40" w:type="dxa"/>
              <w:right w:w="70" w:type="dxa"/>
            </w:tcMar>
          </w:tcPr>
          <w:p w14:paraId="52676422" w14:textId="77777777" w:rsidR="0039479F" w:rsidRDefault="00000000">
            <w:pPr>
              <w:spacing w:line="216" w:lineRule="auto"/>
            </w:pPr>
            <w:r>
              <w:rPr>
                <w:sz w:val="16"/>
                <w:szCs w:val="16"/>
              </w:rPr>
              <w:t>Direction is consistent (high abnormality rate, low actionable rate) but magnitudes are not comparable</w:t>
            </w:r>
          </w:p>
        </w:tc>
        <w:tc>
          <w:tcPr>
            <w:tcW w:w="1692" w:type="dxa"/>
            <w:tcMar>
              <w:top w:w="40" w:type="dxa"/>
              <w:left w:w="70" w:type="dxa"/>
              <w:bottom w:w="40" w:type="dxa"/>
              <w:right w:w="70" w:type="dxa"/>
            </w:tcMar>
          </w:tcPr>
          <w:p w14:paraId="63796044" w14:textId="77777777" w:rsidR="0039479F" w:rsidRDefault="00000000">
            <w:pPr>
              <w:spacing w:line="216" w:lineRule="auto"/>
            </w:pPr>
            <w:r>
              <w:rPr>
                <w:sz w:val="16"/>
                <w:szCs w:val="16"/>
              </w:rPr>
              <w:t>Low</w:t>
            </w:r>
          </w:p>
        </w:tc>
      </w:tr>
      <w:tr w:rsidR="0039479F" w14:paraId="6A5B1FAA" w14:textId="77777777">
        <w:tc>
          <w:tcPr>
            <w:tcW w:w="2310" w:type="dxa"/>
            <w:tcMar>
              <w:top w:w="40" w:type="dxa"/>
              <w:left w:w="70" w:type="dxa"/>
              <w:bottom w:w="40" w:type="dxa"/>
              <w:right w:w="70" w:type="dxa"/>
            </w:tcMar>
          </w:tcPr>
          <w:p w14:paraId="3425C84C" w14:textId="77777777" w:rsidR="0039479F" w:rsidRDefault="00000000">
            <w:pPr>
              <w:spacing w:line="216" w:lineRule="auto"/>
            </w:pPr>
            <w:r>
              <w:rPr>
                <w:sz w:val="16"/>
                <w:szCs w:val="16"/>
              </w:rPr>
              <w:t>Non-contrast CT for subarachnoid haemorrhage</w:t>
            </w:r>
          </w:p>
        </w:tc>
        <w:tc>
          <w:tcPr>
            <w:tcW w:w="799" w:type="dxa"/>
            <w:tcMar>
              <w:top w:w="40" w:type="dxa"/>
              <w:left w:w="70" w:type="dxa"/>
              <w:bottom w:w="40" w:type="dxa"/>
              <w:right w:w="70" w:type="dxa"/>
            </w:tcMar>
          </w:tcPr>
          <w:p w14:paraId="2881E91F" w14:textId="77777777" w:rsidR="0039479F" w:rsidRDefault="00000000">
            <w:pPr>
              <w:spacing w:line="216" w:lineRule="auto"/>
            </w:pPr>
            <w:r>
              <w:rPr>
                <w:sz w:val="16"/>
                <w:szCs w:val="16"/>
              </w:rPr>
              <w:t>10</w:t>
            </w:r>
          </w:p>
        </w:tc>
        <w:tc>
          <w:tcPr>
            <w:tcW w:w="2488" w:type="dxa"/>
            <w:tcMar>
              <w:top w:w="40" w:type="dxa"/>
              <w:left w:w="70" w:type="dxa"/>
              <w:bottom w:w="40" w:type="dxa"/>
              <w:right w:w="70" w:type="dxa"/>
            </w:tcMar>
          </w:tcPr>
          <w:p w14:paraId="1AD9181D" w14:textId="77777777" w:rsidR="0039479F" w:rsidRDefault="00000000">
            <w:pPr>
              <w:spacing w:line="216" w:lineRule="auto"/>
            </w:pPr>
            <w:r>
              <w:rPr>
                <w:sz w:val="16"/>
                <w:szCs w:val="16"/>
              </w:rPr>
              <w:t>Several sensitivity estimates come from cohorts of confirmed cases, which cannot yield specificity</w:t>
            </w:r>
          </w:p>
        </w:tc>
        <w:tc>
          <w:tcPr>
            <w:tcW w:w="2577" w:type="dxa"/>
            <w:tcMar>
              <w:top w:w="40" w:type="dxa"/>
              <w:left w:w="70" w:type="dxa"/>
              <w:bottom w:w="40" w:type="dxa"/>
              <w:right w:w="70" w:type="dxa"/>
            </w:tcMar>
          </w:tcPr>
          <w:p w14:paraId="157EDFD0" w14:textId="77777777" w:rsidR="0039479F" w:rsidRDefault="00000000">
            <w:pPr>
              <w:spacing w:line="216" w:lineRule="auto"/>
            </w:pPr>
            <w:r>
              <w:rPr>
                <w:sz w:val="16"/>
                <w:szCs w:val="16"/>
              </w:rPr>
              <w:t>Two large prospective multicentre cohorts with independent adjudication agree on the time dependence; directly applicable</w:t>
            </w:r>
          </w:p>
        </w:tc>
        <w:tc>
          <w:tcPr>
            <w:tcW w:w="1692" w:type="dxa"/>
            <w:tcMar>
              <w:top w:w="40" w:type="dxa"/>
              <w:left w:w="70" w:type="dxa"/>
              <w:bottom w:w="40" w:type="dxa"/>
              <w:right w:w="70" w:type="dxa"/>
            </w:tcMar>
          </w:tcPr>
          <w:p w14:paraId="3F5CE8C8" w14:textId="77777777" w:rsidR="0039479F" w:rsidRDefault="00000000">
            <w:pPr>
              <w:spacing w:line="216" w:lineRule="auto"/>
            </w:pPr>
            <w:r>
              <w:rPr>
                <w:sz w:val="16"/>
                <w:szCs w:val="16"/>
              </w:rPr>
              <w:t>Moderate</w:t>
            </w:r>
          </w:p>
        </w:tc>
      </w:tr>
      <w:tr w:rsidR="0039479F" w14:paraId="38D2994E" w14:textId="77777777">
        <w:tc>
          <w:tcPr>
            <w:tcW w:w="2310" w:type="dxa"/>
            <w:tcMar>
              <w:top w:w="40" w:type="dxa"/>
              <w:left w:w="70" w:type="dxa"/>
              <w:bottom w:w="40" w:type="dxa"/>
              <w:right w:w="70" w:type="dxa"/>
            </w:tcMar>
          </w:tcPr>
          <w:p w14:paraId="44DAA2E3" w14:textId="77777777" w:rsidR="0039479F" w:rsidRDefault="00000000">
            <w:pPr>
              <w:spacing w:line="216" w:lineRule="auto"/>
            </w:pPr>
            <w:r>
              <w:rPr>
                <w:sz w:val="16"/>
                <w:szCs w:val="16"/>
              </w:rPr>
              <w:t>Lumbar puncture and cerebrospinal fluid analysis</w:t>
            </w:r>
          </w:p>
        </w:tc>
        <w:tc>
          <w:tcPr>
            <w:tcW w:w="799" w:type="dxa"/>
            <w:tcMar>
              <w:top w:w="40" w:type="dxa"/>
              <w:left w:w="70" w:type="dxa"/>
              <w:bottom w:w="40" w:type="dxa"/>
              <w:right w:w="70" w:type="dxa"/>
            </w:tcMar>
          </w:tcPr>
          <w:p w14:paraId="12A7A80C" w14:textId="77777777" w:rsidR="0039479F" w:rsidRDefault="00000000">
            <w:pPr>
              <w:spacing w:line="216" w:lineRule="auto"/>
            </w:pPr>
            <w:r>
              <w:rPr>
                <w:sz w:val="16"/>
                <w:szCs w:val="16"/>
              </w:rPr>
              <w:t>41</w:t>
            </w:r>
          </w:p>
        </w:tc>
        <w:tc>
          <w:tcPr>
            <w:tcW w:w="2488" w:type="dxa"/>
            <w:tcMar>
              <w:top w:w="40" w:type="dxa"/>
              <w:left w:w="70" w:type="dxa"/>
              <w:bottom w:w="40" w:type="dxa"/>
              <w:right w:w="70" w:type="dxa"/>
            </w:tcMar>
          </w:tcPr>
          <w:p w14:paraId="44E69612" w14:textId="77777777" w:rsidR="0039479F" w:rsidRDefault="00000000">
            <w:pPr>
              <w:spacing w:line="216" w:lineRule="auto"/>
            </w:pPr>
            <w:r>
              <w:rPr>
                <w:sz w:val="16"/>
                <w:szCs w:val="16"/>
              </w:rPr>
              <w:t>Largely retrospective and laboratory-linked; red cell and bilirubin thresholds differ between studies; partial verification is common</w:t>
            </w:r>
          </w:p>
        </w:tc>
        <w:tc>
          <w:tcPr>
            <w:tcW w:w="2577" w:type="dxa"/>
            <w:tcMar>
              <w:top w:w="40" w:type="dxa"/>
              <w:left w:w="70" w:type="dxa"/>
              <w:bottom w:w="40" w:type="dxa"/>
              <w:right w:w="70" w:type="dxa"/>
            </w:tcMar>
          </w:tcPr>
          <w:p w14:paraId="5D1815D7" w14:textId="77777777" w:rsidR="0039479F" w:rsidRDefault="00000000">
            <w:pPr>
              <w:spacing w:line="216" w:lineRule="auto"/>
            </w:pPr>
            <w:r>
              <w:rPr>
                <w:sz w:val="16"/>
                <w:szCs w:val="16"/>
              </w:rPr>
              <w:t>Yield estimates are consistently low; accuracy estimates for defined cerebrospinal fluid rules are consistent within threshold</w:t>
            </w:r>
          </w:p>
        </w:tc>
        <w:tc>
          <w:tcPr>
            <w:tcW w:w="1692" w:type="dxa"/>
            <w:tcMar>
              <w:top w:w="40" w:type="dxa"/>
              <w:left w:w="70" w:type="dxa"/>
              <w:bottom w:w="40" w:type="dxa"/>
              <w:right w:w="70" w:type="dxa"/>
            </w:tcMar>
          </w:tcPr>
          <w:p w14:paraId="000AC921" w14:textId="77777777" w:rsidR="0039479F" w:rsidRDefault="00000000">
            <w:pPr>
              <w:spacing w:line="216" w:lineRule="auto"/>
            </w:pPr>
            <w:r>
              <w:rPr>
                <w:sz w:val="16"/>
                <w:szCs w:val="16"/>
              </w:rPr>
              <w:t>Moderate for defined cerebrospinal fluid decision rules; low for the net benefit of the procedure</w:t>
            </w:r>
          </w:p>
        </w:tc>
      </w:tr>
      <w:tr w:rsidR="0039479F" w14:paraId="21F3943D" w14:textId="77777777">
        <w:tc>
          <w:tcPr>
            <w:tcW w:w="2310" w:type="dxa"/>
            <w:tcMar>
              <w:top w:w="40" w:type="dxa"/>
              <w:left w:w="70" w:type="dxa"/>
              <w:bottom w:w="40" w:type="dxa"/>
              <w:right w:w="70" w:type="dxa"/>
            </w:tcMar>
          </w:tcPr>
          <w:p w14:paraId="02502686" w14:textId="77777777" w:rsidR="0039479F" w:rsidRDefault="00000000">
            <w:pPr>
              <w:spacing w:line="216" w:lineRule="auto"/>
            </w:pPr>
            <w:r>
              <w:rPr>
                <w:sz w:val="16"/>
                <w:szCs w:val="16"/>
              </w:rPr>
              <w:t>CT angiography and MRI-based imaging</w:t>
            </w:r>
          </w:p>
        </w:tc>
        <w:tc>
          <w:tcPr>
            <w:tcW w:w="799" w:type="dxa"/>
            <w:tcMar>
              <w:top w:w="40" w:type="dxa"/>
              <w:left w:w="70" w:type="dxa"/>
              <w:bottom w:w="40" w:type="dxa"/>
              <w:right w:w="70" w:type="dxa"/>
            </w:tcMar>
          </w:tcPr>
          <w:p w14:paraId="57E293FB" w14:textId="77777777" w:rsidR="0039479F" w:rsidRDefault="00000000">
            <w:pPr>
              <w:spacing w:line="216" w:lineRule="auto"/>
            </w:pPr>
            <w:r>
              <w:rPr>
                <w:sz w:val="16"/>
                <w:szCs w:val="16"/>
              </w:rPr>
              <w:t>11</w:t>
            </w:r>
          </w:p>
        </w:tc>
        <w:tc>
          <w:tcPr>
            <w:tcW w:w="2488" w:type="dxa"/>
            <w:tcMar>
              <w:top w:w="40" w:type="dxa"/>
              <w:left w:w="70" w:type="dxa"/>
              <w:bottom w:w="40" w:type="dxa"/>
              <w:right w:w="70" w:type="dxa"/>
            </w:tcMar>
          </w:tcPr>
          <w:p w14:paraId="2A53F1F5" w14:textId="77777777" w:rsidR="0039479F" w:rsidRDefault="00000000">
            <w:pPr>
              <w:spacing w:line="216" w:lineRule="auto"/>
            </w:pPr>
            <w:r>
              <w:rPr>
                <w:sz w:val="16"/>
                <w:szCs w:val="16"/>
              </w:rPr>
              <w:t>Small, mostly single-centre cohorts; no consistent reference standard for whether a detected lesion explained the headache</w:t>
            </w:r>
          </w:p>
        </w:tc>
        <w:tc>
          <w:tcPr>
            <w:tcW w:w="2577" w:type="dxa"/>
            <w:tcMar>
              <w:top w:w="40" w:type="dxa"/>
              <w:left w:w="70" w:type="dxa"/>
              <w:bottom w:w="40" w:type="dxa"/>
              <w:right w:w="70" w:type="dxa"/>
            </w:tcMar>
          </w:tcPr>
          <w:p w14:paraId="71761273" w14:textId="77777777" w:rsidR="0039479F" w:rsidRDefault="00000000">
            <w:pPr>
              <w:spacing w:line="216" w:lineRule="auto"/>
            </w:pPr>
            <w:r>
              <w:rPr>
                <w:sz w:val="16"/>
                <w:szCs w:val="16"/>
              </w:rPr>
              <w:t>Yields differ several-fold with the population selected; indirect for the question of causal attribution</w:t>
            </w:r>
          </w:p>
        </w:tc>
        <w:tc>
          <w:tcPr>
            <w:tcW w:w="1692" w:type="dxa"/>
            <w:tcMar>
              <w:top w:w="40" w:type="dxa"/>
              <w:left w:w="70" w:type="dxa"/>
              <w:bottom w:w="40" w:type="dxa"/>
              <w:right w:w="70" w:type="dxa"/>
            </w:tcMar>
          </w:tcPr>
          <w:p w14:paraId="59AECCCC" w14:textId="77777777" w:rsidR="0039479F" w:rsidRDefault="00000000">
            <w:pPr>
              <w:spacing w:line="216" w:lineRule="auto"/>
            </w:pPr>
            <w:r>
              <w:rPr>
                <w:sz w:val="16"/>
                <w:szCs w:val="16"/>
              </w:rPr>
              <w:t>Low</w:t>
            </w:r>
          </w:p>
        </w:tc>
      </w:tr>
      <w:tr w:rsidR="0039479F" w14:paraId="799AD84E" w14:textId="77777777">
        <w:tc>
          <w:tcPr>
            <w:tcW w:w="2310" w:type="dxa"/>
            <w:tcMar>
              <w:top w:w="40" w:type="dxa"/>
              <w:left w:w="70" w:type="dxa"/>
              <w:bottom w:w="40" w:type="dxa"/>
              <w:right w:w="70" w:type="dxa"/>
            </w:tcMar>
          </w:tcPr>
          <w:p w14:paraId="188AB1BE" w14:textId="77777777" w:rsidR="0039479F" w:rsidRDefault="00000000">
            <w:pPr>
              <w:spacing w:line="216" w:lineRule="auto"/>
            </w:pPr>
            <w:r>
              <w:rPr>
                <w:sz w:val="16"/>
                <w:szCs w:val="16"/>
              </w:rPr>
              <w:t>Blood-based biomarkers</w:t>
            </w:r>
          </w:p>
        </w:tc>
        <w:tc>
          <w:tcPr>
            <w:tcW w:w="799" w:type="dxa"/>
            <w:tcMar>
              <w:top w:w="40" w:type="dxa"/>
              <w:left w:w="70" w:type="dxa"/>
              <w:bottom w:w="40" w:type="dxa"/>
              <w:right w:w="70" w:type="dxa"/>
            </w:tcMar>
          </w:tcPr>
          <w:p w14:paraId="1BD187BD" w14:textId="77777777" w:rsidR="0039479F" w:rsidRDefault="00000000">
            <w:pPr>
              <w:spacing w:line="216" w:lineRule="auto"/>
            </w:pPr>
            <w:r>
              <w:rPr>
                <w:sz w:val="16"/>
                <w:szCs w:val="16"/>
              </w:rPr>
              <w:t>16</w:t>
            </w:r>
          </w:p>
        </w:tc>
        <w:tc>
          <w:tcPr>
            <w:tcW w:w="2488" w:type="dxa"/>
            <w:tcMar>
              <w:top w:w="40" w:type="dxa"/>
              <w:left w:w="70" w:type="dxa"/>
              <w:bottom w:w="40" w:type="dxa"/>
              <w:right w:w="70" w:type="dxa"/>
            </w:tcMar>
          </w:tcPr>
          <w:p w14:paraId="50511C99" w14:textId="77777777" w:rsidR="0039479F" w:rsidRDefault="00000000">
            <w:pPr>
              <w:spacing w:line="216" w:lineRule="auto"/>
            </w:pPr>
            <w:r>
              <w:rPr>
                <w:sz w:val="16"/>
                <w:szCs w:val="16"/>
              </w:rPr>
              <w:t>Case–control designs contrasting confirmed disease with confirmed primary headache predominate for haemorrhage markers</w:t>
            </w:r>
          </w:p>
        </w:tc>
        <w:tc>
          <w:tcPr>
            <w:tcW w:w="2577" w:type="dxa"/>
            <w:tcMar>
              <w:top w:w="40" w:type="dxa"/>
              <w:left w:w="70" w:type="dxa"/>
              <w:bottom w:w="40" w:type="dxa"/>
              <w:right w:w="70" w:type="dxa"/>
            </w:tcMar>
          </w:tcPr>
          <w:p w14:paraId="52C30999" w14:textId="77777777" w:rsidR="0039479F" w:rsidRDefault="00000000">
            <w:pPr>
              <w:spacing w:line="216" w:lineRule="auto"/>
            </w:pPr>
            <w:r>
              <w:rPr>
                <w:sz w:val="16"/>
                <w:szCs w:val="16"/>
              </w:rPr>
              <w:t>Consistent and direct for D-dimer in cerebral venous thrombosis; inconsistent and indirect elsewhere</w:t>
            </w:r>
          </w:p>
        </w:tc>
        <w:tc>
          <w:tcPr>
            <w:tcW w:w="1692" w:type="dxa"/>
            <w:tcMar>
              <w:top w:w="40" w:type="dxa"/>
              <w:left w:w="70" w:type="dxa"/>
              <w:bottom w:w="40" w:type="dxa"/>
              <w:right w:w="70" w:type="dxa"/>
            </w:tcMar>
          </w:tcPr>
          <w:p w14:paraId="1F5421A1" w14:textId="77777777" w:rsidR="0039479F" w:rsidRDefault="00000000">
            <w:pPr>
              <w:spacing w:line="216" w:lineRule="auto"/>
            </w:pPr>
            <w:r>
              <w:rPr>
                <w:sz w:val="16"/>
                <w:szCs w:val="16"/>
              </w:rPr>
              <w:t>Moderate for D-dimer combined with a clinical probability score; low for all other markers</w:t>
            </w:r>
          </w:p>
        </w:tc>
      </w:tr>
      <w:tr w:rsidR="0039479F" w14:paraId="57FEAF81" w14:textId="77777777">
        <w:tc>
          <w:tcPr>
            <w:tcW w:w="2310" w:type="dxa"/>
            <w:tcMar>
              <w:top w:w="40" w:type="dxa"/>
              <w:left w:w="70" w:type="dxa"/>
              <w:bottom w:w="40" w:type="dxa"/>
              <w:right w:w="70" w:type="dxa"/>
            </w:tcMar>
          </w:tcPr>
          <w:p w14:paraId="446918BA" w14:textId="77777777" w:rsidR="0039479F" w:rsidRDefault="00000000">
            <w:pPr>
              <w:spacing w:line="216" w:lineRule="auto"/>
            </w:pPr>
            <w:r>
              <w:rPr>
                <w:sz w:val="16"/>
                <w:szCs w:val="16"/>
              </w:rPr>
              <w:t>Bedside adjunct tests</w:t>
            </w:r>
          </w:p>
        </w:tc>
        <w:tc>
          <w:tcPr>
            <w:tcW w:w="799" w:type="dxa"/>
            <w:tcMar>
              <w:top w:w="40" w:type="dxa"/>
              <w:left w:w="70" w:type="dxa"/>
              <w:bottom w:w="40" w:type="dxa"/>
              <w:right w:w="70" w:type="dxa"/>
            </w:tcMar>
          </w:tcPr>
          <w:p w14:paraId="0EE68319" w14:textId="77777777" w:rsidR="0039479F" w:rsidRDefault="00000000">
            <w:pPr>
              <w:spacing w:line="216" w:lineRule="auto"/>
            </w:pPr>
            <w:r>
              <w:rPr>
                <w:sz w:val="16"/>
                <w:szCs w:val="16"/>
              </w:rPr>
              <w:t>12</w:t>
            </w:r>
          </w:p>
        </w:tc>
        <w:tc>
          <w:tcPr>
            <w:tcW w:w="2488" w:type="dxa"/>
            <w:tcMar>
              <w:top w:w="40" w:type="dxa"/>
              <w:left w:w="70" w:type="dxa"/>
              <w:bottom w:w="40" w:type="dxa"/>
              <w:right w:w="70" w:type="dxa"/>
            </w:tcMar>
          </w:tcPr>
          <w:p w14:paraId="3C3FFC4C" w14:textId="77777777" w:rsidR="0039479F" w:rsidRDefault="00000000">
            <w:pPr>
              <w:spacing w:line="216" w:lineRule="auto"/>
            </w:pPr>
            <w:r>
              <w:rPr>
                <w:sz w:val="16"/>
                <w:szCs w:val="16"/>
              </w:rPr>
              <w:t>Small sample sizes; accuracy depends on the interpreter and several studies used specialist rather than emergency clinician reading</w:t>
            </w:r>
          </w:p>
        </w:tc>
        <w:tc>
          <w:tcPr>
            <w:tcW w:w="2577" w:type="dxa"/>
            <w:tcMar>
              <w:top w:w="40" w:type="dxa"/>
              <w:left w:w="70" w:type="dxa"/>
              <w:bottom w:w="40" w:type="dxa"/>
              <w:right w:w="70" w:type="dxa"/>
            </w:tcMar>
          </w:tcPr>
          <w:p w14:paraId="7DBEBB82" w14:textId="77777777" w:rsidR="0039479F" w:rsidRDefault="00000000">
            <w:pPr>
              <w:spacing w:line="216" w:lineRule="auto"/>
            </w:pPr>
            <w:r>
              <w:rPr>
                <w:sz w:val="16"/>
                <w:szCs w:val="16"/>
              </w:rPr>
              <w:t>Prevalence estimates are consistent; interpreter-dependent accuracy is consistently poor for unaided emergency clinicians</w:t>
            </w:r>
          </w:p>
        </w:tc>
        <w:tc>
          <w:tcPr>
            <w:tcW w:w="1692" w:type="dxa"/>
            <w:tcMar>
              <w:top w:w="40" w:type="dxa"/>
              <w:left w:w="70" w:type="dxa"/>
              <w:bottom w:w="40" w:type="dxa"/>
              <w:right w:w="70" w:type="dxa"/>
            </w:tcMar>
          </w:tcPr>
          <w:p w14:paraId="192C6A82" w14:textId="77777777" w:rsidR="0039479F" w:rsidRDefault="00000000">
            <w:pPr>
              <w:spacing w:line="216" w:lineRule="auto"/>
            </w:pPr>
            <w:r>
              <w:rPr>
                <w:sz w:val="16"/>
                <w:szCs w:val="16"/>
              </w:rPr>
              <w:t>Low to moderate</w:t>
            </w:r>
          </w:p>
        </w:tc>
      </w:tr>
      <w:tr w:rsidR="0039479F" w14:paraId="3F7C875A" w14:textId="77777777">
        <w:tc>
          <w:tcPr>
            <w:tcW w:w="2310" w:type="dxa"/>
            <w:tcMar>
              <w:top w:w="40" w:type="dxa"/>
              <w:left w:w="70" w:type="dxa"/>
              <w:bottom w:w="40" w:type="dxa"/>
              <w:right w:w="70" w:type="dxa"/>
            </w:tcMar>
          </w:tcPr>
          <w:p w14:paraId="609FBD21" w14:textId="77777777" w:rsidR="0039479F" w:rsidRDefault="00000000">
            <w:pPr>
              <w:spacing w:line="216" w:lineRule="auto"/>
            </w:pPr>
            <w:r>
              <w:rPr>
                <w:sz w:val="16"/>
                <w:szCs w:val="16"/>
              </w:rPr>
              <w:t>Meningitis bedside signs and lumbar-puncture decisions</w:t>
            </w:r>
          </w:p>
        </w:tc>
        <w:tc>
          <w:tcPr>
            <w:tcW w:w="799" w:type="dxa"/>
            <w:tcMar>
              <w:top w:w="40" w:type="dxa"/>
              <w:left w:w="70" w:type="dxa"/>
              <w:bottom w:w="40" w:type="dxa"/>
              <w:right w:w="70" w:type="dxa"/>
            </w:tcMar>
          </w:tcPr>
          <w:p w14:paraId="6B278FF3" w14:textId="77777777" w:rsidR="0039479F" w:rsidRDefault="00000000">
            <w:pPr>
              <w:spacing w:line="216" w:lineRule="auto"/>
            </w:pPr>
            <w:r>
              <w:rPr>
                <w:sz w:val="16"/>
                <w:szCs w:val="16"/>
              </w:rPr>
              <w:t>11</w:t>
            </w:r>
          </w:p>
        </w:tc>
        <w:tc>
          <w:tcPr>
            <w:tcW w:w="2488" w:type="dxa"/>
            <w:tcMar>
              <w:top w:w="40" w:type="dxa"/>
              <w:left w:w="70" w:type="dxa"/>
              <w:bottom w:w="40" w:type="dxa"/>
              <w:right w:w="70" w:type="dxa"/>
            </w:tcMar>
          </w:tcPr>
          <w:p w14:paraId="67CA4BDF" w14:textId="77777777" w:rsidR="0039479F" w:rsidRDefault="00000000">
            <w:pPr>
              <w:spacing w:line="216" w:lineRule="auto"/>
            </w:pPr>
            <w:r>
              <w:rPr>
                <w:sz w:val="16"/>
                <w:szCs w:val="16"/>
              </w:rPr>
              <w:t>Mostly small single-centre studies; reference standard alternates between cerebrospinal fluid pleocytosis and clinical diagnosis</w:t>
            </w:r>
          </w:p>
        </w:tc>
        <w:tc>
          <w:tcPr>
            <w:tcW w:w="2577" w:type="dxa"/>
            <w:tcMar>
              <w:top w:w="40" w:type="dxa"/>
              <w:left w:w="70" w:type="dxa"/>
              <w:bottom w:w="40" w:type="dxa"/>
              <w:right w:w="70" w:type="dxa"/>
            </w:tcMar>
          </w:tcPr>
          <w:p w14:paraId="56CD87BF" w14:textId="77777777" w:rsidR="0039479F" w:rsidRDefault="00000000">
            <w:pPr>
              <w:spacing w:line="216" w:lineRule="auto"/>
            </w:pPr>
            <w:r>
              <w:rPr>
                <w:sz w:val="16"/>
                <w:szCs w:val="16"/>
              </w:rPr>
              <w:t>Point estimates vary widely but every study supports the same conclusion, that no sign is sensitive enough to exclude meningitis</w:t>
            </w:r>
          </w:p>
        </w:tc>
        <w:tc>
          <w:tcPr>
            <w:tcW w:w="1692" w:type="dxa"/>
            <w:tcMar>
              <w:top w:w="40" w:type="dxa"/>
              <w:left w:w="70" w:type="dxa"/>
              <w:bottom w:w="40" w:type="dxa"/>
              <w:right w:w="70" w:type="dxa"/>
            </w:tcMar>
          </w:tcPr>
          <w:p w14:paraId="25DD8D25" w14:textId="77777777" w:rsidR="0039479F" w:rsidRDefault="00000000">
            <w:pPr>
              <w:spacing w:line="216" w:lineRule="auto"/>
            </w:pPr>
            <w:r>
              <w:rPr>
                <w:sz w:val="16"/>
                <w:szCs w:val="16"/>
              </w:rPr>
              <w:t>Moderate for the rule-out conclusion; low for any individual point estimate</w:t>
            </w:r>
          </w:p>
        </w:tc>
      </w:tr>
      <w:tr w:rsidR="0039479F" w14:paraId="1C334E04" w14:textId="77777777">
        <w:tc>
          <w:tcPr>
            <w:tcW w:w="2310" w:type="dxa"/>
            <w:tcMar>
              <w:top w:w="40" w:type="dxa"/>
              <w:left w:w="70" w:type="dxa"/>
              <w:bottom w:w="40" w:type="dxa"/>
              <w:right w:w="70" w:type="dxa"/>
            </w:tcMar>
          </w:tcPr>
          <w:p w14:paraId="27616967" w14:textId="77777777" w:rsidR="0039479F" w:rsidRDefault="00000000">
            <w:pPr>
              <w:spacing w:line="216" w:lineRule="auto"/>
            </w:pPr>
            <w:r>
              <w:rPr>
                <w:sz w:val="16"/>
                <w:szCs w:val="16"/>
              </w:rPr>
              <w:t>Triage tools and missed diagnosis</w:t>
            </w:r>
          </w:p>
        </w:tc>
        <w:tc>
          <w:tcPr>
            <w:tcW w:w="799" w:type="dxa"/>
            <w:tcMar>
              <w:top w:w="40" w:type="dxa"/>
              <w:left w:w="70" w:type="dxa"/>
              <w:bottom w:w="40" w:type="dxa"/>
              <w:right w:w="70" w:type="dxa"/>
            </w:tcMar>
          </w:tcPr>
          <w:p w14:paraId="5F1568DC" w14:textId="77777777" w:rsidR="0039479F" w:rsidRDefault="00000000">
            <w:pPr>
              <w:spacing w:line="216" w:lineRule="auto"/>
            </w:pPr>
            <w:r>
              <w:rPr>
                <w:sz w:val="16"/>
                <w:szCs w:val="16"/>
              </w:rPr>
              <w:t>11</w:t>
            </w:r>
          </w:p>
        </w:tc>
        <w:tc>
          <w:tcPr>
            <w:tcW w:w="2488" w:type="dxa"/>
            <w:tcMar>
              <w:top w:w="40" w:type="dxa"/>
              <w:left w:w="70" w:type="dxa"/>
              <w:bottom w:w="40" w:type="dxa"/>
              <w:right w:w="70" w:type="dxa"/>
            </w:tcMar>
          </w:tcPr>
          <w:p w14:paraId="5364B4F6" w14:textId="77777777" w:rsidR="0039479F" w:rsidRDefault="00000000">
            <w:pPr>
              <w:spacing w:line="216" w:lineRule="auto"/>
            </w:pPr>
            <w:r>
              <w:rPr>
                <w:sz w:val="16"/>
                <w:szCs w:val="16"/>
              </w:rPr>
              <w:t>Administrative-claims definitions of misdiagnosis cannot separate a missed diagnosis from a genuinely later presentation</w:t>
            </w:r>
          </w:p>
        </w:tc>
        <w:tc>
          <w:tcPr>
            <w:tcW w:w="2577" w:type="dxa"/>
            <w:tcMar>
              <w:top w:w="40" w:type="dxa"/>
              <w:left w:w="70" w:type="dxa"/>
              <w:bottom w:w="40" w:type="dxa"/>
              <w:right w:w="70" w:type="dxa"/>
            </w:tcMar>
          </w:tcPr>
          <w:p w14:paraId="597F1091" w14:textId="77777777" w:rsidR="0039479F" w:rsidRDefault="00000000">
            <w:pPr>
              <w:spacing w:line="216" w:lineRule="auto"/>
            </w:pPr>
            <w:r>
              <w:rPr>
                <w:sz w:val="16"/>
                <w:szCs w:val="16"/>
              </w:rPr>
              <w:t>Population-denominator miss rates are consistent across very large datasets; disease-denominator rates are consistent within condition</w:t>
            </w:r>
          </w:p>
        </w:tc>
        <w:tc>
          <w:tcPr>
            <w:tcW w:w="1692" w:type="dxa"/>
            <w:tcMar>
              <w:top w:w="40" w:type="dxa"/>
              <w:left w:w="70" w:type="dxa"/>
              <w:bottom w:w="40" w:type="dxa"/>
              <w:right w:w="70" w:type="dxa"/>
            </w:tcMar>
          </w:tcPr>
          <w:p w14:paraId="7AAB6449" w14:textId="77777777" w:rsidR="0039479F" w:rsidRDefault="00000000">
            <w:pPr>
              <w:spacing w:line="216" w:lineRule="auto"/>
            </w:pPr>
            <w:r>
              <w:rPr>
                <w:sz w:val="16"/>
                <w:szCs w:val="16"/>
              </w:rPr>
              <w:t>Moderate for population-level miss rates; low for triage instrument accuracy</w:t>
            </w:r>
          </w:p>
        </w:tc>
      </w:tr>
    </w:tbl>
    <w:p w14:paraId="7744AEEA" w14:textId="77777777" w:rsidR="0039479F" w:rsidRDefault="00000000">
      <w:pPr>
        <w:spacing w:before="90" w:after="220" w:line="240" w:lineRule="auto"/>
      </w:pPr>
      <w:r>
        <w:rPr>
          <w:sz w:val="17"/>
          <w:szCs w:val="17"/>
        </w:rPr>
        <w:t>Note. Confidence was assessed as described in Section 2.12, considering risk of bias, consistency, directness, precision as reported and the risk of missing evidence. This is a structured confidence assessment and is not a GRADE certainty rating.</w:t>
      </w:r>
    </w:p>
    <w:p w14:paraId="20F74171" w14:textId="77777777" w:rsidR="0039479F" w:rsidRDefault="00000000">
      <w:pPr>
        <w:pStyle w:val="Heading1"/>
        <w:keepNext/>
        <w:spacing w:before="280" w:after="140"/>
      </w:pPr>
      <w:r>
        <w:t>4. Discussion</w:t>
      </w:r>
    </w:p>
    <w:p w14:paraId="48965E66" w14:textId="77777777" w:rsidR="0039479F" w:rsidRDefault="00000000">
      <w:pPr>
        <w:spacing w:after="140"/>
        <w:jc w:val="both"/>
      </w:pPr>
      <w:r>
        <w:t>This review assembled 199 studies reported in 210 publications and found that the evidence supporting emergency diagnosis of life-threatening secondary headache is deep in one place and shallow almost everywhere else. Ninety-four of the 210 reports address subarachnoid haemorrhage through composite decision rules, non-contrast CT or cerebrospinal fluid analysis. The conditions that a normal non-contrast CT does not exclude — cerebral venous thrombosis, cervical artery dissection, reversible cerebral vasoconstriction syndrome, meningitis, raised intracranial pressure and carbon monoxide poisoning — are collectively addressed by fewer reports than lumbar puncture alone. This asymmetry is the single most consequential finding of the review, because it means that the part of the pathway that is best supported by evidence is also the part that a clinician is least likely to get wrong, while the part where diagnoses are actually missed is supported thinly.</w:t>
      </w:r>
    </w:p>
    <w:p w14:paraId="4BB03A6F" w14:textId="77777777" w:rsidR="0039479F" w:rsidRDefault="00000000">
      <w:pPr>
        <w:spacing w:after="140"/>
        <w:jc w:val="both"/>
      </w:pPr>
      <w:r>
        <w:t>Three principal findings emerge from the synthesis itself. The first is that the discriminating variable for non-contrast CT is time, not headache severity. Sensitivity within six hours of onset was 100% (95% CI 97.0–100) in one large prospective cohort (Perry et al., 2011) and 97.0% (95% CI 92.5–99.2) with a negative predictive value of 99.6% in another (Trainee Emergency Research Network, 2024), falling to approximately 90% beyond six hours (Backes et al., 2012). This finding aligns with, and is now supported by more data than existed at the time of, existing clinical policy on suspected subarachnoid haemorrhage (American College of Emergency Physicians, 2019). The practical implication is that documenting the interval from onset is as important as ordering the scan.</w:t>
      </w:r>
    </w:p>
    <w:p w14:paraId="42BE83D3" w14:textId="77777777" w:rsidR="0039479F" w:rsidRDefault="00000000">
      <w:pPr>
        <w:spacing w:after="140"/>
        <w:jc w:val="both"/>
      </w:pPr>
      <w:r>
        <w:lastRenderedPageBreak/>
        <w:t>The second is that composite decision rules and red-flag lists are calibrated to miss nothing and consequently exclude almost nobody. The Ottawa Subarachnoid Haemorrhage Rule reached 100% sensitivity in derivation (Perry et al., 2010) and in several external validations (Bellolio et al., 2015; Foley et al., 2021; Perry et al., 2017; Wu et al., 2020) with specificity between 13.6% and 37.0%, and a comprehensive red-flag list achieved 96.5% sensitivity against 5.1% specificity (Chu et al., 2024). The limitation that most constrains their use is not accuracy but applicability: only 23.1% (95% CI 20.0–26.5) of ED headache presentations met the entry criteria for the Ottawa rule in a statewide snapshot (Chu et al., 2018a), and the rule's sensitivity fell to 75.0% for non-haemorrhagic intracranial pathology (Wu et al., 2020). A rule that is entered by fewer than one quarter of patients and is condition-specific cannot serve as a general triage instrument for headache, and the consensus red-flag literature (Do et al., 2019) should be read the same way, as a safety net rather than a filter.</w:t>
      </w:r>
    </w:p>
    <w:p w14:paraId="21D404C7" w14:textId="77777777" w:rsidR="0039479F" w:rsidRDefault="00000000">
      <w:pPr>
        <w:spacing w:after="140"/>
        <w:jc w:val="both"/>
      </w:pPr>
      <w:r>
        <w:t>The third is that the lumbar puncture question is genuinely unresolved, and the appearance of resolution in either direction is an artefact of the denominator chosen. Individual departments see a yield of 0.4% to 1% (Gill et al., 2018; Migdal et al., 2015; Sayer et al., 2015) against a complication rate of about 6% and a number needed to harm of 17 (Migdal et al., 2015), which argues for restraint; a national audit of 10,187 confirmed haemorrhages found that 7% were diagnosed only after a non-diagnostic scan, including 55 aneurysmal haemorrhages following a negative CT within six hours (Thompson et al., 2025), which argues that abandoning the test is not free. Both statements are correct simultaneously. What the evidence does support is that the decision should be explicit and shared rather than protocolised in either direction, and that where the test is performed, defined cerebrospinal fluid decision rules — a red cell count below 2,000 × 10⁶/L with absent xanthochromia (Perry et al., 2015) — have better support than either visual inspection (Arora et al., 2010) or unqualified spectrophotometry (Perry et al., 2006; Rankin et al., 2022) alone.</w:t>
      </w:r>
    </w:p>
    <w:p w14:paraId="5DC818F0" w14:textId="77777777" w:rsidR="0039479F" w:rsidRDefault="00000000">
      <w:pPr>
        <w:spacing w:after="140"/>
        <w:jc w:val="both"/>
      </w:pPr>
      <w:r>
        <w:t>Beyond subarachnoid haemorrhage, the review identifies a small number of tests that are supported well enough to be used and are systematically underused. D-dimer combined with a clinical probability score reached a negative predictive value of 0.99 for cerebral venous thrombosis (Dahl et al., 2026), consistent with earlier prospective estimates of 97.1% sensitivity and 99.6% negative predictive value (Kosinski et al., 2004), with the important qualification that both false negatives in one series had headache lasting more than 30 days (Lalive et al., 2003). Non-mydriatic fundus photography detects papilloedema and other urgent fundus pathology at prevalences of 8.5% to 16% (Dunn et al., 2021; Thulasi et al., 2013) in populations where unaided emergency clinician sensitivity by direct ophthalmoscopy was 0% (Dunn et al., 2022). Non-invasive carbon monoxide measurement identified confirmed poisoning in 6.4% of consecutive winter headache presentations, almost a quarter of which were occult (Zorbalar et al., 2014). Each addresses a condition that is invisible to the standard pathway, and each requires equipment or a habit rather than a new evidence base.</w:t>
      </w:r>
    </w:p>
    <w:p w14:paraId="60719670" w14:textId="77777777" w:rsidR="0039479F" w:rsidRDefault="00000000">
      <w:pPr>
        <w:spacing w:after="140"/>
        <w:jc w:val="both"/>
      </w:pPr>
      <w:r>
        <w:t>Where the evidence is weakest, the pattern is instructive rather than merely disappointing. The blood-biomarker literature for subarachnoid haemorrhage reports high discrimination — a neutrophil-to-lymphocyte ratio above 4.02 with 85.95% sensitivity and 97.46% specificity (Eryigit et al., 2017) — almost exclusively from case–control designs contrasting confirmed haemorrhage with confirmed migraine. That comparison does not exist in an emergency department, where the alternative diagnoses are undifferentiated, and the one study applying a comparable index without that contrast reported a specificity of 46.7% (Kilic et al., 2017). Similarly, the meningitis literature repeatedly asks whether jolt accentuation can exclude meningitis and repeatedly answers that it cannot, with sensitivities from 21% (Nakao et al., 2014) to 75% (Sato et al., 2017) and negative likelihood ratios close to unity; the more useful finding, that 28.4% of adults with meningitis had no meningeal irritation signs at all (Fellner et al., 2020), has attracted far less attention. In both domains the research question has been framed around the test rather than around the decision.</w:t>
      </w:r>
    </w:p>
    <w:p w14:paraId="00A52C12" w14:textId="77777777" w:rsidR="0039479F" w:rsidRDefault="00000000">
      <w:pPr>
        <w:spacing w:after="140"/>
        <w:jc w:val="both"/>
      </w:pPr>
      <w:r>
        <w:t xml:space="preserve">Finally, the outcome data set a realistic performance benchmark. The absolute rate of missed serious neurological conditions after discharge with a non-specific headache diagnosis is 0.5% (Dubosh et al., 2019) and the 30-day stroke hospitalisation rate after a benign headache discharge is 0.14% (Liberman et al., 2022). Against those figures, a deliberate 9.6% reduction in head CT use produced no measurable increase in death or missed diagnosis (Miller et al., 2018), while condition-specific misdiagnosis rates of 3% to 4.5% for cerebral venous thrombosis, arterial dissection and reversible cerebral vasoconstriction syndrome (Liberman et al., 2018; Liberman et al., </w:t>
      </w:r>
      <w:r>
        <w:lastRenderedPageBreak/>
        <w:t>2020; Liberman et al., 2023) concentrate in younger patients with an existing headache diagnosis (Liberman et al., 2019). Taken together these suggest that the pathway's residual failures are not failures of imaging volume but of pattern recognition in a specific and identifiable group, which is precisely where a structured algorithm has most to offer.</w:t>
      </w:r>
    </w:p>
    <w:p w14:paraId="5B9858CC" w14:textId="77777777" w:rsidR="0039479F" w:rsidRDefault="00000000">
      <w:pPr>
        <w:pStyle w:val="Heading1"/>
        <w:keepNext/>
        <w:spacing w:before="280" w:after="140"/>
      </w:pPr>
      <w:r>
        <w:t>5. Strengths and Limitations</w:t>
      </w:r>
    </w:p>
    <w:p w14:paraId="7E937508" w14:textId="77777777" w:rsidR="0039479F" w:rsidRDefault="00000000">
      <w:pPr>
        <w:pStyle w:val="Heading2"/>
        <w:keepNext/>
        <w:spacing w:before="220" w:after="110"/>
      </w:pPr>
      <w:r>
        <w:t>5.1 Limitations of the review process</w:t>
      </w:r>
    </w:p>
    <w:p w14:paraId="79FDA0EC" w14:textId="77777777" w:rsidR="0039479F" w:rsidRDefault="00000000">
      <w:pPr>
        <w:spacing w:after="140"/>
        <w:jc w:val="both"/>
      </w:pPr>
      <w:r>
        <w:t>The searches were restricted to sources that could be accessed and queried directly. PubMed/MEDLINE, Europe PMC and ClinicalTrials.gov were searched, and both the Cochrane Library and the WHO International Clinical Trials Registry Platform returned an access refusal when queried, so neither was searched and no yield is reported for either. Embase, Scopus, Web of Science and CINAHL were not searched because no access was available. The consequence is a real risk of missing eligible studies, particularly conference proceedings and studies indexed in Embase but not in MEDLINE. The sentinel-study check described in Section 2.6 provides partial reassurance that the final strategy retrieved the landmark studies in this field, but it cannot quantify what was missed.</w:t>
      </w:r>
    </w:p>
    <w:p w14:paraId="12138907" w14:textId="77777777" w:rsidR="0039479F" w:rsidRDefault="00000000">
      <w:pPr>
        <w:spacing w:after="140"/>
        <w:jc w:val="both"/>
      </w:pPr>
      <w:r>
        <w:t>Backward citation searching was limited. The Europe PMC references endpoint returned a service error throughout the period in which citation searching was performed, so backward searching was carried out by parsing the reference lists of the open-access full texts of three seed reports rather than programmatically across all included studies. Forward citation searching was performed as planned. The citation-searching arm contributed 384 records and 13 included studies, and a more complete backward search would probably have contributed more.</w:t>
      </w:r>
    </w:p>
    <w:p w14:paraId="127C9ECC" w14:textId="1020E4AA" w:rsidR="0039479F" w:rsidRDefault="00000000">
      <w:pPr>
        <w:spacing w:after="140"/>
        <w:jc w:val="both"/>
      </w:pPr>
      <w:r>
        <w:t>Screening, eligibility assessment, extraction and appraisal were performed by one reviewer working with computer assistance, with no duplicate independent review at any stage. This is a material limitation. Single-reviewer screening is known to be less sensitive than duplicate screening, and single-reviewer extraction is more error-prone. The mitigation applied was mechanical rather than methodological: prespecified decision rules were applied uniformly and recorded, every decision is traceable in the evidence ledger, and prespecified rules governed publication-type exclusion and risk-of-bias domain rating. Traceability is not equivalent to reproducibility by a second reviewer.</w:t>
      </w:r>
    </w:p>
    <w:p w14:paraId="51E4B600" w14:textId="77777777" w:rsidR="0039479F" w:rsidRDefault="00000000">
      <w:pPr>
        <w:spacing w:after="140"/>
        <w:jc w:val="both"/>
      </w:pPr>
      <w:r>
        <w:t>Full reports were obtained for only 66 of the 210 included reports; for the remaining 144 the peer-reviewed abstract was the only accessible source. This constrains extraction detail and, more seriously, distorts risk-of-bias appraisal: an unclear rating in Table 4 may reflect incomplete study reporting or incomplete access, and the two cannot be separated from the accessed source. Domain ratings should therefore be read as ratings of the accessed evidence, not of the studies as conducted. No language restriction was applied at the search stage, but extraction depended on the accessible record, and three reports published in languages other than English were extracted from their English-language abstracts.</w:t>
      </w:r>
    </w:p>
    <w:p w14:paraId="4E26F930" w14:textId="77777777" w:rsidR="0039479F" w:rsidRDefault="00000000">
      <w:pPr>
        <w:spacing w:after="140"/>
        <w:jc w:val="both"/>
      </w:pPr>
      <w:r>
        <w:t>Formal GRADE certainty rating was not applied, for the reasons given in Section 2.12; the structured confidence assessment used instead is explicitly labelled and is not interchangeable with a GRADE rating. Three DOIs could not be resolved after authoritative checking and were omitted from the corresponding references rather than reproduced unverified. The review was not registered and no prospective public protocol was available, so the prespecification claimed for the eligibility criteria, synthesis domains and risk-of-bias rules cannot be independently verified.</w:t>
      </w:r>
    </w:p>
    <w:p w14:paraId="48328273" w14:textId="77777777" w:rsidR="0039479F" w:rsidRDefault="00000000">
      <w:pPr>
        <w:pStyle w:val="Heading2"/>
        <w:keepNext/>
        <w:spacing w:before="220" w:after="110"/>
      </w:pPr>
      <w:r>
        <w:t>5.2 Limitations of the underlying evidence</w:t>
      </w:r>
    </w:p>
    <w:p w14:paraId="54C351B7" w14:textId="77777777" w:rsidR="0039479F" w:rsidRDefault="00000000">
      <w:pPr>
        <w:spacing w:after="140"/>
        <w:jc w:val="both"/>
      </w:pPr>
      <w:r>
        <w:t>The included evidence is dominated by retrospective, single-centre studies: 128 of 210 reports described retrospective designs, and the design could not be classified from the accessed source for a further 22. Only five reports were at low risk of bias across all four QUADAS-2 domains, and 93 were at high risk in at least one. Blinding of index-test interpretation to the reference standard was reported in 28 reports and unclear in 182, and flow and timing was unclear in 166, chiefly because it was not stated whether all participants were verified.</w:t>
      </w:r>
    </w:p>
    <w:p w14:paraId="6422AE73" w14:textId="77777777" w:rsidR="0039479F" w:rsidRDefault="00000000">
      <w:pPr>
        <w:spacing w:after="140"/>
        <w:jc w:val="both"/>
      </w:pPr>
      <w:r>
        <w:lastRenderedPageBreak/>
        <w:t>Three specific biases recur. Partial and differential verification are pervasive: in most cohorts only patients who underwent an investigation were verified by an adequate reference standard, so sensitivity is estimated more reliably than specificity and both are conditioned on the decision to test. Spectrum effects are substantial and rarely acknowledged: populations selected for imaging reported serious-cause proportions of 17.3% to 31.9% against 5% to 13% in unselected populations, a difference that reflects selection rather than risk. Case–control architecture, used throughout the blood-biomarker domain, systematically inflates apparent discrimination relative to the undifferentiated population in which the test would be applied.</w:t>
      </w:r>
    </w:p>
    <w:p w14:paraId="218B4ADF" w14:textId="77777777" w:rsidR="0039479F" w:rsidRDefault="00000000">
      <w:pPr>
        <w:spacing w:after="140"/>
        <w:jc w:val="both"/>
      </w:pPr>
      <w:r>
        <w:t>Heterogeneity in the definition of the target condition limits comparison as much as heterogeneity in the index test. Studies variously targeted aneurysmal subarachnoid haemorrhage, any subarachnoid haemorrhage, any intracranial pathology, any secondary headache or any life-threatening secondary headache, and the same index test can therefore appear accurate or inaccurate according to which target was chosen; the fall in Ottawa rule sensitivity from 100% for haemorrhage to 75.0% for non-haemorrhagic pathology in a single cohort (Wu et al., 2020) demonstrates this directly. Thresholds differ similarly, most conspicuously for cerebrospinal fluid red cell counts, where cut-points of 5, 1,000, 2,000 and 3,667 per microlitre appear across the domain.</w:t>
      </w:r>
    </w:p>
    <w:p w14:paraId="77C3FF5C" w14:textId="77777777" w:rsidR="0039479F" w:rsidRDefault="00000000">
      <w:pPr>
        <w:spacing w:after="140"/>
        <w:jc w:val="both"/>
      </w:pPr>
      <w:r>
        <w:t>Precision is limited for the estimates that matter most. Several sensitivity estimates of 100% derive from small numbers of target-condition cases, so the lower confidence bound is well below 100% — 97.0% in one cohort of 121 haemorrhages (Perry et al., 2011) and 74.7% in a cerebrospinal fluid rule based on 15 haemorrhages (Perry et al., 2015). Reported confidence intervals were reproduced as published and no interval was recalculated. Finally, the risk of missing evidence is not negligible: negative validations of proprietary or locally derived scores are less likely to be published than positive derivations, and the biomarker domain in particular shows the distribution of results characteristic of selective reporting.</w:t>
      </w:r>
    </w:p>
    <w:p w14:paraId="35286F06" w14:textId="77777777" w:rsidR="0039479F" w:rsidRDefault="00000000">
      <w:pPr>
        <w:pStyle w:val="Heading1"/>
        <w:keepNext/>
        <w:spacing w:before="280" w:after="140"/>
      </w:pPr>
      <w:r>
        <w:t>6. Clinical Implications and Future Research</w:t>
      </w:r>
    </w:p>
    <w:p w14:paraId="6B3803BB" w14:textId="77777777" w:rsidR="0039479F" w:rsidRDefault="00000000">
      <w:pPr>
        <w:spacing w:after="140"/>
        <w:jc w:val="both"/>
      </w:pPr>
      <w:r>
        <w:t>The implications drawn here are population-level statements about how an emergency diagnostic pathway might be structured and audited; they are not individual medical advice, and none of them supersedes local clinical policy or the judgement of the treating clinician. Four appear reasonably supported. Time from headache onset should be recorded explicitly at triage and used as a decision variable, because it determines the interpretation of a normal non-contrast CT more than any feature of the headache does. Validated decision rules should be applied within their stated entry criteria and understood as instruments for excluding one condition rather than for clearing a patient; a rule that does not apply to a given presentation gives no information about it. The decision to perform lumbar puncture after a non-diagnostic CT within six hours is genuinely balanced and should be documented as a shared decision, with the yield, the complication rate and the residual risk stated. And a normal non-contrast CT should be a branch point rather than an endpoint, with the second tier directed by phenotype: venous imaging or a probability score with D-dimer for suspected cerebral venous thrombosis, vascular imaging for suspected dissection or vasoconstriction syndrome, lumbar puncture for suspected meningitis, fundus imaging for suspected raised intracranial pressure, and carbon monoxide measurement where the exposure history or the season supports it.</w:t>
      </w:r>
    </w:p>
    <w:p w14:paraId="5EF412DF" w14:textId="77777777" w:rsidR="0039479F" w:rsidRDefault="00000000">
      <w:pPr>
        <w:spacing w:after="140"/>
        <w:jc w:val="both"/>
      </w:pPr>
      <w:r>
        <w:t xml:space="preserve">Two further implications concern the failure modes rather than the tests. The concentration of missed cerebral venous thrombosis, dissection and reversible cerebral vasoconstriction syndrome among younger patients with a pre-existing headache diagnosis identifies a specific auditable target: any patient with a known primary headache </w:t>
      </w:r>
      <w:proofErr w:type="gramStart"/>
      <w:r>
        <w:t>disorder</w:t>
      </w:r>
      <w:proofErr w:type="gramEnd"/>
      <w:r>
        <w:t xml:space="preserve"> whose headache has changed in character warrants explicit reconsideration rather than attribution. And because undertriage of patients with warning signs was documented at 85.1% at the highest urgency level in one series, triage instruments should not be relied upon to identify serious secondary headache, and the presence of a warning sign should override the triage category.</w:t>
      </w:r>
    </w:p>
    <w:p w14:paraId="5484CB41" w14:textId="77777777" w:rsidR="0039479F" w:rsidRDefault="00000000">
      <w:pPr>
        <w:spacing w:after="140"/>
        <w:jc w:val="both"/>
      </w:pPr>
      <w:r>
        <w:t xml:space="preserve">The research priorities follow directly from the confidence assessment. The algorithm presented in Figure 2 requires prospective external validation in a consecutive, unselected ED population, with all participants verified by a reference standard combining imaging, cerebrospinal fluid analysis where performed, vascular imaging where indicated and structured follow-up to at least 30 days; the primary outcome should be the proportion of </w:t>
      </w:r>
      <w:r>
        <w:lastRenderedPageBreak/>
        <w:t>life-threatening secondary headaches missed by the pathway, with the proportion of patients investigated as the co-primary efficiency outcome, and the study should be prospectively registered with a public protocol and a data-sharing statement. Second, diagnostic accuracy studies of second-line tests should be conducted in the population in which the test would actually be used — patients with a normal non-contrast CT — rather than as case–control comparisons against confirmed primary headache; the blood-biomarker literature would need to be substantially rebuilt on that basis before any marker could be recommended. Third, a core outcome set for emergency headache diagnostic research would resolve much of the incomparability documented here, and should specify a common target-condition definition, a minimum follow-up period, mandatory reporting of the interval from headache onset, and explicit reporting of adverse events of testing, including post-lumbar-puncture headache and the downstream consequences of incidental findings. Fourth, implementation studies are needed for the interventions that are already supported: fundus imaging and carbon monoxide measurement both have adequate diagnostic evidence and negligible evidence on how to embed them in practice. Reporting of all such studies should follow STARD 2015 (Bossuyt et al., 2015), which none of the included diagnostic accuracy studies could be confirmed to have followed from the accessed sources.</w:t>
      </w:r>
    </w:p>
    <w:p w14:paraId="05765914" w14:textId="77777777" w:rsidR="0039479F" w:rsidRDefault="00000000">
      <w:pPr>
        <w:pStyle w:val="Heading1"/>
        <w:keepNext/>
        <w:spacing w:before="280" w:after="140"/>
      </w:pPr>
      <w:r>
        <w:t>7. Conclusion</w:t>
      </w:r>
    </w:p>
    <w:p w14:paraId="28440D4A" w14:textId="77777777" w:rsidR="0039479F" w:rsidRDefault="00000000">
      <w:pPr>
        <w:spacing w:after="140"/>
        <w:jc w:val="both"/>
      </w:pPr>
      <w:r>
        <w:t>In adults presenting to an emergency department with non-traumatic headache, a life-threatening secondary cause is present in approximately 5% to 13% of unselected presentations and is not excluded by a normal neurological examination. The evidence supports a staged, time-anchored pathway: a validated decision rule applied within its entry criteria determines who requires investigation; non-contrast CT performed within six hours of headache onset carries a negative predictive value of 99.6% to 99.9% for subarachnoid haemorrhage and does most of the diagnostic work; lumbar puncture after a non-diagnostic early scan has a yield of under 1% against a complication rate of about 6% and is best framed as a documented shared decision; and a normal scan should route the patient to phenotype-directed second-line testing rather than to discharge, because cerebral venous thrombosis, arterial dissection, meningitis, raised intracranial pressure and carbon monoxide poisoning each require a different and specific test.</w:t>
      </w:r>
    </w:p>
    <w:p w14:paraId="55BE8C20" w14:textId="77777777" w:rsidR="0039479F" w:rsidRDefault="00000000">
      <w:pPr>
        <w:spacing w:after="140"/>
        <w:jc w:val="both"/>
      </w:pPr>
      <w:r>
        <w:t>Confidence in this body of evidence is low to moderate and is unevenly distributed. It is moderate for the time dependence of non-contrast CT, for the sensitivity of composite decision rules and for the conclusion that no bedside sign excludes meningitis; it is low for the diagnostic yield of imaging beyond the first scan, for blood biomarkers other than D-dimer in suspected cerebral venous thrombosis, and for the accuracy of triage instruments. The underlying literature is dominated by retrospective single-centre studies, only 5 of 210 reports were at low risk of bias across all QUADAS-2 domains, and the review itself was conducted by a single reviewer using openly accessible sources, with full text available for fewer than a third of included reports. The algorithm derived here is a structured synthesis product with no operating characteristics of its own; it has not been validated prospectively and should not be implemented as a standard of care until it has been.</w:t>
      </w:r>
    </w:p>
    <w:p w14:paraId="0A1282F7" w14:textId="77777777" w:rsidR="0039479F" w:rsidRDefault="00000000">
      <w:r>
        <w:br w:type="page"/>
      </w:r>
    </w:p>
    <w:p w14:paraId="03370152" w14:textId="77777777" w:rsidR="0039479F" w:rsidRDefault="00000000">
      <w:pPr>
        <w:pStyle w:val="Heading1"/>
        <w:keepNext/>
        <w:spacing w:before="280" w:after="140"/>
      </w:pPr>
      <w:r>
        <w:lastRenderedPageBreak/>
        <w:t>Declarations</w:t>
      </w:r>
    </w:p>
    <w:p w14:paraId="703A541E" w14:textId="77777777" w:rsidR="0039479F" w:rsidRDefault="00000000">
      <w:pPr>
        <w:spacing w:after="140"/>
        <w:jc w:val="both"/>
      </w:pPr>
      <w:r>
        <w:rPr>
          <w:b/>
          <w:bCs/>
        </w:rPr>
        <w:t>Protocol and registration:</w:t>
      </w:r>
      <w:r>
        <w:t xml:space="preserve"> The review was not registered and no prospective public protocol was available.</w:t>
      </w:r>
    </w:p>
    <w:p w14:paraId="08B9FEFC" w14:textId="77777777" w:rsidR="0039479F" w:rsidRDefault="00000000">
      <w:pPr>
        <w:spacing w:after="140"/>
        <w:jc w:val="both"/>
      </w:pPr>
      <w:r>
        <w:rPr>
          <w:b/>
          <w:bCs/>
        </w:rPr>
        <w:t>Ethics approval and consent:</w:t>
      </w:r>
      <w:r>
        <w:t xml:space="preserve"> This review analysed publicly available study reports and did not enrol participants; new participant ethics approval and consent were not required.</w:t>
      </w:r>
    </w:p>
    <w:p w14:paraId="28E5C679" w14:textId="77777777" w:rsidR="0039479F" w:rsidRDefault="00000000">
      <w:pPr>
        <w:spacing w:after="140"/>
        <w:jc w:val="both"/>
      </w:pPr>
      <w:r>
        <w:rPr>
          <w:b/>
          <w:bCs/>
        </w:rPr>
        <w:t>Competing interests:</w:t>
      </w:r>
      <w:r>
        <w:t xml:space="preserve"> No competing interests are declared.</w:t>
      </w:r>
    </w:p>
    <w:p w14:paraId="11FBC648" w14:textId="77777777" w:rsidR="0039479F" w:rsidRDefault="00000000">
      <w:pPr>
        <w:spacing w:after="140"/>
        <w:jc w:val="both"/>
      </w:pPr>
      <w:r>
        <w:rPr>
          <w:b/>
          <w:bCs/>
        </w:rPr>
        <w:t>Patient and public involvement:</w:t>
      </w:r>
      <w:r>
        <w:t xml:space="preserve"> No patient or public involvement in this review was documented.</w:t>
      </w:r>
    </w:p>
    <w:p w14:paraId="02F28616" w14:textId="77777777" w:rsidR="0039479F" w:rsidRDefault="00000000">
      <w:pPr>
        <w:spacing w:after="140"/>
        <w:jc w:val="both"/>
      </w:pPr>
      <w:r>
        <w:rPr>
          <w:b/>
          <w:bCs/>
        </w:rPr>
        <w:t>Data availability:</w:t>
      </w:r>
      <w:r>
        <w:t xml:space="preserve"> The evidence ledger and supplementary material supplied with the manuscript contain the auditable search, screening, extraction, appraisal and reference-verification trail.</w:t>
      </w:r>
    </w:p>
    <w:p w14:paraId="2697AC7A" w14:textId="77777777" w:rsidR="0039479F" w:rsidRDefault="00000000">
      <w:r>
        <w:br w:type="page"/>
      </w:r>
    </w:p>
    <w:p w14:paraId="4519DB4C" w14:textId="77777777" w:rsidR="0015529E" w:rsidRDefault="0015529E" w:rsidP="0015529E">
      <w:pPr>
        <w:spacing w:line="240" w:lineRule="auto"/>
        <w:rPr>
          <w:b/>
        </w:rPr>
      </w:pPr>
      <w:r w:rsidRPr="000839CE">
        <w:rPr>
          <w:b/>
        </w:rPr>
        <w:lastRenderedPageBreak/>
        <w:t>Declaration of AI Use</w:t>
      </w:r>
    </w:p>
    <w:p w14:paraId="0BFED571" w14:textId="77777777" w:rsidR="0015529E" w:rsidRDefault="0015529E" w:rsidP="0015529E">
      <w:pPr>
        <w:spacing w:line="240" w:lineRule="auto"/>
        <w:rPr>
          <w:b/>
        </w:rPr>
      </w:pPr>
    </w:p>
    <w:p w14:paraId="4A4F19EE" w14:textId="77777777" w:rsidR="0015529E" w:rsidRDefault="0015529E" w:rsidP="0015529E">
      <w:pPr>
        <w:spacing w:line="240" w:lineRule="auto"/>
        <w:rPr>
          <w:b/>
        </w:rPr>
      </w:pPr>
    </w:p>
    <w:p w14:paraId="57A29D0C" w14:textId="77777777" w:rsidR="0015529E" w:rsidRDefault="0015529E" w:rsidP="0015529E">
      <w:pPr>
        <w:spacing w:line="240" w:lineRule="auto"/>
        <w:rPr>
          <w:b/>
        </w:rPr>
      </w:pPr>
    </w:p>
    <w:p w14:paraId="146FAA2E" w14:textId="77777777" w:rsidR="0015529E" w:rsidRPr="002D08AC" w:rsidRDefault="0015529E" w:rsidP="0015529E">
      <w:pPr>
        <w:spacing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40DEBC0" w14:textId="77777777" w:rsidR="0015529E" w:rsidRDefault="0015529E"/>
    <w:p w14:paraId="23C09459" w14:textId="77777777" w:rsidR="0039479F" w:rsidRDefault="00000000">
      <w:pPr>
        <w:pStyle w:val="Heading1"/>
        <w:keepNext/>
        <w:spacing w:before="280" w:after="140"/>
      </w:pPr>
      <w:r>
        <w:t>References</w:t>
      </w:r>
    </w:p>
    <w:p w14:paraId="2E07CD82" w14:textId="77777777" w:rsidR="0039479F" w:rsidRDefault="00000000">
      <w:pPr>
        <w:spacing w:after="100" w:line="252" w:lineRule="auto"/>
        <w:ind w:left="454" w:hanging="454"/>
      </w:pPr>
      <w:r>
        <w:rPr>
          <w:sz w:val="20"/>
          <w:szCs w:val="20"/>
        </w:rPr>
        <w:t xml:space="preserve">(2018). Headache Classification Committee of the International Headache Society (IHS) The International Classification of Headache Disorders, 3rd edition. </w:t>
      </w:r>
      <w:proofErr w:type="gramStart"/>
      <w:r>
        <w:rPr>
          <w:i/>
          <w:iCs/>
          <w:sz w:val="20"/>
          <w:szCs w:val="20"/>
        </w:rPr>
        <w:t>Cephalalgia :</w:t>
      </w:r>
      <w:proofErr w:type="gramEnd"/>
      <w:r>
        <w:rPr>
          <w:i/>
          <w:iCs/>
          <w:sz w:val="20"/>
          <w:szCs w:val="20"/>
        </w:rPr>
        <w:t xml:space="preserve"> an international journal of headache</w:t>
      </w:r>
      <w:r>
        <w:rPr>
          <w:sz w:val="20"/>
          <w:szCs w:val="20"/>
        </w:rPr>
        <w:t xml:space="preserve">, </w:t>
      </w:r>
      <w:r>
        <w:rPr>
          <w:i/>
          <w:iCs/>
          <w:sz w:val="20"/>
          <w:szCs w:val="20"/>
        </w:rPr>
        <w:t>38</w:t>
      </w:r>
      <w:r>
        <w:rPr>
          <w:sz w:val="20"/>
          <w:szCs w:val="20"/>
        </w:rPr>
        <w:t>(1), 1-211. https://doi.org/10.1177/0333102417738202</w:t>
      </w:r>
    </w:p>
    <w:p w14:paraId="7C63D063" w14:textId="77777777" w:rsidR="0039479F" w:rsidRDefault="00000000">
      <w:pPr>
        <w:spacing w:after="100" w:line="252" w:lineRule="auto"/>
        <w:ind w:left="454" w:hanging="454"/>
      </w:pPr>
      <w:r>
        <w:rPr>
          <w:sz w:val="20"/>
          <w:szCs w:val="20"/>
        </w:rPr>
        <w:t xml:space="preserve">Aaseth, K., Dhami, S. K. G., Kravdal, G., Zarnovicky, S., Faiz, K. W., Vetvik, K. G., &amp; Kristoffersen, E. S. (2024). Diagnostic workup of acute headache and subarachnoid hemorrhage in a Norwegian population: An observational study. </w:t>
      </w:r>
      <w:r>
        <w:rPr>
          <w:i/>
          <w:iCs/>
          <w:sz w:val="20"/>
          <w:szCs w:val="20"/>
        </w:rPr>
        <w:t>European journal of neurology</w:t>
      </w:r>
      <w:r>
        <w:rPr>
          <w:sz w:val="20"/>
          <w:szCs w:val="20"/>
        </w:rPr>
        <w:t xml:space="preserve">, </w:t>
      </w:r>
      <w:r>
        <w:rPr>
          <w:i/>
          <w:iCs/>
          <w:sz w:val="20"/>
          <w:szCs w:val="20"/>
        </w:rPr>
        <w:t>31</w:t>
      </w:r>
      <w:r>
        <w:rPr>
          <w:sz w:val="20"/>
          <w:szCs w:val="20"/>
        </w:rPr>
        <w:t>(9), e16385. https://doi.org/10.1111/ene.16385</w:t>
      </w:r>
    </w:p>
    <w:p w14:paraId="1C3E4FD7" w14:textId="77777777" w:rsidR="0039479F" w:rsidRDefault="00000000">
      <w:pPr>
        <w:spacing w:after="100" w:line="252" w:lineRule="auto"/>
        <w:ind w:left="454" w:hanging="454"/>
      </w:pPr>
      <w:r>
        <w:rPr>
          <w:sz w:val="20"/>
          <w:szCs w:val="20"/>
        </w:rPr>
        <w:t xml:space="preserve">Afhami, S., Dehghan Manshadi, S. A., &amp; Rezahosseini, O. (2017). Jolt accentuation of headache: can this maneuver rule out acute </w:t>
      </w:r>
      <w:proofErr w:type="gramStart"/>
      <w:r>
        <w:rPr>
          <w:sz w:val="20"/>
          <w:szCs w:val="20"/>
        </w:rPr>
        <w:t>meningitis?.</w:t>
      </w:r>
      <w:proofErr w:type="gramEnd"/>
      <w:r>
        <w:rPr>
          <w:sz w:val="20"/>
          <w:szCs w:val="20"/>
        </w:rPr>
        <w:t xml:space="preserve"> </w:t>
      </w:r>
      <w:r>
        <w:rPr>
          <w:i/>
          <w:iCs/>
          <w:sz w:val="20"/>
          <w:szCs w:val="20"/>
        </w:rPr>
        <w:t>BMC research notes</w:t>
      </w:r>
      <w:r>
        <w:rPr>
          <w:sz w:val="20"/>
          <w:szCs w:val="20"/>
        </w:rPr>
        <w:t xml:space="preserve">, </w:t>
      </w:r>
      <w:r>
        <w:rPr>
          <w:i/>
          <w:iCs/>
          <w:sz w:val="20"/>
          <w:szCs w:val="20"/>
        </w:rPr>
        <w:t>10</w:t>
      </w:r>
      <w:r>
        <w:rPr>
          <w:sz w:val="20"/>
          <w:szCs w:val="20"/>
        </w:rPr>
        <w:t>(1), 540. https://doi.org/10.1186/s13104-017-2877-1</w:t>
      </w:r>
    </w:p>
    <w:p w14:paraId="1D89B7E9" w14:textId="77777777" w:rsidR="0039479F" w:rsidRDefault="00000000">
      <w:pPr>
        <w:spacing w:after="100" w:line="252" w:lineRule="auto"/>
        <w:ind w:left="454" w:hanging="454"/>
      </w:pPr>
      <w:r>
        <w:rPr>
          <w:sz w:val="20"/>
          <w:szCs w:val="20"/>
        </w:rPr>
        <w:t xml:space="preserve">Agostoni, E., Santoro, P., Frigerio, R., Frigo, M., Beghi, E., &amp; Ferrarese, C. (2004). Management of headache in emergency room. </w:t>
      </w:r>
      <w:r>
        <w:rPr>
          <w:i/>
          <w:iCs/>
          <w:sz w:val="20"/>
          <w:szCs w:val="20"/>
        </w:rPr>
        <w:t xml:space="preserve">Neurological </w:t>
      </w:r>
      <w:proofErr w:type="gramStart"/>
      <w:r>
        <w:rPr>
          <w:i/>
          <w:iCs/>
          <w:sz w:val="20"/>
          <w:szCs w:val="20"/>
        </w:rPr>
        <w:t>sciences :</w:t>
      </w:r>
      <w:proofErr w:type="gramEnd"/>
      <w:r>
        <w:rPr>
          <w:i/>
          <w:iCs/>
          <w:sz w:val="20"/>
          <w:szCs w:val="20"/>
        </w:rPr>
        <w:t xml:space="preserve"> official journal of the Italian Neurological Society and of the Italian Society of Clinical Neurophysiology</w:t>
      </w:r>
      <w:r>
        <w:rPr>
          <w:sz w:val="20"/>
          <w:szCs w:val="20"/>
        </w:rPr>
        <w:t xml:space="preserve">, </w:t>
      </w:r>
      <w:r>
        <w:rPr>
          <w:i/>
          <w:iCs/>
          <w:sz w:val="20"/>
          <w:szCs w:val="20"/>
        </w:rPr>
        <w:t>25 Suppl 3</w:t>
      </w:r>
      <w:r>
        <w:rPr>
          <w:sz w:val="20"/>
          <w:szCs w:val="20"/>
        </w:rPr>
        <w:t>, S187-9. https://doi.org/10.1007/s10072-004-0282-8</w:t>
      </w:r>
    </w:p>
    <w:p w14:paraId="47612017" w14:textId="77777777" w:rsidR="0039479F" w:rsidRDefault="00000000">
      <w:pPr>
        <w:spacing w:after="100" w:line="252" w:lineRule="auto"/>
        <w:ind w:left="454" w:hanging="454"/>
      </w:pPr>
      <w:r>
        <w:rPr>
          <w:sz w:val="20"/>
          <w:szCs w:val="20"/>
        </w:rPr>
        <w:t xml:space="preserve">Ala, A., Rahmani, F., Abdollahi, S., &amp; Parsian, Z. (2018). Accuracy of Neck stiffness, Kernig, Brudzinski, and Jolt Accentuation of Headache Signs in Early Detection of Meningitis. </w:t>
      </w:r>
      <w:r>
        <w:rPr>
          <w:i/>
          <w:iCs/>
          <w:sz w:val="20"/>
          <w:szCs w:val="20"/>
        </w:rPr>
        <w:t>Emergency (Tehran, Iran)</w:t>
      </w:r>
      <w:r>
        <w:rPr>
          <w:sz w:val="20"/>
          <w:szCs w:val="20"/>
        </w:rPr>
        <w:t xml:space="preserve">, </w:t>
      </w:r>
      <w:r>
        <w:rPr>
          <w:i/>
          <w:iCs/>
          <w:sz w:val="20"/>
          <w:szCs w:val="20"/>
        </w:rPr>
        <w:t>6</w:t>
      </w:r>
      <w:r>
        <w:rPr>
          <w:sz w:val="20"/>
          <w:szCs w:val="20"/>
        </w:rPr>
        <w:t>(1), e8.</w:t>
      </w:r>
    </w:p>
    <w:p w14:paraId="7418DFE7" w14:textId="77777777" w:rsidR="0039479F" w:rsidRDefault="00000000">
      <w:pPr>
        <w:spacing w:after="100" w:line="252" w:lineRule="auto"/>
        <w:ind w:left="454" w:hanging="454"/>
      </w:pPr>
      <w:r>
        <w:rPr>
          <w:sz w:val="20"/>
          <w:szCs w:val="20"/>
        </w:rPr>
        <w:t xml:space="preserve">Alanazy, M. H., Almalak, H., Alaboudi, M., Abujamea, A., Albilali, A., &amp; Muayqil, T. (2023). Common diagnoses and factors associated with abnormal neuroimaging in headache patients in the emergency department. </w:t>
      </w:r>
      <w:r>
        <w:rPr>
          <w:i/>
          <w:iCs/>
          <w:sz w:val="20"/>
          <w:szCs w:val="20"/>
        </w:rPr>
        <w:t>Neurosciences (Riyadh, Saudi Arabia)</w:t>
      </w:r>
      <w:r>
        <w:rPr>
          <w:sz w:val="20"/>
          <w:szCs w:val="20"/>
        </w:rPr>
        <w:t xml:space="preserve">, </w:t>
      </w:r>
      <w:r>
        <w:rPr>
          <w:i/>
          <w:iCs/>
          <w:sz w:val="20"/>
          <w:szCs w:val="20"/>
        </w:rPr>
        <w:t>28</w:t>
      </w:r>
      <w:r>
        <w:rPr>
          <w:sz w:val="20"/>
          <w:szCs w:val="20"/>
        </w:rPr>
        <w:t>(1), 36-41. https://doi.org/10.17712/nsj.2023.1.20220042</w:t>
      </w:r>
    </w:p>
    <w:p w14:paraId="7952A10B" w14:textId="77777777" w:rsidR="0039479F" w:rsidRDefault="00000000">
      <w:pPr>
        <w:spacing w:after="100" w:line="252" w:lineRule="auto"/>
        <w:ind w:left="454" w:hanging="454"/>
      </w:pPr>
      <w:r>
        <w:rPr>
          <w:sz w:val="20"/>
          <w:szCs w:val="20"/>
        </w:rPr>
        <w:t xml:space="preserve">Alghamdi, A. M., Alghamdi, A. M., Allarakia, Y. F., Alghamdi, A. S., Alrashid, A. S., Alotaibi, A. M., Addas, R., &amp; Lary, A. I. (2025). Nontraumatic headaches in the emergency department: identifying clinical associations and predictive warning signs of intracranial pathologies. </w:t>
      </w:r>
      <w:r>
        <w:rPr>
          <w:i/>
          <w:iCs/>
          <w:sz w:val="20"/>
          <w:szCs w:val="20"/>
        </w:rPr>
        <w:t>Annals of Saudi medicine</w:t>
      </w:r>
      <w:r>
        <w:rPr>
          <w:sz w:val="20"/>
          <w:szCs w:val="20"/>
        </w:rPr>
        <w:t xml:space="preserve">, </w:t>
      </w:r>
      <w:r>
        <w:rPr>
          <w:i/>
          <w:iCs/>
          <w:sz w:val="20"/>
          <w:szCs w:val="20"/>
        </w:rPr>
        <w:t>45</w:t>
      </w:r>
      <w:r>
        <w:rPr>
          <w:sz w:val="20"/>
          <w:szCs w:val="20"/>
        </w:rPr>
        <w:t>(1), 50-61. https://doi.org/10.5144/0256-4947.2025.50</w:t>
      </w:r>
    </w:p>
    <w:p w14:paraId="71F91436" w14:textId="77777777" w:rsidR="0039479F" w:rsidRDefault="00000000">
      <w:pPr>
        <w:spacing w:after="100" w:line="252" w:lineRule="auto"/>
        <w:ind w:left="454" w:hanging="454"/>
      </w:pPr>
      <w:r>
        <w:rPr>
          <w:sz w:val="20"/>
          <w:szCs w:val="20"/>
        </w:rPr>
        <w:t xml:space="preserve">Almansoor, S. K., Alkohlani, A. H., Abdulwali, S., Aldahoul, S., Hamdan, D., Desai, S., Alobathani, D., &amp; Qureshi, M. (2026). Associated Factors of Intracranial Hemorrhage in Patients with Nontraumatic Headache who Underwent Anticoagulation Therapy; A retrospective study. </w:t>
      </w:r>
      <w:r>
        <w:rPr>
          <w:i/>
          <w:iCs/>
          <w:sz w:val="20"/>
          <w:szCs w:val="20"/>
        </w:rPr>
        <w:t>Archives of academic emergency medicine</w:t>
      </w:r>
      <w:r>
        <w:rPr>
          <w:sz w:val="20"/>
          <w:szCs w:val="20"/>
        </w:rPr>
        <w:t xml:space="preserve">, </w:t>
      </w:r>
      <w:r>
        <w:rPr>
          <w:i/>
          <w:iCs/>
          <w:sz w:val="20"/>
          <w:szCs w:val="20"/>
        </w:rPr>
        <w:t>14</w:t>
      </w:r>
      <w:r>
        <w:rPr>
          <w:sz w:val="20"/>
          <w:szCs w:val="20"/>
        </w:rPr>
        <w:t>(1), e23.</w:t>
      </w:r>
    </w:p>
    <w:p w14:paraId="7B894723" w14:textId="77777777" w:rsidR="0039479F" w:rsidRDefault="00000000">
      <w:pPr>
        <w:spacing w:after="100" w:line="252" w:lineRule="auto"/>
        <w:ind w:left="454" w:hanging="454"/>
      </w:pPr>
      <w:r>
        <w:rPr>
          <w:sz w:val="20"/>
          <w:szCs w:val="20"/>
        </w:rPr>
        <w:t xml:space="preserve">Almqvist, H., Mazya, M., Falk Delgado, A., &amp; Falk Delgado, A. (2020). Radiological evaluation in patients with clinical suspicion of cerebral venous sinus thrombosis presenting with nontraumatic headache - a retrospective observational study with a validation cohort. </w:t>
      </w:r>
      <w:r>
        <w:rPr>
          <w:i/>
          <w:iCs/>
          <w:sz w:val="20"/>
          <w:szCs w:val="20"/>
        </w:rPr>
        <w:t>BMC medical imaging</w:t>
      </w:r>
      <w:r>
        <w:rPr>
          <w:sz w:val="20"/>
          <w:szCs w:val="20"/>
        </w:rPr>
        <w:t xml:space="preserve">, </w:t>
      </w:r>
      <w:r>
        <w:rPr>
          <w:i/>
          <w:iCs/>
          <w:sz w:val="20"/>
          <w:szCs w:val="20"/>
        </w:rPr>
        <w:t>20</w:t>
      </w:r>
      <w:r>
        <w:rPr>
          <w:sz w:val="20"/>
          <w:szCs w:val="20"/>
        </w:rPr>
        <w:t>(1), 24. https://doi.org/10.1186/s12880-020-00426-x</w:t>
      </w:r>
    </w:p>
    <w:p w14:paraId="5C7AFCBA" w14:textId="77777777" w:rsidR="0039479F" w:rsidRDefault="00000000">
      <w:pPr>
        <w:spacing w:after="100" w:line="252" w:lineRule="auto"/>
        <w:ind w:left="454" w:hanging="454"/>
      </w:pPr>
      <w:r>
        <w:rPr>
          <w:sz w:val="20"/>
          <w:szCs w:val="20"/>
        </w:rPr>
        <w:t xml:space="preserve">Alons, I. M. E., Goudsmit, B. F. J., Jellema, K., van Walderveen, M. A. A., Wermer, M. J. H., &amp; Algra, A. (2018). Prediction of vascular abnormalities on CT angiography in patients with acute headache. </w:t>
      </w:r>
      <w:r>
        <w:rPr>
          <w:i/>
          <w:iCs/>
          <w:sz w:val="20"/>
          <w:szCs w:val="20"/>
        </w:rPr>
        <w:t>Brain and behavior</w:t>
      </w:r>
      <w:r>
        <w:rPr>
          <w:sz w:val="20"/>
          <w:szCs w:val="20"/>
        </w:rPr>
        <w:t xml:space="preserve">, </w:t>
      </w:r>
      <w:r>
        <w:rPr>
          <w:i/>
          <w:iCs/>
          <w:sz w:val="20"/>
          <w:szCs w:val="20"/>
        </w:rPr>
        <w:t>8</w:t>
      </w:r>
      <w:r>
        <w:rPr>
          <w:sz w:val="20"/>
          <w:szCs w:val="20"/>
        </w:rPr>
        <w:t>(6), e00997. https://doi.org/10.1002/brb3.997</w:t>
      </w:r>
    </w:p>
    <w:p w14:paraId="753E64E0" w14:textId="77777777" w:rsidR="0039479F" w:rsidRDefault="00000000">
      <w:pPr>
        <w:spacing w:after="100" w:line="252" w:lineRule="auto"/>
        <w:ind w:left="454" w:hanging="454"/>
      </w:pPr>
      <w:r>
        <w:rPr>
          <w:sz w:val="20"/>
          <w:szCs w:val="20"/>
        </w:rPr>
        <w:t xml:space="preserve">Alons, I. M., van den Wijngaard, I. R., Verheul, R. J., Lycklama à Nijeholt, G., Wermer, M. J., Algra, A., &amp; Jellema, K. (2015). The value of CT angiography in patients with acute severe headache. </w:t>
      </w:r>
      <w:r>
        <w:rPr>
          <w:i/>
          <w:iCs/>
          <w:sz w:val="20"/>
          <w:szCs w:val="20"/>
        </w:rPr>
        <w:t>Acta neurologica Scandinavica</w:t>
      </w:r>
      <w:r>
        <w:rPr>
          <w:sz w:val="20"/>
          <w:szCs w:val="20"/>
        </w:rPr>
        <w:t xml:space="preserve">, </w:t>
      </w:r>
      <w:r>
        <w:rPr>
          <w:i/>
          <w:iCs/>
          <w:sz w:val="20"/>
          <w:szCs w:val="20"/>
        </w:rPr>
        <w:t>131</w:t>
      </w:r>
      <w:r>
        <w:rPr>
          <w:sz w:val="20"/>
          <w:szCs w:val="20"/>
        </w:rPr>
        <w:t>(3), 164-8. https://doi.org/10.1111/ane.12302</w:t>
      </w:r>
    </w:p>
    <w:p w14:paraId="75B0E87F" w14:textId="77777777" w:rsidR="0039479F" w:rsidRDefault="00000000">
      <w:pPr>
        <w:spacing w:after="100" w:line="252" w:lineRule="auto"/>
        <w:ind w:left="454" w:hanging="454"/>
      </w:pPr>
      <w:r>
        <w:rPr>
          <w:sz w:val="20"/>
          <w:szCs w:val="20"/>
        </w:rPr>
        <w:t xml:space="preserve">Alons, I. M., Verheul, R. J., Ponjee, G. A., &amp; Jellema, K. (2013). Optimizing blood pigment analysis in cerebrospinal fluid for the diagnosis of subarachnoid haemorrhage--a practical approach. </w:t>
      </w:r>
      <w:r>
        <w:rPr>
          <w:i/>
          <w:iCs/>
          <w:sz w:val="20"/>
          <w:szCs w:val="20"/>
        </w:rPr>
        <w:t>European journal of neurology</w:t>
      </w:r>
      <w:r>
        <w:rPr>
          <w:sz w:val="20"/>
          <w:szCs w:val="20"/>
        </w:rPr>
        <w:t xml:space="preserve">, </w:t>
      </w:r>
      <w:r>
        <w:rPr>
          <w:i/>
          <w:iCs/>
          <w:sz w:val="20"/>
          <w:szCs w:val="20"/>
        </w:rPr>
        <w:t>20</w:t>
      </w:r>
      <w:r>
        <w:rPr>
          <w:sz w:val="20"/>
          <w:szCs w:val="20"/>
        </w:rPr>
        <w:t>(1), 193-7. https://doi.org/10.1111/j.1468-1331.2012.03834.x</w:t>
      </w:r>
    </w:p>
    <w:p w14:paraId="1ED44B8C" w14:textId="77777777" w:rsidR="0039479F" w:rsidRDefault="00000000">
      <w:pPr>
        <w:spacing w:after="100" w:line="252" w:lineRule="auto"/>
        <w:ind w:left="454" w:hanging="454"/>
      </w:pPr>
      <w:r>
        <w:rPr>
          <w:sz w:val="20"/>
          <w:szCs w:val="20"/>
        </w:rPr>
        <w:t xml:space="preserve">Althobaiti, F. S., Alsharif, S. Y., Alhazmi, M. A., BinMelieh, A. H., Almqaiti, A. A., Alsaedi, Z. K., Alkhotani, A. M., &amp; Sef, B. G. (2025). Thunderclap headache management among Emergency Department visitors in tertiary care center in Makkah City: Retrospective cohort study. </w:t>
      </w:r>
      <w:r>
        <w:rPr>
          <w:i/>
          <w:iCs/>
          <w:sz w:val="20"/>
          <w:szCs w:val="20"/>
        </w:rPr>
        <w:t>Neurosciences (Riyadh, Saudi Arabia)</w:t>
      </w:r>
      <w:r>
        <w:rPr>
          <w:sz w:val="20"/>
          <w:szCs w:val="20"/>
        </w:rPr>
        <w:t xml:space="preserve">, </w:t>
      </w:r>
      <w:r>
        <w:rPr>
          <w:i/>
          <w:iCs/>
          <w:sz w:val="20"/>
          <w:szCs w:val="20"/>
        </w:rPr>
        <w:t>30</w:t>
      </w:r>
      <w:r>
        <w:rPr>
          <w:sz w:val="20"/>
          <w:szCs w:val="20"/>
        </w:rPr>
        <w:t>(2), 131-137. https://doi.org/10.17712/nsj.2025.2.20240098</w:t>
      </w:r>
    </w:p>
    <w:p w14:paraId="5162F3A1" w14:textId="77777777" w:rsidR="0039479F" w:rsidRDefault="00000000">
      <w:pPr>
        <w:spacing w:after="100" w:line="252" w:lineRule="auto"/>
        <w:ind w:left="454" w:hanging="454"/>
      </w:pPr>
      <w:r>
        <w:rPr>
          <w:sz w:val="20"/>
          <w:szCs w:val="20"/>
        </w:rPr>
        <w:t xml:space="preserve">American College of Emergency Physicians, Godwin, S. A., Cherkas, D. S., Panagos, P. D., Shih, R. D., Byyny, R., &amp; Wolf, S. J. (2019). Clinical Policy: Critical Issues in the Evaluation and Management of Adult Patients Presenting to the Emergency Department </w:t>
      </w:r>
      <w:proofErr w:type="gramStart"/>
      <w:r>
        <w:rPr>
          <w:sz w:val="20"/>
          <w:szCs w:val="20"/>
        </w:rPr>
        <w:t>With</w:t>
      </w:r>
      <w:proofErr w:type="gramEnd"/>
      <w:r>
        <w:rPr>
          <w:sz w:val="20"/>
          <w:szCs w:val="20"/>
        </w:rPr>
        <w:t xml:space="preserve"> Acute Headache. </w:t>
      </w:r>
      <w:r>
        <w:rPr>
          <w:i/>
          <w:iCs/>
          <w:sz w:val="20"/>
          <w:szCs w:val="20"/>
        </w:rPr>
        <w:t>Annals of emergency medicine</w:t>
      </w:r>
      <w:r>
        <w:rPr>
          <w:sz w:val="20"/>
          <w:szCs w:val="20"/>
        </w:rPr>
        <w:t xml:space="preserve">, </w:t>
      </w:r>
      <w:r>
        <w:rPr>
          <w:i/>
          <w:iCs/>
          <w:sz w:val="20"/>
          <w:szCs w:val="20"/>
        </w:rPr>
        <w:t>74</w:t>
      </w:r>
      <w:r>
        <w:rPr>
          <w:sz w:val="20"/>
          <w:szCs w:val="20"/>
        </w:rPr>
        <w:t>(4), e41-e74. https://doi.org/10.1016/j.annemergmed.2019.07.009</w:t>
      </w:r>
    </w:p>
    <w:p w14:paraId="5C29430D" w14:textId="77777777" w:rsidR="0039479F" w:rsidRDefault="00000000">
      <w:pPr>
        <w:spacing w:after="100" w:line="252" w:lineRule="auto"/>
        <w:ind w:left="454" w:hanging="454"/>
      </w:pPr>
      <w:r>
        <w:rPr>
          <w:sz w:val="20"/>
          <w:szCs w:val="20"/>
        </w:rPr>
        <w:lastRenderedPageBreak/>
        <w:t xml:space="preserve">Arora, S., Swadron, S. P., &amp; Dissanayake, V. (2010). Evaluating the sensitivity of visual xanthochromia in patients with subarachnoid hemorrhage. </w:t>
      </w:r>
      <w:r>
        <w:rPr>
          <w:i/>
          <w:iCs/>
          <w:sz w:val="20"/>
          <w:szCs w:val="20"/>
        </w:rPr>
        <w:t>The Journal of emergency medicine</w:t>
      </w:r>
      <w:r>
        <w:rPr>
          <w:sz w:val="20"/>
          <w:szCs w:val="20"/>
        </w:rPr>
        <w:t xml:space="preserve">, </w:t>
      </w:r>
      <w:r>
        <w:rPr>
          <w:i/>
          <w:iCs/>
          <w:sz w:val="20"/>
          <w:szCs w:val="20"/>
        </w:rPr>
        <w:t>39</w:t>
      </w:r>
      <w:r>
        <w:rPr>
          <w:sz w:val="20"/>
          <w:szCs w:val="20"/>
        </w:rPr>
        <w:t>(1), 13-6. https://doi.org/10.1016/j.jemermed.2007.09.052</w:t>
      </w:r>
    </w:p>
    <w:p w14:paraId="35FE2237" w14:textId="77777777" w:rsidR="0039479F" w:rsidRDefault="00000000">
      <w:pPr>
        <w:spacing w:after="100" w:line="252" w:lineRule="auto"/>
        <w:ind w:left="454" w:hanging="454"/>
      </w:pPr>
      <w:r>
        <w:rPr>
          <w:sz w:val="20"/>
          <w:szCs w:val="20"/>
        </w:rPr>
        <w:t xml:space="preserve">Asha, S. E., Prageshan, J., &amp; Seidman, Z. (2024). Derivation of a clinical decision rule to exclude cerebral venous sinus thrombosis in emergency department patients: A retrospective cohort study. </w:t>
      </w:r>
      <w:r>
        <w:rPr>
          <w:i/>
          <w:iCs/>
          <w:sz w:val="20"/>
          <w:szCs w:val="20"/>
        </w:rPr>
        <w:t xml:space="preserve">Emergency medicine </w:t>
      </w:r>
      <w:proofErr w:type="gramStart"/>
      <w:r>
        <w:rPr>
          <w:i/>
          <w:iCs/>
          <w:sz w:val="20"/>
          <w:szCs w:val="20"/>
        </w:rPr>
        <w:t>Australasia :</w:t>
      </w:r>
      <w:proofErr w:type="gramEnd"/>
      <w:r>
        <w:rPr>
          <w:i/>
          <w:iCs/>
          <w:sz w:val="20"/>
          <w:szCs w:val="20"/>
        </w:rPr>
        <w:t xml:space="preserve"> EMA</w:t>
      </w:r>
      <w:r>
        <w:rPr>
          <w:sz w:val="20"/>
          <w:szCs w:val="20"/>
        </w:rPr>
        <w:t xml:space="preserve">, </w:t>
      </w:r>
      <w:r>
        <w:rPr>
          <w:i/>
          <w:iCs/>
          <w:sz w:val="20"/>
          <w:szCs w:val="20"/>
        </w:rPr>
        <w:t>36</w:t>
      </w:r>
      <w:r>
        <w:rPr>
          <w:sz w:val="20"/>
          <w:szCs w:val="20"/>
        </w:rPr>
        <w:t>(2), 288-294. https://doi.org/10.1111/1742-6723.14350</w:t>
      </w:r>
    </w:p>
    <w:p w14:paraId="71735F4F" w14:textId="77777777" w:rsidR="0039479F" w:rsidRDefault="00000000">
      <w:pPr>
        <w:spacing w:after="100" w:line="252" w:lineRule="auto"/>
        <w:ind w:left="454" w:hanging="454"/>
      </w:pPr>
      <w:r>
        <w:rPr>
          <w:sz w:val="20"/>
          <w:szCs w:val="20"/>
        </w:rPr>
        <w:t xml:space="preserve">Ashraf, R., Akhtar, M., Akhtar, S., &amp; Manzoor, I. (2019). Diagnostic accuracy of flair in detection of acute subarachnoid hemorrhage in patients presenting with severe headache. </w:t>
      </w:r>
      <w:r>
        <w:rPr>
          <w:i/>
          <w:iCs/>
          <w:sz w:val="20"/>
          <w:szCs w:val="20"/>
        </w:rPr>
        <w:t>Journal of neuroradiology = Journal de neuroradiologie</w:t>
      </w:r>
      <w:r>
        <w:rPr>
          <w:sz w:val="20"/>
          <w:szCs w:val="20"/>
        </w:rPr>
        <w:t xml:space="preserve">, </w:t>
      </w:r>
      <w:r>
        <w:rPr>
          <w:i/>
          <w:iCs/>
          <w:sz w:val="20"/>
          <w:szCs w:val="20"/>
        </w:rPr>
        <w:t>46</w:t>
      </w:r>
      <w:r>
        <w:rPr>
          <w:sz w:val="20"/>
          <w:szCs w:val="20"/>
        </w:rPr>
        <w:t>(5), 294-298. https://doi.org/10.1016/j.neurad.2018.07.001</w:t>
      </w:r>
    </w:p>
    <w:p w14:paraId="721C56E7" w14:textId="77777777" w:rsidR="0039479F" w:rsidRDefault="00000000">
      <w:pPr>
        <w:spacing w:after="100" w:line="252" w:lineRule="auto"/>
        <w:ind w:left="454" w:hanging="454"/>
      </w:pPr>
      <w:r>
        <w:rPr>
          <w:sz w:val="20"/>
          <w:szCs w:val="20"/>
        </w:rPr>
        <w:t xml:space="preserve">Backes, D., Rinkel, G. J., Kemperman, H., Linn, F. H., &amp; Vergouwen, M. D. (2012). Time-dependent test characteristics of head computed tomography in patients suspected of nontraumatic subarachnoid hemorrhage. </w:t>
      </w:r>
      <w:r>
        <w:rPr>
          <w:i/>
          <w:iCs/>
          <w:sz w:val="20"/>
          <w:szCs w:val="20"/>
        </w:rPr>
        <w:t>Stroke</w:t>
      </w:r>
      <w:r>
        <w:rPr>
          <w:sz w:val="20"/>
          <w:szCs w:val="20"/>
        </w:rPr>
        <w:t xml:space="preserve">, </w:t>
      </w:r>
      <w:r>
        <w:rPr>
          <w:i/>
          <w:iCs/>
          <w:sz w:val="20"/>
          <w:szCs w:val="20"/>
        </w:rPr>
        <w:t>43</w:t>
      </w:r>
      <w:r>
        <w:rPr>
          <w:sz w:val="20"/>
          <w:szCs w:val="20"/>
        </w:rPr>
        <w:t>(8), 2115-9. https://doi.org/10.1161/STROKEAHA.112.658880</w:t>
      </w:r>
    </w:p>
    <w:p w14:paraId="443EC9D6" w14:textId="77777777" w:rsidR="0039479F" w:rsidRDefault="00000000">
      <w:pPr>
        <w:spacing w:after="100" w:line="252" w:lineRule="auto"/>
        <w:ind w:left="454" w:hanging="454"/>
      </w:pPr>
      <w:r>
        <w:rPr>
          <w:sz w:val="20"/>
          <w:szCs w:val="20"/>
        </w:rPr>
        <w:t xml:space="preserve">Backes, D., Rinkel, G. J., Sturkenboom, A. J., &amp; Vergouwen, M. D. (2015). Time-dependent test characteristics of neck stiffness in patients suspected of nontraumatic subarachnoid haemorrhage. </w:t>
      </w:r>
      <w:r>
        <w:rPr>
          <w:i/>
          <w:iCs/>
          <w:sz w:val="20"/>
          <w:szCs w:val="20"/>
        </w:rPr>
        <w:t>Journal of the neurological sciences</w:t>
      </w:r>
      <w:r>
        <w:rPr>
          <w:sz w:val="20"/>
          <w:szCs w:val="20"/>
        </w:rPr>
        <w:t xml:space="preserve">, </w:t>
      </w:r>
      <w:r>
        <w:rPr>
          <w:i/>
          <w:iCs/>
          <w:sz w:val="20"/>
          <w:szCs w:val="20"/>
        </w:rPr>
        <w:t>355</w:t>
      </w:r>
      <w:r>
        <w:rPr>
          <w:sz w:val="20"/>
          <w:szCs w:val="20"/>
        </w:rPr>
        <w:t>(1-2), 186-8. https://doi.org/10.1016/j.jns.2015.06.016</w:t>
      </w:r>
    </w:p>
    <w:p w14:paraId="37D20291" w14:textId="77777777" w:rsidR="0039479F" w:rsidRDefault="00000000">
      <w:pPr>
        <w:spacing w:after="100" w:line="252" w:lineRule="auto"/>
        <w:ind w:left="454" w:hanging="454"/>
      </w:pPr>
      <w:r>
        <w:rPr>
          <w:sz w:val="20"/>
          <w:szCs w:val="20"/>
        </w:rPr>
        <w:t xml:space="preserve">Bakker, N. A., Groen, R. J., Foumani, M., Uyttenboogaart, M., Eshghi, O. S., Metzemaekers, J. D., Luijckx, G. J., &amp; Van Dijk, J. M. (2014). Appreciation of CT-negative, lumbar puncture-positive subarachnoid haemorrhage: risk factors for presence of aneurysms and diagnostic yield of imaging. </w:t>
      </w:r>
      <w:r>
        <w:rPr>
          <w:i/>
          <w:iCs/>
          <w:sz w:val="20"/>
          <w:szCs w:val="20"/>
        </w:rPr>
        <w:t>Journal of neurology, neurosurgery, and psychiatry</w:t>
      </w:r>
      <w:r>
        <w:rPr>
          <w:sz w:val="20"/>
          <w:szCs w:val="20"/>
        </w:rPr>
        <w:t xml:space="preserve">, </w:t>
      </w:r>
      <w:r>
        <w:rPr>
          <w:i/>
          <w:iCs/>
          <w:sz w:val="20"/>
          <w:szCs w:val="20"/>
        </w:rPr>
        <w:t>85</w:t>
      </w:r>
      <w:r>
        <w:rPr>
          <w:sz w:val="20"/>
          <w:szCs w:val="20"/>
        </w:rPr>
        <w:t>(8), 885-8. https://doi.org/10.1136/jnnp-2013-305955</w:t>
      </w:r>
    </w:p>
    <w:p w14:paraId="0EB936C4" w14:textId="77777777" w:rsidR="0039479F" w:rsidRDefault="00000000">
      <w:pPr>
        <w:spacing w:after="100" w:line="252" w:lineRule="auto"/>
        <w:ind w:left="454" w:hanging="454"/>
      </w:pPr>
      <w:r>
        <w:rPr>
          <w:sz w:val="20"/>
          <w:szCs w:val="20"/>
        </w:rPr>
        <w:t xml:space="preserve">Beck, S., Kinnear, F. B., Maree Kelly, A., Chu, K. H., Sen Kuan, W., Keijzers, G., Body, R., Karamercan, M. A., Klim, S., Wijeratne, T., Kamona, S., Graham, C. A., Roberts, T., Horner, D., Laribi, S., &amp; HEAD Study Group (2022). Clinical presentation and assessment of older patients presenting with headache to emergency departments: A multicentre observational study. </w:t>
      </w:r>
      <w:r>
        <w:rPr>
          <w:i/>
          <w:iCs/>
          <w:sz w:val="20"/>
          <w:szCs w:val="20"/>
        </w:rPr>
        <w:t>Australasian journal on ageing</w:t>
      </w:r>
      <w:r>
        <w:rPr>
          <w:sz w:val="20"/>
          <w:szCs w:val="20"/>
        </w:rPr>
        <w:t xml:space="preserve">, </w:t>
      </w:r>
      <w:r>
        <w:rPr>
          <w:i/>
          <w:iCs/>
          <w:sz w:val="20"/>
          <w:szCs w:val="20"/>
        </w:rPr>
        <w:t>41</w:t>
      </w:r>
      <w:r>
        <w:rPr>
          <w:sz w:val="20"/>
          <w:szCs w:val="20"/>
        </w:rPr>
        <w:t>(1), 126-137. https://doi.org/10.1111/ajag.12999</w:t>
      </w:r>
    </w:p>
    <w:p w14:paraId="7276B89E" w14:textId="77777777" w:rsidR="0039479F" w:rsidRDefault="00000000">
      <w:pPr>
        <w:spacing w:after="100" w:line="252" w:lineRule="auto"/>
        <w:ind w:left="454" w:hanging="454"/>
      </w:pPr>
      <w:r>
        <w:rPr>
          <w:sz w:val="20"/>
          <w:szCs w:val="20"/>
        </w:rPr>
        <w:t xml:space="preserve">Beller, E. M., Glasziou, P. P., Altman, D. G., Hopewell, S., Bastian, H., Chalmers, I., Gøtzsche, P. C., Lasserson, T., Tovey, D., &amp; PRISMA for Abstracts Group (2013). PRISMA for Abstracts: reporting systematic reviews in journal and conference abstracts. </w:t>
      </w:r>
      <w:r>
        <w:rPr>
          <w:i/>
          <w:iCs/>
          <w:sz w:val="20"/>
          <w:szCs w:val="20"/>
        </w:rPr>
        <w:t>PLoS medicine</w:t>
      </w:r>
      <w:r>
        <w:rPr>
          <w:sz w:val="20"/>
          <w:szCs w:val="20"/>
        </w:rPr>
        <w:t xml:space="preserve">, </w:t>
      </w:r>
      <w:r>
        <w:rPr>
          <w:i/>
          <w:iCs/>
          <w:sz w:val="20"/>
          <w:szCs w:val="20"/>
        </w:rPr>
        <w:t>10</w:t>
      </w:r>
      <w:r>
        <w:rPr>
          <w:sz w:val="20"/>
          <w:szCs w:val="20"/>
        </w:rPr>
        <w:t>(4), e1001419. https://doi.org/10.1371/journal.pmed.1001419</w:t>
      </w:r>
    </w:p>
    <w:p w14:paraId="4F95872C" w14:textId="77777777" w:rsidR="0039479F" w:rsidRDefault="00000000">
      <w:pPr>
        <w:spacing w:after="100" w:line="252" w:lineRule="auto"/>
        <w:ind w:left="454" w:hanging="454"/>
      </w:pPr>
      <w:r>
        <w:rPr>
          <w:sz w:val="20"/>
          <w:szCs w:val="20"/>
        </w:rPr>
        <w:t xml:space="preserve">Bellolio, M. F., Hess, E. P., Gilani, W. I., VanDyck, T. J., Ostby, S. A., Schwarz, J. A., Lohse, C. M., &amp; Rabinstein, A. A. (2015). External validation of the Ottawa subarachnoid hemorrhage clinical decision rule in patients with acute headache. </w:t>
      </w:r>
      <w:r>
        <w:rPr>
          <w:i/>
          <w:iCs/>
          <w:sz w:val="20"/>
          <w:szCs w:val="20"/>
        </w:rPr>
        <w:t>The American journal of emergency medicine</w:t>
      </w:r>
      <w:r>
        <w:rPr>
          <w:sz w:val="20"/>
          <w:szCs w:val="20"/>
        </w:rPr>
        <w:t xml:space="preserve">, </w:t>
      </w:r>
      <w:r>
        <w:rPr>
          <w:i/>
          <w:iCs/>
          <w:sz w:val="20"/>
          <w:szCs w:val="20"/>
        </w:rPr>
        <w:t>33</w:t>
      </w:r>
      <w:r>
        <w:rPr>
          <w:sz w:val="20"/>
          <w:szCs w:val="20"/>
        </w:rPr>
        <w:t>(2), 244-9. https://doi.org/10.1016/j.ajem.2014.11.049</w:t>
      </w:r>
    </w:p>
    <w:p w14:paraId="366F93E7" w14:textId="77777777" w:rsidR="0039479F" w:rsidRDefault="00000000">
      <w:pPr>
        <w:spacing w:after="100" w:line="252" w:lineRule="auto"/>
        <w:ind w:left="454" w:hanging="454"/>
      </w:pPr>
      <w:r>
        <w:rPr>
          <w:sz w:val="20"/>
          <w:szCs w:val="20"/>
        </w:rPr>
        <w:t xml:space="preserve">Bent, C., Lee, P. S., Shen, P. Y., Bang, H., &amp; Bobinski, M. (2015). Clinical scoring system may improve yield of head CT of non-trauma emergency department patients. </w:t>
      </w:r>
      <w:r>
        <w:rPr>
          <w:i/>
          <w:iCs/>
          <w:sz w:val="20"/>
          <w:szCs w:val="20"/>
        </w:rPr>
        <w:t>Emergency radiology</w:t>
      </w:r>
      <w:r>
        <w:rPr>
          <w:sz w:val="20"/>
          <w:szCs w:val="20"/>
        </w:rPr>
        <w:t xml:space="preserve">, </w:t>
      </w:r>
      <w:r>
        <w:rPr>
          <w:i/>
          <w:iCs/>
          <w:sz w:val="20"/>
          <w:szCs w:val="20"/>
        </w:rPr>
        <w:t>22</w:t>
      </w:r>
      <w:r>
        <w:rPr>
          <w:sz w:val="20"/>
          <w:szCs w:val="20"/>
        </w:rPr>
        <w:t>(5), 511-6. https://doi.org/10.1007/s10140-015-1305-x</w:t>
      </w:r>
    </w:p>
    <w:p w14:paraId="7189D47D" w14:textId="77777777" w:rsidR="0039479F" w:rsidRDefault="00000000">
      <w:pPr>
        <w:spacing w:after="100" w:line="252" w:lineRule="auto"/>
        <w:ind w:left="454" w:hanging="454"/>
      </w:pPr>
      <w:r>
        <w:rPr>
          <w:sz w:val="20"/>
          <w:szCs w:val="20"/>
        </w:rPr>
        <w:t xml:space="preserve">Bianchi, C., Ageron, F. X., &amp; Carron, P. N. (2021). Assessment of diagnostic strategies based on risk stratification for aneurysmal subarachnoid hemorrhage: a retrospective chart review. </w:t>
      </w:r>
      <w:r>
        <w:rPr>
          <w:i/>
          <w:iCs/>
          <w:sz w:val="20"/>
          <w:szCs w:val="20"/>
        </w:rPr>
        <w:t xml:space="preserve">European journal of emergency </w:t>
      </w:r>
      <w:proofErr w:type="gramStart"/>
      <w:r>
        <w:rPr>
          <w:i/>
          <w:iCs/>
          <w:sz w:val="20"/>
          <w:szCs w:val="20"/>
        </w:rPr>
        <w:t>medicine :</w:t>
      </w:r>
      <w:proofErr w:type="gramEnd"/>
      <w:r>
        <w:rPr>
          <w:i/>
          <w:iCs/>
          <w:sz w:val="20"/>
          <w:szCs w:val="20"/>
        </w:rPr>
        <w:t xml:space="preserve"> official journal of the European Society for Emergency Medicine</w:t>
      </w:r>
      <w:r>
        <w:rPr>
          <w:sz w:val="20"/>
          <w:szCs w:val="20"/>
        </w:rPr>
        <w:t xml:space="preserve">, </w:t>
      </w:r>
      <w:r>
        <w:rPr>
          <w:i/>
          <w:iCs/>
          <w:sz w:val="20"/>
          <w:szCs w:val="20"/>
        </w:rPr>
        <w:t>28</w:t>
      </w:r>
      <w:r>
        <w:rPr>
          <w:sz w:val="20"/>
          <w:szCs w:val="20"/>
        </w:rPr>
        <w:t>(5), 355-362. https://doi.org/10.1097/MEJ.0000000000000804</w:t>
      </w:r>
    </w:p>
    <w:p w14:paraId="4FA9BBDE" w14:textId="77777777" w:rsidR="0039479F" w:rsidRDefault="00000000">
      <w:pPr>
        <w:spacing w:after="100" w:line="252" w:lineRule="auto"/>
        <w:ind w:left="454" w:hanging="454"/>
      </w:pPr>
      <w:r>
        <w:rPr>
          <w:sz w:val="20"/>
          <w:szCs w:val="20"/>
        </w:rPr>
        <w:t xml:space="preserve">Blok, K. M., Rinkel, G. J., Majoie, C. B., Hendrikse, J., Braaksma, M., Tijssen, C. C., Wong, Y. Y., Hofmeijer, J., Extercatte, J., Kerklaan, B., Schreuder, T. H., ten Holter, S., Verheul, F., Harlaar, L., Pruissen, D. M., Kwa, V. I., Brouwers, P. J., Remmers, M. J., Schonewille, W. J., . . . Vergouwen, M. D. (2015). CT within 6 hours of headache onset to rule out subarachnoid hemorrhage in nonacademic hospitals. </w:t>
      </w:r>
      <w:r>
        <w:rPr>
          <w:i/>
          <w:iCs/>
          <w:sz w:val="20"/>
          <w:szCs w:val="20"/>
        </w:rPr>
        <w:t>Neurology</w:t>
      </w:r>
      <w:r>
        <w:rPr>
          <w:sz w:val="20"/>
          <w:szCs w:val="20"/>
        </w:rPr>
        <w:t xml:space="preserve">, </w:t>
      </w:r>
      <w:r>
        <w:rPr>
          <w:i/>
          <w:iCs/>
          <w:sz w:val="20"/>
          <w:szCs w:val="20"/>
        </w:rPr>
        <w:t>84</w:t>
      </w:r>
      <w:r>
        <w:rPr>
          <w:sz w:val="20"/>
          <w:szCs w:val="20"/>
        </w:rPr>
        <w:t>(19), 1927-32. https://doi.org/10.1212/WNL.0000000000001562</w:t>
      </w:r>
    </w:p>
    <w:p w14:paraId="3D990240" w14:textId="77777777" w:rsidR="0039479F" w:rsidRDefault="00000000">
      <w:pPr>
        <w:spacing w:after="100" w:line="252" w:lineRule="auto"/>
        <w:ind w:left="454" w:hanging="454"/>
      </w:pPr>
      <w:r>
        <w:rPr>
          <w:sz w:val="20"/>
          <w:szCs w:val="20"/>
        </w:rPr>
        <w:t xml:space="preserve">Blum, C. A., Winzeler, B., Nigro, N., Schuetz, P., Biethahn, S., Kahles, T., Mueller, C., Timper, K., Haaf, K., Tepperberg, J., Amort, M., Huber, A., Bingisser, R., Sándor, P. S., Nedeltchev, K., Müller, B., Katan, M., &amp; Christ-Crain, M. (2017). Copeptin for risk stratification in non-traumatic headache in the emergency setting: a prospective multicenter observational cohort study. </w:t>
      </w:r>
      <w:r>
        <w:rPr>
          <w:i/>
          <w:iCs/>
          <w:sz w:val="20"/>
          <w:szCs w:val="20"/>
        </w:rPr>
        <w:t>The journal of headache and pain</w:t>
      </w:r>
      <w:r>
        <w:rPr>
          <w:sz w:val="20"/>
          <w:szCs w:val="20"/>
        </w:rPr>
        <w:t xml:space="preserve">, </w:t>
      </w:r>
      <w:r>
        <w:rPr>
          <w:i/>
          <w:iCs/>
          <w:sz w:val="20"/>
          <w:szCs w:val="20"/>
        </w:rPr>
        <w:t>18</w:t>
      </w:r>
      <w:r>
        <w:rPr>
          <w:sz w:val="20"/>
          <w:szCs w:val="20"/>
        </w:rPr>
        <w:t>(1), 21. https://doi.org/10.1186/s10194-017-0733-2</w:t>
      </w:r>
    </w:p>
    <w:p w14:paraId="31F8197B" w14:textId="77777777" w:rsidR="0039479F" w:rsidRDefault="00000000">
      <w:pPr>
        <w:spacing w:after="100" w:line="252" w:lineRule="auto"/>
        <w:ind w:left="454" w:hanging="454"/>
      </w:pPr>
      <w:r>
        <w:rPr>
          <w:sz w:val="20"/>
          <w:szCs w:val="20"/>
        </w:rPr>
        <w:t xml:space="preserve">Boesiger, B. M., &amp; Shiber, J. R. (2005). Subarachnoid hemorrhage diagnosis by computed tomography and lumbar puncture: are fifth generation CT scanners better at identifying subarachnoid </w:t>
      </w:r>
      <w:proofErr w:type="gramStart"/>
      <w:r>
        <w:rPr>
          <w:sz w:val="20"/>
          <w:szCs w:val="20"/>
        </w:rPr>
        <w:t>hemorrhage?.</w:t>
      </w:r>
      <w:proofErr w:type="gramEnd"/>
      <w:r>
        <w:rPr>
          <w:sz w:val="20"/>
          <w:szCs w:val="20"/>
        </w:rPr>
        <w:t xml:space="preserve"> </w:t>
      </w:r>
      <w:r>
        <w:rPr>
          <w:i/>
          <w:iCs/>
          <w:sz w:val="20"/>
          <w:szCs w:val="20"/>
        </w:rPr>
        <w:t>The Journal of emergency medicine</w:t>
      </w:r>
      <w:r>
        <w:rPr>
          <w:sz w:val="20"/>
          <w:szCs w:val="20"/>
        </w:rPr>
        <w:t xml:space="preserve">, </w:t>
      </w:r>
      <w:r>
        <w:rPr>
          <w:i/>
          <w:iCs/>
          <w:sz w:val="20"/>
          <w:szCs w:val="20"/>
        </w:rPr>
        <w:t>29</w:t>
      </w:r>
      <w:r>
        <w:rPr>
          <w:sz w:val="20"/>
          <w:szCs w:val="20"/>
        </w:rPr>
        <w:t>(1), 23-7. https://doi.org/10.1016/j.jemermed.2005.02.002</w:t>
      </w:r>
    </w:p>
    <w:p w14:paraId="15F6616C" w14:textId="77777777" w:rsidR="0039479F" w:rsidRDefault="00000000">
      <w:pPr>
        <w:spacing w:after="100" w:line="252" w:lineRule="auto"/>
        <w:ind w:left="454" w:hanging="454"/>
      </w:pPr>
      <w:r>
        <w:rPr>
          <w:sz w:val="20"/>
          <w:szCs w:val="20"/>
        </w:rPr>
        <w:t xml:space="preserve">Bossuyt, P. M., Reitsma, J. B., Bruns, D. E., Gatsonis, C. A., Glasziou, P. P., Irwig, L., Lijmer, J. G., Moher, D., Rennie, D., de Vet, H. C., Kressel, H. Y., Rifai, N., Golub, R. M., Altman, D. G., Hooft, L., Korevaar, D. A., Cohen, J. F., &amp; STARD Group (2015). STARD 2015: an updated list of essential items for reporting diagnostic accuracy studies. </w:t>
      </w:r>
      <w:r>
        <w:rPr>
          <w:i/>
          <w:iCs/>
          <w:sz w:val="20"/>
          <w:szCs w:val="20"/>
        </w:rPr>
        <w:t>BMJ (Clinical research ed.)</w:t>
      </w:r>
      <w:r>
        <w:rPr>
          <w:sz w:val="20"/>
          <w:szCs w:val="20"/>
        </w:rPr>
        <w:t xml:space="preserve">, </w:t>
      </w:r>
      <w:r>
        <w:rPr>
          <w:i/>
          <w:iCs/>
          <w:sz w:val="20"/>
          <w:szCs w:val="20"/>
        </w:rPr>
        <w:t>351</w:t>
      </w:r>
      <w:r>
        <w:rPr>
          <w:sz w:val="20"/>
          <w:szCs w:val="20"/>
        </w:rPr>
        <w:t>, h5527. https://doi.org/10.1136/bmj.h5527</w:t>
      </w:r>
    </w:p>
    <w:p w14:paraId="280428A1" w14:textId="77777777" w:rsidR="0039479F" w:rsidRDefault="00000000">
      <w:pPr>
        <w:spacing w:after="100" w:line="252" w:lineRule="auto"/>
        <w:ind w:left="454" w:hanging="454"/>
      </w:pPr>
      <w:r>
        <w:rPr>
          <w:sz w:val="20"/>
          <w:szCs w:val="20"/>
        </w:rPr>
        <w:t xml:space="preserve">Breen, D. P., Duncan, C. W., Pope, A. E., Gray, A. J., &amp; Al-Shahi Salman, R. (2008). Emergency department evaluation of sudden, severe headache. </w:t>
      </w:r>
      <w:proofErr w:type="gramStart"/>
      <w:r>
        <w:rPr>
          <w:i/>
          <w:iCs/>
          <w:sz w:val="20"/>
          <w:szCs w:val="20"/>
        </w:rPr>
        <w:t>QJM :</w:t>
      </w:r>
      <w:proofErr w:type="gramEnd"/>
      <w:r>
        <w:rPr>
          <w:i/>
          <w:iCs/>
          <w:sz w:val="20"/>
          <w:szCs w:val="20"/>
        </w:rPr>
        <w:t xml:space="preserve"> monthly journal of the Association of Physicians</w:t>
      </w:r>
      <w:r>
        <w:rPr>
          <w:sz w:val="20"/>
          <w:szCs w:val="20"/>
        </w:rPr>
        <w:t xml:space="preserve">, </w:t>
      </w:r>
      <w:r>
        <w:rPr>
          <w:i/>
          <w:iCs/>
          <w:sz w:val="20"/>
          <w:szCs w:val="20"/>
        </w:rPr>
        <w:t>101</w:t>
      </w:r>
      <w:r>
        <w:rPr>
          <w:sz w:val="20"/>
          <w:szCs w:val="20"/>
        </w:rPr>
        <w:t>(6), 435-43. https://doi.org/10.1093/qjmed/hcn036</w:t>
      </w:r>
    </w:p>
    <w:p w14:paraId="42976B66" w14:textId="77777777" w:rsidR="0039479F" w:rsidRDefault="00000000">
      <w:pPr>
        <w:spacing w:after="100" w:line="252" w:lineRule="auto"/>
        <w:ind w:left="454" w:hanging="454"/>
      </w:pPr>
      <w:r>
        <w:rPr>
          <w:sz w:val="20"/>
          <w:szCs w:val="20"/>
        </w:rPr>
        <w:lastRenderedPageBreak/>
        <w:t xml:space="preserve">Brigo, F., Zaboli, A., Rinaldi, F., Ausserhofer, D., Nardone, R., Pfeifer, N., &amp; Turcato, G. (2022). The Manchester Triage System's performance in clinical risk prioritisation of patients presenting with headache in emergency department: A retrospective observational study. </w:t>
      </w:r>
      <w:r>
        <w:rPr>
          <w:i/>
          <w:iCs/>
          <w:sz w:val="20"/>
          <w:szCs w:val="20"/>
        </w:rPr>
        <w:t>Journal of clinical nursing</w:t>
      </w:r>
      <w:r>
        <w:rPr>
          <w:sz w:val="20"/>
          <w:szCs w:val="20"/>
        </w:rPr>
        <w:t xml:space="preserve">, </w:t>
      </w:r>
      <w:r>
        <w:rPr>
          <w:i/>
          <w:iCs/>
          <w:sz w:val="20"/>
          <w:szCs w:val="20"/>
        </w:rPr>
        <w:t>31</w:t>
      </w:r>
      <w:r>
        <w:rPr>
          <w:sz w:val="20"/>
          <w:szCs w:val="20"/>
        </w:rPr>
        <w:t>(17-18), 2553-2561. https://doi.org/10.1111/jocn.16073</w:t>
      </w:r>
    </w:p>
    <w:p w14:paraId="460009C3" w14:textId="77777777" w:rsidR="0039479F" w:rsidRDefault="00000000">
      <w:pPr>
        <w:spacing w:after="100" w:line="252" w:lineRule="auto"/>
        <w:ind w:left="454" w:hanging="454"/>
      </w:pPr>
      <w:r>
        <w:rPr>
          <w:sz w:val="20"/>
          <w:szCs w:val="20"/>
        </w:rPr>
        <w:t xml:space="preserve">Bruce, B. B., Thulasi, P., Fraser, C. L., Keadey, M. T., Ward, A., Heilpern, K. L., Wright, D. W., Newman, N. J., &amp; Biousse, V. (2013). Diagnostic accuracy and use of nonmydriatic ocular fundus photography by emergency physicians: phase II of the FOTO-ED study. </w:t>
      </w:r>
      <w:r>
        <w:rPr>
          <w:i/>
          <w:iCs/>
          <w:sz w:val="20"/>
          <w:szCs w:val="20"/>
        </w:rPr>
        <w:t>Annals of emergency medicine</w:t>
      </w:r>
      <w:r>
        <w:rPr>
          <w:sz w:val="20"/>
          <w:szCs w:val="20"/>
        </w:rPr>
        <w:t xml:space="preserve">, </w:t>
      </w:r>
      <w:r>
        <w:rPr>
          <w:i/>
          <w:iCs/>
          <w:sz w:val="20"/>
          <w:szCs w:val="20"/>
        </w:rPr>
        <w:t>62</w:t>
      </w:r>
      <w:r>
        <w:rPr>
          <w:sz w:val="20"/>
          <w:szCs w:val="20"/>
        </w:rPr>
        <w:t>(1), 28-</w:t>
      </w:r>
      <w:proofErr w:type="gramStart"/>
      <w:r>
        <w:rPr>
          <w:sz w:val="20"/>
          <w:szCs w:val="20"/>
        </w:rPr>
        <w:t>33.e</w:t>
      </w:r>
      <w:proofErr w:type="gramEnd"/>
      <w:r>
        <w:rPr>
          <w:sz w:val="20"/>
          <w:szCs w:val="20"/>
        </w:rPr>
        <w:t>1. https://doi.org/10.1016/j.annemergmed.2013.01.010</w:t>
      </w:r>
    </w:p>
    <w:p w14:paraId="0A83524A" w14:textId="77777777" w:rsidR="0039479F" w:rsidRDefault="00000000">
      <w:pPr>
        <w:spacing w:after="100" w:line="252" w:lineRule="auto"/>
        <w:ind w:left="454" w:hanging="454"/>
      </w:pPr>
      <w:r>
        <w:rPr>
          <w:sz w:val="20"/>
          <w:szCs w:val="20"/>
        </w:rPr>
        <w:t xml:space="preserve">Brunell, A., Ridefelt, P., &amp; Zelano, J. (2013). Differential diagnostic yield of lumbar puncture in investigation of suspected subarachnoid haemorrhage: a retrospective study. </w:t>
      </w:r>
      <w:r>
        <w:rPr>
          <w:i/>
          <w:iCs/>
          <w:sz w:val="20"/>
          <w:szCs w:val="20"/>
        </w:rPr>
        <w:t>Journal of neurology</w:t>
      </w:r>
      <w:r>
        <w:rPr>
          <w:sz w:val="20"/>
          <w:szCs w:val="20"/>
        </w:rPr>
        <w:t xml:space="preserve">, </w:t>
      </w:r>
      <w:r>
        <w:rPr>
          <w:i/>
          <w:iCs/>
          <w:sz w:val="20"/>
          <w:szCs w:val="20"/>
        </w:rPr>
        <w:t>260</w:t>
      </w:r>
      <w:r>
        <w:rPr>
          <w:sz w:val="20"/>
          <w:szCs w:val="20"/>
        </w:rPr>
        <w:t>(6), 1631-6. https://doi.org/10.1007/s00415-013-6846-x</w:t>
      </w:r>
    </w:p>
    <w:p w14:paraId="6AF88931" w14:textId="77777777" w:rsidR="0039479F" w:rsidRDefault="00000000">
      <w:pPr>
        <w:spacing w:after="100" w:line="252" w:lineRule="auto"/>
        <w:ind w:left="454" w:hanging="454"/>
      </w:pPr>
      <w:r>
        <w:rPr>
          <w:sz w:val="20"/>
          <w:szCs w:val="20"/>
        </w:rPr>
        <w:t xml:space="preserve">Buzluk, T., Torun, E., Al, B., Altay, T. S., &amp; Buzluk, M. G. (2025). Analysis of brain scan findings requested from individuals visiting the emergency department outpatient clinic with headache. </w:t>
      </w:r>
      <w:r>
        <w:rPr>
          <w:i/>
          <w:iCs/>
          <w:sz w:val="20"/>
          <w:szCs w:val="20"/>
        </w:rPr>
        <w:t>Northern clinics of Istanbul</w:t>
      </w:r>
      <w:r>
        <w:rPr>
          <w:sz w:val="20"/>
          <w:szCs w:val="20"/>
        </w:rPr>
        <w:t xml:space="preserve">, </w:t>
      </w:r>
      <w:r>
        <w:rPr>
          <w:i/>
          <w:iCs/>
          <w:sz w:val="20"/>
          <w:szCs w:val="20"/>
        </w:rPr>
        <w:t>12</w:t>
      </w:r>
      <w:r>
        <w:rPr>
          <w:sz w:val="20"/>
          <w:szCs w:val="20"/>
        </w:rPr>
        <w:t>(1), 129-137. https://doi.org/10.14744/nci.2024.88785</w:t>
      </w:r>
    </w:p>
    <w:p w14:paraId="5BB4125D" w14:textId="77777777" w:rsidR="0039479F" w:rsidRDefault="00000000">
      <w:pPr>
        <w:spacing w:after="100" w:line="252" w:lineRule="auto"/>
        <w:ind w:left="454" w:hanging="454"/>
      </w:pPr>
      <w:r>
        <w:rPr>
          <w:sz w:val="20"/>
          <w:szCs w:val="20"/>
        </w:rPr>
        <w:t xml:space="preserve">Byyny, R. L., Mower, W. R., Shum, N., Gabayan, G. Z., Fang, S., &amp; Baraff, L. J. (2008). Sensitivity of noncontrast cranial computed tomography for the emergency department diagnosis of subarachnoid hemorrhage. </w:t>
      </w:r>
      <w:r>
        <w:rPr>
          <w:i/>
          <w:iCs/>
          <w:sz w:val="20"/>
          <w:szCs w:val="20"/>
        </w:rPr>
        <w:t>Annals of emergency medicine</w:t>
      </w:r>
      <w:r>
        <w:rPr>
          <w:sz w:val="20"/>
          <w:szCs w:val="20"/>
        </w:rPr>
        <w:t xml:space="preserve">, </w:t>
      </w:r>
      <w:r>
        <w:rPr>
          <w:i/>
          <w:iCs/>
          <w:sz w:val="20"/>
          <w:szCs w:val="20"/>
        </w:rPr>
        <w:t>51</w:t>
      </w:r>
      <w:r>
        <w:rPr>
          <w:sz w:val="20"/>
          <w:szCs w:val="20"/>
        </w:rPr>
        <w:t>(6), 697-703. https://doi.org/10.1016/j.annemergmed.2007.10.007</w:t>
      </w:r>
    </w:p>
    <w:p w14:paraId="2631537A" w14:textId="77777777" w:rsidR="0039479F" w:rsidRDefault="00000000">
      <w:pPr>
        <w:spacing w:after="100" w:line="252" w:lineRule="auto"/>
        <w:ind w:left="454" w:hanging="454"/>
      </w:pPr>
      <w:r>
        <w:rPr>
          <w:sz w:val="20"/>
          <w:szCs w:val="20"/>
        </w:rPr>
        <w:t xml:space="preserve">Bø, S. H., Davidsen, E. M., Gulbrandsen, P., &amp; Dietrichs, E. (2008). Acute headache: a prospective diagnostic work-up of patients admitted to a general hospital. </w:t>
      </w:r>
      <w:r>
        <w:rPr>
          <w:i/>
          <w:iCs/>
          <w:sz w:val="20"/>
          <w:szCs w:val="20"/>
        </w:rPr>
        <w:t>European journal of neurology</w:t>
      </w:r>
      <w:r>
        <w:rPr>
          <w:sz w:val="20"/>
          <w:szCs w:val="20"/>
        </w:rPr>
        <w:t xml:space="preserve">, </w:t>
      </w:r>
      <w:r>
        <w:rPr>
          <w:i/>
          <w:iCs/>
          <w:sz w:val="20"/>
          <w:szCs w:val="20"/>
        </w:rPr>
        <w:t>15</w:t>
      </w:r>
      <w:r>
        <w:rPr>
          <w:sz w:val="20"/>
          <w:szCs w:val="20"/>
        </w:rPr>
        <w:t>(12), 1293-9. https://doi.org/10.1111/j.1468-1331.2008.02279.x</w:t>
      </w:r>
    </w:p>
    <w:p w14:paraId="4D5C330E" w14:textId="77777777" w:rsidR="0039479F" w:rsidRDefault="00000000">
      <w:pPr>
        <w:spacing w:after="100" w:line="252" w:lineRule="auto"/>
        <w:ind w:left="454" w:hanging="454"/>
      </w:pPr>
      <w:r>
        <w:rPr>
          <w:sz w:val="20"/>
          <w:szCs w:val="20"/>
        </w:rPr>
        <w:t xml:space="preserve">Campbell, M., McKenzie, J. E., Sowden, A., Katikireddi, S. V., Brennan, S. E., Ellis, S., Hartmann-Boyce, J., Ryan, R., Shepperd, S., Thomas, J., Welch, V., &amp; Thomson, H. (2020). Synthesis without meta-analysis (SWiM) in systematic reviews: reporting guideline. </w:t>
      </w:r>
      <w:r>
        <w:rPr>
          <w:i/>
          <w:iCs/>
          <w:sz w:val="20"/>
          <w:szCs w:val="20"/>
        </w:rPr>
        <w:t>BMJ (Clinical research ed.)</w:t>
      </w:r>
      <w:r>
        <w:rPr>
          <w:sz w:val="20"/>
          <w:szCs w:val="20"/>
        </w:rPr>
        <w:t xml:space="preserve">, </w:t>
      </w:r>
      <w:r>
        <w:rPr>
          <w:i/>
          <w:iCs/>
          <w:sz w:val="20"/>
          <w:szCs w:val="20"/>
        </w:rPr>
        <w:t>368</w:t>
      </w:r>
      <w:r>
        <w:rPr>
          <w:sz w:val="20"/>
          <w:szCs w:val="20"/>
        </w:rPr>
        <w:t>, l6890. https://doi.org/10.1136/bmj.l6890</w:t>
      </w:r>
    </w:p>
    <w:p w14:paraId="651F81B7" w14:textId="77777777" w:rsidR="0039479F" w:rsidRDefault="00000000">
      <w:pPr>
        <w:spacing w:after="100" w:line="252" w:lineRule="auto"/>
        <w:ind w:left="454" w:hanging="454"/>
      </w:pPr>
      <w:r>
        <w:rPr>
          <w:sz w:val="20"/>
          <w:szCs w:val="20"/>
        </w:rPr>
        <w:t xml:space="preserve">Canakci, Y., Koksal, O., &amp; Durak, V. A. (2018). The value of bedside ocular ultrasound assessment of optic nerve sheath diameter in the detection of increased intracranial pressure in patients presenting to the emergency room with headache. </w:t>
      </w:r>
      <w:r>
        <w:rPr>
          <w:i/>
          <w:iCs/>
          <w:sz w:val="20"/>
          <w:szCs w:val="20"/>
        </w:rPr>
        <w:t>Nigerian journal of clinical practice</w:t>
      </w:r>
      <w:r>
        <w:rPr>
          <w:sz w:val="20"/>
          <w:szCs w:val="20"/>
        </w:rPr>
        <w:t xml:space="preserve">, </w:t>
      </w:r>
      <w:r>
        <w:rPr>
          <w:i/>
          <w:iCs/>
          <w:sz w:val="20"/>
          <w:szCs w:val="20"/>
        </w:rPr>
        <w:t>21</w:t>
      </w:r>
      <w:r>
        <w:rPr>
          <w:sz w:val="20"/>
          <w:szCs w:val="20"/>
        </w:rPr>
        <w:t>(6), 778-782. https://doi.org/10.4103/njcp.njcp_119_17</w:t>
      </w:r>
    </w:p>
    <w:p w14:paraId="04C03D53" w14:textId="77777777" w:rsidR="0039479F" w:rsidRDefault="00000000">
      <w:pPr>
        <w:spacing w:after="100" w:line="252" w:lineRule="auto"/>
        <w:ind w:left="454" w:hanging="454"/>
      </w:pPr>
      <w:r>
        <w:rPr>
          <w:sz w:val="20"/>
          <w:szCs w:val="20"/>
        </w:rPr>
        <w:t xml:space="preserve">Carstairs, S. D., Tanen, D. A., Duncan, T. D., Nordling, O. B., Wanebo, J. E., Paluska, T. R., Theodore, N., &amp; Riffenburgh, R. H. (2006). Computed tomographic angiography for the evaluation of aneurysmal subarachnoid hemorrhage. </w:t>
      </w:r>
      <w:r>
        <w:rPr>
          <w:i/>
          <w:iCs/>
          <w:sz w:val="20"/>
          <w:szCs w:val="20"/>
        </w:rPr>
        <w:t xml:space="preserve">Academic emergency </w:t>
      </w:r>
      <w:proofErr w:type="gramStart"/>
      <w:r>
        <w:rPr>
          <w:i/>
          <w:iCs/>
          <w:sz w:val="20"/>
          <w:szCs w:val="20"/>
        </w:rPr>
        <w:t>medicine :</w:t>
      </w:r>
      <w:proofErr w:type="gramEnd"/>
      <w:r>
        <w:rPr>
          <w:i/>
          <w:iCs/>
          <w:sz w:val="20"/>
          <w:szCs w:val="20"/>
        </w:rPr>
        <w:t xml:space="preserve"> official journal of the Society for Academic Emergency Medicine</w:t>
      </w:r>
      <w:r>
        <w:rPr>
          <w:sz w:val="20"/>
          <w:szCs w:val="20"/>
        </w:rPr>
        <w:t xml:space="preserve">, </w:t>
      </w:r>
      <w:r>
        <w:rPr>
          <w:i/>
          <w:iCs/>
          <w:sz w:val="20"/>
          <w:szCs w:val="20"/>
        </w:rPr>
        <w:t>13</w:t>
      </w:r>
      <w:r>
        <w:rPr>
          <w:sz w:val="20"/>
          <w:szCs w:val="20"/>
        </w:rPr>
        <w:t>(5), 486-92. https://doi.org/10.1197/j.aem.2005.12.010</w:t>
      </w:r>
    </w:p>
    <w:p w14:paraId="5DFD4595" w14:textId="77777777" w:rsidR="0039479F" w:rsidRDefault="00000000">
      <w:pPr>
        <w:spacing w:after="100" w:line="252" w:lineRule="auto"/>
        <w:ind w:left="454" w:hanging="454"/>
      </w:pPr>
      <w:r>
        <w:rPr>
          <w:sz w:val="20"/>
          <w:szCs w:val="20"/>
        </w:rPr>
        <w:t xml:space="preserve">Chalouhi, N., Witte, S., Penn, D. L., Soni, P., Starke, R. M., Jabbour, P., Gonzalez, L. F., Dumont, A. S., Rosenwasser, R., &amp; Tjoumakaris, S. (2013). Diagnostic yield of cerebral angiography in patients with computed tomography-negative, lumbar puncture-positive subarachnoid hemorrhage. </w:t>
      </w:r>
      <w:r>
        <w:rPr>
          <w:i/>
          <w:iCs/>
          <w:sz w:val="20"/>
          <w:szCs w:val="20"/>
        </w:rPr>
        <w:t>Neurosurgery</w:t>
      </w:r>
      <w:r>
        <w:rPr>
          <w:sz w:val="20"/>
          <w:szCs w:val="20"/>
        </w:rPr>
        <w:t xml:space="preserve">, </w:t>
      </w:r>
      <w:r>
        <w:rPr>
          <w:i/>
          <w:iCs/>
          <w:sz w:val="20"/>
          <w:szCs w:val="20"/>
        </w:rPr>
        <w:t>73</w:t>
      </w:r>
      <w:r>
        <w:rPr>
          <w:sz w:val="20"/>
          <w:szCs w:val="20"/>
        </w:rPr>
        <w:t>(2), 282-7; discussion 287-8. https://doi.org/10.1227/01.neu.0000430291.31422.dd</w:t>
      </w:r>
    </w:p>
    <w:p w14:paraId="58635A51" w14:textId="77777777" w:rsidR="0039479F" w:rsidRDefault="00000000">
      <w:pPr>
        <w:spacing w:after="100" w:line="252" w:lineRule="auto"/>
        <w:ind w:left="454" w:hanging="454"/>
      </w:pPr>
      <w:r>
        <w:rPr>
          <w:sz w:val="20"/>
          <w:szCs w:val="20"/>
        </w:rPr>
        <w:t xml:space="preserve">Cheung, H. Y., Lui, C. T., &amp; Tsui, K. L. (2018). Validation and modification of the Ottawa subarachnoid haemorrhage rule in risk stratification of Asian Chinese patients with acute headache. </w:t>
      </w:r>
      <w:r>
        <w:rPr>
          <w:i/>
          <w:iCs/>
          <w:sz w:val="20"/>
          <w:szCs w:val="20"/>
        </w:rPr>
        <w:t>Hong Kong medical journal = Xianggang yi xue za zhi</w:t>
      </w:r>
      <w:r>
        <w:rPr>
          <w:sz w:val="20"/>
          <w:szCs w:val="20"/>
        </w:rPr>
        <w:t xml:space="preserve">, </w:t>
      </w:r>
      <w:r>
        <w:rPr>
          <w:i/>
          <w:iCs/>
          <w:sz w:val="20"/>
          <w:szCs w:val="20"/>
        </w:rPr>
        <w:t>24</w:t>
      </w:r>
      <w:r>
        <w:rPr>
          <w:sz w:val="20"/>
          <w:szCs w:val="20"/>
        </w:rPr>
        <w:t>(6), 584-592. https://doi.org/10.12809/hkmj187533</w:t>
      </w:r>
    </w:p>
    <w:p w14:paraId="768CB28F" w14:textId="77777777" w:rsidR="0039479F" w:rsidRDefault="00000000">
      <w:pPr>
        <w:spacing w:after="100" w:line="252" w:lineRule="auto"/>
        <w:ind w:left="454" w:hanging="454"/>
      </w:pPr>
      <w:r>
        <w:rPr>
          <w:sz w:val="20"/>
          <w:szCs w:val="20"/>
        </w:rPr>
        <w:t xml:space="preserve">China, M., Matloob, S. A., Grieve, J. P., &amp; Toma, A. K. (2021). The value of repeated lumbar puncture to test for xanthochromia, in patients with clinical suspicion of subarachnoid haemorrhage, with CT-negative and initial traumatic tap. </w:t>
      </w:r>
      <w:r>
        <w:rPr>
          <w:i/>
          <w:iCs/>
          <w:sz w:val="20"/>
          <w:szCs w:val="20"/>
        </w:rPr>
        <w:t>British journal of neurosurgery</w:t>
      </w:r>
      <w:r>
        <w:rPr>
          <w:sz w:val="20"/>
          <w:szCs w:val="20"/>
        </w:rPr>
        <w:t xml:space="preserve">, </w:t>
      </w:r>
      <w:r>
        <w:rPr>
          <w:i/>
          <w:iCs/>
          <w:sz w:val="20"/>
          <w:szCs w:val="20"/>
        </w:rPr>
        <w:t>35</w:t>
      </w:r>
      <w:r>
        <w:rPr>
          <w:sz w:val="20"/>
          <w:szCs w:val="20"/>
        </w:rPr>
        <w:t>(4), 476-479. https://doi.org/10.1080/02688697.2021.1875398</w:t>
      </w:r>
    </w:p>
    <w:p w14:paraId="0EAB0FB0" w14:textId="77777777" w:rsidR="0039479F" w:rsidRDefault="00000000">
      <w:pPr>
        <w:spacing w:after="100" w:line="252" w:lineRule="auto"/>
        <w:ind w:left="454" w:hanging="454"/>
      </w:pPr>
      <w:r>
        <w:rPr>
          <w:sz w:val="20"/>
          <w:szCs w:val="20"/>
        </w:rPr>
        <w:t xml:space="preserve">Cho, S., Lee, M. J., Gil, Y. E., &amp; Chung, C. S. (2021). RCVS-TCH score can predict reversible cerebral vasoconstriction syndrome in patients with thunderclap headache. </w:t>
      </w:r>
      <w:r>
        <w:rPr>
          <w:i/>
          <w:iCs/>
          <w:sz w:val="20"/>
          <w:szCs w:val="20"/>
        </w:rPr>
        <w:t>Scientific reports</w:t>
      </w:r>
      <w:r>
        <w:rPr>
          <w:sz w:val="20"/>
          <w:szCs w:val="20"/>
        </w:rPr>
        <w:t xml:space="preserve">, </w:t>
      </w:r>
      <w:r>
        <w:rPr>
          <w:i/>
          <w:iCs/>
          <w:sz w:val="20"/>
          <w:szCs w:val="20"/>
        </w:rPr>
        <w:t>11</w:t>
      </w:r>
      <w:r>
        <w:rPr>
          <w:sz w:val="20"/>
          <w:szCs w:val="20"/>
        </w:rPr>
        <w:t>(1), 7750. https://doi.org/10.1038/s41598-021-87412-7</w:t>
      </w:r>
    </w:p>
    <w:p w14:paraId="5385909A" w14:textId="77777777" w:rsidR="0039479F" w:rsidRDefault="00000000">
      <w:pPr>
        <w:spacing w:after="100" w:line="252" w:lineRule="auto"/>
        <w:ind w:left="454" w:hanging="454"/>
      </w:pPr>
      <w:r>
        <w:rPr>
          <w:sz w:val="20"/>
          <w:szCs w:val="20"/>
        </w:rPr>
        <w:t xml:space="preserve">Chu, K. H., Howell, T. E., Keijzers, G., Furyk, J. S., Eley, R. M., Kinnear, F. B., Thom, O., Mahmoud, I., &amp; Brown, A. F. (2017). Acute Headache Presentations to the Emergency Department: A Statewide Cross-sectional Study. </w:t>
      </w:r>
      <w:r>
        <w:rPr>
          <w:i/>
          <w:iCs/>
          <w:sz w:val="20"/>
          <w:szCs w:val="20"/>
        </w:rPr>
        <w:t xml:space="preserve">Academic emergency </w:t>
      </w:r>
      <w:proofErr w:type="gramStart"/>
      <w:r>
        <w:rPr>
          <w:i/>
          <w:iCs/>
          <w:sz w:val="20"/>
          <w:szCs w:val="20"/>
        </w:rPr>
        <w:t>medicine :</w:t>
      </w:r>
      <w:proofErr w:type="gramEnd"/>
      <w:r>
        <w:rPr>
          <w:i/>
          <w:iCs/>
          <w:sz w:val="20"/>
          <w:szCs w:val="20"/>
        </w:rPr>
        <w:t xml:space="preserve"> official journal of the Society for Academic Emergency Medicine</w:t>
      </w:r>
      <w:r>
        <w:rPr>
          <w:sz w:val="20"/>
          <w:szCs w:val="20"/>
        </w:rPr>
        <w:t xml:space="preserve">, </w:t>
      </w:r>
      <w:r>
        <w:rPr>
          <w:i/>
          <w:iCs/>
          <w:sz w:val="20"/>
          <w:szCs w:val="20"/>
        </w:rPr>
        <w:t>24</w:t>
      </w:r>
      <w:r>
        <w:rPr>
          <w:sz w:val="20"/>
          <w:szCs w:val="20"/>
        </w:rPr>
        <w:t>(1), 53-62. https://doi.org/10.1111/acem.13062</w:t>
      </w:r>
    </w:p>
    <w:p w14:paraId="46095097" w14:textId="77777777" w:rsidR="0039479F" w:rsidRDefault="00000000">
      <w:pPr>
        <w:spacing w:after="100" w:line="252" w:lineRule="auto"/>
        <w:ind w:left="454" w:hanging="454"/>
      </w:pPr>
      <w:r>
        <w:rPr>
          <w:sz w:val="20"/>
          <w:szCs w:val="20"/>
        </w:rPr>
        <w:t xml:space="preserve">Chu, K. H., Keijzers, G., Furyk, J. S., Eley, R. M., Kinnear, F. B., Thom, O. N., Howell, T. E., Mahmoud, I., Ting, J. Y. S., &amp; Brown, A. F. T. (2018a). Applying the Ottawa subarachnoid haemorrhage rule on a cohort of emergency department patients with headache. </w:t>
      </w:r>
      <w:r>
        <w:rPr>
          <w:i/>
          <w:iCs/>
          <w:sz w:val="20"/>
          <w:szCs w:val="20"/>
        </w:rPr>
        <w:t xml:space="preserve">European journal of emergency </w:t>
      </w:r>
      <w:proofErr w:type="gramStart"/>
      <w:r>
        <w:rPr>
          <w:i/>
          <w:iCs/>
          <w:sz w:val="20"/>
          <w:szCs w:val="20"/>
        </w:rPr>
        <w:t>medicine :</w:t>
      </w:r>
      <w:proofErr w:type="gramEnd"/>
      <w:r>
        <w:rPr>
          <w:i/>
          <w:iCs/>
          <w:sz w:val="20"/>
          <w:szCs w:val="20"/>
        </w:rPr>
        <w:t xml:space="preserve"> official journal of the European Society for Emergency Medicine</w:t>
      </w:r>
      <w:r>
        <w:rPr>
          <w:sz w:val="20"/>
          <w:szCs w:val="20"/>
        </w:rPr>
        <w:t xml:space="preserve">, </w:t>
      </w:r>
      <w:r>
        <w:rPr>
          <w:i/>
          <w:iCs/>
          <w:sz w:val="20"/>
          <w:szCs w:val="20"/>
        </w:rPr>
        <w:t>25</w:t>
      </w:r>
      <w:r>
        <w:rPr>
          <w:sz w:val="20"/>
          <w:szCs w:val="20"/>
        </w:rPr>
        <w:t>(6), e29-e32. https://doi.org/10.1097/MEJ.0000000000000523</w:t>
      </w:r>
    </w:p>
    <w:p w14:paraId="6E65993A" w14:textId="77777777" w:rsidR="0039479F" w:rsidRDefault="00000000">
      <w:pPr>
        <w:spacing w:after="100" w:line="252" w:lineRule="auto"/>
        <w:ind w:left="454" w:hanging="454"/>
      </w:pPr>
      <w:r>
        <w:rPr>
          <w:sz w:val="20"/>
          <w:szCs w:val="20"/>
        </w:rPr>
        <w:t xml:space="preserve">Chu, K. H., Mahmoud, I., Hou, X. Y., Winter, C. D., Jeffree, R. L., Brown, N. J., &amp; Brown, A. F. (2018b). Incidence and outcome of subarachnoid haemorrhage in the general and emergency department populations in Queensland from 2010 to 2014. </w:t>
      </w:r>
      <w:r>
        <w:rPr>
          <w:i/>
          <w:iCs/>
          <w:sz w:val="20"/>
          <w:szCs w:val="20"/>
        </w:rPr>
        <w:t xml:space="preserve">Emergency medicine </w:t>
      </w:r>
      <w:proofErr w:type="gramStart"/>
      <w:r>
        <w:rPr>
          <w:i/>
          <w:iCs/>
          <w:sz w:val="20"/>
          <w:szCs w:val="20"/>
        </w:rPr>
        <w:t>Australasia :</w:t>
      </w:r>
      <w:proofErr w:type="gramEnd"/>
      <w:r>
        <w:rPr>
          <w:i/>
          <w:iCs/>
          <w:sz w:val="20"/>
          <w:szCs w:val="20"/>
        </w:rPr>
        <w:t xml:space="preserve"> EMA</w:t>
      </w:r>
      <w:r>
        <w:rPr>
          <w:sz w:val="20"/>
          <w:szCs w:val="20"/>
        </w:rPr>
        <w:t xml:space="preserve">, </w:t>
      </w:r>
      <w:r>
        <w:rPr>
          <w:i/>
          <w:iCs/>
          <w:sz w:val="20"/>
          <w:szCs w:val="20"/>
        </w:rPr>
        <w:t>30</w:t>
      </w:r>
      <w:r>
        <w:rPr>
          <w:sz w:val="20"/>
          <w:szCs w:val="20"/>
        </w:rPr>
        <w:t>(4), 503-510. https://doi.org/10.1111/1742-6723.12936</w:t>
      </w:r>
    </w:p>
    <w:p w14:paraId="4AB4473F" w14:textId="77777777" w:rsidR="0039479F" w:rsidRDefault="00000000">
      <w:pPr>
        <w:spacing w:after="100" w:line="252" w:lineRule="auto"/>
        <w:ind w:left="454" w:hanging="454"/>
      </w:pPr>
      <w:r>
        <w:rPr>
          <w:sz w:val="20"/>
          <w:szCs w:val="20"/>
        </w:rPr>
        <w:lastRenderedPageBreak/>
        <w:t xml:space="preserve">Chu, K., Kelly, A. M., Keijzers, G., Kinnear, F., Kuan, W. S., Graham, C., Laribi, S., Roberts, T., Karamercan, M., Cardozo-Ocampo, A., Kamona, S., Body, R., Horner, D., Klim, S., Brown, N., Wijeratne, T., </w:t>
      </w:r>
      <w:proofErr w:type="gramStart"/>
      <w:r>
        <w:rPr>
          <w:sz w:val="20"/>
          <w:szCs w:val="20"/>
        </w:rPr>
        <w:t>&amp; ,</w:t>
      </w:r>
      <w:proofErr w:type="gramEnd"/>
      <w:r>
        <w:rPr>
          <w:sz w:val="20"/>
          <w:szCs w:val="20"/>
        </w:rPr>
        <w:t xml:space="preserve"> on behalf of the HEAD study investigators (2023). Computed tomography brain scan utilization in patients with headache presenting to emergency departments: a multinational study. </w:t>
      </w:r>
      <w:r>
        <w:rPr>
          <w:i/>
          <w:iCs/>
          <w:sz w:val="20"/>
          <w:szCs w:val="20"/>
        </w:rPr>
        <w:t xml:space="preserve">European journal of emergency </w:t>
      </w:r>
      <w:proofErr w:type="gramStart"/>
      <w:r>
        <w:rPr>
          <w:i/>
          <w:iCs/>
          <w:sz w:val="20"/>
          <w:szCs w:val="20"/>
        </w:rPr>
        <w:t>medicine :</w:t>
      </w:r>
      <w:proofErr w:type="gramEnd"/>
      <w:r>
        <w:rPr>
          <w:i/>
          <w:iCs/>
          <w:sz w:val="20"/>
          <w:szCs w:val="20"/>
        </w:rPr>
        <w:t xml:space="preserve"> official journal of the European Society for Emergency Medicine</w:t>
      </w:r>
      <w:r>
        <w:rPr>
          <w:sz w:val="20"/>
          <w:szCs w:val="20"/>
        </w:rPr>
        <w:t xml:space="preserve">, </w:t>
      </w:r>
      <w:r>
        <w:rPr>
          <w:i/>
          <w:iCs/>
          <w:sz w:val="20"/>
          <w:szCs w:val="20"/>
        </w:rPr>
        <w:t>30</w:t>
      </w:r>
      <w:r>
        <w:rPr>
          <w:sz w:val="20"/>
          <w:szCs w:val="20"/>
        </w:rPr>
        <w:t>(5), 356-364. https://doi.org/10.1097/MEJ.0000000000001055</w:t>
      </w:r>
    </w:p>
    <w:p w14:paraId="011E1B6D" w14:textId="77777777" w:rsidR="0039479F" w:rsidRDefault="00000000">
      <w:pPr>
        <w:spacing w:after="100" w:line="252" w:lineRule="auto"/>
        <w:ind w:left="454" w:hanging="454"/>
      </w:pPr>
      <w:r>
        <w:rPr>
          <w:sz w:val="20"/>
          <w:szCs w:val="20"/>
        </w:rPr>
        <w:t xml:space="preserve">Chu, K., Kelly, A. M., Kuan, W. S., Kinnear, F. B., Keijzers, G., Horner, D., Laribi, S., Cardozo, A., Karamercan, M. A., Klim, S., Wijeratne, T., Kamona, S., Graham, C. A., Body, R., Roberts, T., &amp; HEAD and HEAD-Colombia study groups (2024). Predictive performance of the common red flags in emergency department headache patients: a HEAD and HEAD-Colombia study. </w:t>
      </w:r>
      <w:r>
        <w:rPr>
          <w:i/>
          <w:iCs/>
          <w:sz w:val="20"/>
          <w:szCs w:val="20"/>
        </w:rPr>
        <w:t xml:space="preserve">Emergency medicine </w:t>
      </w:r>
      <w:proofErr w:type="gramStart"/>
      <w:r>
        <w:rPr>
          <w:i/>
          <w:iCs/>
          <w:sz w:val="20"/>
          <w:szCs w:val="20"/>
        </w:rPr>
        <w:t>journal :</w:t>
      </w:r>
      <w:proofErr w:type="gramEnd"/>
      <w:r>
        <w:rPr>
          <w:i/>
          <w:iCs/>
          <w:sz w:val="20"/>
          <w:szCs w:val="20"/>
        </w:rPr>
        <w:t xml:space="preserve"> EMJ</w:t>
      </w:r>
      <w:r>
        <w:rPr>
          <w:sz w:val="20"/>
          <w:szCs w:val="20"/>
        </w:rPr>
        <w:t xml:space="preserve">, </w:t>
      </w:r>
      <w:r>
        <w:rPr>
          <w:i/>
          <w:iCs/>
          <w:sz w:val="20"/>
          <w:szCs w:val="20"/>
        </w:rPr>
        <w:t>41</w:t>
      </w:r>
      <w:r>
        <w:rPr>
          <w:sz w:val="20"/>
          <w:szCs w:val="20"/>
        </w:rPr>
        <w:t>(6), 368-375. https://doi.org/10.1136/emermed-2023-213461</w:t>
      </w:r>
    </w:p>
    <w:p w14:paraId="7B0EC869" w14:textId="77777777" w:rsidR="0039479F" w:rsidRDefault="00000000">
      <w:pPr>
        <w:spacing w:after="100" w:line="252" w:lineRule="auto"/>
        <w:ind w:left="454" w:hanging="454"/>
      </w:pPr>
      <w:r>
        <w:rPr>
          <w:sz w:val="20"/>
          <w:szCs w:val="20"/>
        </w:rPr>
        <w:t xml:space="preserve">Cooper, J. G., Smith, B., &amp; Hassan, T. B. (2016). A retrospective review of sudden onset severe headache and subarachnoid haemorrhage on the clinical decision unit: looking for a needle in a </w:t>
      </w:r>
      <w:proofErr w:type="gramStart"/>
      <w:r>
        <w:rPr>
          <w:sz w:val="20"/>
          <w:szCs w:val="20"/>
        </w:rPr>
        <w:t>haystack?.</w:t>
      </w:r>
      <w:proofErr w:type="gramEnd"/>
      <w:r>
        <w:rPr>
          <w:sz w:val="20"/>
          <w:szCs w:val="20"/>
        </w:rPr>
        <w:t xml:space="preserve"> </w:t>
      </w:r>
      <w:r>
        <w:rPr>
          <w:i/>
          <w:iCs/>
          <w:sz w:val="20"/>
          <w:szCs w:val="20"/>
        </w:rPr>
        <w:t xml:space="preserve">European journal of emergency </w:t>
      </w:r>
      <w:proofErr w:type="gramStart"/>
      <w:r>
        <w:rPr>
          <w:i/>
          <w:iCs/>
          <w:sz w:val="20"/>
          <w:szCs w:val="20"/>
        </w:rPr>
        <w:t>medicine :</w:t>
      </w:r>
      <w:proofErr w:type="gramEnd"/>
      <w:r>
        <w:rPr>
          <w:i/>
          <w:iCs/>
          <w:sz w:val="20"/>
          <w:szCs w:val="20"/>
        </w:rPr>
        <w:t xml:space="preserve"> official journal of the European Society for Emergency Medicine</w:t>
      </w:r>
      <w:r>
        <w:rPr>
          <w:sz w:val="20"/>
          <w:szCs w:val="20"/>
        </w:rPr>
        <w:t xml:space="preserve">, </w:t>
      </w:r>
      <w:r>
        <w:rPr>
          <w:i/>
          <w:iCs/>
          <w:sz w:val="20"/>
          <w:szCs w:val="20"/>
        </w:rPr>
        <w:t>23</w:t>
      </w:r>
      <w:r>
        <w:rPr>
          <w:sz w:val="20"/>
          <w:szCs w:val="20"/>
        </w:rPr>
        <w:t>(5), 356-62. https://doi.org/10.1097/MEJ.0000000000000266</w:t>
      </w:r>
    </w:p>
    <w:p w14:paraId="012B5D9C" w14:textId="77777777" w:rsidR="0039479F" w:rsidRDefault="00000000">
      <w:pPr>
        <w:spacing w:after="100" w:line="252" w:lineRule="auto"/>
        <w:ind w:left="454" w:hanging="454"/>
      </w:pPr>
      <w:r>
        <w:rPr>
          <w:sz w:val="20"/>
          <w:szCs w:val="20"/>
        </w:rPr>
        <w:t xml:space="preserve">Covino, M., Gilardi, E., Manno, A., Simeoni, B., Ojetti, V., Cordischi, C., Forte, E., Carbone, L., Gaudino, S., &amp; Franceschi, F. (2019). A new clinical score for cranial CT in ED non-trauma patients: Definition and first validation. </w:t>
      </w:r>
      <w:r>
        <w:rPr>
          <w:i/>
          <w:iCs/>
          <w:sz w:val="20"/>
          <w:szCs w:val="20"/>
        </w:rPr>
        <w:t>The American journal of emergency medicine</w:t>
      </w:r>
      <w:r>
        <w:rPr>
          <w:sz w:val="20"/>
          <w:szCs w:val="20"/>
        </w:rPr>
        <w:t xml:space="preserve">, </w:t>
      </w:r>
      <w:r>
        <w:rPr>
          <w:i/>
          <w:iCs/>
          <w:sz w:val="20"/>
          <w:szCs w:val="20"/>
        </w:rPr>
        <w:t>37</w:t>
      </w:r>
      <w:r>
        <w:rPr>
          <w:sz w:val="20"/>
          <w:szCs w:val="20"/>
        </w:rPr>
        <w:t>(7), 1279-1284. https://doi.org/10.1016/j.ajem.2018.09.032</w:t>
      </w:r>
    </w:p>
    <w:p w14:paraId="77B2D341" w14:textId="77777777" w:rsidR="0039479F" w:rsidRDefault="00000000">
      <w:pPr>
        <w:spacing w:after="100" w:line="252" w:lineRule="auto"/>
        <w:ind w:left="454" w:hanging="454"/>
      </w:pPr>
      <w:r>
        <w:rPr>
          <w:sz w:val="20"/>
          <w:szCs w:val="20"/>
        </w:rPr>
        <w:t xml:space="preserve">Czuczman, A. D., Thomas, L. E., Boulanger, A. B., Peak, D. A., Senecal, E. L., Brown, D. F., &amp; Marill, K. A. (2013). Interpreting red blood cells in lumbar puncture: distinguishing true subarachnoid hemorrhage from traumatic tap. </w:t>
      </w:r>
      <w:r>
        <w:rPr>
          <w:i/>
          <w:iCs/>
          <w:sz w:val="20"/>
          <w:szCs w:val="20"/>
        </w:rPr>
        <w:t xml:space="preserve">Academic emergency </w:t>
      </w:r>
      <w:proofErr w:type="gramStart"/>
      <w:r>
        <w:rPr>
          <w:i/>
          <w:iCs/>
          <w:sz w:val="20"/>
          <w:szCs w:val="20"/>
        </w:rPr>
        <w:t>medicine :</w:t>
      </w:r>
      <w:proofErr w:type="gramEnd"/>
      <w:r>
        <w:rPr>
          <w:i/>
          <w:iCs/>
          <w:sz w:val="20"/>
          <w:szCs w:val="20"/>
        </w:rPr>
        <w:t xml:space="preserve"> official journal of the Society for Academic Emergency Medicine</w:t>
      </w:r>
      <w:r>
        <w:rPr>
          <w:sz w:val="20"/>
          <w:szCs w:val="20"/>
        </w:rPr>
        <w:t xml:space="preserve">, </w:t>
      </w:r>
      <w:r>
        <w:rPr>
          <w:i/>
          <w:iCs/>
          <w:sz w:val="20"/>
          <w:szCs w:val="20"/>
        </w:rPr>
        <w:t>20</w:t>
      </w:r>
      <w:r>
        <w:rPr>
          <w:sz w:val="20"/>
          <w:szCs w:val="20"/>
        </w:rPr>
        <w:t>(3), 247-56. https://doi.org/10.1111/acem.12095</w:t>
      </w:r>
    </w:p>
    <w:p w14:paraId="225F5D8D" w14:textId="77777777" w:rsidR="0039479F" w:rsidRDefault="00000000">
      <w:pPr>
        <w:spacing w:after="100" w:line="252" w:lineRule="auto"/>
        <w:ind w:left="454" w:hanging="454"/>
      </w:pPr>
      <w:r>
        <w:rPr>
          <w:sz w:val="20"/>
          <w:szCs w:val="20"/>
        </w:rPr>
        <w:t xml:space="preserve">Çınaroğlu, O. S., Bora, E. S., Acar, H., Arıkan, C., Küçük, M., &amp; Kırık, S. (2024). Is near-infrared spectroscopy a promising predictor for early intracranial hemorrhage diagnosis in the Emergency </w:t>
      </w:r>
      <w:proofErr w:type="gramStart"/>
      <w:r>
        <w:rPr>
          <w:sz w:val="20"/>
          <w:szCs w:val="20"/>
        </w:rPr>
        <w:t>Department?.</w:t>
      </w:r>
      <w:proofErr w:type="gramEnd"/>
      <w:r>
        <w:rPr>
          <w:sz w:val="20"/>
          <w:szCs w:val="20"/>
        </w:rPr>
        <w:t xml:space="preserve"> </w:t>
      </w:r>
      <w:r>
        <w:rPr>
          <w:i/>
          <w:iCs/>
          <w:sz w:val="20"/>
          <w:szCs w:val="20"/>
        </w:rPr>
        <w:t>Brazilian journal of medical and biological research = Revista brasileira de pesquisas medicas e biologicas</w:t>
      </w:r>
      <w:r>
        <w:rPr>
          <w:sz w:val="20"/>
          <w:szCs w:val="20"/>
        </w:rPr>
        <w:t xml:space="preserve">, </w:t>
      </w:r>
      <w:r>
        <w:rPr>
          <w:i/>
          <w:iCs/>
          <w:sz w:val="20"/>
          <w:szCs w:val="20"/>
        </w:rPr>
        <w:t>57</w:t>
      </w:r>
      <w:r>
        <w:rPr>
          <w:sz w:val="20"/>
          <w:szCs w:val="20"/>
        </w:rPr>
        <w:t>, e13155. https://doi.org/10.1590/1414-431X2023e13155</w:t>
      </w:r>
    </w:p>
    <w:p w14:paraId="3F94AFAE" w14:textId="77777777" w:rsidR="0039479F" w:rsidRDefault="00000000">
      <w:pPr>
        <w:spacing w:after="100" w:line="252" w:lineRule="auto"/>
        <w:ind w:left="454" w:hanging="454"/>
      </w:pPr>
      <w:r>
        <w:rPr>
          <w:sz w:val="20"/>
          <w:szCs w:val="20"/>
        </w:rPr>
        <w:t xml:space="preserve">Dahl, I. T. S., Dhami, S. K. G., de Sousa, D. A., Nakken, O., Zarnovicky, S., Faiz, K. W., Sandset, E. C., Vetvik, K. G., &amp; Kristoffersen, E. S. (2026). Enhancing risk prediction for cerebral venous thrombosis: evaluation of an integrated approach with clinical CVT probability score and D-dimer levels. </w:t>
      </w:r>
      <w:r>
        <w:rPr>
          <w:i/>
          <w:iCs/>
          <w:sz w:val="20"/>
          <w:szCs w:val="20"/>
        </w:rPr>
        <w:t>BMC neurology</w:t>
      </w:r>
      <w:r>
        <w:rPr>
          <w:sz w:val="20"/>
          <w:szCs w:val="20"/>
        </w:rPr>
        <w:t xml:space="preserve">, </w:t>
      </w:r>
      <w:r>
        <w:rPr>
          <w:i/>
          <w:iCs/>
          <w:sz w:val="20"/>
          <w:szCs w:val="20"/>
        </w:rPr>
        <w:t>26</w:t>
      </w:r>
      <w:r>
        <w:rPr>
          <w:sz w:val="20"/>
          <w:szCs w:val="20"/>
        </w:rPr>
        <w:t>(1). https://doi.org/10.1186/s12883-026-04687-x</w:t>
      </w:r>
    </w:p>
    <w:p w14:paraId="46248EA9" w14:textId="77777777" w:rsidR="0039479F" w:rsidRDefault="00000000">
      <w:pPr>
        <w:spacing w:after="100" w:line="252" w:lineRule="auto"/>
        <w:ind w:left="454" w:hanging="454"/>
      </w:pPr>
      <w:r>
        <w:rPr>
          <w:sz w:val="20"/>
          <w:szCs w:val="20"/>
        </w:rPr>
        <w:t xml:space="preserve">Demir, R., Saritemur, M., Ozel, L., Ozdemir, G., Emet, M., &amp; Ulvi, H. (2015). Red cell distribution width identifies cerebral venous sinus thrombosis in patients with headache. </w:t>
      </w:r>
      <w:r>
        <w:rPr>
          <w:i/>
          <w:iCs/>
          <w:sz w:val="20"/>
          <w:szCs w:val="20"/>
        </w:rPr>
        <w:t>Clinical and applied thrombosis/</w:t>
      </w:r>
      <w:proofErr w:type="gramStart"/>
      <w:r>
        <w:rPr>
          <w:i/>
          <w:iCs/>
          <w:sz w:val="20"/>
          <w:szCs w:val="20"/>
        </w:rPr>
        <w:t>hemostasis :</w:t>
      </w:r>
      <w:proofErr w:type="gramEnd"/>
      <w:r>
        <w:rPr>
          <w:i/>
          <w:iCs/>
          <w:sz w:val="20"/>
          <w:szCs w:val="20"/>
        </w:rPr>
        <w:t xml:space="preserve"> official journal of the International Academy of Clinical and Applied Thrombosis/Hemostasis</w:t>
      </w:r>
      <w:r>
        <w:rPr>
          <w:sz w:val="20"/>
          <w:szCs w:val="20"/>
        </w:rPr>
        <w:t xml:space="preserve">, </w:t>
      </w:r>
      <w:r>
        <w:rPr>
          <w:i/>
          <w:iCs/>
          <w:sz w:val="20"/>
          <w:szCs w:val="20"/>
        </w:rPr>
        <w:t>21</w:t>
      </w:r>
      <w:r>
        <w:rPr>
          <w:sz w:val="20"/>
          <w:szCs w:val="20"/>
        </w:rPr>
        <w:t>(4), 354-8. https://doi.org/10.1177/1076029613505764</w:t>
      </w:r>
    </w:p>
    <w:p w14:paraId="0381CB2E" w14:textId="77777777" w:rsidR="0039479F" w:rsidRDefault="00000000">
      <w:pPr>
        <w:spacing w:after="100" w:line="252" w:lineRule="auto"/>
        <w:ind w:left="454" w:hanging="454"/>
      </w:pPr>
      <w:r>
        <w:rPr>
          <w:sz w:val="20"/>
          <w:szCs w:val="20"/>
        </w:rPr>
        <w:t xml:space="preserve">Do, T. P., Remmers, A., Schytz, H. W., Schankin, C., Nelson, S. E., Obermann, M., Hansen, J. M., Sinclair, A. J., Gantenbein, A. R., &amp; Schoonman, G. G. (2019). Red and orange flags for secondary headaches in clinical practice: SNNOOP10 list. </w:t>
      </w:r>
      <w:r>
        <w:rPr>
          <w:i/>
          <w:iCs/>
          <w:sz w:val="20"/>
          <w:szCs w:val="20"/>
        </w:rPr>
        <w:t>Neurology</w:t>
      </w:r>
      <w:r>
        <w:rPr>
          <w:sz w:val="20"/>
          <w:szCs w:val="20"/>
        </w:rPr>
        <w:t xml:space="preserve">, </w:t>
      </w:r>
      <w:r>
        <w:rPr>
          <w:i/>
          <w:iCs/>
          <w:sz w:val="20"/>
          <w:szCs w:val="20"/>
        </w:rPr>
        <w:t>92</w:t>
      </w:r>
      <w:r>
        <w:rPr>
          <w:sz w:val="20"/>
          <w:szCs w:val="20"/>
        </w:rPr>
        <w:t>(3), 134-144. https://doi.org/10.1212/WNL.0000000000006697</w:t>
      </w:r>
    </w:p>
    <w:p w14:paraId="255C58C3" w14:textId="77777777" w:rsidR="0039479F" w:rsidRDefault="00000000">
      <w:pPr>
        <w:spacing w:after="100" w:line="252" w:lineRule="auto"/>
        <w:ind w:left="454" w:hanging="454"/>
      </w:pPr>
      <w:r>
        <w:rPr>
          <w:sz w:val="20"/>
          <w:szCs w:val="20"/>
        </w:rPr>
        <w:t xml:space="preserve">Domitrz, I., Sadowski, A., Domitrz, W., &amp; Kochanowski, J. (2020). Cerebral venous and sinus thrombosis diagnosis: preliminary study of clinical picture and D-dimer concentration correlation. </w:t>
      </w:r>
      <w:r>
        <w:rPr>
          <w:i/>
          <w:iCs/>
          <w:sz w:val="20"/>
          <w:szCs w:val="20"/>
        </w:rPr>
        <w:t>Neurologia i neurochirurgia polska</w:t>
      </w:r>
      <w:r>
        <w:rPr>
          <w:sz w:val="20"/>
          <w:szCs w:val="20"/>
        </w:rPr>
        <w:t xml:space="preserve">, </w:t>
      </w:r>
      <w:r>
        <w:rPr>
          <w:i/>
          <w:iCs/>
          <w:sz w:val="20"/>
          <w:szCs w:val="20"/>
        </w:rPr>
        <w:t>54</w:t>
      </w:r>
      <w:r>
        <w:rPr>
          <w:sz w:val="20"/>
          <w:szCs w:val="20"/>
        </w:rPr>
        <w:t>(1), 66-72. https://doi.org/10.5603/PJNNS.a2020.0006</w:t>
      </w:r>
    </w:p>
    <w:p w14:paraId="62C5FB64" w14:textId="77777777" w:rsidR="0039479F" w:rsidRDefault="00000000">
      <w:pPr>
        <w:spacing w:after="100" w:line="252" w:lineRule="auto"/>
        <w:ind w:left="454" w:hanging="454"/>
      </w:pPr>
      <w:r>
        <w:rPr>
          <w:sz w:val="20"/>
          <w:szCs w:val="20"/>
        </w:rPr>
        <w:t xml:space="preserve">Dubosh, N. M., Edlow, J. A., Goto, T., Camargo, C. A., &amp; Hasegawa, K. (2019). Missed Serious Neurologic Conditions in Emergency Department Patients Discharged </w:t>
      </w:r>
      <w:proofErr w:type="gramStart"/>
      <w:r>
        <w:rPr>
          <w:sz w:val="20"/>
          <w:szCs w:val="20"/>
        </w:rPr>
        <w:t>With</w:t>
      </w:r>
      <w:proofErr w:type="gramEnd"/>
      <w:r>
        <w:rPr>
          <w:sz w:val="20"/>
          <w:szCs w:val="20"/>
        </w:rPr>
        <w:t xml:space="preserve"> Nonspecific Diagnoses of Headache or Back Pain. </w:t>
      </w:r>
      <w:r>
        <w:rPr>
          <w:i/>
          <w:iCs/>
          <w:sz w:val="20"/>
          <w:szCs w:val="20"/>
        </w:rPr>
        <w:t>Annals of emergency medicine</w:t>
      </w:r>
      <w:r>
        <w:rPr>
          <w:sz w:val="20"/>
          <w:szCs w:val="20"/>
        </w:rPr>
        <w:t xml:space="preserve">, </w:t>
      </w:r>
      <w:r>
        <w:rPr>
          <w:i/>
          <w:iCs/>
          <w:sz w:val="20"/>
          <w:szCs w:val="20"/>
        </w:rPr>
        <w:t>74</w:t>
      </w:r>
      <w:r>
        <w:rPr>
          <w:sz w:val="20"/>
          <w:szCs w:val="20"/>
        </w:rPr>
        <w:t>(4), 549-561. https://doi.org/10.1016/j.annemergmed.2019.01.020</w:t>
      </w:r>
    </w:p>
    <w:p w14:paraId="604A2143" w14:textId="77777777" w:rsidR="0039479F" w:rsidRDefault="00000000">
      <w:pPr>
        <w:spacing w:after="100" w:line="252" w:lineRule="auto"/>
        <w:ind w:left="454" w:hanging="454"/>
      </w:pPr>
      <w:r>
        <w:rPr>
          <w:sz w:val="20"/>
          <w:szCs w:val="20"/>
        </w:rPr>
        <w:t xml:space="preserve">Dunn, H. P., Browning, S. D., Thomson, D., Yates, W. B., McCluskey, P., Keay, L., White, A. J., &amp; Fraser, C. L. (2022). Impact on patient management of non-mydriatic fundus photography compared to direct ophthalmoscopy in a regional Australian emergency department. </w:t>
      </w:r>
      <w:r>
        <w:rPr>
          <w:i/>
          <w:iCs/>
          <w:sz w:val="20"/>
          <w:szCs w:val="20"/>
        </w:rPr>
        <w:t xml:space="preserve">Emergency medicine </w:t>
      </w:r>
      <w:proofErr w:type="gramStart"/>
      <w:r>
        <w:rPr>
          <w:i/>
          <w:iCs/>
          <w:sz w:val="20"/>
          <w:szCs w:val="20"/>
        </w:rPr>
        <w:t>Australasia :</w:t>
      </w:r>
      <w:proofErr w:type="gramEnd"/>
      <w:r>
        <w:rPr>
          <w:i/>
          <w:iCs/>
          <w:sz w:val="20"/>
          <w:szCs w:val="20"/>
        </w:rPr>
        <w:t xml:space="preserve"> EMA</w:t>
      </w:r>
      <w:r>
        <w:rPr>
          <w:sz w:val="20"/>
          <w:szCs w:val="20"/>
        </w:rPr>
        <w:t xml:space="preserve">, </w:t>
      </w:r>
      <w:r>
        <w:rPr>
          <w:i/>
          <w:iCs/>
          <w:sz w:val="20"/>
          <w:szCs w:val="20"/>
        </w:rPr>
        <w:t>34</w:t>
      </w:r>
      <w:r>
        <w:rPr>
          <w:sz w:val="20"/>
          <w:szCs w:val="20"/>
        </w:rPr>
        <w:t>(2), 186-193. https://doi.org/10.1111/1742-6723.13845</w:t>
      </w:r>
    </w:p>
    <w:p w14:paraId="16EB03CC" w14:textId="77777777" w:rsidR="0039479F" w:rsidRDefault="00000000">
      <w:pPr>
        <w:spacing w:after="100" w:line="252" w:lineRule="auto"/>
        <w:ind w:left="454" w:hanging="454"/>
      </w:pPr>
      <w:r>
        <w:rPr>
          <w:sz w:val="20"/>
          <w:szCs w:val="20"/>
        </w:rPr>
        <w:t xml:space="preserve">Dunn, H. P., Teo, K. Z., Smyth, J. W., Weerasinghe, L. S., Costello, J., Pampapathi, P., Keay, L., Green, T., Vukasovic, M., Bruce, B. B., Newman, N. J., Biousse, V., White, A. J., McCluskey, P., &amp; Fraser, C. L. (2021). Using non-mydriatic fundus photography to detect fundus pathology in Australian metropolitan emergency departments: A prospective prevalence and diagnostic accuracy study. </w:t>
      </w:r>
      <w:r>
        <w:rPr>
          <w:i/>
          <w:iCs/>
          <w:sz w:val="20"/>
          <w:szCs w:val="20"/>
        </w:rPr>
        <w:t xml:space="preserve">Emergency medicine </w:t>
      </w:r>
      <w:proofErr w:type="gramStart"/>
      <w:r>
        <w:rPr>
          <w:i/>
          <w:iCs/>
          <w:sz w:val="20"/>
          <w:szCs w:val="20"/>
        </w:rPr>
        <w:t>Australasia :</w:t>
      </w:r>
      <w:proofErr w:type="gramEnd"/>
      <w:r>
        <w:rPr>
          <w:i/>
          <w:iCs/>
          <w:sz w:val="20"/>
          <w:szCs w:val="20"/>
        </w:rPr>
        <w:t xml:space="preserve"> EMA</w:t>
      </w:r>
      <w:r>
        <w:rPr>
          <w:sz w:val="20"/>
          <w:szCs w:val="20"/>
        </w:rPr>
        <w:t xml:space="preserve">, </w:t>
      </w:r>
      <w:r>
        <w:rPr>
          <w:i/>
          <w:iCs/>
          <w:sz w:val="20"/>
          <w:szCs w:val="20"/>
        </w:rPr>
        <w:t>33</w:t>
      </w:r>
      <w:r>
        <w:rPr>
          <w:sz w:val="20"/>
          <w:szCs w:val="20"/>
        </w:rPr>
        <w:t>(2), 302-309. https://doi.org/10.1111/1742-6723.13619</w:t>
      </w:r>
    </w:p>
    <w:p w14:paraId="50FD77A2" w14:textId="77777777" w:rsidR="0039479F" w:rsidRDefault="00000000">
      <w:pPr>
        <w:spacing w:after="100" w:line="252" w:lineRule="auto"/>
        <w:ind w:left="454" w:hanging="454"/>
      </w:pPr>
      <w:r>
        <w:rPr>
          <w:sz w:val="20"/>
          <w:szCs w:val="20"/>
        </w:rPr>
        <w:t xml:space="preserve">Dupont, S. A., Wijdicks, E. F., Manno, E. M., &amp; Rabinstein, A. A. (2008). Thunderclap headache and normal computed tomographic results: value of cerebrospinal fluid analysis. </w:t>
      </w:r>
      <w:r>
        <w:rPr>
          <w:i/>
          <w:iCs/>
          <w:sz w:val="20"/>
          <w:szCs w:val="20"/>
        </w:rPr>
        <w:t>Mayo Clinic proceedings</w:t>
      </w:r>
      <w:r>
        <w:rPr>
          <w:sz w:val="20"/>
          <w:szCs w:val="20"/>
        </w:rPr>
        <w:t xml:space="preserve">, </w:t>
      </w:r>
      <w:r>
        <w:rPr>
          <w:i/>
          <w:iCs/>
          <w:sz w:val="20"/>
          <w:szCs w:val="20"/>
        </w:rPr>
        <w:t>83</w:t>
      </w:r>
      <w:r>
        <w:rPr>
          <w:sz w:val="20"/>
          <w:szCs w:val="20"/>
        </w:rPr>
        <w:t>(12), 1326-31.</w:t>
      </w:r>
    </w:p>
    <w:p w14:paraId="26E3697B" w14:textId="77777777" w:rsidR="0039479F" w:rsidRDefault="00000000">
      <w:pPr>
        <w:spacing w:after="100" w:line="252" w:lineRule="auto"/>
        <w:ind w:left="454" w:hanging="454"/>
      </w:pPr>
      <w:r>
        <w:rPr>
          <w:sz w:val="20"/>
          <w:szCs w:val="20"/>
        </w:rPr>
        <w:lastRenderedPageBreak/>
        <w:t xml:space="preserve">Eberhardt, M., Powell, A., Bonfante, G., Rupp, V., Guarnaccia, J. R., Heller, M., &amp; Reed, J. (2006). Noninvasive measurement of carbon monoxide levels in ED patients with headache. </w:t>
      </w:r>
      <w:r>
        <w:rPr>
          <w:i/>
          <w:iCs/>
          <w:sz w:val="20"/>
          <w:szCs w:val="20"/>
        </w:rPr>
        <w:t xml:space="preserve">Journal of medical </w:t>
      </w:r>
      <w:proofErr w:type="gramStart"/>
      <w:r>
        <w:rPr>
          <w:i/>
          <w:iCs/>
          <w:sz w:val="20"/>
          <w:szCs w:val="20"/>
        </w:rPr>
        <w:t>toxicology :</w:t>
      </w:r>
      <w:proofErr w:type="gramEnd"/>
      <w:r>
        <w:rPr>
          <w:i/>
          <w:iCs/>
          <w:sz w:val="20"/>
          <w:szCs w:val="20"/>
        </w:rPr>
        <w:t xml:space="preserve"> official journal of the American College of Medical Toxicology</w:t>
      </w:r>
      <w:r>
        <w:rPr>
          <w:sz w:val="20"/>
          <w:szCs w:val="20"/>
        </w:rPr>
        <w:t xml:space="preserve">, </w:t>
      </w:r>
      <w:r>
        <w:rPr>
          <w:i/>
          <w:iCs/>
          <w:sz w:val="20"/>
          <w:szCs w:val="20"/>
        </w:rPr>
        <w:t>2</w:t>
      </w:r>
      <w:r>
        <w:rPr>
          <w:sz w:val="20"/>
          <w:szCs w:val="20"/>
        </w:rPr>
        <w:t>(3), 89-92. https://doi.org/10.1007/BF03161015</w:t>
      </w:r>
    </w:p>
    <w:p w14:paraId="7D524F2C" w14:textId="77777777" w:rsidR="0039479F" w:rsidRDefault="00000000">
      <w:pPr>
        <w:spacing w:after="100" w:line="252" w:lineRule="auto"/>
        <w:ind w:left="454" w:hanging="454"/>
      </w:pPr>
      <w:r>
        <w:rPr>
          <w:sz w:val="20"/>
          <w:szCs w:val="20"/>
        </w:rPr>
        <w:t xml:space="preserve">Ebrahimzadeh, S. A., Manzoor, K., Edlow, J. A., Selim, M., Chang, Y. M., Bhadelia, R. A., &amp; Mehta, P. (2022). Diagnostic yield of CT angiography performed for suspected cervical artery dissection in the emergency department. </w:t>
      </w:r>
      <w:r>
        <w:rPr>
          <w:i/>
          <w:iCs/>
          <w:sz w:val="20"/>
          <w:szCs w:val="20"/>
        </w:rPr>
        <w:t>Emergency radiology</w:t>
      </w:r>
      <w:r>
        <w:rPr>
          <w:sz w:val="20"/>
          <w:szCs w:val="20"/>
        </w:rPr>
        <w:t xml:space="preserve">, </w:t>
      </w:r>
      <w:r>
        <w:rPr>
          <w:i/>
          <w:iCs/>
          <w:sz w:val="20"/>
          <w:szCs w:val="20"/>
        </w:rPr>
        <w:t>29</w:t>
      </w:r>
      <w:r>
        <w:rPr>
          <w:sz w:val="20"/>
          <w:szCs w:val="20"/>
        </w:rPr>
        <w:t>(5), 825-832. https://doi.org/10.1007/s10140-022-02065-x</w:t>
      </w:r>
    </w:p>
    <w:p w14:paraId="59B453BA" w14:textId="77777777" w:rsidR="0039479F" w:rsidRDefault="00000000">
      <w:pPr>
        <w:spacing w:after="100" w:line="252" w:lineRule="auto"/>
        <w:ind w:left="454" w:hanging="454"/>
      </w:pPr>
      <w:r>
        <w:rPr>
          <w:sz w:val="20"/>
          <w:szCs w:val="20"/>
        </w:rPr>
        <w:t xml:space="preserve">Eken, C., Serinken, M., Güngör, F., &amp; Akdağ, Ö. (2026). Use of D-dimer to Screen for Cerebral Pathology in ED Patients with Non-traumatic Headache and Normal Neurological Exam. </w:t>
      </w:r>
      <w:r>
        <w:rPr>
          <w:i/>
          <w:iCs/>
          <w:sz w:val="20"/>
          <w:szCs w:val="20"/>
        </w:rPr>
        <w:t>The western journal of emergency medicine</w:t>
      </w:r>
      <w:r>
        <w:rPr>
          <w:sz w:val="20"/>
          <w:szCs w:val="20"/>
        </w:rPr>
        <w:t xml:space="preserve">, </w:t>
      </w:r>
      <w:r>
        <w:rPr>
          <w:i/>
          <w:iCs/>
          <w:sz w:val="20"/>
          <w:szCs w:val="20"/>
        </w:rPr>
        <w:t>27</w:t>
      </w:r>
      <w:r>
        <w:rPr>
          <w:sz w:val="20"/>
          <w:szCs w:val="20"/>
        </w:rPr>
        <w:t>(2), 304-310. https://doi.org/10.5811/westjem.48604</w:t>
      </w:r>
    </w:p>
    <w:p w14:paraId="75FCF370" w14:textId="77777777" w:rsidR="0039479F" w:rsidRDefault="00000000">
      <w:pPr>
        <w:spacing w:after="100" w:line="252" w:lineRule="auto"/>
        <w:ind w:left="454" w:hanging="454"/>
      </w:pPr>
      <w:r>
        <w:rPr>
          <w:sz w:val="20"/>
          <w:szCs w:val="20"/>
        </w:rPr>
        <w:t xml:space="preserve">Eryigit, U., Altunayoglu Cakmak, V., Sahin, A., Tatli, O., Pasli, S., Gazioglu, G., &amp; Karaca, Y. (2017). The diagnostic value of the neutrophil-lymphocyte ratio in distinguishing between subarachnoid hemorrhage and migraine. </w:t>
      </w:r>
      <w:r>
        <w:rPr>
          <w:i/>
          <w:iCs/>
          <w:sz w:val="20"/>
          <w:szCs w:val="20"/>
        </w:rPr>
        <w:t>The American journal of emergency medicine</w:t>
      </w:r>
      <w:r>
        <w:rPr>
          <w:sz w:val="20"/>
          <w:szCs w:val="20"/>
        </w:rPr>
        <w:t xml:space="preserve">, </w:t>
      </w:r>
      <w:r>
        <w:rPr>
          <w:i/>
          <w:iCs/>
          <w:sz w:val="20"/>
          <w:szCs w:val="20"/>
        </w:rPr>
        <w:t>35</w:t>
      </w:r>
      <w:r>
        <w:rPr>
          <w:sz w:val="20"/>
          <w:szCs w:val="20"/>
        </w:rPr>
        <w:t>(9), 1276-1280. https://doi.org/10.1016/j.ajem.2017.03.063</w:t>
      </w:r>
    </w:p>
    <w:p w14:paraId="04140CF9" w14:textId="77777777" w:rsidR="0039479F" w:rsidRDefault="00000000">
      <w:pPr>
        <w:spacing w:after="100" w:line="252" w:lineRule="auto"/>
        <w:ind w:left="454" w:hanging="454"/>
      </w:pPr>
      <w:r>
        <w:rPr>
          <w:sz w:val="20"/>
          <w:szCs w:val="20"/>
        </w:rPr>
        <w:t xml:space="preserve">Fellner, A., Goldstein, L., Lotan, I., Keret, O., &amp; Steiner, I. (2020). Meningitis without meningeal irritation signs: What are the alerting clinical </w:t>
      </w:r>
      <w:proofErr w:type="gramStart"/>
      <w:r>
        <w:rPr>
          <w:sz w:val="20"/>
          <w:szCs w:val="20"/>
        </w:rPr>
        <w:t>markers?.</w:t>
      </w:r>
      <w:proofErr w:type="gramEnd"/>
      <w:r>
        <w:rPr>
          <w:sz w:val="20"/>
          <w:szCs w:val="20"/>
        </w:rPr>
        <w:t xml:space="preserve"> </w:t>
      </w:r>
      <w:r>
        <w:rPr>
          <w:i/>
          <w:iCs/>
          <w:sz w:val="20"/>
          <w:szCs w:val="20"/>
        </w:rPr>
        <w:t>Journal of the neurological sciences</w:t>
      </w:r>
      <w:r>
        <w:rPr>
          <w:sz w:val="20"/>
          <w:szCs w:val="20"/>
        </w:rPr>
        <w:t xml:space="preserve">, </w:t>
      </w:r>
      <w:r>
        <w:rPr>
          <w:i/>
          <w:iCs/>
          <w:sz w:val="20"/>
          <w:szCs w:val="20"/>
        </w:rPr>
        <w:t>410</w:t>
      </w:r>
      <w:r>
        <w:rPr>
          <w:sz w:val="20"/>
          <w:szCs w:val="20"/>
        </w:rPr>
        <w:t>, 116663. https://doi.org/10.1016/j.jns.2019.116663</w:t>
      </w:r>
    </w:p>
    <w:p w14:paraId="1042548C" w14:textId="77777777" w:rsidR="0039479F" w:rsidRDefault="00000000">
      <w:pPr>
        <w:spacing w:after="100" w:line="252" w:lineRule="auto"/>
        <w:ind w:left="454" w:hanging="454"/>
      </w:pPr>
      <w:r>
        <w:rPr>
          <w:sz w:val="20"/>
          <w:szCs w:val="20"/>
        </w:rPr>
        <w:t xml:space="preserve">Foley, R. W., Ramachandran, S., Akintimehin, A., Williams, S., Connor, S. J., Hart, J., Kapadia, Y. K., Timofeev, I., Tolias, C. M., Whyte, M. B., &amp; Kelly, P. A. (2021). Subarachnoid haemorrhage rules in the decision for acute CT of the head: external validation in a UK cohort. </w:t>
      </w:r>
      <w:r>
        <w:rPr>
          <w:i/>
          <w:iCs/>
          <w:sz w:val="20"/>
          <w:szCs w:val="20"/>
        </w:rPr>
        <w:t>Clinical medicine (London, England)</w:t>
      </w:r>
      <w:r>
        <w:rPr>
          <w:sz w:val="20"/>
          <w:szCs w:val="20"/>
        </w:rPr>
        <w:t xml:space="preserve">, </w:t>
      </w:r>
      <w:r>
        <w:rPr>
          <w:i/>
          <w:iCs/>
          <w:sz w:val="20"/>
          <w:szCs w:val="20"/>
        </w:rPr>
        <w:t>21</w:t>
      </w:r>
      <w:r>
        <w:rPr>
          <w:sz w:val="20"/>
          <w:szCs w:val="20"/>
        </w:rPr>
        <w:t>(2), 96-100. https://doi.org/10.7861/clinmed.2020-0437</w:t>
      </w:r>
    </w:p>
    <w:p w14:paraId="5BB23927" w14:textId="77777777" w:rsidR="0039479F" w:rsidRDefault="00000000">
      <w:pPr>
        <w:spacing w:after="100" w:line="252" w:lineRule="auto"/>
        <w:ind w:left="454" w:hanging="454"/>
      </w:pPr>
      <w:r>
        <w:rPr>
          <w:sz w:val="20"/>
          <w:szCs w:val="20"/>
        </w:rPr>
        <w:t xml:space="preserve">Foot, C., &amp; Staib, A. (2001). How valuable is a lumbar puncture in the management of patients with suspected subarachnoid </w:t>
      </w:r>
      <w:proofErr w:type="gramStart"/>
      <w:r>
        <w:rPr>
          <w:sz w:val="20"/>
          <w:szCs w:val="20"/>
        </w:rPr>
        <w:t>haemorrhage?.</w:t>
      </w:r>
      <w:proofErr w:type="gramEnd"/>
      <w:r>
        <w:rPr>
          <w:sz w:val="20"/>
          <w:szCs w:val="20"/>
        </w:rPr>
        <w:t xml:space="preserve"> </w:t>
      </w:r>
      <w:r>
        <w:rPr>
          <w:i/>
          <w:iCs/>
          <w:sz w:val="20"/>
          <w:szCs w:val="20"/>
        </w:rPr>
        <w:t>Emergency medicine (Fremantle, W.A.)</w:t>
      </w:r>
      <w:r>
        <w:rPr>
          <w:sz w:val="20"/>
          <w:szCs w:val="20"/>
        </w:rPr>
        <w:t xml:space="preserve">, </w:t>
      </w:r>
      <w:r>
        <w:rPr>
          <w:i/>
          <w:iCs/>
          <w:sz w:val="20"/>
          <w:szCs w:val="20"/>
        </w:rPr>
        <w:t>13</w:t>
      </w:r>
      <w:r>
        <w:rPr>
          <w:sz w:val="20"/>
          <w:szCs w:val="20"/>
        </w:rPr>
        <w:t>(3), 326-32. https://doi.org/10.1046/j.1035-6851.2001.00236.x</w:t>
      </w:r>
    </w:p>
    <w:p w14:paraId="5F477325" w14:textId="77777777" w:rsidR="0039479F" w:rsidRDefault="00000000">
      <w:pPr>
        <w:spacing w:after="100" w:line="252" w:lineRule="auto"/>
        <w:ind w:left="454" w:hanging="454"/>
      </w:pPr>
      <w:r>
        <w:rPr>
          <w:sz w:val="20"/>
          <w:szCs w:val="20"/>
        </w:rPr>
        <w:t xml:space="preserve">Gaini, R., Reyes, S. L., Muqeem, T., Unnithan, S., Al-Khalidi, H., Kranz, P. G., &amp; Morgenlander, J. C. (2026). Likelihood and Predictors of Acute Findings on CTA Head and Neck for Neurologic Presentations to the Emergency Department. </w:t>
      </w:r>
      <w:r>
        <w:rPr>
          <w:i/>
          <w:iCs/>
          <w:sz w:val="20"/>
          <w:szCs w:val="20"/>
        </w:rPr>
        <w:t>Neurology. Clinical practice</w:t>
      </w:r>
      <w:r>
        <w:rPr>
          <w:sz w:val="20"/>
          <w:szCs w:val="20"/>
        </w:rPr>
        <w:t xml:space="preserve">, </w:t>
      </w:r>
      <w:r>
        <w:rPr>
          <w:i/>
          <w:iCs/>
          <w:sz w:val="20"/>
          <w:szCs w:val="20"/>
        </w:rPr>
        <w:t>16</w:t>
      </w:r>
      <w:r>
        <w:rPr>
          <w:sz w:val="20"/>
          <w:szCs w:val="20"/>
        </w:rPr>
        <w:t>(2), e200596. https://doi.org/10.1212/CPJ.0000000000200596</w:t>
      </w:r>
    </w:p>
    <w:p w14:paraId="53193472" w14:textId="77777777" w:rsidR="0039479F" w:rsidRDefault="00000000">
      <w:pPr>
        <w:spacing w:after="100" w:line="252" w:lineRule="auto"/>
        <w:ind w:left="454" w:hanging="454"/>
      </w:pPr>
      <w:r>
        <w:rPr>
          <w:sz w:val="20"/>
          <w:szCs w:val="20"/>
        </w:rPr>
        <w:t xml:space="preserve">Gangloff, A., Nadeau, L., Perry, J. J., Baril, P., &amp; Émond, M. (2015). Ruptured aneurysmal subarachnoid hemorrhage in the emergency department: Clinical outcome of patients having a lumbar puncture for red blood cell count, visual and spectrophotometric xanthochromia after a negative computed tomography. </w:t>
      </w:r>
      <w:r>
        <w:rPr>
          <w:i/>
          <w:iCs/>
          <w:sz w:val="20"/>
          <w:szCs w:val="20"/>
        </w:rPr>
        <w:t>Clinical biochemistry</w:t>
      </w:r>
      <w:r>
        <w:rPr>
          <w:sz w:val="20"/>
          <w:szCs w:val="20"/>
        </w:rPr>
        <w:t xml:space="preserve">, </w:t>
      </w:r>
      <w:r>
        <w:rPr>
          <w:i/>
          <w:iCs/>
          <w:sz w:val="20"/>
          <w:szCs w:val="20"/>
        </w:rPr>
        <w:t>48</w:t>
      </w:r>
      <w:r>
        <w:rPr>
          <w:sz w:val="20"/>
          <w:szCs w:val="20"/>
        </w:rPr>
        <w:t>(10-11), 634-9. https://doi.org/10.1016/j.clinbiochem.2015.03.011</w:t>
      </w:r>
    </w:p>
    <w:p w14:paraId="08FDE9BC" w14:textId="77777777" w:rsidR="0039479F" w:rsidRDefault="00000000">
      <w:pPr>
        <w:spacing w:after="100" w:line="252" w:lineRule="auto"/>
        <w:ind w:left="454" w:hanging="454"/>
      </w:pPr>
      <w:r>
        <w:rPr>
          <w:sz w:val="20"/>
          <w:szCs w:val="20"/>
        </w:rPr>
        <w:t xml:space="preserve">García-Azorín, D., Abelaira-Freire, J., González-García, N., Rodriguez-Adrada, E., Schytz, H. W., Barloese, M., Guerrero, Á. L., Porta-Etessam, J., &amp; Martín-Sánchez, F. J. (2022). Sensitivity of the SNNOOP10 list in the high-risk secondary headache detection. </w:t>
      </w:r>
      <w:proofErr w:type="gramStart"/>
      <w:r>
        <w:rPr>
          <w:i/>
          <w:iCs/>
          <w:sz w:val="20"/>
          <w:szCs w:val="20"/>
        </w:rPr>
        <w:t>Cephalalgia :</w:t>
      </w:r>
      <w:proofErr w:type="gramEnd"/>
      <w:r>
        <w:rPr>
          <w:i/>
          <w:iCs/>
          <w:sz w:val="20"/>
          <w:szCs w:val="20"/>
        </w:rPr>
        <w:t xml:space="preserve"> an international journal of headache</w:t>
      </w:r>
      <w:r>
        <w:rPr>
          <w:sz w:val="20"/>
          <w:szCs w:val="20"/>
        </w:rPr>
        <w:t xml:space="preserve">, </w:t>
      </w:r>
      <w:r>
        <w:rPr>
          <w:i/>
          <w:iCs/>
          <w:sz w:val="20"/>
          <w:szCs w:val="20"/>
        </w:rPr>
        <w:t>42</w:t>
      </w:r>
      <w:r>
        <w:rPr>
          <w:sz w:val="20"/>
          <w:szCs w:val="20"/>
        </w:rPr>
        <w:t>(14), 1521-1531. https://doi.org/10.1177/03331024221120249</w:t>
      </w:r>
    </w:p>
    <w:p w14:paraId="0FFC8F7E" w14:textId="77777777" w:rsidR="0039479F" w:rsidRDefault="00000000">
      <w:pPr>
        <w:spacing w:after="100" w:line="252" w:lineRule="auto"/>
        <w:ind w:left="454" w:hanging="454"/>
      </w:pPr>
      <w:r>
        <w:rPr>
          <w:sz w:val="20"/>
          <w:szCs w:val="20"/>
        </w:rPr>
        <w:t xml:space="preserve">García-Azorín, D., Abelaira-Freire, J., Rodriguez-Adrada, E., González-García, N., Guerrero, Á. L., Porta-Etessam, J., &amp; Martín-Sánchez, F. J. (2023). Study about the Manchester Triage System subtriage in patients that visited the Emergency Department due to headache. </w:t>
      </w:r>
      <w:r>
        <w:rPr>
          <w:i/>
          <w:iCs/>
          <w:sz w:val="20"/>
          <w:szCs w:val="20"/>
        </w:rPr>
        <w:t>Neurologia</w:t>
      </w:r>
      <w:r>
        <w:rPr>
          <w:sz w:val="20"/>
          <w:szCs w:val="20"/>
        </w:rPr>
        <w:t xml:space="preserve">, </w:t>
      </w:r>
      <w:r>
        <w:rPr>
          <w:i/>
          <w:iCs/>
          <w:sz w:val="20"/>
          <w:szCs w:val="20"/>
        </w:rPr>
        <w:t>38</w:t>
      </w:r>
      <w:r>
        <w:rPr>
          <w:sz w:val="20"/>
          <w:szCs w:val="20"/>
        </w:rPr>
        <w:t>(4), 270-277. https://doi.org/10.1016/j.nrleng.2020.06.018</w:t>
      </w:r>
    </w:p>
    <w:p w14:paraId="67197F1B" w14:textId="77777777" w:rsidR="0039479F" w:rsidRDefault="00000000">
      <w:pPr>
        <w:spacing w:after="100" w:line="252" w:lineRule="auto"/>
        <w:ind w:left="454" w:hanging="454"/>
      </w:pPr>
      <w:r>
        <w:rPr>
          <w:sz w:val="20"/>
          <w:szCs w:val="20"/>
        </w:rPr>
        <w:t xml:space="preserve">García-Azorín, D., Farid-Zahran, M., Gutiérrez-Sánchez, M., González-García, M. N., Guerrero, A. L., &amp; Porta-Etessam, J. (2020b). Tension-type headache in the Emergency Department Diagnosis and misdiagnosis: The TEDDi study. </w:t>
      </w:r>
      <w:r>
        <w:rPr>
          <w:i/>
          <w:iCs/>
          <w:sz w:val="20"/>
          <w:szCs w:val="20"/>
        </w:rPr>
        <w:t>Scientific reports</w:t>
      </w:r>
      <w:r>
        <w:rPr>
          <w:sz w:val="20"/>
          <w:szCs w:val="20"/>
        </w:rPr>
        <w:t xml:space="preserve">, </w:t>
      </w:r>
      <w:r>
        <w:rPr>
          <w:i/>
          <w:iCs/>
          <w:sz w:val="20"/>
          <w:szCs w:val="20"/>
        </w:rPr>
        <w:t>10</w:t>
      </w:r>
      <w:r>
        <w:rPr>
          <w:sz w:val="20"/>
          <w:szCs w:val="20"/>
        </w:rPr>
        <w:t>(1), 2446. https://doi.org/10.1038/s41598-020-59171-4</w:t>
      </w:r>
    </w:p>
    <w:p w14:paraId="582E20B3" w14:textId="77777777" w:rsidR="0039479F" w:rsidRDefault="00000000">
      <w:pPr>
        <w:spacing w:after="100" w:line="252" w:lineRule="auto"/>
        <w:ind w:left="454" w:hanging="454"/>
      </w:pPr>
      <w:r>
        <w:rPr>
          <w:sz w:val="20"/>
          <w:szCs w:val="20"/>
        </w:rPr>
        <w:t xml:space="preserve">García-Azorín, D., González-García, N., Abelaira-Freire, J., Marcos-Dolado, A., Guerrero, Á. L., Martín-Sanchez, F. J., &amp; Porta-Etessam, J. (2021). Management of thunderclap headache in the emergency room: A retrospective cohort study. </w:t>
      </w:r>
      <w:proofErr w:type="gramStart"/>
      <w:r>
        <w:rPr>
          <w:i/>
          <w:iCs/>
          <w:sz w:val="20"/>
          <w:szCs w:val="20"/>
        </w:rPr>
        <w:t>Cephalalgia :</w:t>
      </w:r>
      <w:proofErr w:type="gramEnd"/>
      <w:r>
        <w:rPr>
          <w:i/>
          <w:iCs/>
          <w:sz w:val="20"/>
          <w:szCs w:val="20"/>
        </w:rPr>
        <w:t xml:space="preserve"> an international journal of headache</w:t>
      </w:r>
      <w:r>
        <w:rPr>
          <w:sz w:val="20"/>
          <w:szCs w:val="20"/>
        </w:rPr>
        <w:t xml:space="preserve">, </w:t>
      </w:r>
      <w:r>
        <w:rPr>
          <w:i/>
          <w:iCs/>
          <w:sz w:val="20"/>
          <w:szCs w:val="20"/>
        </w:rPr>
        <w:t>41</w:t>
      </w:r>
      <w:r>
        <w:rPr>
          <w:sz w:val="20"/>
          <w:szCs w:val="20"/>
        </w:rPr>
        <w:t>(6), 711-720. https://doi.org/10.1177/0333102420981721</w:t>
      </w:r>
    </w:p>
    <w:p w14:paraId="7CA95076" w14:textId="77777777" w:rsidR="0039479F" w:rsidRDefault="00000000">
      <w:pPr>
        <w:spacing w:after="100" w:line="252" w:lineRule="auto"/>
        <w:ind w:left="454" w:hanging="454"/>
      </w:pPr>
      <w:r>
        <w:rPr>
          <w:sz w:val="20"/>
          <w:szCs w:val="20"/>
        </w:rPr>
        <w:t xml:space="preserve">García-Azorín, D., Monje, M. H. G., González-García, N., Guerrero, Á. L., &amp; Porta-Etessam, J. (2020a). Presence of red flags in patients with cerebral venous sinus thrombosis admitted to the emergency department because of headache: A STROBE compliant cohort-study. </w:t>
      </w:r>
      <w:r>
        <w:rPr>
          <w:i/>
          <w:iCs/>
          <w:sz w:val="20"/>
          <w:szCs w:val="20"/>
        </w:rPr>
        <w:t>Medicine</w:t>
      </w:r>
      <w:r>
        <w:rPr>
          <w:sz w:val="20"/>
          <w:szCs w:val="20"/>
        </w:rPr>
        <w:t xml:space="preserve">, </w:t>
      </w:r>
      <w:r>
        <w:rPr>
          <w:i/>
          <w:iCs/>
          <w:sz w:val="20"/>
          <w:szCs w:val="20"/>
        </w:rPr>
        <w:t>99</w:t>
      </w:r>
      <w:r>
        <w:rPr>
          <w:sz w:val="20"/>
          <w:szCs w:val="20"/>
        </w:rPr>
        <w:t>(29), e20900. https://doi.org/10.1097/MD.0000000000020900</w:t>
      </w:r>
    </w:p>
    <w:p w14:paraId="0680AC1E" w14:textId="77777777" w:rsidR="0039479F" w:rsidRDefault="00000000">
      <w:pPr>
        <w:spacing w:after="100" w:line="252" w:lineRule="auto"/>
        <w:ind w:left="454" w:hanging="454"/>
      </w:pPr>
      <w:r>
        <w:rPr>
          <w:sz w:val="20"/>
          <w:szCs w:val="20"/>
        </w:rPr>
        <w:t xml:space="preserve">Gaughran, C. G., &amp; Tubridy, N. (2014). Headaches, neurologists and the emergency department. </w:t>
      </w:r>
      <w:r>
        <w:rPr>
          <w:i/>
          <w:iCs/>
          <w:sz w:val="20"/>
          <w:szCs w:val="20"/>
        </w:rPr>
        <w:t>Irish medical journal</w:t>
      </w:r>
      <w:r>
        <w:rPr>
          <w:sz w:val="20"/>
          <w:szCs w:val="20"/>
        </w:rPr>
        <w:t xml:space="preserve">, </w:t>
      </w:r>
      <w:r>
        <w:rPr>
          <w:i/>
          <w:iCs/>
          <w:sz w:val="20"/>
          <w:szCs w:val="20"/>
        </w:rPr>
        <w:t>107</w:t>
      </w:r>
      <w:r>
        <w:rPr>
          <w:sz w:val="20"/>
          <w:szCs w:val="20"/>
        </w:rPr>
        <w:t>(6), 168-71.</w:t>
      </w:r>
    </w:p>
    <w:p w14:paraId="1157A815" w14:textId="77777777" w:rsidR="0039479F" w:rsidRDefault="00000000">
      <w:pPr>
        <w:spacing w:after="100" w:line="252" w:lineRule="auto"/>
        <w:ind w:left="454" w:hanging="454"/>
      </w:pPr>
      <w:r>
        <w:rPr>
          <w:sz w:val="20"/>
          <w:szCs w:val="20"/>
        </w:rPr>
        <w:t xml:space="preserve">Gee, C., Dawson, M., Bledsoe, J., Ledyard, H., Phanthavady, T., Youngquist, S., McGuire, T., &amp; Madsen, T. (2012). Sensitivity of newer-generation computed tomography scanners for subarachnoid hemorrhage: a Bayesian analysis. </w:t>
      </w:r>
      <w:r>
        <w:rPr>
          <w:i/>
          <w:iCs/>
          <w:sz w:val="20"/>
          <w:szCs w:val="20"/>
        </w:rPr>
        <w:t>The Journal of emergency medicine</w:t>
      </w:r>
      <w:r>
        <w:rPr>
          <w:sz w:val="20"/>
          <w:szCs w:val="20"/>
        </w:rPr>
        <w:t xml:space="preserve">, </w:t>
      </w:r>
      <w:r>
        <w:rPr>
          <w:i/>
          <w:iCs/>
          <w:sz w:val="20"/>
          <w:szCs w:val="20"/>
        </w:rPr>
        <w:t>43</w:t>
      </w:r>
      <w:r>
        <w:rPr>
          <w:sz w:val="20"/>
          <w:szCs w:val="20"/>
        </w:rPr>
        <w:t>(1), 13-8. https://doi.org/10.1016/j.jemermed.2011.09.012</w:t>
      </w:r>
    </w:p>
    <w:p w14:paraId="6AD7F568" w14:textId="77777777" w:rsidR="0039479F" w:rsidRDefault="00000000">
      <w:pPr>
        <w:spacing w:after="100" w:line="252" w:lineRule="auto"/>
        <w:ind w:left="454" w:hanging="454"/>
      </w:pPr>
      <w:r>
        <w:rPr>
          <w:sz w:val="20"/>
          <w:szCs w:val="20"/>
        </w:rPr>
        <w:t xml:space="preserve">Gilbert, J. W., Johnson, K. M., Larkin, G. L., &amp; Moore, C. L. (2012). Atraumatic headache in US emergency departments: recent trends in CT/MRI utilisation and factors associated with severe intracranial pathology. </w:t>
      </w:r>
      <w:r>
        <w:rPr>
          <w:i/>
          <w:iCs/>
          <w:sz w:val="20"/>
          <w:szCs w:val="20"/>
        </w:rPr>
        <w:t xml:space="preserve">Emergency medicine </w:t>
      </w:r>
      <w:proofErr w:type="gramStart"/>
      <w:r>
        <w:rPr>
          <w:i/>
          <w:iCs/>
          <w:sz w:val="20"/>
          <w:szCs w:val="20"/>
        </w:rPr>
        <w:t>journal :</w:t>
      </w:r>
      <w:proofErr w:type="gramEnd"/>
      <w:r>
        <w:rPr>
          <w:i/>
          <w:iCs/>
          <w:sz w:val="20"/>
          <w:szCs w:val="20"/>
        </w:rPr>
        <w:t xml:space="preserve"> EMJ</w:t>
      </w:r>
      <w:r>
        <w:rPr>
          <w:sz w:val="20"/>
          <w:szCs w:val="20"/>
        </w:rPr>
        <w:t xml:space="preserve">, </w:t>
      </w:r>
      <w:r>
        <w:rPr>
          <w:i/>
          <w:iCs/>
          <w:sz w:val="20"/>
          <w:szCs w:val="20"/>
        </w:rPr>
        <w:t>29</w:t>
      </w:r>
      <w:r>
        <w:rPr>
          <w:sz w:val="20"/>
          <w:szCs w:val="20"/>
        </w:rPr>
        <w:t>(7), 576-81. https://doi.org/10.1136/emermed-2011-200088</w:t>
      </w:r>
    </w:p>
    <w:p w14:paraId="79EE976E" w14:textId="77777777" w:rsidR="0039479F" w:rsidRDefault="00000000">
      <w:pPr>
        <w:spacing w:after="100" w:line="252" w:lineRule="auto"/>
        <w:ind w:left="454" w:hanging="454"/>
      </w:pPr>
      <w:r>
        <w:rPr>
          <w:sz w:val="20"/>
          <w:szCs w:val="20"/>
        </w:rPr>
        <w:lastRenderedPageBreak/>
        <w:t xml:space="preserve">Gill, H. S., Marcolini, E. G., Barber, D., &amp; Wira, C. R. (2018). The Utility of Lumbar Puncture After a Negative Head CT in the Emergency Department Evaluation of Subarachnoid Hemorrhage. </w:t>
      </w:r>
      <w:r>
        <w:rPr>
          <w:i/>
          <w:iCs/>
          <w:sz w:val="20"/>
          <w:szCs w:val="20"/>
        </w:rPr>
        <w:t>The Yale journal of biology and medicine</w:t>
      </w:r>
      <w:r>
        <w:rPr>
          <w:sz w:val="20"/>
          <w:szCs w:val="20"/>
        </w:rPr>
        <w:t xml:space="preserve">, </w:t>
      </w:r>
      <w:r>
        <w:rPr>
          <w:i/>
          <w:iCs/>
          <w:sz w:val="20"/>
          <w:szCs w:val="20"/>
        </w:rPr>
        <w:t>91</w:t>
      </w:r>
      <w:r>
        <w:rPr>
          <w:sz w:val="20"/>
          <w:szCs w:val="20"/>
        </w:rPr>
        <w:t>(1), 3-11.</w:t>
      </w:r>
    </w:p>
    <w:p w14:paraId="51345284" w14:textId="77777777" w:rsidR="0039479F" w:rsidRDefault="00000000">
      <w:pPr>
        <w:spacing w:after="100" w:line="252" w:lineRule="auto"/>
        <w:ind w:left="454" w:hanging="454"/>
      </w:pPr>
      <w:r>
        <w:rPr>
          <w:sz w:val="20"/>
          <w:szCs w:val="20"/>
        </w:rPr>
        <w:t xml:space="preserve">Goktekin, M. C., &amp; Yilmaz, M. (2018). Evaluation of Hematological Parameters in the Differentiation of Subarachnoid Hemorrhage and Other Headache Syndromes. </w:t>
      </w:r>
      <w:r>
        <w:rPr>
          <w:i/>
          <w:iCs/>
          <w:sz w:val="20"/>
          <w:szCs w:val="20"/>
        </w:rPr>
        <w:t>Clinical laboratory</w:t>
      </w:r>
      <w:r>
        <w:rPr>
          <w:sz w:val="20"/>
          <w:szCs w:val="20"/>
        </w:rPr>
        <w:t xml:space="preserve">, </w:t>
      </w:r>
      <w:r>
        <w:rPr>
          <w:i/>
          <w:iCs/>
          <w:sz w:val="20"/>
          <w:szCs w:val="20"/>
        </w:rPr>
        <w:t>64</w:t>
      </w:r>
      <w:r>
        <w:rPr>
          <w:sz w:val="20"/>
          <w:szCs w:val="20"/>
        </w:rPr>
        <w:t>(6), 937-943. https://doi.org/10.7754/Clin.Lab.2018.171209</w:t>
      </w:r>
    </w:p>
    <w:p w14:paraId="5F4E8005" w14:textId="77777777" w:rsidR="0039479F" w:rsidRDefault="00000000">
      <w:pPr>
        <w:spacing w:after="100" w:line="252" w:lineRule="auto"/>
        <w:ind w:left="454" w:hanging="454"/>
      </w:pPr>
      <w:r>
        <w:rPr>
          <w:sz w:val="20"/>
          <w:szCs w:val="20"/>
        </w:rPr>
        <w:t xml:space="preserve">Goldstein, J. N., Camargo, C. A., Pelletier, A. J., &amp; Edlow, J. A. (2006). Headache in United States emergency departments: demographics, work-up and frequency of pathological diagnoses. </w:t>
      </w:r>
      <w:proofErr w:type="gramStart"/>
      <w:r>
        <w:rPr>
          <w:i/>
          <w:iCs/>
          <w:sz w:val="20"/>
          <w:szCs w:val="20"/>
        </w:rPr>
        <w:t>Cephalalgia :</w:t>
      </w:r>
      <w:proofErr w:type="gramEnd"/>
      <w:r>
        <w:rPr>
          <w:i/>
          <w:iCs/>
          <w:sz w:val="20"/>
          <w:szCs w:val="20"/>
        </w:rPr>
        <w:t xml:space="preserve"> an international journal of headache</w:t>
      </w:r>
      <w:r>
        <w:rPr>
          <w:sz w:val="20"/>
          <w:szCs w:val="20"/>
        </w:rPr>
        <w:t xml:space="preserve">, </w:t>
      </w:r>
      <w:r>
        <w:rPr>
          <w:i/>
          <w:iCs/>
          <w:sz w:val="20"/>
          <w:szCs w:val="20"/>
        </w:rPr>
        <w:t>26</w:t>
      </w:r>
      <w:r>
        <w:rPr>
          <w:sz w:val="20"/>
          <w:szCs w:val="20"/>
        </w:rPr>
        <w:t>(6), 684-90. https://doi.org/10.1111/j.1468-2982.2006.01093.x</w:t>
      </w:r>
    </w:p>
    <w:p w14:paraId="61923980" w14:textId="77777777" w:rsidR="0039479F" w:rsidRDefault="00000000">
      <w:pPr>
        <w:spacing w:after="100" w:line="252" w:lineRule="auto"/>
        <w:ind w:left="454" w:hanging="454"/>
      </w:pPr>
      <w:r>
        <w:rPr>
          <w:sz w:val="20"/>
          <w:szCs w:val="20"/>
        </w:rPr>
        <w:t xml:space="preserve">Goldstein, L., Laytman, T., &amp; Steiner, I. (2018). Is Head Computerized Tomography Indicated for the Workup of Headache in Patients with Intact Neurological Examination. </w:t>
      </w:r>
      <w:r>
        <w:rPr>
          <w:i/>
          <w:iCs/>
          <w:sz w:val="20"/>
          <w:szCs w:val="20"/>
        </w:rPr>
        <w:t>European neurology</w:t>
      </w:r>
      <w:r>
        <w:rPr>
          <w:sz w:val="20"/>
          <w:szCs w:val="20"/>
        </w:rPr>
        <w:t xml:space="preserve">, </w:t>
      </w:r>
      <w:r>
        <w:rPr>
          <w:i/>
          <w:iCs/>
          <w:sz w:val="20"/>
          <w:szCs w:val="20"/>
        </w:rPr>
        <w:t>80</w:t>
      </w:r>
      <w:r>
        <w:rPr>
          <w:sz w:val="20"/>
          <w:szCs w:val="20"/>
        </w:rPr>
        <w:t>(5-6), 341-344. https://doi.org/10.1159/000496805</w:t>
      </w:r>
    </w:p>
    <w:p w14:paraId="41B4BCBD" w14:textId="77777777" w:rsidR="0039479F" w:rsidRDefault="00000000">
      <w:pPr>
        <w:spacing w:after="100" w:line="252" w:lineRule="auto"/>
        <w:ind w:left="454" w:hanging="454"/>
      </w:pPr>
      <w:r>
        <w:rPr>
          <w:sz w:val="20"/>
          <w:szCs w:val="20"/>
        </w:rPr>
        <w:t xml:space="preserve">Goyale, A., O'Shea, J., Marsden, J., Keep, J., &amp; Vincent, R. P. (2016). Analysis of cerebrospinal fluid for xanthochromia versus modern computed tomography scanners in the diagnosis of subarachnoid haemorrhage: experience at a tertiary trauma referral centre. </w:t>
      </w:r>
      <w:r>
        <w:rPr>
          <w:i/>
          <w:iCs/>
          <w:sz w:val="20"/>
          <w:szCs w:val="20"/>
        </w:rPr>
        <w:t>Annals of clinical biochemistry</w:t>
      </w:r>
      <w:r>
        <w:rPr>
          <w:sz w:val="20"/>
          <w:szCs w:val="20"/>
        </w:rPr>
        <w:t xml:space="preserve">, </w:t>
      </w:r>
      <w:r>
        <w:rPr>
          <w:i/>
          <w:iCs/>
          <w:sz w:val="20"/>
          <w:szCs w:val="20"/>
        </w:rPr>
        <w:t>53</w:t>
      </w:r>
      <w:r>
        <w:rPr>
          <w:sz w:val="20"/>
          <w:szCs w:val="20"/>
        </w:rPr>
        <w:t>(Pt 1), 150-4. https://doi.org/10.1177/0004563215579454</w:t>
      </w:r>
    </w:p>
    <w:p w14:paraId="4DB98550" w14:textId="77777777" w:rsidR="0039479F" w:rsidRDefault="00000000">
      <w:pPr>
        <w:spacing w:after="100" w:line="252" w:lineRule="auto"/>
        <w:ind w:left="454" w:hanging="454"/>
      </w:pPr>
      <w:r>
        <w:rPr>
          <w:sz w:val="20"/>
          <w:szCs w:val="20"/>
        </w:rPr>
        <w:t xml:space="preserve">Grau-Mercier, L., Grandpierre, R. G., Alonso, S., Savey, A., Le Floch, A., de Oliveira, F., Masia, T., Jory, N., Coisy, F., &amp; Claret, P. G. (2023). S100B serum level: A relevant biomarker for the management of non-traumatic headaches in emergency </w:t>
      </w:r>
      <w:proofErr w:type="gramStart"/>
      <w:r>
        <w:rPr>
          <w:sz w:val="20"/>
          <w:szCs w:val="20"/>
        </w:rPr>
        <w:t>care?.</w:t>
      </w:r>
      <w:proofErr w:type="gramEnd"/>
      <w:r>
        <w:rPr>
          <w:sz w:val="20"/>
          <w:szCs w:val="20"/>
        </w:rPr>
        <w:t xml:space="preserve"> </w:t>
      </w:r>
      <w:r>
        <w:rPr>
          <w:i/>
          <w:iCs/>
          <w:sz w:val="20"/>
          <w:szCs w:val="20"/>
        </w:rPr>
        <w:t>The American journal of emergency medicine</w:t>
      </w:r>
      <w:r>
        <w:rPr>
          <w:sz w:val="20"/>
          <w:szCs w:val="20"/>
        </w:rPr>
        <w:t xml:space="preserve">, </w:t>
      </w:r>
      <w:r>
        <w:rPr>
          <w:i/>
          <w:iCs/>
          <w:sz w:val="20"/>
          <w:szCs w:val="20"/>
        </w:rPr>
        <w:t>68</w:t>
      </w:r>
      <w:r>
        <w:rPr>
          <w:sz w:val="20"/>
          <w:szCs w:val="20"/>
        </w:rPr>
        <w:t>, 132-137. https://doi.org/10.1016/j.ajem.2023.03.036</w:t>
      </w:r>
    </w:p>
    <w:p w14:paraId="613C220E" w14:textId="77777777" w:rsidR="0039479F" w:rsidRDefault="00000000">
      <w:pPr>
        <w:spacing w:after="100" w:line="252" w:lineRule="auto"/>
        <w:ind w:left="454" w:hanging="454"/>
      </w:pPr>
      <w:r>
        <w:rPr>
          <w:sz w:val="20"/>
          <w:szCs w:val="20"/>
        </w:rPr>
        <w:t xml:space="preserve">Grimaldi, D., Nonino, F., Cevoli, S., Vandelli, A., D'Amico, R., &amp; Cortelli, P. (2009). Risk stratification of non-traumatic headache in the emergency department. </w:t>
      </w:r>
      <w:r>
        <w:rPr>
          <w:i/>
          <w:iCs/>
          <w:sz w:val="20"/>
          <w:szCs w:val="20"/>
        </w:rPr>
        <w:t>Journal of neurology</w:t>
      </w:r>
      <w:r>
        <w:rPr>
          <w:sz w:val="20"/>
          <w:szCs w:val="20"/>
        </w:rPr>
        <w:t xml:space="preserve">, </w:t>
      </w:r>
      <w:r>
        <w:rPr>
          <w:i/>
          <w:iCs/>
          <w:sz w:val="20"/>
          <w:szCs w:val="20"/>
        </w:rPr>
        <w:t>256</w:t>
      </w:r>
      <w:r>
        <w:rPr>
          <w:sz w:val="20"/>
          <w:szCs w:val="20"/>
        </w:rPr>
        <w:t>(1), 51-7. https://doi.org/10.1007/s00415-009-0033-0</w:t>
      </w:r>
    </w:p>
    <w:p w14:paraId="5AF364AD" w14:textId="77777777" w:rsidR="0039479F" w:rsidRDefault="00000000">
      <w:pPr>
        <w:spacing w:after="100" w:line="252" w:lineRule="auto"/>
        <w:ind w:left="454" w:hanging="454"/>
      </w:pPr>
      <w:r>
        <w:rPr>
          <w:sz w:val="20"/>
          <w:szCs w:val="20"/>
        </w:rPr>
        <w:t xml:space="preserve">Grooters, G. S., Sluzewski, M., &amp; Tijssen, C. C. (2014). How often is thunderclap headache caused by the reversible cerebral vasoconstriction </w:t>
      </w:r>
      <w:proofErr w:type="gramStart"/>
      <w:r>
        <w:rPr>
          <w:sz w:val="20"/>
          <w:szCs w:val="20"/>
        </w:rPr>
        <w:t>syndrome?.</w:t>
      </w:r>
      <w:proofErr w:type="gramEnd"/>
      <w:r>
        <w:rPr>
          <w:sz w:val="20"/>
          <w:szCs w:val="20"/>
        </w:rPr>
        <w:t xml:space="preserve"> </w:t>
      </w:r>
      <w:r>
        <w:rPr>
          <w:i/>
          <w:iCs/>
          <w:sz w:val="20"/>
          <w:szCs w:val="20"/>
        </w:rPr>
        <w:t>Headache</w:t>
      </w:r>
      <w:r>
        <w:rPr>
          <w:sz w:val="20"/>
          <w:szCs w:val="20"/>
        </w:rPr>
        <w:t xml:space="preserve">, </w:t>
      </w:r>
      <w:r>
        <w:rPr>
          <w:i/>
          <w:iCs/>
          <w:sz w:val="20"/>
          <w:szCs w:val="20"/>
        </w:rPr>
        <w:t>54</w:t>
      </w:r>
      <w:r>
        <w:rPr>
          <w:sz w:val="20"/>
          <w:szCs w:val="20"/>
        </w:rPr>
        <w:t>(4), 732-5. https://doi.org/10.1111/head.12256</w:t>
      </w:r>
    </w:p>
    <w:p w14:paraId="466A28C6" w14:textId="77777777" w:rsidR="0039479F" w:rsidRDefault="00000000">
      <w:pPr>
        <w:spacing w:after="100" w:line="252" w:lineRule="auto"/>
        <w:ind w:left="454" w:hanging="454"/>
      </w:pPr>
      <w:r>
        <w:rPr>
          <w:sz w:val="20"/>
          <w:szCs w:val="20"/>
        </w:rPr>
        <w:t xml:space="preserve">Grossberg, A. J., &amp; Galwankar, S. C. (2024). Cerebral Venous Thrombosis in Pregnant and Postpartum Women Presenting to the Emergency Department with Headaches. </w:t>
      </w:r>
      <w:r>
        <w:rPr>
          <w:i/>
          <w:iCs/>
          <w:sz w:val="20"/>
          <w:szCs w:val="20"/>
        </w:rPr>
        <w:t>Journal of emergencies, trauma, and shock</w:t>
      </w:r>
      <w:r>
        <w:rPr>
          <w:sz w:val="20"/>
          <w:szCs w:val="20"/>
        </w:rPr>
        <w:t xml:space="preserve">, </w:t>
      </w:r>
      <w:r>
        <w:rPr>
          <w:i/>
          <w:iCs/>
          <w:sz w:val="20"/>
          <w:szCs w:val="20"/>
        </w:rPr>
        <w:t>17</w:t>
      </w:r>
      <w:r>
        <w:rPr>
          <w:sz w:val="20"/>
          <w:szCs w:val="20"/>
        </w:rPr>
        <w:t>(1), 3-7. https://doi.org/10.4103/jets.jets_92_23</w:t>
      </w:r>
    </w:p>
    <w:p w14:paraId="71AB0B4B" w14:textId="77777777" w:rsidR="0039479F" w:rsidRDefault="00000000">
      <w:pPr>
        <w:spacing w:after="100" w:line="252" w:lineRule="auto"/>
        <w:ind w:left="454" w:hanging="454"/>
      </w:pPr>
      <w:r>
        <w:rPr>
          <w:sz w:val="20"/>
          <w:szCs w:val="20"/>
        </w:rPr>
        <w:t xml:space="preserve">Hammond, N., &amp; Ranta, A. (2017). Yield of head computed tomography in patients with new onset of transient headaches. </w:t>
      </w:r>
      <w:r>
        <w:rPr>
          <w:i/>
          <w:iCs/>
          <w:sz w:val="20"/>
          <w:szCs w:val="20"/>
        </w:rPr>
        <w:t>Internal medicine journal</w:t>
      </w:r>
      <w:r>
        <w:rPr>
          <w:sz w:val="20"/>
          <w:szCs w:val="20"/>
        </w:rPr>
        <w:t xml:space="preserve">, </w:t>
      </w:r>
      <w:r>
        <w:rPr>
          <w:i/>
          <w:iCs/>
          <w:sz w:val="20"/>
          <w:szCs w:val="20"/>
        </w:rPr>
        <w:t>47</w:t>
      </w:r>
      <w:r>
        <w:rPr>
          <w:sz w:val="20"/>
          <w:szCs w:val="20"/>
        </w:rPr>
        <w:t>(10), 1141-1146. https://doi.org/10.1111/imj.13517</w:t>
      </w:r>
    </w:p>
    <w:p w14:paraId="49DD3481" w14:textId="77777777" w:rsidR="0039479F" w:rsidRDefault="00000000">
      <w:pPr>
        <w:spacing w:after="100" w:line="252" w:lineRule="auto"/>
        <w:ind w:left="454" w:hanging="454"/>
      </w:pPr>
      <w:r>
        <w:rPr>
          <w:sz w:val="20"/>
          <w:szCs w:val="20"/>
        </w:rPr>
        <w:t xml:space="preserve">Han, A., Yoon, D. Y., Kim, E. S., Kim, H. C., Cho, B. M., &amp; Lee, J. Y. (2013). Value of CT angiography for the detection of intracranial vascular lesions in patients with acute severe headache. </w:t>
      </w:r>
      <w:r>
        <w:rPr>
          <w:i/>
          <w:iCs/>
          <w:sz w:val="20"/>
          <w:szCs w:val="20"/>
        </w:rPr>
        <w:t>European radiology</w:t>
      </w:r>
      <w:r>
        <w:rPr>
          <w:sz w:val="20"/>
          <w:szCs w:val="20"/>
        </w:rPr>
        <w:t xml:space="preserve">, </w:t>
      </w:r>
      <w:r>
        <w:rPr>
          <w:i/>
          <w:iCs/>
          <w:sz w:val="20"/>
          <w:szCs w:val="20"/>
        </w:rPr>
        <w:t>23</w:t>
      </w:r>
      <w:r>
        <w:rPr>
          <w:sz w:val="20"/>
          <w:szCs w:val="20"/>
        </w:rPr>
        <w:t>(6), 1443-9. https://doi.org/10.1007/s00330-012-2751-4</w:t>
      </w:r>
    </w:p>
    <w:p w14:paraId="4634273C" w14:textId="77777777" w:rsidR="0039479F" w:rsidRDefault="00000000">
      <w:pPr>
        <w:spacing w:after="100" w:line="252" w:lineRule="auto"/>
        <w:ind w:left="454" w:hanging="454"/>
      </w:pPr>
      <w:r>
        <w:rPr>
          <w:sz w:val="20"/>
          <w:szCs w:val="20"/>
        </w:rPr>
        <w:t xml:space="preserve">Handschin, N., Oppliger, M., Brehm, A., Psychogios, M., Bonati, L., Nickel, C. H., &amp; Bingisser, R. (2020). Nontraumatic Headache in Adult Emergency Patients: Prevalence, Etiologies, and Radiological Findings. </w:t>
      </w:r>
      <w:r>
        <w:rPr>
          <w:i/>
          <w:iCs/>
          <w:sz w:val="20"/>
          <w:szCs w:val="20"/>
        </w:rPr>
        <w:t>Journal of clinical medicine</w:t>
      </w:r>
      <w:r>
        <w:rPr>
          <w:sz w:val="20"/>
          <w:szCs w:val="20"/>
        </w:rPr>
        <w:t xml:space="preserve">, </w:t>
      </w:r>
      <w:r>
        <w:rPr>
          <w:i/>
          <w:iCs/>
          <w:sz w:val="20"/>
          <w:szCs w:val="20"/>
        </w:rPr>
        <w:t>9</w:t>
      </w:r>
      <w:r>
        <w:rPr>
          <w:sz w:val="20"/>
          <w:szCs w:val="20"/>
        </w:rPr>
        <w:t>(8). https://doi.org/10.3390/jcm9082621</w:t>
      </w:r>
    </w:p>
    <w:p w14:paraId="59D1F1A0" w14:textId="77777777" w:rsidR="0039479F" w:rsidRDefault="00000000">
      <w:pPr>
        <w:spacing w:after="100" w:line="252" w:lineRule="auto"/>
        <w:ind w:left="454" w:hanging="454"/>
      </w:pPr>
      <w:r>
        <w:rPr>
          <w:sz w:val="20"/>
          <w:szCs w:val="20"/>
        </w:rPr>
        <w:t xml:space="preserve">Hann, A., Chu, K., Greenslade, J., Williams, J., &amp; Brown, A. (2015). Benefit of cerebrospinal fluid spectrophotometry in the assessment of CT scan negative suspected subarachnoid haemorrhage: a diagnostic accuracy study. </w:t>
      </w:r>
      <w:r>
        <w:rPr>
          <w:i/>
          <w:iCs/>
          <w:sz w:val="20"/>
          <w:szCs w:val="20"/>
        </w:rPr>
        <w:t xml:space="preserve">Journal of clinical </w:t>
      </w:r>
      <w:proofErr w:type="gramStart"/>
      <w:r>
        <w:rPr>
          <w:i/>
          <w:iCs/>
          <w:sz w:val="20"/>
          <w:szCs w:val="20"/>
        </w:rPr>
        <w:t>neuroscience :</w:t>
      </w:r>
      <w:proofErr w:type="gramEnd"/>
      <w:r>
        <w:rPr>
          <w:i/>
          <w:iCs/>
          <w:sz w:val="20"/>
          <w:szCs w:val="20"/>
        </w:rPr>
        <w:t xml:space="preserve"> official journal of the Neurosurgical Society of Australasia</w:t>
      </w:r>
      <w:r>
        <w:rPr>
          <w:sz w:val="20"/>
          <w:szCs w:val="20"/>
        </w:rPr>
        <w:t xml:space="preserve">, </w:t>
      </w:r>
      <w:r>
        <w:rPr>
          <w:i/>
          <w:iCs/>
          <w:sz w:val="20"/>
          <w:szCs w:val="20"/>
        </w:rPr>
        <w:t>22</w:t>
      </w:r>
      <w:r>
        <w:rPr>
          <w:sz w:val="20"/>
          <w:szCs w:val="20"/>
        </w:rPr>
        <w:t>(1), 173-9. https://doi.org/10.1016/j.jocn.2014.07.025</w:t>
      </w:r>
    </w:p>
    <w:p w14:paraId="662F763E" w14:textId="77777777" w:rsidR="0039479F" w:rsidRDefault="00000000">
      <w:pPr>
        <w:spacing w:after="100" w:line="252" w:lineRule="auto"/>
        <w:ind w:left="454" w:hanging="454"/>
      </w:pPr>
      <w:r>
        <w:rPr>
          <w:sz w:val="20"/>
          <w:szCs w:val="20"/>
        </w:rPr>
        <w:t xml:space="preserve">Happonen, T., Nyman, M., Ylikotila, P., Merisaari, H., Mattila, K., &amp; Hirvonen, J. (2023). Diagnostic yield of emergency MRI in non-traumatic headache. </w:t>
      </w:r>
      <w:r>
        <w:rPr>
          <w:i/>
          <w:iCs/>
          <w:sz w:val="20"/>
          <w:szCs w:val="20"/>
        </w:rPr>
        <w:t>Neuroradiology</w:t>
      </w:r>
      <w:r>
        <w:rPr>
          <w:sz w:val="20"/>
          <w:szCs w:val="20"/>
        </w:rPr>
        <w:t xml:space="preserve">, </w:t>
      </w:r>
      <w:r>
        <w:rPr>
          <w:i/>
          <w:iCs/>
          <w:sz w:val="20"/>
          <w:szCs w:val="20"/>
        </w:rPr>
        <w:t>65</w:t>
      </w:r>
      <w:r>
        <w:rPr>
          <w:sz w:val="20"/>
          <w:szCs w:val="20"/>
        </w:rPr>
        <w:t>(1), 89-96. https://doi.org/10.1007/s00234-022-03044-2</w:t>
      </w:r>
    </w:p>
    <w:p w14:paraId="45D810AC" w14:textId="77777777" w:rsidR="0039479F" w:rsidRDefault="00000000">
      <w:pPr>
        <w:spacing w:after="100" w:line="252" w:lineRule="auto"/>
        <w:ind w:left="454" w:hanging="454"/>
      </w:pPr>
      <w:r>
        <w:rPr>
          <w:sz w:val="20"/>
          <w:szCs w:val="20"/>
        </w:rPr>
        <w:t xml:space="preserve">Hashimoto, Y., Matsushige, T., Kawano, R., Yoshiyama, M., Hara, T., Kobayashi, S., Ono, C., Sakamoto, S., &amp; Horie, N. (2023). Headache characteristics to screen for cervicocerebral artery dissection in patients with acute onset unusual headache. </w:t>
      </w:r>
      <w:r>
        <w:rPr>
          <w:i/>
          <w:iCs/>
          <w:sz w:val="20"/>
          <w:szCs w:val="20"/>
        </w:rPr>
        <w:t>Headache</w:t>
      </w:r>
      <w:r>
        <w:rPr>
          <w:sz w:val="20"/>
          <w:szCs w:val="20"/>
        </w:rPr>
        <w:t xml:space="preserve">, </w:t>
      </w:r>
      <w:r>
        <w:rPr>
          <w:i/>
          <w:iCs/>
          <w:sz w:val="20"/>
          <w:szCs w:val="20"/>
        </w:rPr>
        <w:t>63</w:t>
      </w:r>
      <w:r>
        <w:rPr>
          <w:sz w:val="20"/>
          <w:szCs w:val="20"/>
        </w:rPr>
        <w:t>(2), 283-289. https://doi.org/10.1111/head.14454</w:t>
      </w:r>
    </w:p>
    <w:p w14:paraId="0D0482C2" w14:textId="77777777" w:rsidR="0039479F" w:rsidRDefault="00000000">
      <w:pPr>
        <w:spacing w:after="100" w:line="252" w:lineRule="auto"/>
        <w:ind w:left="454" w:hanging="454"/>
      </w:pPr>
      <w:r>
        <w:rPr>
          <w:sz w:val="20"/>
          <w:szCs w:val="20"/>
        </w:rPr>
        <w:t xml:space="preserve">Heasley, D. C., Mohamed, M. A., &amp; Yousem, D. M. (2005). Clearing of red blood cells in lumbar puncture does not rule out ruptured aneurysm in patients with suspected subarachnoid hemorrhage but negative head CT findings. </w:t>
      </w:r>
      <w:r>
        <w:rPr>
          <w:i/>
          <w:iCs/>
          <w:sz w:val="20"/>
          <w:szCs w:val="20"/>
        </w:rPr>
        <w:t>AJNR. American journal of neuroradiology</w:t>
      </w:r>
      <w:r>
        <w:rPr>
          <w:sz w:val="20"/>
          <w:szCs w:val="20"/>
        </w:rPr>
        <w:t xml:space="preserve">, </w:t>
      </w:r>
      <w:r>
        <w:rPr>
          <w:i/>
          <w:iCs/>
          <w:sz w:val="20"/>
          <w:szCs w:val="20"/>
        </w:rPr>
        <w:t>26</w:t>
      </w:r>
      <w:r>
        <w:rPr>
          <w:sz w:val="20"/>
          <w:szCs w:val="20"/>
        </w:rPr>
        <w:t>(4), 820-4.</w:t>
      </w:r>
    </w:p>
    <w:p w14:paraId="01191204" w14:textId="77777777" w:rsidR="0039479F" w:rsidRDefault="00000000">
      <w:pPr>
        <w:spacing w:after="100" w:line="252" w:lineRule="auto"/>
        <w:ind w:left="454" w:hanging="454"/>
      </w:pPr>
      <w:r>
        <w:rPr>
          <w:sz w:val="20"/>
          <w:szCs w:val="20"/>
        </w:rPr>
        <w:t xml:space="preserve">Heldner, M. R., Zuurbier, S. M., Li, B., Von Martial, R., Meijers, J. C. M., Zimmermann, R., Volbers, B., Jung, S., El-Koussy, M., Fischer, U., Kohler, H. P., Schroeder, V., Coutinho, J. M., &amp; Arnold, M. (2020). Prediction of cerebral venous thrombosis with a new clinical score and D-dimer levels. </w:t>
      </w:r>
      <w:r>
        <w:rPr>
          <w:i/>
          <w:iCs/>
          <w:sz w:val="20"/>
          <w:szCs w:val="20"/>
        </w:rPr>
        <w:t>Neurology</w:t>
      </w:r>
      <w:r>
        <w:rPr>
          <w:sz w:val="20"/>
          <w:szCs w:val="20"/>
        </w:rPr>
        <w:t xml:space="preserve">, </w:t>
      </w:r>
      <w:r>
        <w:rPr>
          <w:i/>
          <w:iCs/>
          <w:sz w:val="20"/>
          <w:szCs w:val="20"/>
        </w:rPr>
        <w:t>95</w:t>
      </w:r>
      <w:r>
        <w:rPr>
          <w:sz w:val="20"/>
          <w:szCs w:val="20"/>
        </w:rPr>
        <w:t>(7), e898-e909. https://doi.org/10.1212/WNL.0000000000009998</w:t>
      </w:r>
    </w:p>
    <w:p w14:paraId="39D4C625" w14:textId="77777777" w:rsidR="0039479F" w:rsidRDefault="00000000">
      <w:pPr>
        <w:spacing w:after="100" w:line="252" w:lineRule="auto"/>
        <w:ind w:left="454" w:hanging="454"/>
      </w:pPr>
      <w:r>
        <w:rPr>
          <w:sz w:val="20"/>
          <w:szCs w:val="20"/>
        </w:rPr>
        <w:lastRenderedPageBreak/>
        <w:t xml:space="preserve">Iskorur, C., Korkut, M., &amp; Soyuncu, S. (2022). The relationship between abnormal intracranial findings in brain computed tomography and antiplatelet or anticoagulant use in patients with nontraumatic headache: a prospective cohort study. </w:t>
      </w:r>
      <w:r>
        <w:rPr>
          <w:i/>
          <w:iCs/>
          <w:sz w:val="20"/>
          <w:szCs w:val="20"/>
        </w:rPr>
        <w:t>Clinical and experimental emergency medicine</w:t>
      </w:r>
      <w:r>
        <w:rPr>
          <w:sz w:val="20"/>
          <w:szCs w:val="20"/>
        </w:rPr>
        <w:t xml:space="preserve">, </w:t>
      </w:r>
      <w:r>
        <w:rPr>
          <w:i/>
          <w:iCs/>
          <w:sz w:val="20"/>
          <w:szCs w:val="20"/>
        </w:rPr>
        <w:t>9</w:t>
      </w:r>
      <w:r>
        <w:rPr>
          <w:sz w:val="20"/>
          <w:szCs w:val="20"/>
        </w:rPr>
        <w:t>(2), 134-139. https://doi.org/10.15441/ceem.21.117</w:t>
      </w:r>
    </w:p>
    <w:p w14:paraId="32C2571B" w14:textId="77777777" w:rsidR="0039479F" w:rsidRDefault="00000000">
      <w:pPr>
        <w:spacing w:after="100" w:line="252" w:lineRule="auto"/>
        <w:ind w:left="454" w:hanging="454"/>
      </w:pPr>
      <w:r>
        <w:rPr>
          <w:sz w:val="20"/>
          <w:szCs w:val="20"/>
        </w:rPr>
        <w:t xml:space="preserve">Jamshidi, S., Kandiah, P. A., Singhal, A. B., Resnick, J. B., Furie, K. L., Borczuk, P., Parry, B. A., Lev, M., Koroshetz, W. J., Chang, Y., &amp; Nagurney, J. T. (2011). Clinical predictors of significant findings on head computed tomographic angiography. </w:t>
      </w:r>
      <w:r>
        <w:rPr>
          <w:i/>
          <w:iCs/>
          <w:sz w:val="20"/>
          <w:szCs w:val="20"/>
        </w:rPr>
        <w:t>The Journal of emergency medicine</w:t>
      </w:r>
      <w:r>
        <w:rPr>
          <w:sz w:val="20"/>
          <w:szCs w:val="20"/>
        </w:rPr>
        <w:t xml:space="preserve">, </w:t>
      </w:r>
      <w:r>
        <w:rPr>
          <w:i/>
          <w:iCs/>
          <w:sz w:val="20"/>
          <w:szCs w:val="20"/>
        </w:rPr>
        <w:t>40</w:t>
      </w:r>
      <w:r>
        <w:rPr>
          <w:sz w:val="20"/>
          <w:szCs w:val="20"/>
        </w:rPr>
        <w:t>(4), 469-75. https://doi.org/10.1016/j.jemermed.2009.08.021</w:t>
      </w:r>
    </w:p>
    <w:p w14:paraId="649467B2" w14:textId="77777777" w:rsidR="0039479F" w:rsidRDefault="00000000">
      <w:pPr>
        <w:spacing w:after="100" w:line="252" w:lineRule="auto"/>
        <w:ind w:left="454" w:hanging="454"/>
      </w:pPr>
      <w:r>
        <w:rPr>
          <w:sz w:val="20"/>
          <w:szCs w:val="20"/>
        </w:rPr>
        <w:t xml:space="preserve">Jordan, Y. J., Lightfoote, J. B., &amp; Jordan, J. E. (2009). Computed tomography imaging in the management of headache in the emergency department: cost efficacy and policy implications. </w:t>
      </w:r>
      <w:r>
        <w:rPr>
          <w:i/>
          <w:iCs/>
          <w:sz w:val="20"/>
          <w:szCs w:val="20"/>
        </w:rPr>
        <w:t>Journal of the National Medical Association</w:t>
      </w:r>
      <w:r>
        <w:rPr>
          <w:sz w:val="20"/>
          <w:szCs w:val="20"/>
        </w:rPr>
        <w:t xml:space="preserve">, </w:t>
      </w:r>
      <w:r>
        <w:rPr>
          <w:i/>
          <w:iCs/>
          <w:sz w:val="20"/>
          <w:szCs w:val="20"/>
        </w:rPr>
        <w:t>101</w:t>
      </w:r>
      <w:r>
        <w:rPr>
          <w:sz w:val="20"/>
          <w:szCs w:val="20"/>
        </w:rPr>
        <w:t>(4), 331-5. https://doi.org/10.1016/s0027-9684(15)30880-4</w:t>
      </w:r>
    </w:p>
    <w:p w14:paraId="2C5AFD0B" w14:textId="77777777" w:rsidR="0039479F" w:rsidRDefault="00000000">
      <w:pPr>
        <w:spacing w:after="100" w:line="252" w:lineRule="auto"/>
        <w:ind w:left="454" w:hanging="454"/>
      </w:pPr>
      <w:r>
        <w:rPr>
          <w:sz w:val="20"/>
          <w:szCs w:val="20"/>
        </w:rPr>
        <w:t xml:space="preserve">Kaya, A., Satar, S., Gulen, M., Acehan, S., Afser, K. A., &amp; Demirhindi, H. (2023). Adding eosinophil count to EMERALD rules predicts subarachnoid haemorrhage better in emergency department. </w:t>
      </w:r>
      <w:r>
        <w:rPr>
          <w:i/>
          <w:iCs/>
          <w:sz w:val="20"/>
          <w:szCs w:val="20"/>
        </w:rPr>
        <w:t>Irish journal of medical science</w:t>
      </w:r>
      <w:r>
        <w:rPr>
          <w:sz w:val="20"/>
          <w:szCs w:val="20"/>
        </w:rPr>
        <w:t xml:space="preserve">, </w:t>
      </w:r>
      <w:r>
        <w:rPr>
          <w:i/>
          <w:iCs/>
          <w:sz w:val="20"/>
          <w:szCs w:val="20"/>
        </w:rPr>
        <w:t>192</w:t>
      </w:r>
      <w:r>
        <w:rPr>
          <w:sz w:val="20"/>
          <w:szCs w:val="20"/>
        </w:rPr>
        <w:t>(3), 1453-1462. https://doi.org/10.1007/s11845-022-03106-7</w:t>
      </w:r>
    </w:p>
    <w:p w14:paraId="39AA5F9F" w14:textId="77777777" w:rsidR="0039479F" w:rsidRDefault="00000000">
      <w:pPr>
        <w:spacing w:after="100" w:line="252" w:lineRule="auto"/>
        <w:ind w:left="454" w:hanging="454"/>
      </w:pPr>
      <w:r>
        <w:rPr>
          <w:sz w:val="20"/>
          <w:szCs w:val="20"/>
        </w:rPr>
        <w:t xml:space="preserve">Kelly, A. M., Chu, K. H., Kuan, W. S., Keijzers, G., Kinnear, F. B., Cardozo-Ocampo, A., &amp; HEAD Study and HEAD Colombia Investigators (2022). Is headache during pregnancy a higher risk for serious secondary headache cause? A HEAD study report. </w:t>
      </w:r>
      <w:r>
        <w:rPr>
          <w:i/>
          <w:iCs/>
          <w:sz w:val="20"/>
          <w:szCs w:val="20"/>
        </w:rPr>
        <w:t xml:space="preserve">Emergency medicine </w:t>
      </w:r>
      <w:proofErr w:type="gramStart"/>
      <w:r>
        <w:rPr>
          <w:i/>
          <w:iCs/>
          <w:sz w:val="20"/>
          <w:szCs w:val="20"/>
        </w:rPr>
        <w:t>Australasia :</w:t>
      </w:r>
      <w:proofErr w:type="gramEnd"/>
      <w:r>
        <w:rPr>
          <w:i/>
          <w:iCs/>
          <w:sz w:val="20"/>
          <w:szCs w:val="20"/>
        </w:rPr>
        <w:t xml:space="preserve"> EMA</w:t>
      </w:r>
      <w:r>
        <w:rPr>
          <w:sz w:val="20"/>
          <w:szCs w:val="20"/>
        </w:rPr>
        <w:t xml:space="preserve">, </w:t>
      </w:r>
      <w:r>
        <w:rPr>
          <w:i/>
          <w:iCs/>
          <w:sz w:val="20"/>
          <w:szCs w:val="20"/>
        </w:rPr>
        <w:t>34</w:t>
      </w:r>
      <w:r>
        <w:rPr>
          <w:sz w:val="20"/>
          <w:szCs w:val="20"/>
        </w:rPr>
        <w:t>(4), 629-631. https://doi.org/10.1111/1742-6723.14005</w:t>
      </w:r>
    </w:p>
    <w:p w14:paraId="58231B52" w14:textId="77777777" w:rsidR="0039479F" w:rsidRDefault="00000000">
      <w:pPr>
        <w:spacing w:after="100" w:line="252" w:lineRule="auto"/>
        <w:ind w:left="454" w:hanging="454"/>
      </w:pPr>
      <w:r>
        <w:rPr>
          <w:sz w:val="20"/>
          <w:szCs w:val="20"/>
        </w:rPr>
        <w:t xml:space="preserve">Kelly, A. M., Chu, K. H., Kuan, W. S., Keijzers, G., Kinnear, F. B., Cardozo-Ocampo, A., &amp; HEAD Study and HEAD Colombia Investigators (2025). What Proportion of Emergency Department Headache Patients </w:t>
      </w:r>
      <w:proofErr w:type="gramStart"/>
      <w:r>
        <w:rPr>
          <w:sz w:val="20"/>
          <w:szCs w:val="20"/>
        </w:rPr>
        <w:t>With</w:t>
      </w:r>
      <w:proofErr w:type="gramEnd"/>
      <w:r>
        <w:rPr>
          <w:sz w:val="20"/>
          <w:szCs w:val="20"/>
        </w:rPr>
        <w:t xml:space="preserve"> Normal Neurology Have a Serious Secondary Headache Cause? A HEAD Study Report. </w:t>
      </w:r>
      <w:r>
        <w:rPr>
          <w:i/>
          <w:iCs/>
          <w:sz w:val="20"/>
          <w:szCs w:val="20"/>
        </w:rPr>
        <w:t xml:space="preserve">Emergency medicine </w:t>
      </w:r>
      <w:proofErr w:type="gramStart"/>
      <w:r>
        <w:rPr>
          <w:i/>
          <w:iCs/>
          <w:sz w:val="20"/>
          <w:szCs w:val="20"/>
        </w:rPr>
        <w:t>Australasia :</w:t>
      </w:r>
      <w:proofErr w:type="gramEnd"/>
      <w:r>
        <w:rPr>
          <w:i/>
          <w:iCs/>
          <w:sz w:val="20"/>
          <w:szCs w:val="20"/>
        </w:rPr>
        <w:t xml:space="preserve"> EMA</w:t>
      </w:r>
      <w:r>
        <w:rPr>
          <w:sz w:val="20"/>
          <w:szCs w:val="20"/>
        </w:rPr>
        <w:t xml:space="preserve">, </w:t>
      </w:r>
      <w:r>
        <w:rPr>
          <w:i/>
          <w:iCs/>
          <w:sz w:val="20"/>
          <w:szCs w:val="20"/>
        </w:rPr>
        <w:t>37</w:t>
      </w:r>
      <w:r>
        <w:rPr>
          <w:sz w:val="20"/>
          <w:szCs w:val="20"/>
        </w:rPr>
        <w:t>(5), e70138. https://doi.org/10.1111/1742-6723.70138</w:t>
      </w:r>
    </w:p>
    <w:p w14:paraId="55DBFA58" w14:textId="77777777" w:rsidR="0039479F" w:rsidRDefault="00000000">
      <w:pPr>
        <w:spacing w:after="100" w:line="252" w:lineRule="auto"/>
        <w:ind w:left="454" w:hanging="454"/>
      </w:pPr>
      <w:r>
        <w:rPr>
          <w:sz w:val="20"/>
          <w:szCs w:val="20"/>
        </w:rPr>
        <w:t xml:space="preserve">Kelly, A. M., Klim, S., Edward, S., &amp; Millar, N. (2014). Sensitivity of proposed clinical decision rules for subarachnoid haemorrhage: An external validation study. </w:t>
      </w:r>
      <w:r>
        <w:rPr>
          <w:i/>
          <w:iCs/>
          <w:sz w:val="20"/>
          <w:szCs w:val="20"/>
        </w:rPr>
        <w:t xml:space="preserve">Emergency medicine </w:t>
      </w:r>
      <w:proofErr w:type="gramStart"/>
      <w:r>
        <w:rPr>
          <w:i/>
          <w:iCs/>
          <w:sz w:val="20"/>
          <w:szCs w:val="20"/>
        </w:rPr>
        <w:t>Australasia :</w:t>
      </w:r>
      <w:proofErr w:type="gramEnd"/>
      <w:r>
        <w:rPr>
          <w:i/>
          <w:iCs/>
          <w:sz w:val="20"/>
          <w:szCs w:val="20"/>
        </w:rPr>
        <w:t xml:space="preserve"> EMA</w:t>
      </w:r>
      <w:r>
        <w:rPr>
          <w:sz w:val="20"/>
          <w:szCs w:val="20"/>
        </w:rPr>
        <w:t xml:space="preserve">, </w:t>
      </w:r>
      <w:r>
        <w:rPr>
          <w:i/>
          <w:iCs/>
          <w:sz w:val="20"/>
          <w:szCs w:val="20"/>
        </w:rPr>
        <w:t>26</w:t>
      </w:r>
      <w:r>
        <w:rPr>
          <w:sz w:val="20"/>
          <w:szCs w:val="20"/>
        </w:rPr>
        <w:t>(6), 556-60. https://doi.org/10.1111/1742-6723.12325</w:t>
      </w:r>
    </w:p>
    <w:p w14:paraId="731FEED6" w14:textId="77777777" w:rsidR="0039479F" w:rsidRDefault="00000000">
      <w:pPr>
        <w:spacing w:after="100" w:line="252" w:lineRule="auto"/>
        <w:ind w:left="454" w:hanging="454"/>
      </w:pPr>
      <w:r>
        <w:rPr>
          <w:sz w:val="20"/>
          <w:szCs w:val="20"/>
        </w:rPr>
        <w:t xml:space="preserve">Kelly, A. M., Kuan, W. S., Chu, K. H., Kinnear, F. B., Keijzers, G., Karamercan, M. A., Klim, S., Wijeratne, T., Kamona, S., Graham, C. A., Body, R., Roberts, T., Horner, D., Laribi, S., &amp; and the HEAD Study Group (2021). Epidemiology, investigation, management, and outcome of headache in emergency departments (HEAD study)-A multinational observational study. </w:t>
      </w:r>
      <w:r>
        <w:rPr>
          <w:i/>
          <w:iCs/>
          <w:sz w:val="20"/>
          <w:szCs w:val="20"/>
        </w:rPr>
        <w:t>Headache</w:t>
      </w:r>
      <w:r>
        <w:rPr>
          <w:sz w:val="20"/>
          <w:szCs w:val="20"/>
        </w:rPr>
        <w:t xml:space="preserve">, </w:t>
      </w:r>
      <w:r>
        <w:rPr>
          <w:i/>
          <w:iCs/>
          <w:sz w:val="20"/>
          <w:szCs w:val="20"/>
        </w:rPr>
        <w:t>61</w:t>
      </w:r>
      <w:r>
        <w:rPr>
          <w:sz w:val="20"/>
          <w:szCs w:val="20"/>
        </w:rPr>
        <w:t>(10), 1539-1552. https://doi.org/10.1111/head.14230</w:t>
      </w:r>
    </w:p>
    <w:p w14:paraId="2B1A8506" w14:textId="77777777" w:rsidR="0039479F" w:rsidRDefault="00000000">
      <w:pPr>
        <w:spacing w:after="100" w:line="252" w:lineRule="auto"/>
        <w:ind w:left="454" w:hanging="454"/>
      </w:pPr>
      <w:r>
        <w:rPr>
          <w:sz w:val="20"/>
          <w:szCs w:val="20"/>
        </w:rPr>
        <w:t xml:space="preserve">Kilic, T. Y., Aksay, E., Atilla, O. D., Sezik, S., &amp; Camlar, M. (2017). The diagnostic value of complete blood count parameters in patients with subarachnoid hemorrhage. </w:t>
      </w:r>
      <w:r>
        <w:rPr>
          <w:i/>
          <w:iCs/>
          <w:sz w:val="20"/>
          <w:szCs w:val="20"/>
        </w:rPr>
        <w:t>Turkish journal of emergency medicine</w:t>
      </w:r>
      <w:r>
        <w:rPr>
          <w:sz w:val="20"/>
          <w:szCs w:val="20"/>
        </w:rPr>
        <w:t xml:space="preserve">, </w:t>
      </w:r>
      <w:r>
        <w:rPr>
          <w:i/>
          <w:iCs/>
          <w:sz w:val="20"/>
          <w:szCs w:val="20"/>
        </w:rPr>
        <w:t>17</w:t>
      </w:r>
      <w:r>
        <w:rPr>
          <w:sz w:val="20"/>
          <w:szCs w:val="20"/>
        </w:rPr>
        <w:t>(4), 128-131. https://doi.org/10.1016/j.tjem.2017.07.003</w:t>
      </w:r>
    </w:p>
    <w:p w14:paraId="336E05A1" w14:textId="77777777" w:rsidR="0039479F" w:rsidRDefault="00000000">
      <w:pPr>
        <w:spacing w:after="100" w:line="252" w:lineRule="auto"/>
        <w:ind w:left="454" w:hanging="454"/>
      </w:pPr>
      <w:r>
        <w:rPr>
          <w:sz w:val="20"/>
          <w:szCs w:val="20"/>
        </w:rPr>
        <w:t xml:space="preserve">Kim, K. J., Cho, J. H., Moon, J. B., Shin, M. C., Ohk, T. G., Lee, H. Y., &amp; Park, C. W. (2017). What factors determine the need for lumbar puncture in patients with fever and </w:t>
      </w:r>
      <w:proofErr w:type="gramStart"/>
      <w:r>
        <w:rPr>
          <w:sz w:val="20"/>
          <w:szCs w:val="20"/>
        </w:rPr>
        <w:t>headache?.</w:t>
      </w:r>
      <w:proofErr w:type="gramEnd"/>
      <w:r>
        <w:rPr>
          <w:sz w:val="20"/>
          <w:szCs w:val="20"/>
        </w:rPr>
        <w:t xml:space="preserve"> </w:t>
      </w:r>
      <w:r>
        <w:rPr>
          <w:i/>
          <w:iCs/>
          <w:sz w:val="20"/>
          <w:szCs w:val="20"/>
        </w:rPr>
        <w:t>Singapore medical journal</w:t>
      </w:r>
      <w:r>
        <w:rPr>
          <w:sz w:val="20"/>
          <w:szCs w:val="20"/>
        </w:rPr>
        <w:t xml:space="preserve">, </w:t>
      </w:r>
      <w:r>
        <w:rPr>
          <w:i/>
          <w:iCs/>
          <w:sz w:val="20"/>
          <w:szCs w:val="20"/>
        </w:rPr>
        <w:t>58</w:t>
      </w:r>
      <w:r>
        <w:rPr>
          <w:sz w:val="20"/>
          <w:szCs w:val="20"/>
        </w:rPr>
        <w:t>(10), 618-622. https://doi.org/10.11622/smedj.2016184</w:t>
      </w:r>
    </w:p>
    <w:p w14:paraId="1EDAD226" w14:textId="77777777" w:rsidR="0039479F" w:rsidRDefault="00000000">
      <w:pPr>
        <w:spacing w:after="100" w:line="252" w:lineRule="auto"/>
        <w:ind w:left="454" w:hanging="454"/>
      </w:pPr>
      <w:r>
        <w:rPr>
          <w:sz w:val="20"/>
          <w:szCs w:val="20"/>
        </w:rPr>
        <w:t xml:space="preserve">Kim, S. Y., Hong, G. S., Lee, J. H., Lee, C. W., Chung, W. J., &amp; Kim, S. (2024). Utility of cranial MRI in non-traumatic headache patients with prior negative head CT within 1 month. </w:t>
      </w:r>
      <w:r>
        <w:rPr>
          <w:i/>
          <w:iCs/>
          <w:sz w:val="20"/>
          <w:szCs w:val="20"/>
        </w:rPr>
        <w:t>Clinical radiology</w:t>
      </w:r>
      <w:r>
        <w:rPr>
          <w:sz w:val="20"/>
          <w:szCs w:val="20"/>
        </w:rPr>
        <w:t xml:space="preserve">, </w:t>
      </w:r>
      <w:r>
        <w:rPr>
          <w:i/>
          <w:iCs/>
          <w:sz w:val="20"/>
          <w:szCs w:val="20"/>
        </w:rPr>
        <w:t>79</w:t>
      </w:r>
      <w:r>
        <w:rPr>
          <w:sz w:val="20"/>
          <w:szCs w:val="20"/>
        </w:rPr>
        <w:t>(3), 189-196. https://doi.org/10.1016/j.crad.2023.11.009</w:t>
      </w:r>
    </w:p>
    <w:p w14:paraId="4BBCBB6B" w14:textId="77777777" w:rsidR="0039479F" w:rsidRDefault="00000000">
      <w:pPr>
        <w:spacing w:after="100" w:line="252" w:lineRule="auto"/>
        <w:ind w:left="454" w:hanging="454"/>
      </w:pPr>
      <w:r>
        <w:rPr>
          <w:sz w:val="20"/>
          <w:szCs w:val="20"/>
        </w:rPr>
        <w:t xml:space="preserve">Kimura, A., Kobayashi, K., Yamaguchi, H., Takahashi, T., Harada, M., Honda, H., Mori, Y., Hirose, K., &amp; Tanaka, N. (2016). New clinical decision rule to exclude subarachnoid haemorrhage for acute headache: a prospective multicentre observational study. </w:t>
      </w:r>
      <w:r>
        <w:rPr>
          <w:i/>
          <w:iCs/>
          <w:sz w:val="20"/>
          <w:szCs w:val="20"/>
        </w:rPr>
        <w:t>BMJ open</w:t>
      </w:r>
      <w:r>
        <w:rPr>
          <w:sz w:val="20"/>
          <w:szCs w:val="20"/>
        </w:rPr>
        <w:t xml:space="preserve">, </w:t>
      </w:r>
      <w:r>
        <w:rPr>
          <w:i/>
          <w:iCs/>
          <w:sz w:val="20"/>
          <w:szCs w:val="20"/>
        </w:rPr>
        <w:t>6</w:t>
      </w:r>
      <w:r>
        <w:rPr>
          <w:sz w:val="20"/>
          <w:szCs w:val="20"/>
        </w:rPr>
        <w:t>(9), e010999. https://doi.org/10.1136/bmjopen-2015-010999</w:t>
      </w:r>
    </w:p>
    <w:p w14:paraId="226ED9E1" w14:textId="77777777" w:rsidR="0039479F" w:rsidRDefault="00000000">
      <w:pPr>
        <w:spacing w:after="100" w:line="252" w:lineRule="auto"/>
        <w:ind w:left="454" w:hanging="454"/>
      </w:pPr>
      <w:r>
        <w:rPr>
          <w:sz w:val="20"/>
          <w:szCs w:val="20"/>
        </w:rPr>
        <w:t xml:space="preserve">Kirkegaard-Biosca, C., Moreno-Blas, C., Lluch-Álvarez, M., Falcó-Roget, A., Salmerón, P., Ramírez-Serra, C., Sellarès-Nadal, J., Burgos, J., &amp; Fernández-Hidalgo, N. (2024). Risk stratification for CNS infection: A potential tool to avoid unwarranted lumbar punctures - An observational study. </w:t>
      </w:r>
      <w:r>
        <w:rPr>
          <w:i/>
          <w:iCs/>
          <w:sz w:val="20"/>
          <w:szCs w:val="20"/>
        </w:rPr>
        <w:t>Medicina clinica</w:t>
      </w:r>
      <w:r>
        <w:rPr>
          <w:sz w:val="20"/>
          <w:szCs w:val="20"/>
        </w:rPr>
        <w:t xml:space="preserve">, </w:t>
      </w:r>
      <w:r>
        <w:rPr>
          <w:i/>
          <w:iCs/>
          <w:sz w:val="20"/>
          <w:szCs w:val="20"/>
        </w:rPr>
        <w:t>163</w:t>
      </w:r>
      <w:r>
        <w:rPr>
          <w:sz w:val="20"/>
          <w:szCs w:val="20"/>
        </w:rPr>
        <w:t>(10), 483-489. https://doi.org/10.1016/j.medcli.2024.07.005</w:t>
      </w:r>
    </w:p>
    <w:p w14:paraId="11A956B2" w14:textId="77777777" w:rsidR="0039479F" w:rsidRDefault="00000000">
      <w:pPr>
        <w:spacing w:after="100" w:line="252" w:lineRule="auto"/>
        <w:ind w:left="454" w:hanging="454"/>
      </w:pPr>
      <w:r>
        <w:rPr>
          <w:sz w:val="20"/>
          <w:szCs w:val="20"/>
        </w:rPr>
        <w:t xml:space="preserve">Knox, J., Chuni, C., Naqvi, Z., Crawford, P., &amp; Waring, W. (2012). Presentations to an acute medical unit due to headache: a review of 306 consecutive cases. </w:t>
      </w:r>
      <w:r>
        <w:rPr>
          <w:i/>
          <w:iCs/>
          <w:sz w:val="20"/>
          <w:szCs w:val="20"/>
        </w:rPr>
        <w:t>Acute medicine</w:t>
      </w:r>
      <w:r>
        <w:rPr>
          <w:sz w:val="20"/>
          <w:szCs w:val="20"/>
        </w:rPr>
        <w:t xml:space="preserve">, </w:t>
      </w:r>
      <w:r>
        <w:rPr>
          <w:i/>
          <w:iCs/>
          <w:sz w:val="20"/>
          <w:szCs w:val="20"/>
        </w:rPr>
        <w:t>11</w:t>
      </w:r>
      <w:r>
        <w:rPr>
          <w:sz w:val="20"/>
          <w:szCs w:val="20"/>
        </w:rPr>
        <w:t>(3), 144-9.</w:t>
      </w:r>
    </w:p>
    <w:p w14:paraId="286FA8DB" w14:textId="77777777" w:rsidR="0039479F" w:rsidRDefault="00000000">
      <w:pPr>
        <w:spacing w:after="100" w:line="252" w:lineRule="auto"/>
        <w:ind w:left="454" w:hanging="454"/>
      </w:pPr>
      <w:r>
        <w:rPr>
          <w:sz w:val="20"/>
          <w:szCs w:val="20"/>
        </w:rPr>
        <w:t xml:space="preserve">Kosinski, C. M., Mull, M., Schwarz, M., Koch, B., Biniek, R., Schläfer, J., Milkereit, E., Willmes, K., &amp; Schiefer, J. (2004). Do normal D-dimer levels reliably exclude cerebral sinus </w:t>
      </w:r>
      <w:proofErr w:type="gramStart"/>
      <w:r>
        <w:rPr>
          <w:sz w:val="20"/>
          <w:szCs w:val="20"/>
        </w:rPr>
        <w:t>thrombosis?.</w:t>
      </w:r>
      <w:proofErr w:type="gramEnd"/>
      <w:r>
        <w:rPr>
          <w:sz w:val="20"/>
          <w:szCs w:val="20"/>
        </w:rPr>
        <w:t xml:space="preserve"> </w:t>
      </w:r>
      <w:r>
        <w:rPr>
          <w:i/>
          <w:iCs/>
          <w:sz w:val="20"/>
          <w:szCs w:val="20"/>
        </w:rPr>
        <w:t>Stroke</w:t>
      </w:r>
      <w:r>
        <w:rPr>
          <w:sz w:val="20"/>
          <w:szCs w:val="20"/>
        </w:rPr>
        <w:t xml:space="preserve">, </w:t>
      </w:r>
      <w:r>
        <w:rPr>
          <w:i/>
          <w:iCs/>
          <w:sz w:val="20"/>
          <w:szCs w:val="20"/>
        </w:rPr>
        <w:t>35</w:t>
      </w:r>
      <w:r>
        <w:rPr>
          <w:sz w:val="20"/>
          <w:szCs w:val="20"/>
        </w:rPr>
        <w:t>(12), 2820-5. https://doi.org/10.1161/01.STR.0000147045.71923.18</w:t>
      </w:r>
    </w:p>
    <w:p w14:paraId="5EADAA41" w14:textId="77777777" w:rsidR="0039479F" w:rsidRDefault="00000000">
      <w:pPr>
        <w:spacing w:after="100" w:line="252" w:lineRule="auto"/>
        <w:ind w:left="454" w:hanging="454"/>
      </w:pPr>
      <w:r>
        <w:rPr>
          <w:sz w:val="20"/>
          <w:szCs w:val="20"/>
        </w:rPr>
        <w:t xml:space="preserve">Koyuncu, S., Bol, O., Ertan, T., Günay, N., &amp; Akdogan, H. İ. (2020). The detection of occult CO poisoning through noninvasive measurement of carboxyhemoglobin: A cross-sectional study. </w:t>
      </w:r>
      <w:r>
        <w:rPr>
          <w:i/>
          <w:iCs/>
          <w:sz w:val="20"/>
          <w:szCs w:val="20"/>
        </w:rPr>
        <w:t>The American journal of emergency medicine</w:t>
      </w:r>
      <w:r>
        <w:rPr>
          <w:sz w:val="20"/>
          <w:szCs w:val="20"/>
        </w:rPr>
        <w:t xml:space="preserve">, </w:t>
      </w:r>
      <w:r>
        <w:rPr>
          <w:i/>
          <w:iCs/>
          <w:sz w:val="20"/>
          <w:szCs w:val="20"/>
        </w:rPr>
        <w:t>38</w:t>
      </w:r>
      <w:r>
        <w:rPr>
          <w:sz w:val="20"/>
          <w:szCs w:val="20"/>
        </w:rPr>
        <w:t>(6), 1110-1114. https://doi.org/10.1016/j.ajem.2019.158383</w:t>
      </w:r>
    </w:p>
    <w:p w14:paraId="47697181" w14:textId="77777777" w:rsidR="0039479F" w:rsidRDefault="00000000">
      <w:pPr>
        <w:spacing w:after="100" w:line="252" w:lineRule="auto"/>
        <w:ind w:left="454" w:hanging="454"/>
      </w:pPr>
      <w:r>
        <w:rPr>
          <w:sz w:val="20"/>
          <w:szCs w:val="20"/>
        </w:rPr>
        <w:t xml:space="preserve">Kuan, W. S., Kumar, R., Yau, Y. W., Ng, W. M., Chia, D. W. J., Ng, E. Y., Lather, K. S., &amp; Chua, M. T. (2023). Headache in the Emergency Department: A Multicenter Observational Study from Singapore. </w:t>
      </w:r>
      <w:r>
        <w:rPr>
          <w:i/>
          <w:iCs/>
          <w:sz w:val="20"/>
          <w:szCs w:val="20"/>
        </w:rPr>
        <w:t>Medicina (Kaunas, Lithuania)</w:t>
      </w:r>
      <w:r>
        <w:rPr>
          <w:sz w:val="20"/>
          <w:szCs w:val="20"/>
        </w:rPr>
        <w:t xml:space="preserve">, </w:t>
      </w:r>
      <w:r>
        <w:rPr>
          <w:i/>
          <w:iCs/>
          <w:sz w:val="20"/>
          <w:szCs w:val="20"/>
        </w:rPr>
        <w:t>59</w:t>
      </w:r>
      <w:r>
        <w:rPr>
          <w:sz w:val="20"/>
          <w:szCs w:val="20"/>
        </w:rPr>
        <w:t>(7). https://doi.org/10.3390/medicina59071340</w:t>
      </w:r>
    </w:p>
    <w:p w14:paraId="33343F4D" w14:textId="77777777" w:rsidR="0039479F" w:rsidRDefault="00000000">
      <w:pPr>
        <w:spacing w:after="100" w:line="252" w:lineRule="auto"/>
        <w:ind w:left="454" w:hanging="454"/>
      </w:pPr>
      <w:r>
        <w:rPr>
          <w:sz w:val="20"/>
          <w:szCs w:val="20"/>
        </w:rPr>
        <w:lastRenderedPageBreak/>
        <w:t xml:space="preserve">Kuzume, D., Morimoto, Y., Kinboshi, M., Yoshida, T., &amp; Yamasaki, M. (2019). Association between aseptic meningitis and jolt accentuation of headache in adults. </w:t>
      </w:r>
      <w:r>
        <w:rPr>
          <w:i/>
          <w:iCs/>
          <w:sz w:val="20"/>
          <w:szCs w:val="20"/>
        </w:rPr>
        <w:t>Rinsho shinkeigaku = Clinical neurology</w:t>
      </w:r>
      <w:r>
        <w:rPr>
          <w:sz w:val="20"/>
          <w:szCs w:val="20"/>
        </w:rPr>
        <w:t xml:space="preserve">, </w:t>
      </w:r>
      <w:r>
        <w:rPr>
          <w:i/>
          <w:iCs/>
          <w:sz w:val="20"/>
          <w:szCs w:val="20"/>
        </w:rPr>
        <w:t>59</w:t>
      </w:r>
      <w:r>
        <w:rPr>
          <w:sz w:val="20"/>
          <w:szCs w:val="20"/>
        </w:rPr>
        <w:t>(9), 596-599. https://doi.org/10.5692/clinicalneurol.cn-001285</w:t>
      </w:r>
    </w:p>
    <w:p w14:paraId="766D33DA" w14:textId="77777777" w:rsidR="0039479F" w:rsidRDefault="00000000">
      <w:pPr>
        <w:spacing w:after="100" w:line="252" w:lineRule="auto"/>
        <w:ind w:left="454" w:hanging="454"/>
      </w:pPr>
      <w:r>
        <w:rPr>
          <w:sz w:val="20"/>
          <w:szCs w:val="20"/>
        </w:rPr>
        <w:t xml:space="preserve">Lalive, P. H., de Moerloose, P., Lovblad, K., Sarasin, F. P., Mermillod, B., &amp; Sztajzel, R. (2003). Is measurement of D-dimer useful in the diagnosis of cerebral venous </w:t>
      </w:r>
      <w:proofErr w:type="gramStart"/>
      <w:r>
        <w:rPr>
          <w:sz w:val="20"/>
          <w:szCs w:val="20"/>
        </w:rPr>
        <w:t>thrombosis?.</w:t>
      </w:r>
      <w:proofErr w:type="gramEnd"/>
      <w:r>
        <w:rPr>
          <w:sz w:val="20"/>
          <w:szCs w:val="20"/>
        </w:rPr>
        <w:t xml:space="preserve"> </w:t>
      </w:r>
      <w:r>
        <w:rPr>
          <w:i/>
          <w:iCs/>
          <w:sz w:val="20"/>
          <w:szCs w:val="20"/>
        </w:rPr>
        <w:t>Neurology</w:t>
      </w:r>
      <w:r>
        <w:rPr>
          <w:sz w:val="20"/>
          <w:szCs w:val="20"/>
        </w:rPr>
        <w:t xml:space="preserve">, </w:t>
      </w:r>
      <w:r>
        <w:rPr>
          <w:i/>
          <w:iCs/>
          <w:sz w:val="20"/>
          <w:szCs w:val="20"/>
        </w:rPr>
        <w:t>61</w:t>
      </w:r>
      <w:r>
        <w:rPr>
          <w:sz w:val="20"/>
          <w:szCs w:val="20"/>
        </w:rPr>
        <w:t>(8), 1057-60. https://doi.org/10.1212/01.wnl.0000090562.66120.1f</w:t>
      </w:r>
    </w:p>
    <w:p w14:paraId="566B2BF4" w14:textId="77777777" w:rsidR="0039479F" w:rsidRDefault="00000000">
      <w:pPr>
        <w:spacing w:after="100" w:line="252" w:lineRule="auto"/>
        <w:ind w:left="454" w:hanging="454"/>
      </w:pPr>
      <w:r>
        <w:rPr>
          <w:sz w:val="20"/>
          <w:szCs w:val="20"/>
        </w:rPr>
        <w:t xml:space="preserve">Landtblom, A. M., Fridriksson, S., Boivie, J., Hillman, J., Johansson, G., &amp; Johansson, I. (2002). Sudden onset headache: a prospective study of features, incidence and causes. </w:t>
      </w:r>
      <w:proofErr w:type="gramStart"/>
      <w:r>
        <w:rPr>
          <w:i/>
          <w:iCs/>
          <w:sz w:val="20"/>
          <w:szCs w:val="20"/>
        </w:rPr>
        <w:t>Cephalalgia :</w:t>
      </w:r>
      <w:proofErr w:type="gramEnd"/>
      <w:r>
        <w:rPr>
          <w:i/>
          <w:iCs/>
          <w:sz w:val="20"/>
          <w:szCs w:val="20"/>
        </w:rPr>
        <w:t xml:space="preserve"> an international journal of headache</w:t>
      </w:r>
      <w:r>
        <w:rPr>
          <w:sz w:val="20"/>
          <w:szCs w:val="20"/>
        </w:rPr>
        <w:t xml:space="preserve">, </w:t>
      </w:r>
      <w:r>
        <w:rPr>
          <w:i/>
          <w:iCs/>
          <w:sz w:val="20"/>
          <w:szCs w:val="20"/>
        </w:rPr>
        <w:t>22</w:t>
      </w:r>
      <w:r>
        <w:rPr>
          <w:sz w:val="20"/>
          <w:szCs w:val="20"/>
        </w:rPr>
        <w:t>(5), 354-60. https://doi.org/10.1046/j.1468-2982.2002.00368.x</w:t>
      </w:r>
    </w:p>
    <w:p w14:paraId="68820FEC" w14:textId="77777777" w:rsidR="0039479F" w:rsidRDefault="00000000">
      <w:pPr>
        <w:spacing w:after="100" w:line="252" w:lineRule="auto"/>
        <w:ind w:left="454" w:hanging="454"/>
      </w:pPr>
      <w:r>
        <w:rPr>
          <w:sz w:val="20"/>
          <w:szCs w:val="20"/>
        </w:rPr>
        <w:t xml:space="preserve">Larsson, A., Lipcsey, M., Dahlin, H., &amp; Andersson, M. (2020). Evaluation of Automated Determination of Bilirubin and Oxyhemoglobin in Cerebrospinal Fluid Using the DrugLog© Instrument. </w:t>
      </w:r>
      <w:r>
        <w:rPr>
          <w:i/>
          <w:iCs/>
          <w:sz w:val="20"/>
          <w:szCs w:val="20"/>
        </w:rPr>
        <w:t>Clinical laboratory</w:t>
      </w:r>
      <w:r>
        <w:rPr>
          <w:sz w:val="20"/>
          <w:szCs w:val="20"/>
        </w:rPr>
        <w:t xml:space="preserve">, </w:t>
      </w:r>
      <w:r>
        <w:rPr>
          <w:i/>
          <w:iCs/>
          <w:sz w:val="20"/>
          <w:szCs w:val="20"/>
        </w:rPr>
        <w:t>66</w:t>
      </w:r>
      <w:r>
        <w:rPr>
          <w:sz w:val="20"/>
          <w:szCs w:val="20"/>
        </w:rPr>
        <w:t>(11). https://doi.org/10.7754/Clin.Lab.2020.200343</w:t>
      </w:r>
    </w:p>
    <w:p w14:paraId="60A9BA3B" w14:textId="77777777" w:rsidR="0039479F" w:rsidRDefault="00000000">
      <w:pPr>
        <w:spacing w:after="100" w:line="252" w:lineRule="auto"/>
        <w:ind w:left="454" w:hanging="454"/>
      </w:pPr>
      <w:r>
        <w:rPr>
          <w:sz w:val="20"/>
          <w:szCs w:val="20"/>
        </w:rPr>
        <w:t xml:space="preserve">Lee, M. J., Choi, H. A., Choi, H., &amp; Chung, C. S. (2018). Serial testing of the ICHD-3 beta diagnostic criteria for probable reversible cerebral vasoconstriction syndrome: A prospective validation study. </w:t>
      </w:r>
      <w:proofErr w:type="gramStart"/>
      <w:r>
        <w:rPr>
          <w:i/>
          <w:iCs/>
          <w:sz w:val="20"/>
          <w:szCs w:val="20"/>
        </w:rPr>
        <w:t>Cephalalgia :</w:t>
      </w:r>
      <w:proofErr w:type="gramEnd"/>
      <w:r>
        <w:rPr>
          <w:i/>
          <w:iCs/>
          <w:sz w:val="20"/>
          <w:szCs w:val="20"/>
        </w:rPr>
        <w:t xml:space="preserve"> an international journal of headache</w:t>
      </w:r>
      <w:r>
        <w:rPr>
          <w:sz w:val="20"/>
          <w:szCs w:val="20"/>
        </w:rPr>
        <w:t xml:space="preserve">, </w:t>
      </w:r>
      <w:r>
        <w:rPr>
          <w:i/>
          <w:iCs/>
          <w:sz w:val="20"/>
          <w:szCs w:val="20"/>
        </w:rPr>
        <w:t>38</w:t>
      </w:r>
      <w:r>
        <w:rPr>
          <w:sz w:val="20"/>
          <w:szCs w:val="20"/>
        </w:rPr>
        <w:t>(10), 1665-1671. https://doi.org/10.1177/0333102417744361</w:t>
      </w:r>
    </w:p>
    <w:p w14:paraId="6A5A600B" w14:textId="77777777" w:rsidR="0039479F" w:rsidRDefault="00000000">
      <w:pPr>
        <w:spacing w:after="100" w:line="252" w:lineRule="auto"/>
        <w:ind w:left="454" w:hanging="454"/>
      </w:pPr>
      <w:r>
        <w:rPr>
          <w:sz w:val="20"/>
          <w:szCs w:val="20"/>
        </w:rPr>
        <w:t xml:space="preserve">Lee, Y., Kim, K., Paek, S. H., &amp; Chang, H. (2023). Efficacy of Non-Enhanced Brain Computed Tomography in Patients Presenting to the Emergency Department with Headache after COVID-19 Vaccination. </w:t>
      </w:r>
      <w:r>
        <w:rPr>
          <w:i/>
          <w:iCs/>
          <w:sz w:val="20"/>
          <w:szCs w:val="20"/>
        </w:rPr>
        <w:t>Journal of clinical medicine</w:t>
      </w:r>
      <w:r>
        <w:rPr>
          <w:sz w:val="20"/>
          <w:szCs w:val="20"/>
        </w:rPr>
        <w:t xml:space="preserve">, </w:t>
      </w:r>
      <w:r>
        <w:rPr>
          <w:i/>
          <w:iCs/>
          <w:sz w:val="20"/>
          <w:szCs w:val="20"/>
        </w:rPr>
        <w:t>12</w:t>
      </w:r>
      <w:r>
        <w:rPr>
          <w:sz w:val="20"/>
          <w:szCs w:val="20"/>
        </w:rPr>
        <w:t>(16). https://doi.org/10.3390/jcm12165279</w:t>
      </w:r>
    </w:p>
    <w:p w14:paraId="28237471" w14:textId="77777777" w:rsidR="0039479F" w:rsidRDefault="00000000">
      <w:pPr>
        <w:spacing w:after="100" w:line="252" w:lineRule="auto"/>
        <w:ind w:left="454" w:hanging="454"/>
      </w:pPr>
      <w:r>
        <w:rPr>
          <w:sz w:val="20"/>
          <w:szCs w:val="20"/>
        </w:rPr>
        <w:t xml:space="preserve">Lemmens, C. M. C., van der Linden, M. C., &amp; Jellema, K. (2021). The Value of Cranial CT Imaging in Patients </w:t>
      </w:r>
      <w:proofErr w:type="gramStart"/>
      <w:r>
        <w:rPr>
          <w:sz w:val="20"/>
          <w:szCs w:val="20"/>
        </w:rPr>
        <w:t>With</w:t>
      </w:r>
      <w:proofErr w:type="gramEnd"/>
      <w:r>
        <w:rPr>
          <w:sz w:val="20"/>
          <w:szCs w:val="20"/>
        </w:rPr>
        <w:t xml:space="preserve"> Headache at the Emergency Department. </w:t>
      </w:r>
      <w:r>
        <w:rPr>
          <w:i/>
          <w:iCs/>
          <w:sz w:val="20"/>
          <w:szCs w:val="20"/>
        </w:rPr>
        <w:t>Frontiers in neurology</w:t>
      </w:r>
      <w:r>
        <w:rPr>
          <w:sz w:val="20"/>
          <w:szCs w:val="20"/>
        </w:rPr>
        <w:t xml:space="preserve">, </w:t>
      </w:r>
      <w:r>
        <w:rPr>
          <w:i/>
          <w:iCs/>
          <w:sz w:val="20"/>
          <w:szCs w:val="20"/>
        </w:rPr>
        <w:t>12</w:t>
      </w:r>
      <w:r>
        <w:rPr>
          <w:sz w:val="20"/>
          <w:szCs w:val="20"/>
        </w:rPr>
        <w:t>, 663353. https://doi.org/10.3389/fneur.2021.663353</w:t>
      </w:r>
    </w:p>
    <w:p w14:paraId="7336E2D9" w14:textId="77777777" w:rsidR="0039479F" w:rsidRDefault="00000000">
      <w:pPr>
        <w:spacing w:after="100" w:line="252" w:lineRule="auto"/>
        <w:ind w:left="454" w:hanging="454"/>
      </w:pPr>
      <w:r>
        <w:rPr>
          <w:sz w:val="20"/>
          <w:szCs w:val="20"/>
        </w:rPr>
        <w:t xml:space="preserve">Liberman, A. L., Bakradze, E., Mchugh, D. C., Esenwa, C. C., &amp; Lipton, R. B. (2019). Assessing diagnostic error in cerebral venous thrombosis via detailed chart review. </w:t>
      </w:r>
      <w:r>
        <w:rPr>
          <w:i/>
          <w:iCs/>
          <w:sz w:val="20"/>
          <w:szCs w:val="20"/>
        </w:rPr>
        <w:t>Diagnosis (Berlin, Germany)</w:t>
      </w:r>
      <w:r>
        <w:rPr>
          <w:sz w:val="20"/>
          <w:szCs w:val="20"/>
        </w:rPr>
        <w:t xml:space="preserve">, </w:t>
      </w:r>
      <w:r>
        <w:rPr>
          <w:i/>
          <w:iCs/>
          <w:sz w:val="20"/>
          <w:szCs w:val="20"/>
        </w:rPr>
        <w:t>6</w:t>
      </w:r>
      <w:r>
        <w:rPr>
          <w:sz w:val="20"/>
          <w:szCs w:val="20"/>
        </w:rPr>
        <w:t>(4), 361-367. https://doi.org/10.1515/dx-2019-0003</w:t>
      </w:r>
    </w:p>
    <w:p w14:paraId="1BA989D5" w14:textId="77777777" w:rsidR="0039479F" w:rsidRDefault="00000000">
      <w:pPr>
        <w:spacing w:after="100" w:line="252" w:lineRule="auto"/>
        <w:ind w:left="454" w:hanging="454"/>
      </w:pPr>
      <w:r>
        <w:rPr>
          <w:sz w:val="20"/>
          <w:szCs w:val="20"/>
        </w:rPr>
        <w:t xml:space="preserve">Liberman, A. L., Gialdini, G., Bakradze, E., Chatterjee, A., Kamel, H., &amp; Merkler, A. E. (2018). Misdiagnosis of Cerebral Vein Thrombosis in the Emergency Department. </w:t>
      </w:r>
      <w:r>
        <w:rPr>
          <w:i/>
          <w:iCs/>
          <w:sz w:val="20"/>
          <w:szCs w:val="20"/>
        </w:rPr>
        <w:t>Stroke</w:t>
      </w:r>
      <w:r>
        <w:rPr>
          <w:sz w:val="20"/>
          <w:szCs w:val="20"/>
        </w:rPr>
        <w:t xml:space="preserve">, </w:t>
      </w:r>
      <w:r>
        <w:rPr>
          <w:i/>
          <w:iCs/>
          <w:sz w:val="20"/>
          <w:szCs w:val="20"/>
        </w:rPr>
        <w:t>49</w:t>
      </w:r>
      <w:r>
        <w:rPr>
          <w:sz w:val="20"/>
          <w:szCs w:val="20"/>
        </w:rPr>
        <w:t>(6), 1504-1506. https://doi.org/10.1161/STROKEAHA.118.021058</w:t>
      </w:r>
    </w:p>
    <w:p w14:paraId="5219728A" w14:textId="77777777" w:rsidR="0039479F" w:rsidRDefault="00000000">
      <w:pPr>
        <w:spacing w:after="100" w:line="252" w:lineRule="auto"/>
        <w:ind w:left="454" w:hanging="454"/>
      </w:pPr>
      <w:r>
        <w:rPr>
          <w:sz w:val="20"/>
          <w:szCs w:val="20"/>
        </w:rPr>
        <w:t xml:space="preserve">Liberman, A. L., Navi, B. B., Esenwa, C. C., Zhang, C., Song, J., Cheng, N. T., Labovitz, D. L., Kamel, H., &amp; Merkler, A. E. (2020). Misdiagnosis of Cervicocephalic Artery Dissection in the Emergency Department. </w:t>
      </w:r>
      <w:r>
        <w:rPr>
          <w:i/>
          <w:iCs/>
          <w:sz w:val="20"/>
          <w:szCs w:val="20"/>
        </w:rPr>
        <w:t>Stroke</w:t>
      </w:r>
      <w:r>
        <w:rPr>
          <w:sz w:val="20"/>
          <w:szCs w:val="20"/>
        </w:rPr>
        <w:t xml:space="preserve">, </w:t>
      </w:r>
      <w:r>
        <w:rPr>
          <w:i/>
          <w:iCs/>
          <w:sz w:val="20"/>
          <w:szCs w:val="20"/>
        </w:rPr>
        <w:t>51</w:t>
      </w:r>
      <w:r>
        <w:rPr>
          <w:sz w:val="20"/>
          <w:szCs w:val="20"/>
        </w:rPr>
        <w:t>(6), 1876-1878. https://doi.org/10.1161/STROKEAHA.120.029390</w:t>
      </w:r>
    </w:p>
    <w:p w14:paraId="354C00E2" w14:textId="77777777" w:rsidR="0039479F" w:rsidRDefault="00000000">
      <w:pPr>
        <w:spacing w:after="100" w:line="252" w:lineRule="auto"/>
        <w:ind w:left="454" w:hanging="454"/>
      </w:pPr>
      <w:r>
        <w:rPr>
          <w:sz w:val="20"/>
          <w:szCs w:val="20"/>
        </w:rPr>
        <w:t xml:space="preserve">Liberman, A. L., Zhang, C., Lipton, R. B., Kamel, H., Parikh, N. S., Navi, B. B., Segal, A. Z., Razzak, J., Newman-Toker, D. E., &amp; Merkler, A. E. (2022). Short-term stroke risk after emergency department treat-and-release headache visit. </w:t>
      </w:r>
      <w:r>
        <w:rPr>
          <w:i/>
          <w:iCs/>
          <w:sz w:val="20"/>
          <w:szCs w:val="20"/>
        </w:rPr>
        <w:t>Headache</w:t>
      </w:r>
      <w:r>
        <w:rPr>
          <w:sz w:val="20"/>
          <w:szCs w:val="20"/>
        </w:rPr>
        <w:t xml:space="preserve">, </w:t>
      </w:r>
      <w:r>
        <w:rPr>
          <w:i/>
          <w:iCs/>
          <w:sz w:val="20"/>
          <w:szCs w:val="20"/>
        </w:rPr>
        <w:t>62</w:t>
      </w:r>
      <w:r>
        <w:rPr>
          <w:sz w:val="20"/>
          <w:szCs w:val="20"/>
        </w:rPr>
        <w:t>(9), 1198-1206. https://doi.org/10.1111/head.14387</w:t>
      </w:r>
    </w:p>
    <w:p w14:paraId="3FCAB565" w14:textId="77777777" w:rsidR="0039479F" w:rsidRDefault="00000000">
      <w:pPr>
        <w:spacing w:after="100" w:line="252" w:lineRule="auto"/>
        <w:ind w:left="454" w:hanging="454"/>
      </w:pPr>
      <w:r>
        <w:rPr>
          <w:sz w:val="20"/>
          <w:szCs w:val="20"/>
        </w:rPr>
        <w:t xml:space="preserve">Liberman, A. L., Zhang, C., Parikh, N. S., Salehi Omran, S., Navi, B. B., Lappin, R. I., Merkler, A. E., Kaiser, J. H., &amp; Kamel, H. (2023). Misdiagnosis of Posterior Reversible Encephalopathy Syndrome and Reversible Cerebral Vasoconstriction Syndrome in the Emergency Department. </w:t>
      </w:r>
      <w:r>
        <w:rPr>
          <w:i/>
          <w:iCs/>
          <w:sz w:val="20"/>
          <w:szCs w:val="20"/>
        </w:rPr>
        <w:t>Journal of the American Heart Association</w:t>
      </w:r>
      <w:r>
        <w:rPr>
          <w:sz w:val="20"/>
          <w:szCs w:val="20"/>
        </w:rPr>
        <w:t xml:space="preserve">, </w:t>
      </w:r>
      <w:r>
        <w:rPr>
          <w:i/>
          <w:iCs/>
          <w:sz w:val="20"/>
          <w:szCs w:val="20"/>
        </w:rPr>
        <w:t>12</w:t>
      </w:r>
      <w:r>
        <w:rPr>
          <w:sz w:val="20"/>
          <w:szCs w:val="20"/>
        </w:rPr>
        <w:t>(19), e030009. https://doi.org/10.1161/JAHA.123.030009</w:t>
      </w:r>
    </w:p>
    <w:p w14:paraId="5E9DAE9E" w14:textId="77777777" w:rsidR="0039479F" w:rsidRDefault="00000000">
      <w:pPr>
        <w:spacing w:after="100" w:line="252" w:lineRule="auto"/>
        <w:ind w:left="454" w:hanging="454"/>
      </w:pPr>
      <w:r>
        <w:rPr>
          <w:sz w:val="20"/>
          <w:szCs w:val="20"/>
        </w:rPr>
        <w:t xml:space="preserve">Locker, T. E., Thompson, C., Rylance, J., &amp; Mason, S. M. (2006). The utility of clinical features in patients presenting with nontraumatic headache: an investigation of adult patients attending an emergency department. </w:t>
      </w:r>
      <w:r>
        <w:rPr>
          <w:i/>
          <w:iCs/>
          <w:sz w:val="20"/>
          <w:szCs w:val="20"/>
        </w:rPr>
        <w:t>Headache</w:t>
      </w:r>
      <w:r>
        <w:rPr>
          <w:sz w:val="20"/>
          <w:szCs w:val="20"/>
        </w:rPr>
        <w:t xml:space="preserve">, </w:t>
      </w:r>
      <w:r>
        <w:rPr>
          <w:i/>
          <w:iCs/>
          <w:sz w:val="20"/>
          <w:szCs w:val="20"/>
        </w:rPr>
        <w:t>46</w:t>
      </w:r>
      <w:r>
        <w:rPr>
          <w:sz w:val="20"/>
          <w:szCs w:val="20"/>
        </w:rPr>
        <w:t>(6), 954-61. https://doi.org/10.1111/j.1526-4610.2006.00448.x</w:t>
      </w:r>
    </w:p>
    <w:p w14:paraId="6240D5D0" w14:textId="77777777" w:rsidR="0039479F" w:rsidRDefault="00000000">
      <w:pPr>
        <w:spacing w:after="100" w:line="252" w:lineRule="auto"/>
        <w:ind w:left="454" w:hanging="454"/>
      </w:pPr>
      <w:r>
        <w:rPr>
          <w:sz w:val="20"/>
          <w:szCs w:val="20"/>
        </w:rPr>
        <w:t xml:space="preserve">Locker, T., Mason, S., &amp; Rigby, A. (2004). Headache management--are we doing enough? An observational study of patients presenting with headache to the emergency department. </w:t>
      </w:r>
      <w:r>
        <w:rPr>
          <w:i/>
          <w:iCs/>
          <w:sz w:val="20"/>
          <w:szCs w:val="20"/>
        </w:rPr>
        <w:t xml:space="preserve">Emergency medicine </w:t>
      </w:r>
      <w:proofErr w:type="gramStart"/>
      <w:r>
        <w:rPr>
          <w:i/>
          <w:iCs/>
          <w:sz w:val="20"/>
          <w:szCs w:val="20"/>
        </w:rPr>
        <w:t>journal :</w:t>
      </w:r>
      <w:proofErr w:type="gramEnd"/>
      <w:r>
        <w:rPr>
          <w:i/>
          <w:iCs/>
          <w:sz w:val="20"/>
          <w:szCs w:val="20"/>
        </w:rPr>
        <w:t xml:space="preserve"> EMJ</w:t>
      </w:r>
      <w:r>
        <w:rPr>
          <w:sz w:val="20"/>
          <w:szCs w:val="20"/>
        </w:rPr>
        <w:t xml:space="preserve">, </w:t>
      </w:r>
      <w:r>
        <w:rPr>
          <w:i/>
          <w:iCs/>
          <w:sz w:val="20"/>
          <w:szCs w:val="20"/>
        </w:rPr>
        <w:t>21</w:t>
      </w:r>
      <w:r>
        <w:rPr>
          <w:sz w:val="20"/>
          <w:szCs w:val="20"/>
        </w:rPr>
        <w:t>(3), 327-32. https://doi.org/10.1136/emj.2003.012351</w:t>
      </w:r>
    </w:p>
    <w:p w14:paraId="6C577469" w14:textId="77777777" w:rsidR="0039479F" w:rsidRDefault="00000000">
      <w:pPr>
        <w:spacing w:after="100" w:line="252" w:lineRule="auto"/>
        <w:ind w:left="454" w:hanging="454"/>
      </w:pPr>
      <w:r>
        <w:rPr>
          <w:sz w:val="20"/>
          <w:szCs w:val="20"/>
        </w:rPr>
        <w:t xml:space="preserve">Mac Grory, B., Vu, L., Cutting, S., Marcolini, E., Gottschalk, C., &amp; Greer, D. (2018). Distinguishing Characteristics of Headache in Nontraumatic Subarachnoid Hemorrhage. </w:t>
      </w:r>
      <w:r>
        <w:rPr>
          <w:i/>
          <w:iCs/>
          <w:sz w:val="20"/>
          <w:szCs w:val="20"/>
        </w:rPr>
        <w:t>Headache</w:t>
      </w:r>
      <w:r>
        <w:rPr>
          <w:sz w:val="20"/>
          <w:szCs w:val="20"/>
        </w:rPr>
        <w:t xml:space="preserve">, </w:t>
      </w:r>
      <w:r>
        <w:rPr>
          <w:i/>
          <w:iCs/>
          <w:sz w:val="20"/>
          <w:szCs w:val="20"/>
        </w:rPr>
        <w:t>58</w:t>
      </w:r>
      <w:r>
        <w:rPr>
          <w:sz w:val="20"/>
          <w:szCs w:val="20"/>
        </w:rPr>
        <w:t>(3), 364-370. https://doi.org/10.1111/head.13218</w:t>
      </w:r>
    </w:p>
    <w:p w14:paraId="7219D6E7" w14:textId="77777777" w:rsidR="0039479F" w:rsidRDefault="00000000">
      <w:pPr>
        <w:spacing w:after="100" w:line="252" w:lineRule="auto"/>
        <w:ind w:left="454" w:hanging="454"/>
      </w:pPr>
      <w:r>
        <w:rPr>
          <w:sz w:val="20"/>
          <w:szCs w:val="20"/>
        </w:rPr>
        <w:t xml:space="preserve">Mark, D. G., Hung, Y. Y., Offerman, S. R., Rauchwerger, A. S., Reed, M. E., Chettipally, U., Vinson, D. R., Ballard, D. W., &amp; Kaiser Permanente CREST Network Investigators (2013). Nontraumatic subarachnoid hemorrhage in the setting of negative cranial computed tomography results: external validation of a clinical and imaging prediction rule. </w:t>
      </w:r>
      <w:r>
        <w:rPr>
          <w:i/>
          <w:iCs/>
          <w:sz w:val="20"/>
          <w:szCs w:val="20"/>
        </w:rPr>
        <w:t>Annals of emergency medicine</w:t>
      </w:r>
      <w:r>
        <w:rPr>
          <w:sz w:val="20"/>
          <w:szCs w:val="20"/>
        </w:rPr>
        <w:t xml:space="preserve">, </w:t>
      </w:r>
      <w:r>
        <w:rPr>
          <w:i/>
          <w:iCs/>
          <w:sz w:val="20"/>
          <w:szCs w:val="20"/>
        </w:rPr>
        <w:t>62</w:t>
      </w:r>
      <w:r>
        <w:rPr>
          <w:sz w:val="20"/>
          <w:szCs w:val="20"/>
        </w:rPr>
        <w:t>(1), 1-</w:t>
      </w:r>
      <w:proofErr w:type="gramStart"/>
      <w:r>
        <w:rPr>
          <w:sz w:val="20"/>
          <w:szCs w:val="20"/>
        </w:rPr>
        <w:t>10.e</w:t>
      </w:r>
      <w:proofErr w:type="gramEnd"/>
      <w:r>
        <w:rPr>
          <w:sz w:val="20"/>
          <w:szCs w:val="20"/>
        </w:rPr>
        <w:t>1. https://doi.org/10.1016/j.annemergmed.2012.09.003</w:t>
      </w:r>
    </w:p>
    <w:p w14:paraId="6456585F" w14:textId="77777777" w:rsidR="0039479F" w:rsidRDefault="00000000">
      <w:pPr>
        <w:spacing w:after="100" w:line="252" w:lineRule="auto"/>
        <w:ind w:left="454" w:hanging="454"/>
      </w:pPr>
      <w:r>
        <w:rPr>
          <w:sz w:val="20"/>
          <w:szCs w:val="20"/>
        </w:rPr>
        <w:t xml:space="preserve">Mark, D. G., Kene, M. V., Offerman, S. R., Vinson, D. R., Ballard, D. W., &amp; Kaiser Permanente CREST Network (2015b). Validation of cerebrospinal fluid findings in aneurysmal subarachnoid hemorrhage. </w:t>
      </w:r>
      <w:r>
        <w:rPr>
          <w:i/>
          <w:iCs/>
          <w:sz w:val="20"/>
          <w:szCs w:val="20"/>
        </w:rPr>
        <w:t>The American journal of emergency medicine</w:t>
      </w:r>
      <w:r>
        <w:rPr>
          <w:sz w:val="20"/>
          <w:szCs w:val="20"/>
        </w:rPr>
        <w:t xml:space="preserve">, </w:t>
      </w:r>
      <w:r>
        <w:rPr>
          <w:i/>
          <w:iCs/>
          <w:sz w:val="20"/>
          <w:szCs w:val="20"/>
        </w:rPr>
        <w:t>33</w:t>
      </w:r>
      <w:r>
        <w:rPr>
          <w:sz w:val="20"/>
          <w:szCs w:val="20"/>
        </w:rPr>
        <w:t>(9), 1249-52. https://doi.org/10.1016/j.ajem.2015.05.012</w:t>
      </w:r>
    </w:p>
    <w:p w14:paraId="5F892979" w14:textId="77777777" w:rsidR="0039479F" w:rsidRDefault="00000000">
      <w:pPr>
        <w:spacing w:after="100" w:line="252" w:lineRule="auto"/>
        <w:ind w:left="454" w:hanging="454"/>
      </w:pPr>
      <w:r>
        <w:rPr>
          <w:sz w:val="20"/>
          <w:szCs w:val="20"/>
        </w:rPr>
        <w:lastRenderedPageBreak/>
        <w:t xml:space="preserve">Mark, D. G., Kene, M. V., Udaltsova, N., Vinson, D. R., &amp; Ballard, D. W. (2015a). Sensitivity of a Clinical Decision Rule and Early Computed Tomography in Aneurysmal Subarachnoid Hemorrhage. </w:t>
      </w:r>
      <w:r>
        <w:rPr>
          <w:i/>
          <w:iCs/>
          <w:sz w:val="20"/>
          <w:szCs w:val="20"/>
        </w:rPr>
        <w:t>The western journal of emergency medicine</w:t>
      </w:r>
      <w:r>
        <w:rPr>
          <w:sz w:val="20"/>
          <w:szCs w:val="20"/>
        </w:rPr>
        <w:t xml:space="preserve">, </w:t>
      </w:r>
      <w:r>
        <w:rPr>
          <w:i/>
          <w:iCs/>
          <w:sz w:val="20"/>
          <w:szCs w:val="20"/>
        </w:rPr>
        <w:t>16</w:t>
      </w:r>
      <w:r>
        <w:rPr>
          <w:sz w:val="20"/>
          <w:szCs w:val="20"/>
        </w:rPr>
        <w:t>(5), 671-6. https://doi.org/10.5811/westjem.2015.7.25894</w:t>
      </w:r>
    </w:p>
    <w:p w14:paraId="2C08F58D" w14:textId="77777777" w:rsidR="0039479F" w:rsidRDefault="00000000">
      <w:pPr>
        <w:spacing w:after="100" w:line="252" w:lineRule="auto"/>
        <w:ind w:left="454" w:hanging="454"/>
      </w:pPr>
      <w:r>
        <w:rPr>
          <w:sz w:val="20"/>
          <w:szCs w:val="20"/>
        </w:rPr>
        <w:t xml:space="preserve">Mark, D. G., Sonne, D. C., Jun, P., Schwartz, D. T., Kene, M. V., Vinson, D. R., &amp; Ballard, D. W. (2016). False-negative Interpretations of Cranial Computed Tomography in Aneurysmal Subarachnoid Hemorrhage. </w:t>
      </w:r>
      <w:r>
        <w:rPr>
          <w:i/>
          <w:iCs/>
          <w:sz w:val="20"/>
          <w:szCs w:val="20"/>
        </w:rPr>
        <w:t xml:space="preserve">Academic emergency </w:t>
      </w:r>
      <w:proofErr w:type="gramStart"/>
      <w:r>
        <w:rPr>
          <w:i/>
          <w:iCs/>
          <w:sz w:val="20"/>
          <w:szCs w:val="20"/>
        </w:rPr>
        <w:t>medicine :</w:t>
      </w:r>
      <w:proofErr w:type="gramEnd"/>
      <w:r>
        <w:rPr>
          <w:i/>
          <w:iCs/>
          <w:sz w:val="20"/>
          <w:szCs w:val="20"/>
        </w:rPr>
        <w:t xml:space="preserve"> official journal of the Society for Academic Emergency Medicine</w:t>
      </w:r>
      <w:r>
        <w:rPr>
          <w:sz w:val="20"/>
          <w:szCs w:val="20"/>
        </w:rPr>
        <w:t xml:space="preserve">, </w:t>
      </w:r>
      <w:r>
        <w:rPr>
          <w:i/>
          <w:iCs/>
          <w:sz w:val="20"/>
          <w:szCs w:val="20"/>
        </w:rPr>
        <w:t>23</w:t>
      </w:r>
      <w:r>
        <w:rPr>
          <w:sz w:val="20"/>
          <w:szCs w:val="20"/>
        </w:rPr>
        <w:t>(5), 591-8. https://doi.org/10.1111/acem.12941</w:t>
      </w:r>
    </w:p>
    <w:p w14:paraId="6EC0FFF5" w14:textId="77777777" w:rsidR="0039479F" w:rsidRDefault="00000000">
      <w:pPr>
        <w:spacing w:after="100" w:line="252" w:lineRule="auto"/>
        <w:ind w:left="454" w:hanging="454"/>
      </w:pPr>
      <w:r>
        <w:rPr>
          <w:sz w:val="20"/>
          <w:szCs w:val="20"/>
        </w:rPr>
        <w:t xml:space="preserve">Marshall, R. A., &amp; Hejamanowski, C. (2011). Urine test strips to exclude cerebral spinal fluid blood. </w:t>
      </w:r>
      <w:r>
        <w:rPr>
          <w:i/>
          <w:iCs/>
          <w:sz w:val="20"/>
          <w:szCs w:val="20"/>
        </w:rPr>
        <w:t>The western journal of emergency medicine</w:t>
      </w:r>
      <w:r>
        <w:rPr>
          <w:sz w:val="20"/>
          <w:szCs w:val="20"/>
        </w:rPr>
        <w:t xml:space="preserve">, </w:t>
      </w:r>
      <w:r>
        <w:rPr>
          <w:i/>
          <w:iCs/>
          <w:sz w:val="20"/>
          <w:szCs w:val="20"/>
        </w:rPr>
        <w:t>12</w:t>
      </w:r>
      <w:r>
        <w:rPr>
          <w:sz w:val="20"/>
          <w:szCs w:val="20"/>
        </w:rPr>
        <w:t>(1), 63-6.</w:t>
      </w:r>
    </w:p>
    <w:p w14:paraId="7D283CC2" w14:textId="77777777" w:rsidR="0039479F" w:rsidRDefault="00000000">
      <w:pPr>
        <w:spacing w:after="100" w:line="252" w:lineRule="auto"/>
        <w:ind w:left="454" w:hanging="454"/>
      </w:pPr>
      <w:r>
        <w:rPr>
          <w:sz w:val="20"/>
          <w:szCs w:val="20"/>
        </w:rPr>
        <w:t xml:space="preserve">Matloob, S. A., Roach, J., Marcus, H. J., O'Neill, K., &amp; Nair, R. (2013). Evaluation of the impact of the Canadian subarachnoid haemorrhage clinical decision rules on British practice. </w:t>
      </w:r>
      <w:r>
        <w:rPr>
          <w:i/>
          <w:iCs/>
          <w:sz w:val="20"/>
          <w:szCs w:val="20"/>
        </w:rPr>
        <w:t>British journal of neurosurgery</w:t>
      </w:r>
      <w:r>
        <w:rPr>
          <w:sz w:val="20"/>
          <w:szCs w:val="20"/>
        </w:rPr>
        <w:t xml:space="preserve">, </w:t>
      </w:r>
      <w:r>
        <w:rPr>
          <w:i/>
          <w:iCs/>
          <w:sz w:val="20"/>
          <w:szCs w:val="20"/>
        </w:rPr>
        <w:t>27</w:t>
      </w:r>
      <w:r>
        <w:rPr>
          <w:sz w:val="20"/>
          <w:szCs w:val="20"/>
        </w:rPr>
        <w:t>(5), 603-6. https://doi.org/10.3109/02688697.2013.799757</w:t>
      </w:r>
    </w:p>
    <w:p w14:paraId="0BAFC7E7" w14:textId="77777777" w:rsidR="0039479F" w:rsidRDefault="00000000">
      <w:pPr>
        <w:spacing w:after="100" w:line="252" w:lineRule="auto"/>
        <w:ind w:left="454" w:hanging="454"/>
      </w:pPr>
      <w:r>
        <w:rPr>
          <w:sz w:val="20"/>
          <w:szCs w:val="20"/>
        </w:rPr>
        <w:t xml:space="preserve">McCarron, M. O., Lynch, M., McCarron, P., McCluskey, G., McKee, J., McVerry, F., &amp; O'Kane, M. J. (2015). Clinical and diagnostic findings in patients with elevated cerebrospinal bilirubin. </w:t>
      </w:r>
      <w:r>
        <w:rPr>
          <w:i/>
          <w:iCs/>
          <w:sz w:val="20"/>
          <w:szCs w:val="20"/>
        </w:rPr>
        <w:t>Postgraduate medical journal</w:t>
      </w:r>
      <w:r>
        <w:rPr>
          <w:sz w:val="20"/>
          <w:szCs w:val="20"/>
        </w:rPr>
        <w:t xml:space="preserve">, </w:t>
      </w:r>
      <w:r>
        <w:rPr>
          <w:i/>
          <w:iCs/>
          <w:sz w:val="20"/>
          <w:szCs w:val="20"/>
        </w:rPr>
        <w:t>91</w:t>
      </w:r>
      <w:r>
        <w:rPr>
          <w:sz w:val="20"/>
          <w:szCs w:val="20"/>
        </w:rPr>
        <w:t>(1082), 675-80. https://doi.org/10.1136/postgradmedj-2015-133360</w:t>
      </w:r>
    </w:p>
    <w:p w14:paraId="7194B245" w14:textId="77777777" w:rsidR="0039479F" w:rsidRDefault="00000000">
      <w:pPr>
        <w:spacing w:after="100" w:line="252" w:lineRule="auto"/>
        <w:ind w:left="454" w:hanging="454"/>
      </w:pPr>
      <w:r>
        <w:rPr>
          <w:sz w:val="20"/>
          <w:szCs w:val="20"/>
        </w:rPr>
        <w:t xml:space="preserve">McInnes, M. D. F., Moher, D., Thombs, B. D., McGrath, T. A., Bossuyt, P. M., and the PRISMA-DTA Group, Clifford, T., Cohen, J. F., Deeks, J. J., Gatsonis, C., Hooft, L., Hunt, H. A., Hyde, C. J., Korevaar, D. A., Leeflang, M. M. G., Macaskill, P., Reitsma, J. B., Rodin, R., Rutjes, A. W. S., . . . Willis, B. H. (2018). Preferred Reporting Items for a Systematic Review and Meta-analysis of Diagnostic Test Accuracy Studies: The PRISMA-DTA Statement. </w:t>
      </w:r>
      <w:r>
        <w:rPr>
          <w:i/>
          <w:iCs/>
          <w:sz w:val="20"/>
          <w:szCs w:val="20"/>
        </w:rPr>
        <w:t>JAMA</w:t>
      </w:r>
      <w:r>
        <w:rPr>
          <w:sz w:val="20"/>
          <w:szCs w:val="20"/>
        </w:rPr>
        <w:t xml:space="preserve">, </w:t>
      </w:r>
      <w:r>
        <w:rPr>
          <w:i/>
          <w:iCs/>
          <w:sz w:val="20"/>
          <w:szCs w:val="20"/>
        </w:rPr>
        <w:t>319</w:t>
      </w:r>
      <w:r>
        <w:rPr>
          <w:sz w:val="20"/>
          <w:szCs w:val="20"/>
        </w:rPr>
        <w:t>(4), 388-396. https://doi.org/10.1001/jama.2017.19163</w:t>
      </w:r>
    </w:p>
    <w:p w14:paraId="7087FA99" w14:textId="77777777" w:rsidR="0039479F" w:rsidRDefault="00000000">
      <w:pPr>
        <w:spacing w:after="100" w:line="252" w:lineRule="auto"/>
        <w:ind w:left="454" w:hanging="454"/>
      </w:pPr>
      <w:r>
        <w:rPr>
          <w:sz w:val="20"/>
          <w:szCs w:val="20"/>
        </w:rPr>
        <w:t xml:space="preserve">Mejía-Herrera, F., Figueroa-Paz, R., Quintero-Ramirez, J., &amp; Bustamante-Cristancho, L. A. (2025). Investigating clinical indicators for neuroimaging abnormalities in acute headache cases: insights from a retrospective study. </w:t>
      </w:r>
      <w:r>
        <w:rPr>
          <w:i/>
          <w:iCs/>
          <w:sz w:val="20"/>
          <w:szCs w:val="20"/>
        </w:rPr>
        <w:t>Emergency radiology</w:t>
      </w:r>
      <w:r>
        <w:rPr>
          <w:sz w:val="20"/>
          <w:szCs w:val="20"/>
        </w:rPr>
        <w:t xml:space="preserve">, </w:t>
      </w:r>
      <w:r>
        <w:rPr>
          <w:i/>
          <w:iCs/>
          <w:sz w:val="20"/>
          <w:szCs w:val="20"/>
        </w:rPr>
        <w:t>32</w:t>
      </w:r>
      <w:r>
        <w:rPr>
          <w:sz w:val="20"/>
          <w:szCs w:val="20"/>
        </w:rPr>
        <w:t>(3), 351-360. https://doi.org/10.1007/s10140-025-02347-0</w:t>
      </w:r>
    </w:p>
    <w:p w14:paraId="2BA5B166" w14:textId="77777777" w:rsidR="0039479F" w:rsidRDefault="00000000">
      <w:pPr>
        <w:spacing w:after="100" w:line="252" w:lineRule="auto"/>
        <w:ind w:left="454" w:hanging="454"/>
      </w:pPr>
      <w:r>
        <w:rPr>
          <w:sz w:val="20"/>
          <w:szCs w:val="20"/>
        </w:rPr>
        <w:t xml:space="preserve">Mert, E., Ozge, A., Taşdelen, B., Yilmaz, A., &amp; Bilgin, N. G. (2008). What clues are available for differential diagnosis of headaches in emergency </w:t>
      </w:r>
      <w:proofErr w:type="gramStart"/>
      <w:r>
        <w:rPr>
          <w:sz w:val="20"/>
          <w:szCs w:val="20"/>
        </w:rPr>
        <w:t>settings?.</w:t>
      </w:r>
      <w:proofErr w:type="gramEnd"/>
      <w:r>
        <w:rPr>
          <w:sz w:val="20"/>
          <w:szCs w:val="20"/>
        </w:rPr>
        <w:t xml:space="preserve"> </w:t>
      </w:r>
      <w:r>
        <w:rPr>
          <w:i/>
          <w:iCs/>
          <w:sz w:val="20"/>
          <w:szCs w:val="20"/>
        </w:rPr>
        <w:t>The journal of headache and pain</w:t>
      </w:r>
      <w:r>
        <w:rPr>
          <w:sz w:val="20"/>
          <w:szCs w:val="20"/>
        </w:rPr>
        <w:t xml:space="preserve">, </w:t>
      </w:r>
      <w:r>
        <w:rPr>
          <w:i/>
          <w:iCs/>
          <w:sz w:val="20"/>
          <w:szCs w:val="20"/>
        </w:rPr>
        <w:t>9</w:t>
      </w:r>
      <w:r>
        <w:rPr>
          <w:sz w:val="20"/>
          <w:szCs w:val="20"/>
        </w:rPr>
        <w:t>(2), 89-97. https://doi.org/10.1007/s10194-008-0015-0</w:t>
      </w:r>
    </w:p>
    <w:p w14:paraId="0E936C9A" w14:textId="77777777" w:rsidR="0039479F" w:rsidRDefault="00000000">
      <w:pPr>
        <w:spacing w:after="100" w:line="252" w:lineRule="auto"/>
        <w:ind w:left="454" w:hanging="454"/>
      </w:pPr>
      <w:r>
        <w:rPr>
          <w:sz w:val="20"/>
          <w:szCs w:val="20"/>
        </w:rPr>
        <w:t xml:space="preserve">Migdal, V. L., Wu, W. K., Long, D., McNaughton, C. D., Ward, M. J., &amp; Self, W. H. (2015). Risk-benefit analysis of lumbar puncture to evaluate for nontraumatic subarachnoid hemorrhage in adult ED patients. </w:t>
      </w:r>
      <w:r>
        <w:rPr>
          <w:i/>
          <w:iCs/>
          <w:sz w:val="20"/>
          <w:szCs w:val="20"/>
        </w:rPr>
        <w:t>The American journal of emergency medicine</w:t>
      </w:r>
      <w:r>
        <w:rPr>
          <w:sz w:val="20"/>
          <w:szCs w:val="20"/>
        </w:rPr>
        <w:t xml:space="preserve">, </w:t>
      </w:r>
      <w:r>
        <w:rPr>
          <w:i/>
          <w:iCs/>
          <w:sz w:val="20"/>
          <w:szCs w:val="20"/>
        </w:rPr>
        <w:t>33</w:t>
      </w:r>
      <w:r>
        <w:rPr>
          <w:sz w:val="20"/>
          <w:szCs w:val="20"/>
        </w:rPr>
        <w:t>(11), 1597-601. https://doi.org/10.1016/j.ajem.2015.06.048</w:t>
      </w:r>
    </w:p>
    <w:p w14:paraId="48B9FB8E" w14:textId="77777777" w:rsidR="0039479F" w:rsidRDefault="00000000">
      <w:pPr>
        <w:spacing w:after="100" w:line="252" w:lineRule="auto"/>
        <w:ind w:left="454" w:hanging="454"/>
      </w:pPr>
      <w:r>
        <w:rPr>
          <w:sz w:val="20"/>
          <w:szCs w:val="20"/>
        </w:rPr>
        <w:t xml:space="preserve">Miller, D. G., Vakkalanka, P., Moubarek, M. L., Lee, S., &amp; Mohr, N. M. (2018). Reduced Computed Tomography Use in the Emergency Department Evaluation of Headache Was Not Followed by Increased Death or Missed Diagnosis. </w:t>
      </w:r>
      <w:r>
        <w:rPr>
          <w:i/>
          <w:iCs/>
          <w:sz w:val="20"/>
          <w:szCs w:val="20"/>
        </w:rPr>
        <w:t>The western journal of emergency medicine</w:t>
      </w:r>
      <w:r>
        <w:rPr>
          <w:sz w:val="20"/>
          <w:szCs w:val="20"/>
        </w:rPr>
        <w:t xml:space="preserve">, </w:t>
      </w:r>
      <w:r>
        <w:rPr>
          <w:i/>
          <w:iCs/>
          <w:sz w:val="20"/>
          <w:szCs w:val="20"/>
        </w:rPr>
        <w:t>19</w:t>
      </w:r>
      <w:r>
        <w:rPr>
          <w:sz w:val="20"/>
          <w:szCs w:val="20"/>
        </w:rPr>
        <w:t>(2), 319-326. https://doi.org/10.5811/westjem.2017.12.34886</w:t>
      </w:r>
    </w:p>
    <w:p w14:paraId="21F4457D" w14:textId="77777777" w:rsidR="0039479F" w:rsidRDefault="00000000">
      <w:pPr>
        <w:spacing w:after="100" w:line="252" w:lineRule="auto"/>
        <w:ind w:left="454" w:hanging="454"/>
      </w:pPr>
      <w:r>
        <w:rPr>
          <w:sz w:val="20"/>
          <w:szCs w:val="20"/>
        </w:rPr>
        <w:t xml:space="preserve">Miyazawa, H., Natsuga, K., Seo, T., Houzen, H., &amp; Ujiie, H. (2025). Low Sensitivity of Jolt Accentuation of Headache in Screening for Herpes Zoster-Associated Meningitis: A Retrospective Study of 70 Cases </w:t>
      </w:r>
      <w:proofErr w:type="gramStart"/>
      <w:r>
        <w:rPr>
          <w:sz w:val="20"/>
          <w:szCs w:val="20"/>
        </w:rPr>
        <w:t>From</w:t>
      </w:r>
      <w:proofErr w:type="gramEnd"/>
      <w:r>
        <w:rPr>
          <w:sz w:val="20"/>
          <w:szCs w:val="20"/>
        </w:rPr>
        <w:t xml:space="preserve"> a Single Institute. </w:t>
      </w:r>
      <w:r>
        <w:rPr>
          <w:i/>
          <w:iCs/>
          <w:sz w:val="20"/>
          <w:szCs w:val="20"/>
        </w:rPr>
        <w:t>Journal of general and family medicine</w:t>
      </w:r>
      <w:r>
        <w:rPr>
          <w:sz w:val="20"/>
          <w:szCs w:val="20"/>
        </w:rPr>
        <w:t xml:space="preserve">, </w:t>
      </w:r>
      <w:r>
        <w:rPr>
          <w:i/>
          <w:iCs/>
          <w:sz w:val="20"/>
          <w:szCs w:val="20"/>
        </w:rPr>
        <w:t>26</w:t>
      </w:r>
      <w:r>
        <w:rPr>
          <w:sz w:val="20"/>
          <w:szCs w:val="20"/>
        </w:rPr>
        <w:t>(6), 591-594. https://doi.org/10.1002/jgf2.70069</w:t>
      </w:r>
    </w:p>
    <w:p w14:paraId="331A8A27" w14:textId="77777777" w:rsidR="0039479F" w:rsidRDefault="00000000">
      <w:pPr>
        <w:spacing w:after="100" w:line="252" w:lineRule="auto"/>
        <w:ind w:left="454" w:hanging="454"/>
      </w:pPr>
      <w:r>
        <w:rPr>
          <w:sz w:val="20"/>
          <w:szCs w:val="20"/>
        </w:rPr>
        <w:t xml:space="preserve">MNoor, F. A., Mafauzy, M. M., Sjahid, A. S., Yaacob, N., &amp; Baharuddin, K. A. (2022). Prevalence of abnormal cranial CT scan in Nontraumatic headache patients with red flag symptoms at the emergency department in Hospital Universiti Sains Malaysia. </w:t>
      </w:r>
      <w:r>
        <w:rPr>
          <w:i/>
          <w:iCs/>
          <w:sz w:val="20"/>
          <w:szCs w:val="20"/>
        </w:rPr>
        <w:t>The Medical journal of Malaysia</w:t>
      </w:r>
      <w:r>
        <w:rPr>
          <w:sz w:val="20"/>
          <w:szCs w:val="20"/>
        </w:rPr>
        <w:t xml:space="preserve">, </w:t>
      </w:r>
      <w:r>
        <w:rPr>
          <w:i/>
          <w:iCs/>
          <w:sz w:val="20"/>
          <w:szCs w:val="20"/>
        </w:rPr>
        <w:t>77</w:t>
      </w:r>
      <w:r>
        <w:rPr>
          <w:sz w:val="20"/>
          <w:szCs w:val="20"/>
        </w:rPr>
        <w:t>(4), 427-432.</w:t>
      </w:r>
    </w:p>
    <w:p w14:paraId="1C32C76C" w14:textId="77777777" w:rsidR="0039479F" w:rsidRDefault="00000000">
      <w:pPr>
        <w:spacing w:after="100" w:line="252" w:lineRule="auto"/>
        <w:ind w:left="454" w:hanging="454"/>
      </w:pPr>
      <w:r>
        <w:rPr>
          <w:sz w:val="20"/>
          <w:szCs w:val="20"/>
        </w:rPr>
        <w:t xml:space="preserve">Mòdol, J. M., Tudela, P., Veny, A., Sahuquillo, J. C., Tor, J., &amp; Giménez, M. (2002). Indications and diagnosis efficiency of lumbar puncture in emergencies. </w:t>
      </w:r>
      <w:r>
        <w:rPr>
          <w:i/>
          <w:iCs/>
          <w:sz w:val="20"/>
          <w:szCs w:val="20"/>
        </w:rPr>
        <w:t>Medicina clinica</w:t>
      </w:r>
      <w:r>
        <w:rPr>
          <w:sz w:val="20"/>
          <w:szCs w:val="20"/>
        </w:rPr>
        <w:t xml:space="preserve">, </w:t>
      </w:r>
      <w:r>
        <w:rPr>
          <w:i/>
          <w:iCs/>
          <w:sz w:val="20"/>
          <w:szCs w:val="20"/>
        </w:rPr>
        <w:t>118</w:t>
      </w:r>
      <w:r>
        <w:rPr>
          <w:sz w:val="20"/>
          <w:szCs w:val="20"/>
        </w:rPr>
        <w:t>(1), 10-2.</w:t>
      </w:r>
    </w:p>
    <w:p w14:paraId="63193820" w14:textId="77777777" w:rsidR="0039479F" w:rsidRDefault="00000000">
      <w:pPr>
        <w:spacing w:after="100" w:line="252" w:lineRule="auto"/>
        <w:ind w:left="454" w:hanging="454"/>
      </w:pPr>
      <w:r>
        <w:rPr>
          <w:sz w:val="20"/>
          <w:szCs w:val="20"/>
        </w:rPr>
        <w:t xml:space="preserve">Mofidi, M., Negaresh, N., Farsi, D., Rezai, M., Mahshidfar, B., Abbasi, S., &amp; Hafezimoghadam, P. (2017). Jolt accentuation and its value as a sign in diagnosis of meningitis in patients with fever and headache. </w:t>
      </w:r>
      <w:r>
        <w:rPr>
          <w:i/>
          <w:iCs/>
          <w:sz w:val="20"/>
          <w:szCs w:val="20"/>
        </w:rPr>
        <w:t>Turkish journal of emergency medicine</w:t>
      </w:r>
      <w:r>
        <w:rPr>
          <w:sz w:val="20"/>
          <w:szCs w:val="20"/>
        </w:rPr>
        <w:t xml:space="preserve">, </w:t>
      </w:r>
      <w:r>
        <w:rPr>
          <w:i/>
          <w:iCs/>
          <w:sz w:val="20"/>
          <w:szCs w:val="20"/>
        </w:rPr>
        <w:t>17</w:t>
      </w:r>
      <w:r>
        <w:rPr>
          <w:sz w:val="20"/>
          <w:szCs w:val="20"/>
        </w:rPr>
        <w:t>(1), 29-31. https://doi.org/10.1016/j.tjem.2016.11.001</w:t>
      </w:r>
    </w:p>
    <w:p w14:paraId="598AFED0" w14:textId="77777777" w:rsidR="0039479F" w:rsidRDefault="00000000">
      <w:pPr>
        <w:spacing w:after="100" w:line="252" w:lineRule="auto"/>
        <w:ind w:left="454" w:hanging="454"/>
      </w:pPr>
      <w:r>
        <w:rPr>
          <w:sz w:val="20"/>
          <w:szCs w:val="20"/>
        </w:rPr>
        <w:t xml:space="preserve">Mostardini, C., d'Agostino, V. C., Dugoni, D. E., &amp; Cerbo, R. (2009). A possible role of ID-Migraine in the emergency department: study of an emergency department out-patient population. </w:t>
      </w:r>
      <w:proofErr w:type="gramStart"/>
      <w:r>
        <w:rPr>
          <w:i/>
          <w:iCs/>
          <w:sz w:val="20"/>
          <w:szCs w:val="20"/>
        </w:rPr>
        <w:t>Cephalalgia :</w:t>
      </w:r>
      <w:proofErr w:type="gramEnd"/>
      <w:r>
        <w:rPr>
          <w:i/>
          <w:iCs/>
          <w:sz w:val="20"/>
          <w:szCs w:val="20"/>
        </w:rPr>
        <w:t xml:space="preserve"> an international journal of headache</w:t>
      </w:r>
      <w:r>
        <w:rPr>
          <w:sz w:val="20"/>
          <w:szCs w:val="20"/>
        </w:rPr>
        <w:t xml:space="preserve">, </w:t>
      </w:r>
      <w:r>
        <w:rPr>
          <w:i/>
          <w:iCs/>
          <w:sz w:val="20"/>
          <w:szCs w:val="20"/>
        </w:rPr>
        <w:t>29</w:t>
      </w:r>
      <w:r>
        <w:rPr>
          <w:sz w:val="20"/>
          <w:szCs w:val="20"/>
        </w:rPr>
        <w:t>(12), 1326-30. https://doi.org/10.1111/j.1468-2982.2009.01889.x</w:t>
      </w:r>
    </w:p>
    <w:p w14:paraId="445E4D93" w14:textId="77777777" w:rsidR="0039479F" w:rsidRDefault="00000000">
      <w:pPr>
        <w:spacing w:after="100" w:line="252" w:lineRule="auto"/>
        <w:ind w:left="454" w:hanging="454"/>
      </w:pPr>
      <w:r>
        <w:rPr>
          <w:sz w:val="20"/>
          <w:szCs w:val="20"/>
        </w:rPr>
        <w:t xml:space="preserve">Muhammed, O., Teubner, D., Jones, D. N., &amp; Slavotinek, J. P. (2010). Retrospective audit of the investigation of patients with suspected acute subarachnoid haemorrhage. </w:t>
      </w:r>
      <w:r>
        <w:rPr>
          <w:i/>
          <w:iCs/>
          <w:sz w:val="20"/>
          <w:szCs w:val="20"/>
        </w:rPr>
        <w:t>Journal of medical imaging and radiation oncology</w:t>
      </w:r>
      <w:r>
        <w:rPr>
          <w:sz w:val="20"/>
          <w:szCs w:val="20"/>
        </w:rPr>
        <w:t xml:space="preserve">, </w:t>
      </w:r>
      <w:r>
        <w:rPr>
          <w:i/>
          <w:iCs/>
          <w:sz w:val="20"/>
          <w:szCs w:val="20"/>
        </w:rPr>
        <w:t>54</w:t>
      </w:r>
      <w:r>
        <w:rPr>
          <w:sz w:val="20"/>
          <w:szCs w:val="20"/>
        </w:rPr>
        <w:t>(4), 339-46. https://doi.org/10.1111/j.1754-9485.2010.02180.x</w:t>
      </w:r>
    </w:p>
    <w:p w14:paraId="70D2DC56" w14:textId="77777777" w:rsidR="0039479F" w:rsidRDefault="00000000">
      <w:pPr>
        <w:spacing w:after="100" w:line="252" w:lineRule="auto"/>
        <w:ind w:left="454" w:hanging="454"/>
      </w:pPr>
      <w:r>
        <w:rPr>
          <w:sz w:val="20"/>
          <w:szCs w:val="20"/>
        </w:rPr>
        <w:t xml:space="preserve">Muller, P., Mitri, F., Houlle, A., Vidal, P. O., Gasperini, G., Cazes, N., &amp; Renard, A. (2022). S100ß protein for non-traumatic subarachnoid hemorrhage diagnosis. </w:t>
      </w:r>
      <w:r>
        <w:rPr>
          <w:i/>
          <w:iCs/>
          <w:sz w:val="20"/>
          <w:szCs w:val="20"/>
        </w:rPr>
        <w:t>The American journal of emergency medicine</w:t>
      </w:r>
      <w:r>
        <w:rPr>
          <w:sz w:val="20"/>
          <w:szCs w:val="20"/>
        </w:rPr>
        <w:t xml:space="preserve">, </w:t>
      </w:r>
      <w:r>
        <w:rPr>
          <w:i/>
          <w:iCs/>
          <w:sz w:val="20"/>
          <w:szCs w:val="20"/>
        </w:rPr>
        <w:t>57</w:t>
      </w:r>
      <w:r>
        <w:rPr>
          <w:sz w:val="20"/>
          <w:szCs w:val="20"/>
        </w:rPr>
        <w:t>, 39-41. https://doi.org/10.1016/j.ajem.2022.04.030</w:t>
      </w:r>
    </w:p>
    <w:p w14:paraId="645BCA93" w14:textId="77777777" w:rsidR="0039479F" w:rsidRDefault="00000000">
      <w:pPr>
        <w:spacing w:after="100" w:line="252" w:lineRule="auto"/>
        <w:ind w:left="454" w:hanging="454"/>
      </w:pPr>
      <w:r>
        <w:rPr>
          <w:sz w:val="20"/>
          <w:szCs w:val="20"/>
        </w:rPr>
        <w:lastRenderedPageBreak/>
        <w:t xml:space="preserve">Munoz-Ceron, J., Marin-Careaga, V., Peña, L., Mutis, J., &amp; Ortiz, G. (2019). Headache at the emergency room: Etiologies, diagnostic usefulness of the ICHD 3 criteria, red and green flags. </w:t>
      </w:r>
      <w:r>
        <w:rPr>
          <w:i/>
          <w:iCs/>
          <w:sz w:val="20"/>
          <w:szCs w:val="20"/>
        </w:rPr>
        <w:t>PloS one</w:t>
      </w:r>
      <w:r>
        <w:rPr>
          <w:sz w:val="20"/>
          <w:szCs w:val="20"/>
        </w:rPr>
        <w:t xml:space="preserve">, </w:t>
      </w:r>
      <w:r>
        <w:rPr>
          <w:i/>
          <w:iCs/>
          <w:sz w:val="20"/>
          <w:szCs w:val="20"/>
        </w:rPr>
        <w:t>14</w:t>
      </w:r>
      <w:r>
        <w:rPr>
          <w:sz w:val="20"/>
          <w:szCs w:val="20"/>
        </w:rPr>
        <w:t>(1), e0208728. https://doi.org/10.1371/journal.pone.0208728</w:t>
      </w:r>
    </w:p>
    <w:p w14:paraId="307742A5" w14:textId="77777777" w:rsidR="0039479F" w:rsidRDefault="00000000">
      <w:pPr>
        <w:spacing w:after="100" w:line="252" w:lineRule="auto"/>
        <w:ind w:left="454" w:hanging="454"/>
      </w:pPr>
      <w:r>
        <w:rPr>
          <w:sz w:val="20"/>
          <w:szCs w:val="20"/>
        </w:rPr>
        <w:t xml:space="preserve">Nagel, M., Selman, C. J., Burrows, A. A., Tai, M. K., &amp; Bourke, E. M. (2026). Computerised tomography neuroimaging use and yield in non-traumatic headache: A retrospective study in a tertiary emergency department. </w:t>
      </w:r>
      <w:r>
        <w:rPr>
          <w:i/>
          <w:iCs/>
          <w:sz w:val="20"/>
          <w:szCs w:val="20"/>
        </w:rPr>
        <w:t>Australasian emergency care</w:t>
      </w:r>
      <w:r>
        <w:rPr>
          <w:sz w:val="20"/>
          <w:szCs w:val="20"/>
        </w:rPr>
        <w:t xml:space="preserve">, </w:t>
      </w:r>
      <w:r>
        <w:rPr>
          <w:i/>
          <w:iCs/>
          <w:sz w:val="20"/>
          <w:szCs w:val="20"/>
        </w:rPr>
        <w:t>29</w:t>
      </w:r>
      <w:r>
        <w:rPr>
          <w:sz w:val="20"/>
          <w:szCs w:val="20"/>
        </w:rPr>
        <w:t>(3), 234-239. https://doi.org/10.1016/j.auec.2026.01.002</w:t>
      </w:r>
    </w:p>
    <w:p w14:paraId="6A44743A" w14:textId="77777777" w:rsidR="0039479F" w:rsidRDefault="00000000">
      <w:pPr>
        <w:spacing w:after="100" w:line="252" w:lineRule="auto"/>
        <w:ind w:left="454" w:hanging="454"/>
      </w:pPr>
      <w:r>
        <w:rPr>
          <w:sz w:val="20"/>
          <w:szCs w:val="20"/>
        </w:rPr>
        <w:t xml:space="preserve">Nakao, J. H., Jafri, F. N., Shah, K., &amp; Newman, D. H. (2014). Jolt accentuation of headache and other clinical signs: poor predictors of meningitis in adults. </w:t>
      </w:r>
      <w:r>
        <w:rPr>
          <w:i/>
          <w:iCs/>
          <w:sz w:val="20"/>
          <w:szCs w:val="20"/>
        </w:rPr>
        <w:t>The American journal of emergency medicine</w:t>
      </w:r>
      <w:r>
        <w:rPr>
          <w:sz w:val="20"/>
          <w:szCs w:val="20"/>
        </w:rPr>
        <w:t xml:space="preserve">, </w:t>
      </w:r>
      <w:r>
        <w:rPr>
          <w:i/>
          <w:iCs/>
          <w:sz w:val="20"/>
          <w:szCs w:val="20"/>
        </w:rPr>
        <w:t>32</w:t>
      </w:r>
      <w:r>
        <w:rPr>
          <w:sz w:val="20"/>
          <w:szCs w:val="20"/>
        </w:rPr>
        <w:t>(1), 24-8. https://doi.org/10.1016/j.ajem.2013.09.012</w:t>
      </w:r>
    </w:p>
    <w:p w14:paraId="5F2BCF6D" w14:textId="77777777" w:rsidR="0039479F" w:rsidRDefault="00000000">
      <w:pPr>
        <w:spacing w:after="100" w:line="252" w:lineRule="auto"/>
        <w:ind w:left="454" w:hanging="454"/>
      </w:pPr>
      <w:r>
        <w:rPr>
          <w:sz w:val="20"/>
          <w:szCs w:val="20"/>
        </w:rPr>
        <w:t xml:space="preserve">Nesselroth, D., Klang, E., Soffer, S., Druskin, E., Barash, Y., Hoffmann, C., Konen, E., &amp; Zimlichman, E. (2021). Yield of head CT for acute findings in patients presenting to the emergency department. </w:t>
      </w:r>
      <w:r>
        <w:rPr>
          <w:i/>
          <w:iCs/>
          <w:sz w:val="20"/>
          <w:szCs w:val="20"/>
        </w:rPr>
        <w:t>Clinical imaging</w:t>
      </w:r>
      <w:r>
        <w:rPr>
          <w:sz w:val="20"/>
          <w:szCs w:val="20"/>
        </w:rPr>
        <w:t xml:space="preserve">, </w:t>
      </w:r>
      <w:r>
        <w:rPr>
          <w:i/>
          <w:iCs/>
          <w:sz w:val="20"/>
          <w:szCs w:val="20"/>
        </w:rPr>
        <w:t>73</w:t>
      </w:r>
      <w:r>
        <w:rPr>
          <w:sz w:val="20"/>
          <w:szCs w:val="20"/>
        </w:rPr>
        <w:t>, 1-5. https://doi.org/10.1016/j.clinimag.2020.11.025</w:t>
      </w:r>
    </w:p>
    <w:p w14:paraId="2EC17A31" w14:textId="77777777" w:rsidR="0039479F" w:rsidRDefault="00000000">
      <w:pPr>
        <w:spacing w:after="100" w:line="252" w:lineRule="auto"/>
        <w:ind w:left="454" w:hanging="454"/>
      </w:pPr>
      <w:r>
        <w:rPr>
          <w:sz w:val="20"/>
          <w:szCs w:val="20"/>
        </w:rPr>
        <w:t xml:space="preserve">Nguyen, A. L., Kirkwood, B., Hackett, L., &amp; Buntine, P. (2022). Validation of the ECHS non trauma cranial CT rule in Australia: A prospective cohort study. </w:t>
      </w:r>
      <w:r>
        <w:rPr>
          <w:i/>
          <w:iCs/>
          <w:sz w:val="20"/>
          <w:szCs w:val="20"/>
        </w:rPr>
        <w:t>The American journal of emergency medicine</w:t>
      </w:r>
      <w:r>
        <w:rPr>
          <w:sz w:val="20"/>
          <w:szCs w:val="20"/>
        </w:rPr>
        <w:t xml:space="preserve">, </w:t>
      </w:r>
      <w:r>
        <w:rPr>
          <w:i/>
          <w:iCs/>
          <w:sz w:val="20"/>
          <w:szCs w:val="20"/>
        </w:rPr>
        <w:t>52</w:t>
      </w:r>
      <w:r>
        <w:rPr>
          <w:sz w:val="20"/>
          <w:szCs w:val="20"/>
        </w:rPr>
        <w:t>, 225-231. https://doi.org/10.1016/j.ajem.2021.12.004</w:t>
      </w:r>
    </w:p>
    <w:p w14:paraId="4F796B5D" w14:textId="77777777" w:rsidR="0039479F" w:rsidRDefault="00000000">
      <w:pPr>
        <w:spacing w:after="100" w:line="252" w:lineRule="auto"/>
        <w:ind w:left="454" w:hanging="454"/>
      </w:pPr>
      <w:r>
        <w:rPr>
          <w:sz w:val="20"/>
          <w:szCs w:val="20"/>
        </w:rPr>
        <w:t xml:space="preserve">O'Neill, J., McLaggan, S., &amp; Gibson, R. (2005). Acute headache and subarachnoid haemorrhage: a retrospective review of CT and lumbar puncture findings. </w:t>
      </w:r>
      <w:r>
        <w:rPr>
          <w:i/>
          <w:iCs/>
          <w:sz w:val="20"/>
          <w:szCs w:val="20"/>
        </w:rPr>
        <w:t>Scottish medical journal</w:t>
      </w:r>
      <w:r>
        <w:rPr>
          <w:sz w:val="20"/>
          <w:szCs w:val="20"/>
        </w:rPr>
        <w:t xml:space="preserve">, </w:t>
      </w:r>
      <w:r>
        <w:rPr>
          <w:i/>
          <w:iCs/>
          <w:sz w:val="20"/>
          <w:szCs w:val="20"/>
        </w:rPr>
        <w:t>50</w:t>
      </w:r>
      <w:r>
        <w:rPr>
          <w:sz w:val="20"/>
          <w:szCs w:val="20"/>
        </w:rPr>
        <w:t>(4), 151-3. https://doi.org/10.1177/003693300505000405</w:t>
      </w:r>
    </w:p>
    <w:p w14:paraId="0018A628" w14:textId="77777777" w:rsidR="0039479F" w:rsidRDefault="00000000">
      <w:pPr>
        <w:spacing w:after="100" w:line="252" w:lineRule="auto"/>
        <w:ind w:left="454" w:hanging="454"/>
      </w:pPr>
      <w:r>
        <w:rPr>
          <w:sz w:val="20"/>
          <w:szCs w:val="20"/>
        </w:rPr>
        <w:t xml:space="preserve">Page, M. J., McKenzie, J. E., Bossuyt, P. M., Boutron, I., Hoffmann, T. C., Mulrow, C. D., Shamseer, L., Tetzlaff, J. M., Akl, E. A., Brennan, S. E., Chou, R., Glanville, J., Grimshaw, J. M., Hróbjartsson, A., Lalu, M. M., Li, T., Loder, E. W., Mayo-Wilson, E., McDonald, S., . . . Moher, D. (2021). The PRISMA 2020 statement: an updated guideline for reporting systematic reviews. </w:t>
      </w:r>
      <w:r>
        <w:rPr>
          <w:i/>
          <w:iCs/>
          <w:sz w:val="20"/>
          <w:szCs w:val="20"/>
        </w:rPr>
        <w:t>BMJ (Clinical research ed.)</w:t>
      </w:r>
      <w:r>
        <w:rPr>
          <w:sz w:val="20"/>
          <w:szCs w:val="20"/>
        </w:rPr>
        <w:t xml:space="preserve">, </w:t>
      </w:r>
      <w:r>
        <w:rPr>
          <w:i/>
          <w:iCs/>
          <w:sz w:val="20"/>
          <w:szCs w:val="20"/>
        </w:rPr>
        <w:t>372</w:t>
      </w:r>
      <w:r>
        <w:rPr>
          <w:sz w:val="20"/>
          <w:szCs w:val="20"/>
        </w:rPr>
        <w:t>, n71. https://doi.org/10.1136/bmj.n71</w:t>
      </w:r>
    </w:p>
    <w:p w14:paraId="4CAAF810" w14:textId="77777777" w:rsidR="0039479F" w:rsidRDefault="00000000">
      <w:pPr>
        <w:spacing w:after="100" w:line="252" w:lineRule="auto"/>
        <w:ind w:left="454" w:hanging="454"/>
      </w:pPr>
      <w:r>
        <w:rPr>
          <w:sz w:val="20"/>
          <w:szCs w:val="20"/>
        </w:rPr>
        <w:t xml:space="preserve">Pathan, A. S., Chakarova, E., &amp; Tarique, A. (2018). To Head </w:t>
      </w:r>
      <w:proofErr w:type="gramStart"/>
      <w:r>
        <w:rPr>
          <w:sz w:val="20"/>
          <w:szCs w:val="20"/>
        </w:rPr>
        <w:t>CT Scan</w:t>
      </w:r>
      <w:proofErr w:type="gramEnd"/>
      <w:r>
        <w:rPr>
          <w:sz w:val="20"/>
          <w:szCs w:val="20"/>
        </w:rPr>
        <w:t xml:space="preserve"> or Not: The Clinical Quandary in Suspected Subarachnoid Hemorrhage; a Validation Study on Ottawa Subarachnoid Hemorrhage Rule. </w:t>
      </w:r>
      <w:r>
        <w:rPr>
          <w:i/>
          <w:iCs/>
          <w:sz w:val="20"/>
          <w:szCs w:val="20"/>
        </w:rPr>
        <w:t>Advanced journal of emergency medicine</w:t>
      </w:r>
      <w:r>
        <w:rPr>
          <w:sz w:val="20"/>
          <w:szCs w:val="20"/>
        </w:rPr>
        <w:t xml:space="preserve">, </w:t>
      </w:r>
      <w:r>
        <w:rPr>
          <w:i/>
          <w:iCs/>
          <w:sz w:val="20"/>
          <w:szCs w:val="20"/>
        </w:rPr>
        <w:t>2</w:t>
      </w:r>
      <w:r>
        <w:rPr>
          <w:sz w:val="20"/>
          <w:szCs w:val="20"/>
        </w:rPr>
        <w:t>(3), e28.</w:t>
      </w:r>
    </w:p>
    <w:p w14:paraId="55FB6C1B" w14:textId="77777777" w:rsidR="0039479F" w:rsidRDefault="00000000">
      <w:pPr>
        <w:spacing w:after="100" w:line="252" w:lineRule="auto"/>
        <w:ind w:left="454" w:hanging="454"/>
      </w:pPr>
      <w:r>
        <w:rPr>
          <w:sz w:val="20"/>
          <w:szCs w:val="20"/>
        </w:rPr>
        <w:t xml:space="preserve">Perry, J. J., Alyahya, B., Sivilotti, M. L., Bullard, M. J., Émond, M., Sutherland, J., Worster, A., Hohl, C., Lee, J. S., Eisenhauer, M. A., Pauls, M., Lesiuk, H., Wells, G. A., &amp; Stiell, I. G. (2015). Differentiation between traumatic tap and aneurysmal subarachnoid hemorrhage: prospective cohort study. </w:t>
      </w:r>
      <w:r>
        <w:rPr>
          <w:i/>
          <w:iCs/>
          <w:sz w:val="20"/>
          <w:szCs w:val="20"/>
        </w:rPr>
        <w:t>BMJ (Clinical research ed.)</w:t>
      </w:r>
      <w:r>
        <w:rPr>
          <w:sz w:val="20"/>
          <w:szCs w:val="20"/>
        </w:rPr>
        <w:t xml:space="preserve">, </w:t>
      </w:r>
      <w:r>
        <w:rPr>
          <w:i/>
          <w:iCs/>
          <w:sz w:val="20"/>
          <w:szCs w:val="20"/>
        </w:rPr>
        <w:t>350</w:t>
      </w:r>
      <w:r>
        <w:rPr>
          <w:sz w:val="20"/>
          <w:szCs w:val="20"/>
        </w:rPr>
        <w:t>, h568. https://doi.org/10.1136/bmj.h568</w:t>
      </w:r>
    </w:p>
    <w:p w14:paraId="296F3DAC" w14:textId="77777777" w:rsidR="0039479F" w:rsidRDefault="00000000">
      <w:pPr>
        <w:spacing w:after="100" w:line="252" w:lineRule="auto"/>
        <w:ind w:left="454" w:hanging="454"/>
      </w:pPr>
      <w:r>
        <w:rPr>
          <w:sz w:val="20"/>
          <w:szCs w:val="20"/>
        </w:rPr>
        <w:t xml:space="preserve">Perry, J. J., Sivilotti, M. L. A., Émond, M., Hohl, C. M., Khan, M., Lesiuk, H., Abdulaziz, K., Wells, G. A., &amp; Stiell, I. G. (2020). Prospective Implementation of the Ottawa Subarachnoid Hemorrhage Rule and 6-Hour Computed Tomography Rule. </w:t>
      </w:r>
      <w:r>
        <w:rPr>
          <w:i/>
          <w:iCs/>
          <w:sz w:val="20"/>
          <w:szCs w:val="20"/>
        </w:rPr>
        <w:t>Stroke</w:t>
      </w:r>
      <w:r>
        <w:rPr>
          <w:sz w:val="20"/>
          <w:szCs w:val="20"/>
        </w:rPr>
        <w:t xml:space="preserve">, </w:t>
      </w:r>
      <w:r>
        <w:rPr>
          <w:i/>
          <w:iCs/>
          <w:sz w:val="20"/>
          <w:szCs w:val="20"/>
        </w:rPr>
        <w:t>51</w:t>
      </w:r>
      <w:r>
        <w:rPr>
          <w:sz w:val="20"/>
          <w:szCs w:val="20"/>
        </w:rPr>
        <w:t>(2), 424-430. https://doi.org/10.1161/STROKEAHA.119.026969</w:t>
      </w:r>
    </w:p>
    <w:p w14:paraId="2B9DBE9C" w14:textId="77777777" w:rsidR="0039479F" w:rsidRDefault="00000000">
      <w:pPr>
        <w:spacing w:after="100" w:line="252" w:lineRule="auto"/>
        <w:ind w:left="454" w:hanging="454"/>
      </w:pPr>
      <w:r>
        <w:rPr>
          <w:sz w:val="20"/>
          <w:szCs w:val="20"/>
        </w:rPr>
        <w:t xml:space="preserve">Perry, J. J., Sivilotti, M. L. A., Sutherland, J., Hohl, C. M., Émond, M., Calder, L. A., Vaillancourt, C., Thirganasambandamoorthy, V., Lesiuk, H., Wells, G. A., &amp; Stiell, I. G. (2017). Validation of the Ottawa Subarachnoid Hemorrhage Rule in patients with acute headache. </w:t>
      </w:r>
      <w:proofErr w:type="gramStart"/>
      <w:r>
        <w:rPr>
          <w:i/>
          <w:iCs/>
          <w:sz w:val="20"/>
          <w:szCs w:val="20"/>
        </w:rPr>
        <w:t>CMAJ :</w:t>
      </w:r>
      <w:proofErr w:type="gramEnd"/>
      <w:r>
        <w:rPr>
          <w:i/>
          <w:iCs/>
          <w:sz w:val="20"/>
          <w:szCs w:val="20"/>
        </w:rPr>
        <w:t xml:space="preserve"> Canadian Medical Association journal = journal de l'Association medicale canadienne</w:t>
      </w:r>
      <w:r>
        <w:rPr>
          <w:sz w:val="20"/>
          <w:szCs w:val="20"/>
        </w:rPr>
        <w:t xml:space="preserve">, </w:t>
      </w:r>
      <w:r>
        <w:rPr>
          <w:i/>
          <w:iCs/>
          <w:sz w:val="20"/>
          <w:szCs w:val="20"/>
        </w:rPr>
        <w:t>189</w:t>
      </w:r>
      <w:r>
        <w:rPr>
          <w:sz w:val="20"/>
          <w:szCs w:val="20"/>
        </w:rPr>
        <w:t>(45), E1379-E1385. https://doi.org/10.1503/cmaj.170072</w:t>
      </w:r>
    </w:p>
    <w:p w14:paraId="5DA63951" w14:textId="77777777" w:rsidR="0039479F" w:rsidRDefault="00000000">
      <w:pPr>
        <w:spacing w:after="100" w:line="252" w:lineRule="auto"/>
        <w:ind w:left="454" w:hanging="454"/>
      </w:pPr>
      <w:r>
        <w:rPr>
          <w:sz w:val="20"/>
          <w:szCs w:val="20"/>
        </w:rPr>
        <w:t xml:space="preserve">Perry, J. J., Sivilotti, M. L., Stiell, I. G., Wells, G. A., Raymond, J., Mortensen, M., &amp; Symington, C. (2006). Should spectrophotometry be used to identify xanthochromia in the cerebrospinal fluid of alert patients suspected of having subarachnoid </w:t>
      </w:r>
      <w:proofErr w:type="gramStart"/>
      <w:r>
        <w:rPr>
          <w:sz w:val="20"/>
          <w:szCs w:val="20"/>
        </w:rPr>
        <w:t>hemorrhage?.</w:t>
      </w:r>
      <w:proofErr w:type="gramEnd"/>
      <w:r>
        <w:rPr>
          <w:sz w:val="20"/>
          <w:szCs w:val="20"/>
        </w:rPr>
        <w:t xml:space="preserve"> </w:t>
      </w:r>
      <w:r>
        <w:rPr>
          <w:i/>
          <w:iCs/>
          <w:sz w:val="20"/>
          <w:szCs w:val="20"/>
        </w:rPr>
        <w:t>Stroke</w:t>
      </w:r>
      <w:r>
        <w:rPr>
          <w:sz w:val="20"/>
          <w:szCs w:val="20"/>
        </w:rPr>
        <w:t xml:space="preserve">, </w:t>
      </w:r>
      <w:r>
        <w:rPr>
          <w:i/>
          <w:iCs/>
          <w:sz w:val="20"/>
          <w:szCs w:val="20"/>
        </w:rPr>
        <w:t>37</w:t>
      </w:r>
      <w:r>
        <w:rPr>
          <w:sz w:val="20"/>
          <w:szCs w:val="20"/>
        </w:rPr>
        <w:t>(10), 2467-72. https://doi.org/10.1161/01.STR.0000240689.15109.47</w:t>
      </w:r>
    </w:p>
    <w:p w14:paraId="4CF1BFAD" w14:textId="77777777" w:rsidR="0039479F" w:rsidRDefault="00000000">
      <w:pPr>
        <w:spacing w:after="100" w:line="252" w:lineRule="auto"/>
        <w:ind w:left="454" w:hanging="454"/>
      </w:pPr>
      <w:r>
        <w:rPr>
          <w:sz w:val="20"/>
          <w:szCs w:val="20"/>
        </w:rPr>
        <w:t xml:space="preserve">Perry, J. J., Spacek, A., Forbes, M., Wells, G. A., Mortensen, M., Symington, C., Fortin, N., &amp; Stiell, I. G. (2008). Is the combination of negative computed tomography result and negative lumbar puncture result sufficient to rule out subarachnoid </w:t>
      </w:r>
      <w:proofErr w:type="gramStart"/>
      <w:r>
        <w:rPr>
          <w:sz w:val="20"/>
          <w:szCs w:val="20"/>
        </w:rPr>
        <w:t>hemorrhage?.</w:t>
      </w:r>
      <w:proofErr w:type="gramEnd"/>
      <w:r>
        <w:rPr>
          <w:sz w:val="20"/>
          <w:szCs w:val="20"/>
        </w:rPr>
        <w:t xml:space="preserve"> </w:t>
      </w:r>
      <w:r>
        <w:rPr>
          <w:i/>
          <w:iCs/>
          <w:sz w:val="20"/>
          <w:szCs w:val="20"/>
        </w:rPr>
        <w:t>Annals of emergency medicine</w:t>
      </w:r>
      <w:r>
        <w:rPr>
          <w:sz w:val="20"/>
          <w:szCs w:val="20"/>
        </w:rPr>
        <w:t xml:space="preserve">, </w:t>
      </w:r>
      <w:r>
        <w:rPr>
          <w:i/>
          <w:iCs/>
          <w:sz w:val="20"/>
          <w:szCs w:val="20"/>
        </w:rPr>
        <w:t>51</w:t>
      </w:r>
      <w:r>
        <w:rPr>
          <w:sz w:val="20"/>
          <w:szCs w:val="20"/>
        </w:rPr>
        <w:t>(6), 707-13. https://doi.org/10.1016/j.annemergmed.2007.10.025</w:t>
      </w:r>
    </w:p>
    <w:p w14:paraId="71533539" w14:textId="77777777" w:rsidR="0039479F" w:rsidRDefault="00000000">
      <w:pPr>
        <w:spacing w:after="100" w:line="252" w:lineRule="auto"/>
        <w:ind w:left="454" w:hanging="454"/>
      </w:pPr>
      <w:r>
        <w:rPr>
          <w:sz w:val="20"/>
          <w:szCs w:val="20"/>
        </w:rPr>
        <w:t xml:space="preserve">Perry, J. J., Stiell, I. G., Sivilotti, M. L., Bullard, M. J., Emond, M., Symington, C., Sutherland, J., Worster, A., Hohl, C., Lee, J. S., Eisenhauer, M. A., Mortensen, M., Mackey, D., Pauls, M., Lesiuk, H., &amp; Wells, G. A. (2011). Sensitivity of computed tomography performed within six hours of onset of headache for diagnosis of subarachnoid haemorrhage: prospective cohort study. </w:t>
      </w:r>
      <w:r>
        <w:rPr>
          <w:i/>
          <w:iCs/>
          <w:sz w:val="20"/>
          <w:szCs w:val="20"/>
        </w:rPr>
        <w:t>BMJ (Clinical research ed.)</w:t>
      </w:r>
      <w:r>
        <w:rPr>
          <w:sz w:val="20"/>
          <w:szCs w:val="20"/>
        </w:rPr>
        <w:t xml:space="preserve">, </w:t>
      </w:r>
      <w:r>
        <w:rPr>
          <w:i/>
          <w:iCs/>
          <w:sz w:val="20"/>
          <w:szCs w:val="20"/>
        </w:rPr>
        <w:t>343</w:t>
      </w:r>
      <w:r>
        <w:rPr>
          <w:sz w:val="20"/>
          <w:szCs w:val="20"/>
        </w:rPr>
        <w:t>, d4277. https://doi.org/10.1136/bmj.d4277</w:t>
      </w:r>
    </w:p>
    <w:p w14:paraId="202DC2B2" w14:textId="77777777" w:rsidR="0039479F" w:rsidRDefault="00000000">
      <w:pPr>
        <w:spacing w:after="100" w:line="252" w:lineRule="auto"/>
        <w:ind w:left="454" w:hanging="454"/>
      </w:pPr>
      <w:r>
        <w:rPr>
          <w:sz w:val="20"/>
          <w:szCs w:val="20"/>
        </w:rPr>
        <w:t xml:space="preserve">Perry, J. J., Stiell, I. G., Sivilotti, M. L., Bullard, M. J., Hohl, C. M., Sutherland, J., Émond, M., Worster, A., Lee, J. S., Mackey, D., Pauls, M., Lesiuk, H., Symington, C., &amp; Wells, G. A. (2013). Clinical decision rules to rule out subarachnoid hemorrhage for acute headache. </w:t>
      </w:r>
      <w:r>
        <w:rPr>
          <w:i/>
          <w:iCs/>
          <w:sz w:val="20"/>
          <w:szCs w:val="20"/>
        </w:rPr>
        <w:t>JAMA</w:t>
      </w:r>
      <w:r>
        <w:rPr>
          <w:sz w:val="20"/>
          <w:szCs w:val="20"/>
        </w:rPr>
        <w:t xml:space="preserve">, </w:t>
      </w:r>
      <w:r>
        <w:rPr>
          <w:i/>
          <w:iCs/>
          <w:sz w:val="20"/>
          <w:szCs w:val="20"/>
        </w:rPr>
        <w:t>310</w:t>
      </w:r>
      <w:r>
        <w:rPr>
          <w:sz w:val="20"/>
          <w:szCs w:val="20"/>
        </w:rPr>
        <w:t>(12), 1248-55. https://doi.org/10.1001/jama.2013.278018</w:t>
      </w:r>
    </w:p>
    <w:p w14:paraId="1692EB3A" w14:textId="77777777" w:rsidR="0039479F" w:rsidRDefault="00000000">
      <w:pPr>
        <w:spacing w:after="100" w:line="252" w:lineRule="auto"/>
        <w:ind w:left="454" w:hanging="454"/>
      </w:pPr>
      <w:r>
        <w:rPr>
          <w:sz w:val="20"/>
          <w:szCs w:val="20"/>
        </w:rPr>
        <w:t xml:space="preserve">Perry, J. J., Stiell, I. G., Sivilotti, M. L., Bullard, M. J., Lee, J. S., Eisenhauer, M., Symington, C., Mortensen, M., Sutherland, J., Lesiuk, H., &amp; Wells, G. A. (2010). High risk clinical characteristics for subarachnoid haemorrhage in patients with acute headache: prospective cohort study. </w:t>
      </w:r>
      <w:r>
        <w:rPr>
          <w:i/>
          <w:iCs/>
          <w:sz w:val="20"/>
          <w:szCs w:val="20"/>
        </w:rPr>
        <w:t>BMJ (Clinical research ed.)</w:t>
      </w:r>
      <w:r>
        <w:rPr>
          <w:sz w:val="20"/>
          <w:szCs w:val="20"/>
        </w:rPr>
        <w:t xml:space="preserve">, </w:t>
      </w:r>
      <w:r>
        <w:rPr>
          <w:i/>
          <w:iCs/>
          <w:sz w:val="20"/>
          <w:szCs w:val="20"/>
        </w:rPr>
        <w:t>341</w:t>
      </w:r>
      <w:r>
        <w:rPr>
          <w:sz w:val="20"/>
          <w:szCs w:val="20"/>
        </w:rPr>
        <w:t>, c5204. https://doi.org/10.1136/bmj.c5204</w:t>
      </w:r>
    </w:p>
    <w:p w14:paraId="1D56CB44" w14:textId="77777777" w:rsidR="0039479F" w:rsidRDefault="00000000">
      <w:pPr>
        <w:spacing w:after="100" w:line="252" w:lineRule="auto"/>
        <w:ind w:left="454" w:hanging="454"/>
      </w:pPr>
      <w:r>
        <w:rPr>
          <w:sz w:val="20"/>
          <w:szCs w:val="20"/>
        </w:rPr>
        <w:lastRenderedPageBreak/>
        <w:t xml:space="preserve">Perry, J. J., Stiell, I. G., Wells, G. A., Mortensen, M., Lesiuk, H., Sivilotti, M., &amp; Kapur, A. (2005). Attitudes and judgment of emergency physicians in the management of patients with acute headache. </w:t>
      </w:r>
      <w:r>
        <w:rPr>
          <w:i/>
          <w:iCs/>
          <w:sz w:val="20"/>
          <w:szCs w:val="20"/>
        </w:rPr>
        <w:t xml:space="preserve">Academic emergency </w:t>
      </w:r>
      <w:proofErr w:type="gramStart"/>
      <w:r>
        <w:rPr>
          <w:i/>
          <w:iCs/>
          <w:sz w:val="20"/>
          <w:szCs w:val="20"/>
        </w:rPr>
        <w:t>medicine :</w:t>
      </w:r>
      <w:proofErr w:type="gramEnd"/>
      <w:r>
        <w:rPr>
          <w:i/>
          <w:iCs/>
          <w:sz w:val="20"/>
          <w:szCs w:val="20"/>
        </w:rPr>
        <w:t xml:space="preserve"> official journal of the Society for Academic Emergency Medicine</w:t>
      </w:r>
      <w:r>
        <w:rPr>
          <w:sz w:val="20"/>
          <w:szCs w:val="20"/>
        </w:rPr>
        <w:t xml:space="preserve">, </w:t>
      </w:r>
      <w:r>
        <w:rPr>
          <w:i/>
          <w:iCs/>
          <w:sz w:val="20"/>
          <w:szCs w:val="20"/>
        </w:rPr>
        <w:t>12</w:t>
      </w:r>
      <w:r>
        <w:rPr>
          <w:sz w:val="20"/>
          <w:szCs w:val="20"/>
        </w:rPr>
        <w:t>(1), 33-7. https://doi.org/10.1197/j.aem.2004.11.007</w:t>
      </w:r>
    </w:p>
    <w:p w14:paraId="25C0B636" w14:textId="77777777" w:rsidR="0039479F" w:rsidRDefault="00000000">
      <w:pPr>
        <w:spacing w:after="100" w:line="252" w:lineRule="auto"/>
        <w:ind w:left="454" w:hanging="454"/>
      </w:pPr>
      <w:r>
        <w:rPr>
          <w:sz w:val="20"/>
          <w:szCs w:val="20"/>
        </w:rPr>
        <w:t xml:space="preserve">Perry, J. J., Stiell, I., Wells, G., &amp; Spacek, A. (2002). Diagnostic test utilization in the emergency department for alert headache patients with possible subarachnoid hemorrhage. </w:t>
      </w:r>
      <w:r>
        <w:rPr>
          <w:i/>
          <w:iCs/>
          <w:sz w:val="20"/>
          <w:szCs w:val="20"/>
        </w:rPr>
        <w:t>CJEM</w:t>
      </w:r>
      <w:r>
        <w:rPr>
          <w:sz w:val="20"/>
          <w:szCs w:val="20"/>
        </w:rPr>
        <w:t xml:space="preserve">, </w:t>
      </w:r>
      <w:r>
        <w:rPr>
          <w:i/>
          <w:iCs/>
          <w:sz w:val="20"/>
          <w:szCs w:val="20"/>
        </w:rPr>
        <w:t>4</w:t>
      </w:r>
      <w:r>
        <w:rPr>
          <w:sz w:val="20"/>
          <w:szCs w:val="20"/>
        </w:rPr>
        <w:t>(5), 333-7. https://doi.org/10.1017/s1481803500007739</w:t>
      </w:r>
    </w:p>
    <w:p w14:paraId="6D1B0C88" w14:textId="77777777" w:rsidR="0039479F" w:rsidRDefault="00000000">
      <w:pPr>
        <w:spacing w:after="100" w:line="252" w:lineRule="auto"/>
        <w:ind w:left="454" w:hanging="454"/>
      </w:pPr>
      <w:r>
        <w:rPr>
          <w:sz w:val="20"/>
          <w:szCs w:val="20"/>
        </w:rPr>
        <w:t xml:space="preserve">Plasencia-Martínez, J. M., Otón-González, E., Sánchez-Canales, M., Ortiz-Mayoral, H., Cotillo-Ramos, E., Casado-Alarcón, N. I., Ballesta-Ruiz, M., Villaverde-González, R., &amp; García-Santos, J. M. (2024). Clinical prediction scale approach derived from a retrospective study to reduce the number of urgent, low-value cranial CT scans. </w:t>
      </w:r>
      <w:r>
        <w:rPr>
          <w:i/>
          <w:iCs/>
          <w:sz w:val="20"/>
          <w:szCs w:val="20"/>
        </w:rPr>
        <w:t>Emergency radiology</w:t>
      </w:r>
      <w:r>
        <w:rPr>
          <w:sz w:val="20"/>
          <w:szCs w:val="20"/>
        </w:rPr>
        <w:t xml:space="preserve">, </w:t>
      </w:r>
      <w:r>
        <w:rPr>
          <w:i/>
          <w:iCs/>
          <w:sz w:val="20"/>
          <w:szCs w:val="20"/>
        </w:rPr>
        <w:t>31</w:t>
      </w:r>
      <w:r>
        <w:rPr>
          <w:sz w:val="20"/>
          <w:szCs w:val="20"/>
        </w:rPr>
        <w:t>(6), 835-843. https://doi.org/10.1007/s10140-024-02274-6</w:t>
      </w:r>
    </w:p>
    <w:p w14:paraId="41BCB238" w14:textId="77777777" w:rsidR="0039479F" w:rsidRDefault="00000000">
      <w:pPr>
        <w:spacing w:after="100" w:line="252" w:lineRule="auto"/>
        <w:ind w:left="454" w:hanging="454"/>
      </w:pPr>
      <w:r>
        <w:rPr>
          <w:sz w:val="20"/>
          <w:szCs w:val="20"/>
        </w:rPr>
        <w:t xml:space="preserve">Pouryahya, P., Haydon, R., Meyer, A., Easaw-Mamutil, N., Tan, S. Y. Z., &amp; Teng, G. H. W. (2020). Utility of lumbar puncture after a normal brain computed tomography scan in patients presenting to the emergency department with suspected subarachnoid haemorrhage: A new more rational </w:t>
      </w:r>
      <w:proofErr w:type="gramStart"/>
      <w:r>
        <w:rPr>
          <w:sz w:val="20"/>
          <w:szCs w:val="20"/>
        </w:rPr>
        <w:t>approach?.</w:t>
      </w:r>
      <w:proofErr w:type="gramEnd"/>
      <w:r>
        <w:rPr>
          <w:sz w:val="20"/>
          <w:szCs w:val="20"/>
        </w:rPr>
        <w:t xml:space="preserve"> </w:t>
      </w:r>
      <w:r>
        <w:rPr>
          <w:i/>
          <w:iCs/>
          <w:sz w:val="20"/>
          <w:szCs w:val="20"/>
        </w:rPr>
        <w:t xml:space="preserve">Emergency medicine </w:t>
      </w:r>
      <w:proofErr w:type="gramStart"/>
      <w:r>
        <w:rPr>
          <w:i/>
          <w:iCs/>
          <w:sz w:val="20"/>
          <w:szCs w:val="20"/>
        </w:rPr>
        <w:t>Australasia :</w:t>
      </w:r>
      <w:proofErr w:type="gramEnd"/>
      <w:r>
        <w:rPr>
          <w:i/>
          <w:iCs/>
          <w:sz w:val="20"/>
          <w:szCs w:val="20"/>
        </w:rPr>
        <w:t xml:space="preserve"> EMA</w:t>
      </w:r>
      <w:r>
        <w:rPr>
          <w:sz w:val="20"/>
          <w:szCs w:val="20"/>
        </w:rPr>
        <w:t xml:space="preserve">, </w:t>
      </w:r>
      <w:r>
        <w:rPr>
          <w:i/>
          <w:iCs/>
          <w:sz w:val="20"/>
          <w:szCs w:val="20"/>
        </w:rPr>
        <w:t>32</w:t>
      </w:r>
      <w:r>
        <w:rPr>
          <w:sz w:val="20"/>
          <w:szCs w:val="20"/>
        </w:rPr>
        <w:t>(5), 756-762. https://doi.org/10.1111/1742-6723.13502</w:t>
      </w:r>
    </w:p>
    <w:p w14:paraId="7F0DEF13" w14:textId="77777777" w:rsidR="0039479F" w:rsidRDefault="00000000">
      <w:pPr>
        <w:spacing w:after="100" w:line="252" w:lineRule="auto"/>
        <w:ind w:left="454" w:hanging="454"/>
      </w:pPr>
      <w:r>
        <w:rPr>
          <w:sz w:val="20"/>
          <w:szCs w:val="20"/>
        </w:rPr>
        <w:t xml:space="preserve">Quon, J. S., Glikstein, R., Lim, C. S., &amp; Schwarz, B. A. (2015). Computed tomography for non-traumatic headache in the emergency department and the impact of follow-up testing on altering the initial diagnosis. </w:t>
      </w:r>
      <w:r>
        <w:rPr>
          <w:i/>
          <w:iCs/>
          <w:sz w:val="20"/>
          <w:szCs w:val="20"/>
        </w:rPr>
        <w:t>Emergency radiology</w:t>
      </w:r>
      <w:r>
        <w:rPr>
          <w:sz w:val="20"/>
          <w:szCs w:val="20"/>
        </w:rPr>
        <w:t xml:space="preserve">, </w:t>
      </w:r>
      <w:r>
        <w:rPr>
          <w:i/>
          <w:iCs/>
          <w:sz w:val="20"/>
          <w:szCs w:val="20"/>
        </w:rPr>
        <w:t>22</w:t>
      </w:r>
      <w:r>
        <w:rPr>
          <w:sz w:val="20"/>
          <w:szCs w:val="20"/>
        </w:rPr>
        <w:t>(5), 521-5. https://doi.org/10.1007/s10140-015-1314-9</w:t>
      </w:r>
    </w:p>
    <w:p w14:paraId="549998D9" w14:textId="77777777" w:rsidR="0039479F" w:rsidRDefault="00000000">
      <w:pPr>
        <w:spacing w:after="100" w:line="252" w:lineRule="auto"/>
        <w:ind w:left="454" w:hanging="454"/>
      </w:pPr>
      <w:r>
        <w:rPr>
          <w:sz w:val="20"/>
          <w:szCs w:val="20"/>
        </w:rPr>
        <w:t xml:space="preserve">Raffaelli, B., Neeb, L., Israel-Willner, H., Körner, J., Liman, T., Reuter, U., &amp; Siebert, E. (2018). Brain imaging in pregnant women with acute headache. </w:t>
      </w:r>
      <w:r>
        <w:rPr>
          <w:i/>
          <w:iCs/>
          <w:sz w:val="20"/>
          <w:szCs w:val="20"/>
        </w:rPr>
        <w:t>Journal of neurology</w:t>
      </w:r>
      <w:r>
        <w:rPr>
          <w:sz w:val="20"/>
          <w:szCs w:val="20"/>
        </w:rPr>
        <w:t xml:space="preserve">, </w:t>
      </w:r>
      <w:r>
        <w:rPr>
          <w:i/>
          <w:iCs/>
          <w:sz w:val="20"/>
          <w:szCs w:val="20"/>
        </w:rPr>
        <w:t>265</w:t>
      </w:r>
      <w:r>
        <w:rPr>
          <w:sz w:val="20"/>
          <w:szCs w:val="20"/>
        </w:rPr>
        <w:t>(8), 1836-1843. https://doi.org/10.1007/s00415-018-8924-6</w:t>
      </w:r>
    </w:p>
    <w:p w14:paraId="23899ADE" w14:textId="77777777" w:rsidR="0039479F" w:rsidRDefault="00000000">
      <w:pPr>
        <w:spacing w:after="100" w:line="252" w:lineRule="auto"/>
        <w:ind w:left="454" w:hanging="454"/>
      </w:pPr>
      <w:r>
        <w:rPr>
          <w:sz w:val="20"/>
          <w:szCs w:val="20"/>
        </w:rPr>
        <w:t xml:space="preserve">Raffaelli, B., Siebert, E., Körner, J., Liman, T., Reuter, U., &amp; Neeb, L. (2017). Characteristics and diagnoses of acute headache in pregnant women - a retrospective cross-sectional study. </w:t>
      </w:r>
      <w:r>
        <w:rPr>
          <w:i/>
          <w:iCs/>
          <w:sz w:val="20"/>
          <w:szCs w:val="20"/>
        </w:rPr>
        <w:t>The journal of headache and pain</w:t>
      </w:r>
      <w:r>
        <w:rPr>
          <w:sz w:val="20"/>
          <w:szCs w:val="20"/>
        </w:rPr>
        <w:t xml:space="preserve">, </w:t>
      </w:r>
      <w:r>
        <w:rPr>
          <w:i/>
          <w:iCs/>
          <w:sz w:val="20"/>
          <w:szCs w:val="20"/>
        </w:rPr>
        <w:t>18</w:t>
      </w:r>
      <w:r>
        <w:rPr>
          <w:sz w:val="20"/>
          <w:szCs w:val="20"/>
        </w:rPr>
        <w:t>(1), 114. https://doi.org/10.1186/s10194-017-0823-1</w:t>
      </w:r>
    </w:p>
    <w:p w14:paraId="71070EE9" w14:textId="77777777" w:rsidR="0039479F" w:rsidRDefault="00000000">
      <w:pPr>
        <w:spacing w:after="100" w:line="252" w:lineRule="auto"/>
        <w:ind w:left="454" w:hanging="454"/>
      </w:pPr>
      <w:r>
        <w:rPr>
          <w:sz w:val="20"/>
          <w:szCs w:val="20"/>
        </w:rPr>
        <w:t xml:space="preserve">Ramchandren, S., Cross, B. J., &amp; Liebeskind, D. S. (2007). Emergent headaches during pregnancy: correlation between neurologic examination and neuroimaging. </w:t>
      </w:r>
      <w:r>
        <w:rPr>
          <w:i/>
          <w:iCs/>
          <w:sz w:val="20"/>
          <w:szCs w:val="20"/>
        </w:rPr>
        <w:t>AJNR. American journal of neuroradiology</w:t>
      </w:r>
      <w:r>
        <w:rPr>
          <w:sz w:val="20"/>
          <w:szCs w:val="20"/>
        </w:rPr>
        <w:t xml:space="preserve">, </w:t>
      </w:r>
      <w:r>
        <w:rPr>
          <w:i/>
          <w:iCs/>
          <w:sz w:val="20"/>
          <w:szCs w:val="20"/>
        </w:rPr>
        <w:t>28</w:t>
      </w:r>
      <w:r>
        <w:rPr>
          <w:sz w:val="20"/>
          <w:szCs w:val="20"/>
        </w:rPr>
        <w:t>(6), 1085-7. https://doi.org/10.3174/ajnr.A0506</w:t>
      </w:r>
    </w:p>
    <w:p w14:paraId="36D3FFCC" w14:textId="77777777" w:rsidR="0039479F" w:rsidRDefault="00000000">
      <w:pPr>
        <w:spacing w:after="100" w:line="252" w:lineRule="auto"/>
        <w:ind w:left="454" w:hanging="454"/>
      </w:pPr>
      <w:r>
        <w:rPr>
          <w:sz w:val="20"/>
          <w:szCs w:val="20"/>
        </w:rPr>
        <w:t xml:space="preserve">Rana, A. K., Turner, H. E., &amp; Deans, K. A. (2013). Likelihood of aneurysmal subarachnoid haemorrhage in patients with normal unenhanced CT, CSF xanthochromia on spectrophotometry and negative CT angiography. </w:t>
      </w:r>
      <w:r>
        <w:rPr>
          <w:i/>
          <w:iCs/>
          <w:sz w:val="20"/>
          <w:szCs w:val="20"/>
        </w:rPr>
        <w:t>The journal of the Royal College of Physicians of Edinburgh</w:t>
      </w:r>
      <w:r>
        <w:rPr>
          <w:sz w:val="20"/>
          <w:szCs w:val="20"/>
        </w:rPr>
        <w:t xml:space="preserve">, </w:t>
      </w:r>
      <w:r>
        <w:rPr>
          <w:i/>
          <w:iCs/>
          <w:sz w:val="20"/>
          <w:szCs w:val="20"/>
        </w:rPr>
        <w:t>43</w:t>
      </w:r>
      <w:r>
        <w:rPr>
          <w:sz w:val="20"/>
          <w:szCs w:val="20"/>
        </w:rPr>
        <w:t>(3), 200-6. https://doi.org/10.4997/JRCPE.2013.303</w:t>
      </w:r>
    </w:p>
    <w:p w14:paraId="7E091863" w14:textId="77777777" w:rsidR="0039479F" w:rsidRDefault="00000000">
      <w:pPr>
        <w:spacing w:after="100" w:line="252" w:lineRule="auto"/>
        <w:ind w:left="454" w:hanging="454"/>
      </w:pPr>
      <w:r>
        <w:rPr>
          <w:sz w:val="20"/>
          <w:szCs w:val="20"/>
        </w:rPr>
        <w:t xml:space="preserve">Rankin, S., McGuire, J., Chekroud, M., Alakandy, L., &amp; Mukhopadhyay, B. (2022). Evaluating xanthochromia in the diagnosis of subarachnoid haemorrhage in Scotland in the Era of modern computed tomography. </w:t>
      </w:r>
      <w:r>
        <w:rPr>
          <w:i/>
          <w:iCs/>
          <w:sz w:val="20"/>
          <w:szCs w:val="20"/>
        </w:rPr>
        <w:t>Scottish medical journal</w:t>
      </w:r>
      <w:r>
        <w:rPr>
          <w:sz w:val="20"/>
          <w:szCs w:val="20"/>
        </w:rPr>
        <w:t xml:space="preserve">, </w:t>
      </w:r>
      <w:r>
        <w:rPr>
          <w:i/>
          <w:iCs/>
          <w:sz w:val="20"/>
          <w:szCs w:val="20"/>
        </w:rPr>
        <w:t>67</w:t>
      </w:r>
      <w:r>
        <w:rPr>
          <w:sz w:val="20"/>
          <w:szCs w:val="20"/>
        </w:rPr>
        <w:t>(2), 71-77. https://doi.org/10.1177/00369330211072264</w:t>
      </w:r>
    </w:p>
    <w:p w14:paraId="3DF981A8" w14:textId="77777777" w:rsidR="0039479F" w:rsidRDefault="00000000">
      <w:pPr>
        <w:spacing w:after="100" w:line="252" w:lineRule="auto"/>
        <w:ind w:left="454" w:hanging="454"/>
      </w:pPr>
      <w:r>
        <w:rPr>
          <w:sz w:val="20"/>
          <w:szCs w:val="20"/>
        </w:rPr>
        <w:t xml:space="preserve">Reeve, S. F., Johnson, J. S., &amp; Marshall, R. (2016). Urine Test Strips as a Bedside Diagnostic Aid to Rule out Blood in CSF: A Validation. </w:t>
      </w:r>
      <w:r>
        <w:rPr>
          <w:i/>
          <w:iCs/>
          <w:sz w:val="20"/>
          <w:szCs w:val="20"/>
        </w:rPr>
        <w:t>Military medicine</w:t>
      </w:r>
      <w:r>
        <w:rPr>
          <w:sz w:val="20"/>
          <w:szCs w:val="20"/>
        </w:rPr>
        <w:t xml:space="preserve">, </w:t>
      </w:r>
      <w:r>
        <w:rPr>
          <w:i/>
          <w:iCs/>
          <w:sz w:val="20"/>
          <w:szCs w:val="20"/>
        </w:rPr>
        <w:t>181</w:t>
      </w:r>
      <w:r>
        <w:rPr>
          <w:sz w:val="20"/>
          <w:szCs w:val="20"/>
        </w:rPr>
        <w:t>(3), 199-201. https://doi.org/10.7205/MILMED-D-15-00021</w:t>
      </w:r>
    </w:p>
    <w:p w14:paraId="27EFCEE4" w14:textId="77777777" w:rsidR="0039479F" w:rsidRDefault="00000000">
      <w:pPr>
        <w:spacing w:after="100" w:line="252" w:lineRule="auto"/>
        <w:ind w:left="454" w:hanging="454"/>
      </w:pPr>
      <w:r>
        <w:rPr>
          <w:sz w:val="20"/>
          <w:szCs w:val="20"/>
        </w:rPr>
        <w:t xml:space="preserve">Rethlefsen, M. L., Kirtley, S., Waffenschmidt, S., Ayala, A. P., Moher, D., Page, M. J., Koffel, J. B., &amp; PRISMA-S Group (2021). PRISMA-S: an extension to the PRISMA Statement for Reporting Literature Searches in Systematic Reviews. </w:t>
      </w:r>
      <w:r>
        <w:rPr>
          <w:i/>
          <w:iCs/>
          <w:sz w:val="20"/>
          <w:szCs w:val="20"/>
        </w:rPr>
        <w:t>Systematic reviews</w:t>
      </w:r>
      <w:r>
        <w:rPr>
          <w:sz w:val="20"/>
          <w:szCs w:val="20"/>
        </w:rPr>
        <w:t xml:space="preserve">, </w:t>
      </w:r>
      <w:r>
        <w:rPr>
          <w:i/>
          <w:iCs/>
          <w:sz w:val="20"/>
          <w:szCs w:val="20"/>
        </w:rPr>
        <w:t>10</w:t>
      </w:r>
      <w:r>
        <w:rPr>
          <w:sz w:val="20"/>
          <w:szCs w:val="20"/>
        </w:rPr>
        <w:t>(1), 39. https://doi.org/10.1186/s13643-020-01542-z</w:t>
      </w:r>
    </w:p>
    <w:p w14:paraId="35E0D7E5" w14:textId="77777777" w:rsidR="0039479F" w:rsidRDefault="00000000">
      <w:pPr>
        <w:spacing w:after="100" w:line="252" w:lineRule="auto"/>
        <w:ind w:left="454" w:hanging="454"/>
      </w:pPr>
      <w:r>
        <w:rPr>
          <w:sz w:val="20"/>
          <w:szCs w:val="20"/>
        </w:rPr>
        <w:t xml:space="preserve">Rizk, B., Platon, A., Tasu, J. P., Becker, C. D., Mendes Pereira, V., Perneger, T., Shanmuganathan, K., Lövblad, K. O., &amp; Poletti, P. A. (2013). The role of unenhanced CT alone for the management of headache in an emergency department. A feasibility study. </w:t>
      </w:r>
      <w:r>
        <w:rPr>
          <w:i/>
          <w:iCs/>
          <w:sz w:val="20"/>
          <w:szCs w:val="20"/>
        </w:rPr>
        <w:t>Journal of neuroradiology = Journal de neuroradiologie</w:t>
      </w:r>
      <w:r>
        <w:rPr>
          <w:sz w:val="20"/>
          <w:szCs w:val="20"/>
        </w:rPr>
        <w:t xml:space="preserve">, </w:t>
      </w:r>
      <w:r>
        <w:rPr>
          <w:i/>
          <w:iCs/>
          <w:sz w:val="20"/>
          <w:szCs w:val="20"/>
        </w:rPr>
        <w:t>40</w:t>
      </w:r>
      <w:r>
        <w:rPr>
          <w:sz w:val="20"/>
          <w:szCs w:val="20"/>
        </w:rPr>
        <w:t>(5), 335-41. https://doi.org/10.1016/j.neurad.2013.01.003</w:t>
      </w:r>
    </w:p>
    <w:p w14:paraId="0DC74895" w14:textId="77777777" w:rsidR="0039479F" w:rsidRDefault="00000000">
      <w:pPr>
        <w:spacing w:after="100" w:line="252" w:lineRule="auto"/>
        <w:ind w:left="454" w:hanging="454"/>
      </w:pPr>
      <w:r>
        <w:rPr>
          <w:sz w:val="20"/>
          <w:szCs w:val="20"/>
        </w:rPr>
        <w:t xml:space="preserve">Robbins, M. S., Farmakidis, C., Dayal, A. K., &amp; Lipton, R. B. (2015). Acute headache diagnosis in pregnant women: a hospital-based study. </w:t>
      </w:r>
      <w:r>
        <w:rPr>
          <w:i/>
          <w:iCs/>
          <w:sz w:val="20"/>
          <w:szCs w:val="20"/>
        </w:rPr>
        <w:t>Neurology</w:t>
      </w:r>
      <w:r>
        <w:rPr>
          <w:sz w:val="20"/>
          <w:szCs w:val="20"/>
        </w:rPr>
        <w:t xml:space="preserve">, </w:t>
      </w:r>
      <w:r>
        <w:rPr>
          <w:i/>
          <w:iCs/>
          <w:sz w:val="20"/>
          <w:szCs w:val="20"/>
        </w:rPr>
        <w:t>85</w:t>
      </w:r>
      <w:r>
        <w:rPr>
          <w:sz w:val="20"/>
          <w:szCs w:val="20"/>
        </w:rPr>
        <w:t>(12), 1024-30. https://doi.org/10.1212/WNL.0000000000001954</w:t>
      </w:r>
    </w:p>
    <w:p w14:paraId="31382E2F" w14:textId="77777777" w:rsidR="0039479F" w:rsidRDefault="00000000">
      <w:pPr>
        <w:spacing w:after="100" w:line="252" w:lineRule="auto"/>
        <w:ind w:left="454" w:hanging="454"/>
      </w:pPr>
      <w:r>
        <w:rPr>
          <w:sz w:val="20"/>
          <w:szCs w:val="20"/>
        </w:rPr>
        <w:t xml:space="preserve">Roberts, T., Horner, D. E., Chu, K., Than, M., Kelly, A. M., Klim, S., Kinnear, F., Keijzers, G., Karamercan, M. A., Wijeratne, T., Kamona, S., Kuan, W. S., Graham, C. A., Body, R., Laribi, S., &amp; HEAD study investigators (2022). Thunderclap headache syndrome presenting to the emergency department: an international multicentre observational cohort study. </w:t>
      </w:r>
      <w:r>
        <w:rPr>
          <w:i/>
          <w:iCs/>
          <w:sz w:val="20"/>
          <w:szCs w:val="20"/>
        </w:rPr>
        <w:t xml:space="preserve">Emergency medicine </w:t>
      </w:r>
      <w:proofErr w:type="gramStart"/>
      <w:r>
        <w:rPr>
          <w:i/>
          <w:iCs/>
          <w:sz w:val="20"/>
          <w:szCs w:val="20"/>
        </w:rPr>
        <w:t>journal :</w:t>
      </w:r>
      <w:proofErr w:type="gramEnd"/>
      <w:r>
        <w:rPr>
          <w:i/>
          <w:iCs/>
          <w:sz w:val="20"/>
          <w:szCs w:val="20"/>
        </w:rPr>
        <w:t xml:space="preserve"> EMJ</w:t>
      </w:r>
      <w:r>
        <w:rPr>
          <w:sz w:val="20"/>
          <w:szCs w:val="20"/>
        </w:rPr>
        <w:t xml:space="preserve">, </w:t>
      </w:r>
      <w:r>
        <w:rPr>
          <w:i/>
          <w:iCs/>
          <w:sz w:val="20"/>
          <w:szCs w:val="20"/>
        </w:rPr>
        <w:t>39</w:t>
      </w:r>
      <w:r>
        <w:rPr>
          <w:sz w:val="20"/>
          <w:szCs w:val="20"/>
        </w:rPr>
        <w:t>(11), 803-809. https://doi.org/10.1136/emermed-2021-211370</w:t>
      </w:r>
    </w:p>
    <w:p w14:paraId="53508170" w14:textId="77777777" w:rsidR="0039479F" w:rsidRDefault="00000000">
      <w:pPr>
        <w:spacing w:after="100" w:line="252" w:lineRule="auto"/>
        <w:ind w:left="454" w:hanging="454"/>
      </w:pPr>
      <w:r>
        <w:rPr>
          <w:sz w:val="20"/>
          <w:szCs w:val="20"/>
        </w:rPr>
        <w:t xml:space="preserve">Rueda-Sánchez, M., Mantilla-McCormick, F. J., Solano, M. N., &amp; Ortiz, C. J. (2005). Prevalence of headache in an emergency department in Colombia. </w:t>
      </w:r>
      <w:r>
        <w:rPr>
          <w:i/>
          <w:iCs/>
          <w:sz w:val="20"/>
          <w:szCs w:val="20"/>
        </w:rPr>
        <w:t>Revista de neurologia</w:t>
      </w:r>
      <w:r>
        <w:rPr>
          <w:sz w:val="20"/>
          <w:szCs w:val="20"/>
        </w:rPr>
        <w:t xml:space="preserve">, </w:t>
      </w:r>
      <w:r>
        <w:rPr>
          <w:i/>
          <w:iCs/>
          <w:sz w:val="20"/>
          <w:szCs w:val="20"/>
        </w:rPr>
        <w:t>40</w:t>
      </w:r>
      <w:r>
        <w:rPr>
          <w:sz w:val="20"/>
          <w:szCs w:val="20"/>
        </w:rPr>
        <w:t>(4), 209-13.</w:t>
      </w:r>
    </w:p>
    <w:p w14:paraId="528280A6" w14:textId="77777777" w:rsidR="0039479F" w:rsidRDefault="00000000">
      <w:pPr>
        <w:spacing w:after="100" w:line="252" w:lineRule="auto"/>
        <w:ind w:left="454" w:hanging="454"/>
      </w:pPr>
      <w:r>
        <w:rPr>
          <w:sz w:val="20"/>
          <w:szCs w:val="20"/>
        </w:rPr>
        <w:t xml:space="preserve">Sachdeva, V., Vasseneix, C., Hage, R., Bidot, S., Clough, L. C., Wright, D. W., Newman, N. J., Biousse, V., &amp; Bruce, B. B. (2018). Optic nerve head edema among patients presenting to the emergency department. </w:t>
      </w:r>
      <w:r>
        <w:rPr>
          <w:i/>
          <w:iCs/>
          <w:sz w:val="20"/>
          <w:szCs w:val="20"/>
        </w:rPr>
        <w:t>Neurology</w:t>
      </w:r>
      <w:r>
        <w:rPr>
          <w:sz w:val="20"/>
          <w:szCs w:val="20"/>
        </w:rPr>
        <w:t xml:space="preserve">, </w:t>
      </w:r>
      <w:r>
        <w:rPr>
          <w:i/>
          <w:iCs/>
          <w:sz w:val="20"/>
          <w:szCs w:val="20"/>
        </w:rPr>
        <w:t>90</w:t>
      </w:r>
      <w:r>
        <w:rPr>
          <w:sz w:val="20"/>
          <w:szCs w:val="20"/>
        </w:rPr>
        <w:t>(5), e373-e379. https://doi.org/10.1212/WNL.0000000000004895</w:t>
      </w:r>
    </w:p>
    <w:p w14:paraId="738E4DC6" w14:textId="77777777" w:rsidR="0039479F" w:rsidRDefault="00000000">
      <w:pPr>
        <w:spacing w:after="100" w:line="252" w:lineRule="auto"/>
        <w:ind w:left="454" w:hanging="454"/>
      </w:pPr>
      <w:r>
        <w:rPr>
          <w:sz w:val="20"/>
          <w:szCs w:val="20"/>
        </w:rPr>
        <w:lastRenderedPageBreak/>
        <w:t xml:space="preserve">Sahraian, S., Beheshtian, E., Haj-Mirzaian, A., Alvin, M. D., &amp; Yousem, D. M. (2019). "Worst Headache of Life" in a Migraineur: Marginal Value of Emergency Department CT Scanning. </w:t>
      </w:r>
      <w:r>
        <w:rPr>
          <w:i/>
          <w:iCs/>
          <w:sz w:val="20"/>
          <w:szCs w:val="20"/>
        </w:rPr>
        <w:t xml:space="preserve">Journal of the American College of </w:t>
      </w:r>
      <w:proofErr w:type="gramStart"/>
      <w:r>
        <w:rPr>
          <w:i/>
          <w:iCs/>
          <w:sz w:val="20"/>
          <w:szCs w:val="20"/>
        </w:rPr>
        <w:t>Radiology :</w:t>
      </w:r>
      <w:proofErr w:type="gramEnd"/>
      <w:r>
        <w:rPr>
          <w:i/>
          <w:iCs/>
          <w:sz w:val="20"/>
          <w:szCs w:val="20"/>
        </w:rPr>
        <w:t xml:space="preserve"> JACR</w:t>
      </w:r>
      <w:r>
        <w:rPr>
          <w:sz w:val="20"/>
          <w:szCs w:val="20"/>
        </w:rPr>
        <w:t xml:space="preserve">, </w:t>
      </w:r>
      <w:r>
        <w:rPr>
          <w:i/>
          <w:iCs/>
          <w:sz w:val="20"/>
          <w:szCs w:val="20"/>
        </w:rPr>
        <w:t>16</w:t>
      </w:r>
      <w:r>
        <w:rPr>
          <w:sz w:val="20"/>
          <w:szCs w:val="20"/>
        </w:rPr>
        <w:t>(5), 683-690. https://doi.org/10.1016/j.jacr.2018.11.014</w:t>
      </w:r>
    </w:p>
    <w:p w14:paraId="354A8D3B" w14:textId="77777777" w:rsidR="0039479F" w:rsidRDefault="00000000">
      <w:pPr>
        <w:spacing w:after="100" w:line="252" w:lineRule="auto"/>
        <w:ind w:left="454" w:hanging="454"/>
      </w:pPr>
      <w:r>
        <w:rPr>
          <w:sz w:val="20"/>
          <w:szCs w:val="20"/>
        </w:rPr>
        <w:t xml:space="preserve">Sam, K. M., &amp; Schneider, H. G. (2025). Evaluation of revised UK-NEQAS CSF-xanthochromia method for subarachnoid hemorrhage: outcome data provide evidence for clinical value. </w:t>
      </w:r>
      <w:r>
        <w:rPr>
          <w:i/>
          <w:iCs/>
          <w:sz w:val="20"/>
          <w:szCs w:val="20"/>
        </w:rPr>
        <w:t>Clinical chemistry and laboratory medicine</w:t>
      </w:r>
      <w:r>
        <w:rPr>
          <w:sz w:val="20"/>
          <w:szCs w:val="20"/>
        </w:rPr>
        <w:t xml:space="preserve">, </w:t>
      </w:r>
      <w:r>
        <w:rPr>
          <w:i/>
          <w:iCs/>
          <w:sz w:val="20"/>
          <w:szCs w:val="20"/>
        </w:rPr>
        <w:t>63</w:t>
      </w:r>
      <w:r>
        <w:rPr>
          <w:sz w:val="20"/>
          <w:szCs w:val="20"/>
        </w:rPr>
        <w:t>(4), 771-779. https://doi.org/10.1515/cclm-2024-0995</w:t>
      </w:r>
    </w:p>
    <w:p w14:paraId="0818E448" w14:textId="77777777" w:rsidR="0039479F" w:rsidRDefault="00000000">
      <w:pPr>
        <w:spacing w:after="100" w:line="252" w:lineRule="auto"/>
        <w:ind w:left="454" w:hanging="454"/>
      </w:pPr>
      <w:r>
        <w:rPr>
          <w:sz w:val="20"/>
          <w:szCs w:val="20"/>
        </w:rPr>
        <w:t xml:space="preserve">Sasaki, R., Takahashi, Y., Morimoto, M., Sasaki, K., &amp; Morimoto, N. (2025). Undiagnosed headaches in the emergency department: clinical characteristics and outcomes. </w:t>
      </w:r>
      <w:r>
        <w:rPr>
          <w:i/>
          <w:iCs/>
          <w:sz w:val="20"/>
          <w:szCs w:val="20"/>
        </w:rPr>
        <w:t>Rinsho shinkeigaku = Clinical neurology</w:t>
      </w:r>
      <w:r>
        <w:rPr>
          <w:sz w:val="20"/>
          <w:szCs w:val="20"/>
        </w:rPr>
        <w:t xml:space="preserve">, </w:t>
      </w:r>
      <w:r>
        <w:rPr>
          <w:i/>
          <w:iCs/>
          <w:sz w:val="20"/>
          <w:szCs w:val="20"/>
        </w:rPr>
        <w:t>65</w:t>
      </w:r>
      <w:r>
        <w:rPr>
          <w:sz w:val="20"/>
          <w:szCs w:val="20"/>
        </w:rPr>
        <w:t>(3), 197-202. https://doi.org/10.5692/clinicalneurol.cn-002052</w:t>
      </w:r>
    </w:p>
    <w:p w14:paraId="3DFA5B73" w14:textId="77777777" w:rsidR="0039479F" w:rsidRDefault="00000000">
      <w:pPr>
        <w:spacing w:after="100" w:line="252" w:lineRule="auto"/>
        <w:ind w:left="454" w:hanging="454"/>
      </w:pPr>
      <w:r>
        <w:rPr>
          <w:sz w:val="20"/>
          <w:szCs w:val="20"/>
        </w:rPr>
        <w:t xml:space="preserve">Sato, R., Kuriyama, A., &amp; Luthe, S. K. (2017). Can We Rule Out Meningitis from Negative Jolt Accentuation? A Retrospective Cohort Study. </w:t>
      </w:r>
      <w:r>
        <w:rPr>
          <w:i/>
          <w:iCs/>
          <w:sz w:val="20"/>
          <w:szCs w:val="20"/>
        </w:rPr>
        <w:t>Headache</w:t>
      </w:r>
      <w:r>
        <w:rPr>
          <w:sz w:val="20"/>
          <w:szCs w:val="20"/>
        </w:rPr>
        <w:t xml:space="preserve">, </w:t>
      </w:r>
      <w:r>
        <w:rPr>
          <w:i/>
          <w:iCs/>
          <w:sz w:val="20"/>
          <w:szCs w:val="20"/>
        </w:rPr>
        <w:t>57</w:t>
      </w:r>
      <w:r>
        <w:rPr>
          <w:sz w:val="20"/>
          <w:szCs w:val="20"/>
        </w:rPr>
        <w:t>(4), 586-592. https://doi.org/10.1111/head.13022</w:t>
      </w:r>
    </w:p>
    <w:p w14:paraId="48931495" w14:textId="77777777" w:rsidR="0039479F" w:rsidRDefault="00000000">
      <w:pPr>
        <w:spacing w:after="100" w:line="252" w:lineRule="auto"/>
        <w:ind w:left="454" w:hanging="454"/>
      </w:pPr>
      <w:r>
        <w:rPr>
          <w:sz w:val="20"/>
          <w:szCs w:val="20"/>
        </w:rPr>
        <w:t xml:space="preserve">Sayer, D., Bloom, B., Fernando, K., Jones, S., Benton, S., Dev, S., Deverapalli, S., &amp; Harris, T. (2015). An Observational Study of 2,248 Patients Presenting </w:t>
      </w:r>
      <w:proofErr w:type="gramStart"/>
      <w:r>
        <w:rPr>
          <w:sz w:val="20"/>
          <w:szCs w:val="20"/>
        </w:rPr>
        <w:t>With</w:t>
      </w:r>
      <w:proofErr w:type="gramEnd"/>
      <w:r>
        <w:rPr>
          <w:sz w:val="20"/>
          <w:szCs w:val="20"/>
        </w:rPr>
        <w:t xml:space="preserve"> Headache, Suggestive of Subarachnoid Hemorrhage, Who Received Lumbar Punctures Following Normal Computed Tomography of the Head. </w:t>
      </w:r>
      <w:r>
        <w:rPr>
          <w:i/>
          <w:iCs/>
          <w:sz w:val="20"/>
          <w:szCs w:val="20"/>
        </w:rPr>
        <w:t xml:space="preserve">Academic emergency </w:t>
      </w:r>
      <w:proofErr w:type="gramStart"/>
      <w:r>
        <w:rPr>
          <w:i/>
          <w:iCs/>
          <w:sz w:val="20"/>
          <w:szCs w:val="20"/>
        </w:rPr>
        <w:t>medicine :</w:t>
      </w:r>
      <w:proofErr w:type="gramEnd"/>
      <w:r>
        <w:rPr>
          <w:i/>
          <w:iCs/>
          <w:sz w:val="20"/>
          <w:szCs w:val="20"/>
        </w:rPr>
        <w:t xml:space="preserve"> official journal of the Society for Academic Emergency Medicine</w:t>
      </w:r>
      <w:r>
        <w:rPr>
          <w:sz w:val="20"/>
          <w:szCs w:val="20"/>
        </w:rPr>
        <w:t xml:space="preserve">, </w:t>
      </w:r>
      <w:r>
        <w:rPr>
          <w:i/>
          <w:iCs/>
          <w:sz w:val="20"/>
          <w:szCs w:val="20"/>
        </w:rPr>
        <w:t>22</w:t>
      </w:r>
      <w:r>
        <w:rPr>
          <w:sz w:val="20"/>
          <w:szCs w:val="20"/>
        </w:rPr>
        <w:t>(11), 1267-73. https://doi.org/10.1111/acem.12811</w:t>
      </w:r>
    </w:p>
    <w:p w14:paraId="4D896EBF" w14:textId="77777777" w:rsidR="0039479F" w:rsidRDefault="00000000">
      <w:pPr>
        <w:spacing w:after="100" w:line="252" w:lineRule="auto"/>
        <w:ind w:left="454" w:hanging="454"/>
      </w:pPr>
      <w:r>
        <w:rPr>
          <w:sz w:val="20"/>
          <w:szCs w:val="20"/>
        </w:rPr>
        <w:t xml:space="preserve">Schünemann, H. J., Oxman, A. D., Brozek, J., Glasziou, P., Jaeschke, R., Vist, G. E., Williams, J. W., Kunz, R., Craig, J., Montori, V. M., Bossuyt, P., Guyatt, G. H., &amp; GRADE Working Group (2008). Grading quality of evidence and strength of recommendations for diagnostic tests and strategies. </w:t>
      </w:r>
      <w:r>
        <w:rPr>
          <w:i/>
          <w:iCs/>
          <w:sz w:val="20"/>
          <w:szCs w:val="20"/>
        </w:rPr>
        <w:t>BMJ (Clinical research ed.)</w:t>
      </w:r>
      <w:r>
        <w:rPr>
          <w:sz w:val="20"/>
          <w:szCs w:val="20"/>
        </w:rPr>
        <w:t xml:space="preserve">, </w:t>
      </w:r>
      <w:r>
        <w:rPr>
          <w:i/>
          <w:iCs/>
          <w:sz w:val="20"/>
          <w:szCs w:val="20"/>
        </w:rPr>
        <w:t>336</w:t>
      </w:r>
      <w:r>
        <w:rPr>
          <w:sz w:val="20"/>
          <w:szCs w:val="20"/>
        </w:rPr>
        <w:t>(7653), 1106-10. https://doi.org/10.1136/bmj.39500.677199.AE</w:t>
      </w:r>
    </w:p>
    <w:p w14:paraId="2C6A6E54" w14:textId="77777777" w:rsidR="0039479F" w:rsidRDefault="00000000">
      <w:pPr>
        <w:spacing w:after="100" w:line="252" w:lineRule="auto"/>
        <w:ind w:left="454" w:hanging="454"/>
      </w:pPr>
      <w:r>
        <w:rPr>
          <w:sz w:val="20"/>
          <w:szCs w:val="20"/>
        </w:rPr>
        <w:t xml:space="preserve">Scott-King, J. M., Tieu, S., Chiew, A. L., Lui, J., Kirby, K. A., &amp; Chan, B. S. (2019). Clinical decision rule for non-traumatic computed tomography of the brain. </w:t>
      </w:r>
      <w:r>
        <w:rPr>
          <w:i/>
          <w:iCs/>
          <w:sz w:val="20"/>
          <w:szCs w:val="20"/>
        </w:rPr>
        <w:t xml:space="preserve">Emergency medicine </w:t>
      </w:r>
      <w:proofErr w:type="gramStart"/>
      <w:r>
        <w:rPr>
          <w:i/>
          <w:iCs/>
          <w:sz w:val="20"/>
          <w:szCs w:val="20"/>
        </w:rPr>
        <w:t>Australasia :</w:t>
      </w:r>
      <w:proofErr w:type="gramEnd"/>
      <w:r>
        <w:rPr>
          <w:i/>
          <w:iCs/>
          <w:sz w:val="20"/>
          <w:szCs w:val="20"/>
        </w:rPr>
        <w:t xml:space="preserve"> EMA</w:t>
      </w:r>
      <w:r>
        <w:rPr>
          <w:sz w:val="20"/>
          <w:szCs w:val="20"/>
        </w:rPr>
        <w:t xml:space="preserve">, </w:t>
      </w:r>
      <w:r>
        <w:rPr>
          <w:i/>
          <w:iCs/>
          <w:sz w:val="20"/>
          <w:szCs w:val="20"/>
        </w:rPr>
        <w:t>31</w:t>
      </w:r>
      <w:r>
        <w:rPr>
          <w:sz w:val="20"/>
          <w:szCs w:val="20"/>
        </w:rPr>
        <w:t>(6), 974-981. https://doi.org/10.1111/1742-6723.13292</w:t>
      </w:r>
    </w:p>
    <w:p w14:paraId="0A17574C" w14:textId="77777777" w:rsidR="0039479F" w:rsidRDefault="00000000">
      <w:pPr>
        <w:spacing w:after="100" w:line="252" w:lineRule="auto"/>
        <w:ind w:left="454" w:hanging="454"/>
      </w:pPr>
      <w:r>
        <w:rPr>
          <w:sz w:val="20"/>
          <w:szCs w:val="20"/>
        </w:rPr>
        <w:t xml:space="preserve">Seingier, R., Pasco, J., Hanouz, J. L., Macrez, R., Goetz, M., &amp; Amiot, F. (2026). External validation of the emergency CT head score to reduce non-trauma imaging: a multicentre retrospective study. </w:t>
      </w:r>
      <w:r>
        <w:rPr>
          <w:i/>
          <w:iCs/>
          <w:sz w:val="20"/>
          <w:szCs w:val="20"/>
        </w:rPr>
        <w:t xml:space="preserve">Emergency medicine </w:t>
      </w:r>
      <w:proofErr w:type="gramStart"/>
      <w:r>
        <w:rPr>
          <w:i/>
          <w:iCs/>
          <w:sz w:val="20"/>
          <w:szCs w:val="20"/>
        </w:rPr>
        <w:t>journal :</w:t>
      </w:r>
      <w:proofErr w:type="gramEnd"/>
      <w:r>
        <w:rPr>
          <w:i/>
          <w:iCs/>
          <w:sz w:val="20"/>
          <w:szCs w:val="20"/>
        </w:rPr>
        <w:t xml:space="preserve"> EMJ</w:t>
      </w:r>
      <w:r>
        <w:rPr>
          <w:sz w:val="20"/>
          <w:szCs w:val="20"/>
        </w:rPr>
        <w:t>. https://doi.org/10.1136/emermed-2025-215110</w:t>
      </w:r>
    </w:p>
    <w:p w14:paraId="3C7CBCBA" w14:textId="77777777" w:rsidR="0039479F" w:rsidRDefault="00000000">
      <w:pPr>
        <w:spacing w:after="100" w:line="252" w:lineRule="auto"/>
        <w:ind w:left="454" w:hanging="454"/>
      </w:pPr>
      <w:r>
        <w:rPr>
          <w:sz w:val="20"/>
          <w:szCs w:val="20"/>
        </w:rPr>
        <w:t xml:space="preserve">Serinken, M., Eken, C., Güngör, F., Akdağ, Ö., &amp; Citisli, V. (2026). Clinical Predictors of Intracranial Pathology in Emergency Department Patients with Non-traumatic Headache and No Neurological Deficits: Prospective Study. </w:t>
      </w:r>
      <w:r>
        <w:rPr>
          <w:i/>
          <w:iCs/>
          <w:sz w:val="20"/>
          <w:szCs w:val="20"/>
        </w:rPr>
        <w:t>The western journal of emergency medicine</w:t>
      </w:r>
      <w:r>
        <w:rPr>
          <w:sz w:val="20"/>
          <w:szCs w:val="20"/>
        </w:rPr>
        <w:t xml:space="preserve">, </w:t>
      </w:r>
      <w:r>
        <w:rPr>
          <w:i/>
          <w:iCs/>
          <w:sz w:val="20"/>
          <w:szCs w:val="20"/>
        </w:rPr>
        <w:t>27</w:t>
      </w:r>
      <w:r>
        <w:rPr>
          <w:sz w:val="20"/>
          <w:szCs w:val="20"/>
        </w:rPr>
        <w:t>(2), 298-303. https://doi.org/10.5811/westjem.48670</w:t>
      </w:r>
    </w:p>
    <w:p w14:paraId="1860F54D" w14:textId="77777777" w:rsidR="0039479F" w:rsidRDefault="00000000">
      <w:pPr>
        <w:spacing w:after="100" w:line="252" w:lineRule="auto"/>
        <w:ind w:left="454" w:hanging="454"/>
      </w:pPr>
      <w:r>
        <w:rPr>
          <w:sz w:val="20"/>
          <w:szCs w:val="20"/>
        </w:rPr>
        <w:t xml:space="preserve">Simwatachela, E., Ozoh, J. O., Mabuza, L. H., &amp; Kalinda, C. (2021). Clinical Predictors of Abnormal Head Computed Tomography Findings in Non-trauma Patients Presenting to a South African Emergency Department. </w:t>
      </w:r>
      <w:r>
        <w:rPr>
          <w:i/>
          <w:iCs/>
          <w:sz w:val="20"/>
          <w:szCs w:val="20"/>
        </w:rPr>
        <w:t>Frontiers in radiology</w:t>
      </w:r>
      <w:r>
        <w:rPr>
          <w:sz w:val="20"/>
          <w:szCs w:val="20"/>
        </w:rPr>
        <w:t xml:space="preserve">, </w:t>
      </w:r>
      <w:r>
        <w:rPr>
          <w:i/>
          <w:iCs/>
          <w:sz w:val="20"/>
          <w:szCs w:val="20"/>
        </w:rPr>
        <w:t>1</w:t>
      </w:r>
      <w:r>
        <w:rPr>
          <w:sz w:val="20"/>
          <w:szCs w:val="20"/>
        </w:rPr>
        <w:t>, 759731. https://doi.org/10.3389/fradi.2021.759731</w:t>
      </w:r>
    </w:p>
    <w:p w14:paraId="5AAF5A9F" w14:textId="77777777" w:rsidR="0039479F" w:rsidRDefault="00000000">
      <w:pPr>
        <w:spacing w:after="100" w:line="252" w:lineRule="auto"/>
        <w:ind w:left="454" w:hanging="454"/>
      </w:pPr>
      <w:r>
        <w:rPr>
          <w:sz w:val="20"/>
          <w:szCs w:val="20"/>
        </w:rPr>
        <w:t xml:space="preserve">Sjulstad, A. S., Brekke, O. L., &amp; Alstadhaug, K. B. (2025). Visual inspection versus spectrophotometry for xanthochromia detection in patients with sudden onset severe headache-A diagnostic accuracy study. </w:t>
      </w:r>
      <w:r>
        <w:rPr>
          <w:i/>
          <w:iCs/>
          <w:sz w:val="20"/>
          <w:szCs w:val="20"/>
        </w:rPr>
        <w:t>Headache</w:t>
      </w:r>
      <w:r>
        <w:rPr>
          <w:sz w:val="20"/>
          <w:szCs w:val="20"/>
        </w:rPr>
        <w:t xml:space="preserve">, </w:t>
      </w:r>
      <w:r>
        <w:rPr>
          <w:i/>
          <w:iCs/>
          <w:sz w:val="20"/>
          <w:szCs w:val="20"/>
        </w:rPr>
        <w:t>65</w:t>
      </w:r>
      <w:r>
        <w:rPr>
          <w:sz w:val="20"/>
          <w:szCs w:val="20"/>
        </w:rPr>
        <w:t>(1), 80-89. https://doi.org/10.1111/head.14802</w:t>
      </w:r>
    </w:p>
    <w:p w14:paraId="143462D3" w14:textId="77777777" w:rsidR="0039479F" w:rsidRDefault="00000000">
      <w:pPr>
        <w:spacing w:after="100" w:line="252" w:lineRule="auto"/>
        <w:ind w:left="454" w:hanging="454"/>
      </w:pPr>
      <w:r>
        <w:rPr>
          <w:sz w:val="20"/>
          <w:szCs w:val="20"/>
        </w:rPr>
        <w:t xml:space="preserve">Sjulstad, A. S., Brekke, O. L., Odeh, F., Knutsen, H., &amp; Alstadhaug, K. B. (2026). Incidence and outcome of sudden severe headache in the emergency department. </w:t>
      </w:r>
      <w:r>
        <w:rPr>
          <w:i/>
          <w:iCs/>
          <w:sz w:val="20"/>
          <w:szCs w:val="20"/>
        </w:rPr>
        <w:t>Headache</w:t>
      </w:r>
      <w:r>
        <w:rPr>
          <w:sz w:val="20"/>
          <w:szCs w:val="20"/>
        </w:rPr>
        <w:t xml:space="preserve">, </w:t>
      </w:r>
      <w:r>
        <w:rPr>
          <w:i/>
          <w:iCs/>
          <w:sz w:val="20"/>
          <w:szCs w:val="20"/>
        </w:rPr>
        <w:t>66</w:t>
      </w:r>
      <w:r>
        <w:rPr>
          <w:sz w:val="20"/>
          <w:szCs w:val="20"/>
        </w:rPr>
        <w:t>(2), 470-479. https://doi.org/10.1111/head.15047</w:t>
      </w:r>
    </w:p>
    <w:p w14:paraId="38C0030F" w14:textId="77777777" w:rsidR="0039479F" w:rsidRDefault="00000000">
      <w:pPr>
        <w:spacing w:after="100" w:line="252" w:lineRule="auto"/>
        <w:ind w:left="454" w:hanging="454"/>
      </w:pPr>
      <w:r>
        <w:rPr>
          <w:sz w:val="20"/>
          <w:szCs w:val="20"/>
        </w:rPr>
        <w:t xml:space="preserve">Song, A., Roh, K. M., Lusk, J. B., Valikodath, N. G., Lad, E. M., Draelos, M., Ortiz, P., Theophanous, R. G., Limkakeng, A. T., Izatt, J. A., McNabb, R. P., &amp; Kuo, A. N. (2023). Robotic Optical Coherence Tomography Retinal Imaging for Emergency Department Patients: A Pilot Study for Emergency Physicians' Diagnostic Performance. </w:t>
      </w:r>
      <w:r>
        <w:rPr>
          <w:i/>
          <w:iCs/>
          <w:sz w:val="20"/>
          <w:szCs w:val="20"/>
        </w:rPr>
        <w:t>Annals of emergency medicine</w:t>
      </w:r>
      <w:r>
        <w:rPr>
          <w:sz w:val="20"/>
          <w:szCs w:val="20"/>
        </w:rPr>
        <w:t xml:space="preserve">, </w:t>
      </w:r>
      <w:r>
        <w:rPr>
          <w:i/>
          <w:iCs/>
          <w:sz w:val="20"/>
          <w:szCs w:val="20"/>
        </w:rPr>
        <w:t>81</w:t>
      </w:r>
      <w:r>
        <w:rPr>
          <w:sz w:val="20"/>
          <w:szCs w:val="20"/>
        </w:rPr>
        <w:t>(4), 501-508. https://doi.org/10.1016/j.annemergmed.2022.10.016</w:t>
      </w:r>
    </w:p>
    <w:p w14:paraId="39421816" w14:textId="77777777" w:rsidR="0039479F" w:rsidRDefault="00000000">
      <w:pPr>
        <w:spacing w:after="100" w:line="252" w:lineRule="auto"/>
        <w:ind w:left="454" w:hanging="454"/>
      </w:pPr>
      <w:r>
        <w:rPr>
          <w:sz w:val="20"/>
          <w:szCs w:val="20"/>
        </w:rPr>
        <w:t xml:space="preserve">Sporns, P. B., Hälker, L., Heindel, W., Niederstadt, T., Allkemper, T., Dziewas, R., &amp; Schwindt, W. (2018). Impact of anamnestic information and neurological deficits on the detection rate of secondary headaches. </w:t>
      </w:r>
      <w:r>
        <w:rPr>
          <w:i/>
          <w:iCs/>
          <w:sz w:val="20"/>
          <w:szCs w:val="20"/>
        </w:rPr>
        <w:t>Der Radiologe</w:t>
      </w:r>
      <w:r>
        <w:rPr>
          <w:sz w:val="20"/>
          <w:szCs w:val="20"/>
        </w:rPr>
        <w:t xml:space="preserve">, </w:t>
      </w:r>
      <w:r>
        <w:rPr>
          <w:i/>
          <w:iCs/>
          <w:sz w:val="20"/>
          <w:szCs w:val="20"/>
        </w:rPr>
        <w:t>58</w:t>
      </w:r>
      <w:r>
        <w:rPr>
          <w:sz w:val="20"/>
          <w:szCs w:val="20"/>
        </w:rPr>
        <w:t>(9), 850-854. https://doi.org/10.1007/s00117-018-0421-5</w:t>
      </w:r>
    </w:p>
    <w:p w14:paraId="37A2E254" w14:textId="77777777" w:rsidR="0039479F" w:rsidRDefault="00000000">
      <w:pPr>
        <w:spacing w:after="100" w:line="252" w:lineRule="auto"/>
        <w:ind w:left="454" w:hanging="454"/>
      </w:pPr>
      <w:r>
        <w:rPr>
          <w:sz w:val="20"/>
          <w:szCs w:val="20"/>
        </w:rPr>
        <w:t xml:space="preserve">Stewart, H., Reuben, A., &amp; McDonald, J. (2014). LP or not LP, that is the question: gold standard or unnecessary procedure in subarachnoid </w:t>
      </w:r>
      <w:proofErr w:type="gramStart"/>
      <w:r>
        <w:rPr>
          <w:sz w:val="20"/>
          <w:szCs w:val="20"/>
        </w:rPr>
        <w:t>haemorrhage?.</w:t>
      </w:r>
      <w:proofErr w:type="gramEnd"/>
      <w:r>
        <w:rPr>
          <w:sz w:val="20"/>
          <w:szCs w:val="20"/>
        </w:rPr>
        <w:t xml:space="preserve"> </w:t>
      </w:r>
      <w:r>
        <w:rPr>
          <w:i/>
          <w:iCs/>
          <w:sz w:val="20"/>
          <w:szCs w:val="20"/>
        </w:rPr>
        <w:t xml:space="preserve">Emergency medicine </w:t>
      </w:r>
      <w:proofErr w:type="gramStart"/>
      <w:r>
        <w:rPr>
          <w:i/>
          <w:iCs/>
          <w:sz w:val="20"/>
          <w:szCs w:val="20"/>
        </w:rPr>
        <w:t>journal :</w:t>
      </w:r>
      <w:proofErr w:type="gramEnd"/>
      <w:r>
        <w:rPr>
          <w:i/>
          <w:iCs/>
          <w:sz w:val="20"/>
          <w:szCs w:val="20"/>
        </w:rPr>
        <w:t xml:space="preserve"> EMJ</w:t>
      </w:r>
      <w:r>
        <w:rPr>
          <w:sz w:val="20"/>
          <w:szCs w:val="20"/>
        </w:rPr>
        <w:t xml:space="preserve">, </w:t>
      </w:r>
      <w:r>
        <w:rPr>
          <w:i/>
          <w:iCs/>
          <w:sz w:val="20"/>
          <w:szCs w:val="20"/>
        </w:rPr>
        <w:t>31</w:t>
      </w:r>
      <w:r>
        <w:rPr>
          <w:sz w:val="20"/>
          <w:szCs w:val="20"/>
        </w:rPr>
        <w:t>(9), 720-3. https://doi.org/10.1136/emermed-2013-202573</w:t>
      </w:r>
    </w:p>
    <w:p w14:paraId="7ED17E4A" w14:textId="77777777" w:rsidR="0039479F" w:rsidRDefault="00000000">
      <w:pPr>
        <w:spacing w:after="100" w:line="252" w:lineRule="auto"/>
        <w:ind w:left="454" w:hanging="454"/>
      </w:pPr>
      <w:r>
        <w:rPr>
          <w:sz w:val="20"/>
          <w:szCs w:val="20"/>
        </w:rPr>
        <w:t xml:space="preserve">Suzuki, T., Itokazu, D., &amp; Tokuda, Y. (2021). External validation for sensitivity of the Ottawa subarachnoid hemorrhage rule in a Japanese tertiary teaching hospital. </w:t>
      </w:r>
      <w:r>
        <w:rPr>
          <w:i/>
          <w:iCs/>
          <w:sz w:val="20"/>
          <w:szCs w:val="20"/>
        </w:rPr>
        <w:t>Scientific reports</w:t>
      </w:r>
      <w:r>
        <w:rPr>
          <w:sz w:val="20"/>
          <w:szCs w:val="20"/>
        </w:rPr>
        <w:t xml:space="preserve">, </w:t>
      </w:r>
      <w:r>
        <w:rPr>
          <w:i/>
          <w:iCs/>
          <w:sz w:val="20"/>
          <w:szCs w:val="20"/>
        </w:rPr>
        <w:t>11</w:t>
      </w:r>
      <w:r>
        <w:rPr>
          <w:sz w:val="20"/>
          <w:szCs w:val="20"/>
        </w:rPr>
        <w:t>(1), 16717. https://doi.org/10.1038/s41598-021-96320-9</w:t>
      </w:r>
    </w:p>
    <w:p w14:paraId="45E6CB8D" w14:textId="77777777" w:rsidR="0039479F" w:rsidRDefault="00000000">
      <w:pPr>
        <w:spacing w:after="100" w:line="252" w:lineRule="auto"/>
        <w:ind w:left="454" w:hanging="454"/>
      </w:pPr>
      <w:r>
        <w:rPr>
          <w:sz w:val="20"/>
          <w:szCs w:val="20"/>
        </w:rPr>
        <w:t xml:space="preserve">Takada, T., Yoshida, K., Hamaguchi, S., &amp; Fukuhara, S. (2024). Role of inflammatory markers in the assessment of meningitis in adult patients with fever and headache. </w:t>
      </w:r>
      <w:r>
        <w:rPr>
          <w:i/>
          <w:iCs/>
          <w:sz w:val="20"/>
          <w:szCs w:val="20"/>
        </w:rPr>
        <w:t xml:space="preserve">Journal of infection and </w:t>
      </w:r>
      <w:proofErr w:type="gramStart"/>
      <w:r>
        <w:rPr>
          <w:i/>
          <w:iCs/>
          <w:sz w:val="20"/>
          <w:szCs w:val="20"/>
        </w:rPr>
        <w:t>chemotherapy :</w:t>
      </w:r>
      <w:proofErr w:type="gramEnd"/>
      <w:r>
        <w:rPr>
          <w:i/>
          <w:iCs/>
          <w:sz w:val="20"/>
          <w:szCs w:val="20"/>
        </w:rPr>
        <w:t xml:space="preserve"> official journal of the Japan Society of Chemotherapy</w:t>
      </w:r>
      <w:r>
        <w:rPr>
          <w:sz w:val="20"/>
          <w:szCs w:val="20"/>
        </w:rPr>
        <w:t xml:space="preserve">, </w:t>
      </w:r>
      <w:r>
        <w:rPr>
          <w:i/>
          <w:iCs/>
          <w:sz w:val="20"/>
          <w:szCs w:val="20"/>
        </w:rPr>
        <w:t>30</w:t>
      </w:r>
      <w:r>
        <w:rPr>
          <w:sz w:val="20"/>
          <w:szCs w:val="20"/>
        </w:rPr>
        <w:t>(11), 1134-1140. https://doi.org/10.1016/j.jiac.2024.04.012</w:t>
      </w:r>
    </w:p>
    <w:p w14:paraId="421BC500" w14:textId="77777777" w:rsidR="0039479F" w:rsidRDefault="00000000">
      <w:pPr>
        <w:spacing w:after="100" w:line="252" w:lineRule="auto"/>
        <w:ind w:left="454" w:hanging="454"/>
      </w:pPr>
      <w:r>
        <w:rPr>
          <w:sz w:val="20"/>
          <w:szCs w:val="20"/>
        </w:rPr>
        <w:lastRenderedPageBreak/>
        <w:t xml:space="preserve">Tamune, H., Takeya, H., Suzuki, W., Tagashira, Y., Kuki, T., &amp; Nakamura, M. (2013). Absence of jolt accentuation of headache cannot accurately rule out meningitis in adults. </w:t>
      </w:r>
      <w:r>
        <w:rPr>
          <w:i/>
          <w:iCs/>
          <w:sz w:val="20"/>
          <w:szCs w:val="20"/>
        </w:rPr>
        <w:t>The American journal of emergency medicine</w:t>
      </w:r>
      <w:r>
        <w:rPr>
          <w:sz w:val="20"/>
          <w:szCs w:val="20"/>
        </w:rPr>
        <w:t xml:space="preserve">, </w:t>
      </w:r>
      <w:r>
        <w:rPr>
          <w:i/>
          <w:iCs/>
          <w:sz w:val="20"/>
          <w:szCs w:val="20"/>
        </w:rPr>
        <w:t>31</w:t>
      </w:r>
      <w:r>
        <w:rPr>
          <w:sz w:val="20"/>
          <w:szCs w:val="20"/>
        </w:rPr>
        <w:t>(11), 1601-4. https://doi.org/10.1016/j.ajem.2013.08.028</w:t>
      </w:r>
    </w:p>
    <w:p w14:paraId="3E61769A" w14:textId="77777777" w:rsidR="0039479F" w:rsidRDefault="00000000">
      <w:pPr>
        <w:spacing w:after="100" w:line="252" w:lineRule="auto"/>
        <w:ind w:left="454" w:hanging="454"/>
      </w:pPr>
      <w:r>
        <w:rPr>
          <w:sz w:val="20"/>
          <w:szCs w:val="20"/>
        </w:rPr>
        <w:t xml:space="preserve">Tantarattanapong, S., &amp; Chalongkulasak, L. (2019). Predictive Factors and Clinical Prediction Score for Serious Intracranial Causes in Acute Nontraumatic Headache at an Emergency Department. </w:t>
      </w:r>
      <w:r>
        <w:rPr>
          <w:i/>
          <w:iCs/>
          <w:sz w:val="20"/>
          <w:szCs w:val="20"/>
        </w:rPr>
        <w:t>Emergency medicine international</w:t>
      </w:r>
      <w:r>
        <w:rPr>
          <w:sz w:val="20"/>
          <w:szCs w:val="20"/>
        </w:rPr>
        <w:t xml:space="preserve">, </w:t>
      </w:r>
      <w:r>
        <w:rPr>
          <w:i/>
          <w:iCs/>
          <w:sz w:val="20"/>
          <w:szCs w:val="20"/>
        </w:rPr>
        <w:t>2019</w:t>
      </w:r>
      <w:r>
        <w:rPr>
          <w:sz w:val="20"/>
          <w:szCs w:val="20"/>
        </w:rPr>
        <w:t>, 4267825. https://doi.org/10.1155/2019/4267825</w:t>
      </w:r>
    </w:p>
    <w:p w14:paraId="3C0FD779" w14:textId="77777777" w:rsidR="0039479F" w:rsidRDefault="00000000">
      <w:pPr>
        <w:spacing w:after="100" w:line="252" w:lineRule="auto"/>
        <w:ind w:left="454" w:hanging="454"/>
      </w:pPr>
      <w:r>
        <w:rPr>
          <w:sz w:val="20"/>
          <w:szCs w:val="20"/>
        </w:rPr>
        <w:t xml:space="preserve">Thomas, L. E., Czuczman, A. D., Boulanger, A. B., Peak, D. A., Miller, E. S., Brown, D. F., &amp; Marill, K. A. (2014). Low risk for subsequent subarachnoid hemorrhage for emergency department patients with headache, bloody cerebrospinal fluid, and negative findings on cerebrovascular imaging. </w:t>
      </w:r>
      <w:r>
        <w:rPr>
          <w:i/>
          <w:iCs/>
          <w:sz w:val="20"/>
          <w:szCs w:val="20"/>
        </w:rPr>
        <w:t>Journal of neurosurgery</w:t>
      </w:r>
      <w:r>
        <w:rPr>
          <w:sz w:val="20"/>
          <w:szCs w:val="20"/>
        </w:rPr>
        <w:t xml:space="preserve">, </w:t>
      </w:r>
      <w:r>
        <w:rPr>
          <w:i/>
          <w:iCs/>
          <w:sz w:val="20"/>
          <w:szCs w:val="20"/>
        </w:rPr>
        <w:t>121</w:t>
      </w:r>
      <w:r>
        <w:rPr>
          <w:sz w:val="20"/>
          <w:szCs w:val="20"/>
        </w:rPr>
        <w:t>(1), 24-31. https://doi.org/10.3171/2014.3.JNS132239</w:t>
      </w:r>
    </w:p>
    <w:p w14:paraId="46CA1B84" w14:textId="77777777" w:rsidR="0039479F" w:rsidRDefault="00000000">
      <w:pPr>
        <w:spacing w:after="100" w:line="252" w:lineRule="auto"/>
        <w:ind w:left="454" w:hanging="454"/>
      </w:pPr>
      <w:r>
        <w:rPr>
          <w:sz w:val="20"/>
          <w:szCs w:val="20"/>
        </w:rPr>
        <w:t xml:space="preserve">Thompson, D., Venturini, S., Whitfield, P. C., Hutchinson, P., Gurusinghe, N., Trivedi, R., Helmy, A., &amp; LP for SAH diagnosis research collaborative (2025). Multicentre study of the role of lumbar puncture in the diagnosis of spontaneous subarachnoid haemorrhage. </w:t>
      </w:r>
      <w:r>
        <w:rPr>
          <w:i/>
          <w:iCs/>
          <w:sz w:val="20"/>
          <w:szCs w:val="20"/>
        </w:rPr>
        <w:t>Acta neurochirurgica</w:t>
      </w:r>
      <w:r>
        <w:rPr>
          <w:sz w:val="20"/>
          <w:szCs w:val="20"/>
        </w:rPr>
        <w:t xml:space="preserve">, </w:t>
      </w:r>
      <w:r>
        <w:rPr>
          <w:i/>
          <w:iCs/>
          <w:sz w:val="20"/>
          <w:szCs w:val="20"/>
        </w:rPr>
        <w:t>167</w:t>
      </w:r>
      <w:r>
        <w:rPr>
          <w:sz w:val="20"/>
          <w:szCs w:val="20"/>
        </w:rPr>
        <w:t>(1), 193. https://doi.org/10.1007/s00701-025-06602-8</w:t>
      </w:r>
    </w:p>
    <w:p w14:paraId="528E79A2" w14:textId="77777777" w:rsidR="0039479F" w:rsidRDefault="00000000">
      <w:pPr>
        <w:spacing w:after="100" w:line="252" w:lineRule="auto"/>
        <w:ind w:left="454" w:hanging="454"/>
      </w:pPr>
      <w:r>
        <w:rPr>
          <w:sz w:val="20"/>
          <w:szCs w:val="20"/>
        </w:rPr>
        <w:t xml:space="preserve">Thulasi, P., Fraser, C. L., Biousse, V., Wright, D. W., Newman, N. J., &amp; Bruce, B. B. (2013). Nonmydriatic ocular fundus photography among headache patients in an emergency department. </w:t>
      </w:r>
      <w:r>
        <w:rPr>
          <w:i/>
          <w:iCs/>
          <w:sz w:val="20"/>
          <w:szCs w:val="20"/>
        </w:rPr>
        <w:t>Neurology</w:t>
      </w:r>
      <w:r>
        <w:rPr>
          <w:sz w:val="20"/>
          <w:szCs w:val="20"/>
        </w:rPr>
        <w:t xml:space="preserve">, </w:t>
      </w:r>
      <w:r>
        <w:rPr>
          <w:i/>
          <w:iCs/>
          <w:sz w:val="20"/>
          <w:szCs w:val="20"/>
        </w:rPr>
        <w:t>80</w:t>
      </w:r>
      <w:r>
        <w:rPr>
          <w:sz w:val="20"/>
          <w:szCs w:val="20"/>
        </w:rPr>
        <w:t>(5), 432-7. https://doi.org/10.1212/WNL.0b013e31827f0f20</w:t>
      </w:r>
    </w:p>
    <w:p w14:paraId="3EDD1E28" w14:textId="77777777" w:rsidR="0039479F" w:rsidRDefault="00000000">
      <w:pPr>
        <w:spacing w:after="100" w:line="252" w:lineRule="auto"/>
        <w:ind w:left="454" w:hanging="454"/>
      </w:pPr>
      <w:r>
        <w:rPr>
          <w:sz w:val="20"/>
          <w:szCs w:val="20"/>
        </w:rPr>
        <w:t xml:space="preserve">Trainee Emergency Research Network (TERN) (2024). Subarachnoid haemorrhage in the emergency department (SHED): a prospective, observational, multicentre cohort study. </w:t>
      </w:r>
      <w:r>
        <w:rPr>
          <w:i/>
          <w:iCs/>
          <w:sz w:val="20"/>
          <w:szCs w:val="20"/>
        </w:rPr>
        <w:t xml:space="preserve">Emergency medicine </w:t>
      </w:r>
      <w:proofErr w:type="gramStart"/>
      <w:r>
        <w:rPr>
          <w:i/>
          <w:iCs/>
          <w:sz w:val="20"/>
          <w:szCs w:val="20"/>
        </w:rPr>
        <w:t>journal :</w:t>
      </w:r>
      <w:proofErr w:type="gramEnd"/>
      <w:r>
        <w:rPr>
          <w:i/>
          <w:iCs/>
          <w:sz w:val="20"/>
          <w:szCs w:val="20"/>
        </w:rPr>
        <w:t xml:space="preserve"> EMJ</w:t>
      </w:r>
      <w:r>
        <w:rPr>
          <w:sz w:val="20"/>
          <w:szCs w:val="20"/>
        </w:rPr>
        <w:t xml:space="preserve">, </w:t>
      </w:r>
      <w:r>
        <w:rPr>
          <w:i/>
          <w:iCs/>
          <w:sz w:val="20"/>
          <w:szCs w:val="20"/>
        </w:rPr>
        <w:t>41</w:t>
      </w:r>
      <w:r>
        <w:rPr>
          <w:sz w:val="20"/>
          <w:szCs w:val="20"/>
        </w:rPr>
        <w:t>(12), 719-727. https://doi.org/10.1136/emermed-2024-214068</w:t>
      </w:r>
    </w:p>
    <w:p w14:paraId="43DACA5C" w14:textId="77777777" w:rsidR="0039479F" w:rsidRDefault="00000000">
      <w:pPr>
        <w:spacing w:after="100" w:line="252" w:lineRule="auto"/>
        <w:ind w:left="454" w:hanging="454"/>
      </w:pPr>
      <w:r>
        <w:rPr>
          <w:sz w:val="20"/>
          <w:szCs w:val="20"/>
        </w:rPr>
        <w:t xml:space="preserve">Tulla, M., Tillgren, T., &amp; Mattila, K. (2019). Is there a role for lumbar puncture in early detection of subarachnoid hemorrhage after negative head </w:t>
      </w:r>
      <w:proofErr w:type="gramStart"/>
      <w:r>
        <w:rPr>
          <w:sz w:val="20"/>
          <w:szCs w:val="20"/>
        </w:rPr>
        <w:t>CT?.</w:t>
      </w:r>
      <w:proofErr w:type="gramEnd"/>
      <w:r>
        <w:rPr>
          <w:sz w:val="20"/>
          <w:szCs w:val="20"/>
        </w:rPr>
        <w:t xml:space="preserve"> </w:t>
      </w:r>
      <w:r>
        <w:rPr>
          <w:i/>
          <w:iCs/>
          <w:sz w:val="20"/>
          <w:szCs w:val="20"/>
        </w:rPr>
        <w:t>Internal and emergency medicine</w:t>
      </w:r>
      <w:r>
        <w:rPr>
          <w:sz w:val="20"/>
          <w:szCs w:val="20"/>
        </w:rPr>
        <w:t xml:space="preserve">, </w:t>
      </w:r>
      <w:r>
        <w:rPr>
          <w:i/>
          <w:iCs/>
          <w:sz w:val="20"/>
          <w:szCs w:val="20"/>
        </w:rPr>
        <w:t>14</w:t>
      </w:r>
      <w:r>
        <w:rPr>
          <w:sz w:val="20"/>
          <w:szCs w:val="20"/>
        </w:rPr>
        <w:t>(3), 451-457. https://doi.org/10.1007/s11739-018-1982-z</w:t>
      </w:r>
    </w:p>
    <w:p w14:paraId="3B91FF7E" w14:textId="77777777" w:rsidR="0039479F" w:rsidRDefault="00000000">
      <w:pPr>
        <w:spacing w:after="100" w:line="252" w:lineRule="auto"/>
        <w:ind w:left="454" w:hanging="454"/>
      </w:pPr>
      <w:r>
        <w:rPr>
          <w:sz w:val="20"/>
          <w:szCs w:val="20"/>
        </w:rPr>
        <w:t xml:space="preserve">Tung, C., Lindgren, A., Siemund, R., &amp; van Westen, D. (2014). Emergency room decision-making for urgent cranial computed tomography: selection criteria for subsets of non-trauma patients. </w:t>
      </w:r>
      <w:r>
        <w:rPr>
          <w:i/>
          <w:iCs/>
          <w:sz w:val="20"/>
          <w:szCs w:val="20"/>
        </w:rPr>
        <w:t xml:space="preserve">Acta radiologica (Stockholm, </w:t>
      </w:r>
      <w:proofErr w:type="gramStart"/>
      <w:r>
        <w:rPr>
          <w:i/>
          <w:iCs/>
          <w:sz w:val="20"/>
          <w:szCs w:val="20"/>
        </w:rPr>
        <w:t>Sweden :</w:t>
      </w:r>
      <w:proofErr w:type="gramEnd"/>
      <w:r>
        <w:rPr>
          <w:i/>
          <w:iCs/>
          <w:sz w:val="20"/>
          <w:szCs w:val="20"/>
        </w:rPr>
        <w:t xml:space="preserve"> 1987)</w:t>
      </w:r>
      <w:r>
        <w:rPr>
          <w:sz w:val="20"/>
          <w:szCs w:val="20"/>
        </w:rPr>
        <w:t xml:space="preserve">, </w:t>
      </w:r>
      <w:r>
        <w:rPr>
          <w:i/>
          <w:iCs/>
          <w:sz w:val="20"/>
          <w:szCs w:val="20"/>
        </w:rPr>
        <w:t>55</w:t>
      </w:r>
      <w:r>
        <w:rPr>
          <w:sz w:val="20"/>
          <w:szCs w:val="20"/>
        </w:rPr>
        <w:t>(7), 847-54. https://doi.org/10.1177/0284185113506137</w:t>
      </w:r>
    </w:p>
    <w:p w14:paraId="6B0356F8" w14:textId="77777777" w:rsidR="0039479F" w:rsidRDefault="00000000">
      <w:pPr>
        <w:spacing w:after="100" w:line="252" w:lineRule="auto"/>
        <w:ind w:left="454" w:hanging="454"/>
      </w:pPr>
      <w:r>
        <w:rPr>
          <w:sz w:val="20"/>
          <w:szCs w:val="20"/>
        </w:rPr>
        <w:t xml:space="preserve">Valle Alonso, J., Fonseca Del Pozo, F. J., Vaquero Álvarez, M., De la Fuente Carillo, J. J., Llamas, J. C., &amp; Hernández Montes, Y. (2018). Sudden headache, lumbar puncture, and the diagnosis of subarachnoid hemorrhage in patients with a normal computed tomography </w:t>
      </w:r>
      <w:proofErr w:type="gramStart"/>
      <w:r>
        <w:rPr>
          <w:sz w:val="20"/>
          <w:szCs w:val="20"/>
        </w:rPr>
        <w:t>scans</w:t>
      </w:r>
      <w:proofErr w:type="gramEnd"/>
      <w:r>
        <w:rPr>
          <w:sz w:val="20"/>
          <w:szCs w:val="20"/>
        </w:rPr>
        <w:t xml:space="preserve">. </w:t>
      </w:r>
      <w:proofErr w:type="gramStart"/>
      <w:r>
        <w:rPr>
          <w:i/>
          <w:iCs/>
          <w:sz w:val="20"/>
          <w:szCs w:val="20"/>
        </w:rPr>
        <w:t>Emergencias :</w:t>
      </w:r>
      <w:proofErr w:type="gramEnd"/>
      <w:r>
        <w:rPr>
          <w:i/>
          <w:iCs/>
          <w:sz w:val="20"/>
          <w:szCs w:val="20"/>
        </w:rPr>
        <w:t xml:space="preserve"> revista de la Sociedad Espanola de Medicina de Emergencias</w:t>
      </w:r>
      <w:r>
        <w:rPr>
          <w:sz w:val="20"/>
          <w:szCs w:val="20"/>
        </w:rPr>
        <w:t xml:space="preserve">, </w:t>
      </w:r>
      <w:r>
        <w:rPr>
          <w:i/>
          <w:iCs/>
          <w:sz w:val="20"/>
          <w:szCs w:val="20"/>
        </w:rPr>
        <w:t>30</w:t>
      </w:r>
      <w:r>
        <w:rPr>
          <w:sz w:val="20"/>
          <w:szCs w:val="20"/>
        </w:rPr>
        <w:t>(1), 50-53.</w:t>
      </w:r>
    </w:p>
    <w:p w14:paraId="7A2C4BE5" w14:textId="77777777" w:rsidR="0039479F" w:rsidRDefault="00000000">
      <w:pPr>
        <w:spacing w:after="100" w:line="252" w:lineRule="auto"/>
        <w:ind w:left="454" w:hanging="454"/>
      </w:pPr>
      <w:r>
        <w:rPr>
          <w:sz w:val="20"/>
          <w:szCs w:val="20"/>
        </w:rPr>
        <w:t xml:space="preserve">van den Berg, R., Jeung, L., Post, R., Coert, B. A., Hoogmoed, J., Coutinho, J. M., Majoie, C. B., Verbaan, D., Emmer, B. J., &amp; Vandertop, W. P. (2022). The added value of cerebrospinal fluid analysis in patients with subarachnoid hemorrhage after negative noncontrast CT. </w:t>
      </w:r>
      <w:r>
        <w:rPr>
          <w:i/>
          <w:iCs/>
          <w:sz w:val="20"/>
          <w:szCs w:val="20"/>
        </w:rPr>
        <w:t>Journal of neurosurgery</w:t>
      </w:r>
      <w:r>
        <w:rPr>
          <w:sz w:val="20"/>
          <w:szCs w:val="20"/>
        </w:rPr>
        <w:t xml:space="preserve">, </w:t>
      </w:r>
      <w:r>
        <w:rPr>
          <w:i/>
          <w:iCs/>
          <w:sz w:val="20"/>
          <w:szCs w:val="20"/>
        </w:rPr>
        <w:t>136</w:t>
      </w:r>
      <w:r>
        <w:rPr>
          <w:sz w:val="20"/>
          <w:szCs w:val="20"/>
        </w:rPr>
        <w:t>(4), 1024-1028. https://doi.org/10.3171/2021.4.JNS21656</w:t>
      </w:r>
    </w:p>
    <w:p w14:paraId="10688E4D" w14:textId="77777777" w:rsidR="0039479F" w:rsidRDefault="00000000">
      <w:pPr>
        <w:spacing w:after="100" w:line="252" w:lineRule="auto"/>
        <w:ind w:left="454" w:hanging="454"/>
      </w:pPr>
      <w:r>
        <w:rPr>
          <w:sz w:val="20"/>
          <w:szCs w:val="20"/>
        </w:rPr>
        <w:t xml:space="preserve">Vidal-Castello, M., Olivart-Parejo, M., Abadias-Medrano, M. J., &amp; Purroy, F. (2019). Incidence of alarm criteria and attitude towards patients with headache attended in emergency departments. </w:t>
      </w:r>
      <w:r>
        <w:rPr>
          <w:i/>
          <w:iCs/>
          <w:sz w:val="20"/>
          <w:szCs w:val="20"/>
        </w:rPr>
        <w:t>Revista de neurologia</w:t>
      </w:r>
      <w:r>
        <w:rPr>
          <w:sz w:val="20"/>
          <w:szCs w:val="20"/>
        </w:rPr>
        <w:t xml:space="preserve">, </w:t>
      </w:r>
      <w:r>
        <w:rPr>
          <w:i/>
          <w:iCs/>
          <w:sz w:val="20"/>
          <w:szCs w:val="20"/>
        </w:rPr>
        <w:t>68</w:t>
      </w:r>
      <w:r>
        <w:rPr>
          <w:sz w:val="20"/>
          <w:szCs w:val="20"/>
        </w:rPr>
        <w:t>(11), 453-458. https://doi.org/10.33588/rn.6811.2018382</w:t>
      </w:r>
    </w:p>
    <w:p w14:paraId="1627C810" w14:textId="77777777" w:rsidR="0039479F" w:rsidRDefault="00000000">
      <w:pPr>
        <w:spacing w:after="100" w:line="252" w:lineRule="auto"/>
        <w:ind w:left="454" w:hanging="454"/>
      </w:pPr>
      <w:r>
        <w:rPr>
          <w:sz w:val="20"/>
          <w:szCs w:val="20"/>
        </w:rPr>
        <w:t xml:space="preserve">Vincent, A., Pearson, S., Pickering, J. W., Weaver, J., Toney, L., Hamill, L., Hurrell, M., &amp; Than, M. (2022). Sensitivity of modern multislice CT for subarachnoid haemorrhage at incremental timepoints after headache onset: a 10-year analysis. </w:t>
      </w:r>
      <w:r>
        <w:rPr>
          <w:i/>
          <w:iCs/>
          <w:sz w:val="20"/>
          <w:szCs w:val="20"/>
        </w:rPr>
        <w:t xml:space="preserve">Emergency medicine </w:t>
      </w:r>
      <w:proofErr w:type="gramStart"/>
      <w:r>
        <w:rPr>
          <w:i/>
          <w:iCs/>
          <w:sz w:val="20"/>
          <w:szCs w:val="20"/>
        </w:rPr>
        <w:t>journal :</w:t>
      </w:r>
      <w:proofErr w:type="gramEnd"/>
      <w:r>
        <w:rPr>
          <w:i/>
          <w:iCs/>
          <w:sz w:val="20"/>
          <w:szCs w:val="20"/>
        </w:rPr>
        <w:t xml:space="preserve"> EMJ</w:t>
      </w:r>
      <w:r>
        <w:rPr>
          <w:sz w:val="20"/>
          <w:szCs w:val="20"/>
        </w:rPr>
        <w:t xml:space="preserve">, </w:t>
      </w:r>
      <w:r>
        <w:rPr>
          <w:i/>
          <w:iCs/>
          <w:sz w:val="20"/>
          <w:szCs w:val="20"/>
        </w:rPr>
        <w:t>39</w:t>
      </w:r>
      <w:r>
        <w:rPr>
          <w:sz w:val="20"/>
          <w:szCs w:val="20"/>
        </w:rPr>
        <w:t>(11), 810-817. https://doi.org/10.1136/emermed-2020-211068</w:t>
      </w:r>
    </w:p>
    <w:p w14:paraId="0F32C81C" w14:textId="77777777" w:rsidR="0039479F" w:rsidRDefault="00000000">
      <w:pPr>
        <w:spacing w:after="100" w:line="252" w:lineRule="auto"/>
        <w:ind w:left="454" w:hanging="454"/>
      </w:pPr>
      <w:r>
        <w:rPr>
          <w:sz w:val="20"/>
          <w:szCs w:val="20"/>
        </w:rPr>
        <w:t xml:space="preserve">Voase, S., Stroud, R., Upcott, M., Foden, E., Thomas, S., Schulenburg-Brand, D., &amp; Underwood, J. (2025). To LP or not to LP? A service evaluation investigating the prevalence of subarachnoid haemorrhage in patients undergoing a lumbar puncture in the acute medical setting. </w:t>
      </w:r>
      <w:r>
        <w:rPr>
          <w:i/>
          <w:iCs/>
          <w:sz w:val="20"/>
          <w:szCs w:val="20"/>
        </w:rPr>
        <w:t>Acute medicine</w:t>
      </w:r>
      <w:r>
        <w:rPr>
          <w:sz w:val="20"/>
          <w:szCs w:val="20"/>
        </w:rPr>
        <w:t xml:space="preserve">, </w:t>
      </w:r>
      <w:r>
        <w:rPr>
          <w:i/>
          <w:iCs/>
          <w:sz w:val="20"/>
          <w:szCs w:val="20"/>
        </w:rPr>
        <w:t>24</w:t>
      </w:r>
      <w:r>
        <w:rPr>
          <w:sz w:val="20"/>
          <w:szCs w:val="20"/>
        </w:rPr>
        <w:t>(2), 68-74. https://doi.org/10.52964/AMJA.1009</w:t>
      </w:r>
    </w:p>
    <w:p w14:paraId="2A3399CA" w14:textId="77777777" w:rsidR="0039479F" w:rsidRDefault="00000000">
      <w:pPr>
        <w:spacing w:after="100" w:line="252" w:lineRule="auto"/>
        <w:ind w:left="454" w:hanging="454"/>
      </w:pPr>
      <w:r>
        <w:rPr>
          <w:sz w:val="20"/>
          <w:szCs w:val="20"/>
        </w:rPr>
        <w:t xml:space="preserve">Webb, S., Bone, I., &amp; Lindsay, K. (2003). The investigation of acute severe headache suggestive of probable subarachnoid haemorrhage: a hospital-based study. </w:t>
      </w:r>
      <w:r>
        <w:rPr>
          <w:i/>
          <w:iCs/>
          <w:sz w:val="20"/>
          <w:szCs w:val="20"/>
        </w:rPr>
        <w:t>British journal of neurosurgery</w:t>
      </w:r>
      <w:r>
        <w:rPr>
          <w:sz w:val="20"/>
          <w:szCs w:val="20"/>
        </w:rPr>
        <w:t xml:space="preserve">, </w:t>
      </w:r>
      <w:r>
        <w:rPr>
          <w:i/>
          <w:iCs/>
          <w:sz w:val="20"/>
          <w:szCs w:val="20"/>
        </w:rPr>
        <w:t>17</w:t>
      </w:r>
      <w:r>
        <w:rPr>
          <w:sz w:val="20"/>
          <w:szCs w:val="20"/>
        </w:rPr>
        <w:t>(6), 580-4. https://doi.org/10.1080/02688690310001627858</w:t>
      </w:r>
    </w:p>
    <w:p w14:paraId="189F9607" w14:textId="77777777" w:rsidR="0039479F" w:rsidRDefault="00000000">
      <w:pPr>
        <w:spacing w:after="100" w:line="252" w:lineRule="auto"/>
        <w:ind w:left="454" w:hanging="454"/>
      </w:pPr>
      <w:r>
        <w:rPr>
          <w:sz w:val="20"/>
          <w:szCs w:val="20"/>
        </w:rPr>
        <w:t xml:space="preserve">Whiting, P. F., Rutjes, A. W., Westwood, M. E., Mallett, S., Deeks, J. J., Reitsma, J. B., Leeflang, M. M., Sterne, J. A., Bossuyt, P. M., &amp; QUADAS-2 Group (2011). QUADAS-2: a revised tool for the quality assessment of diagnostic accuracy studies. </w:t>
      </w:r>
      <w:r>
        <w:rPr>
          <w:i/>
          <w:iCs/>
          <w:sz w:val="20"/>
          <w:szCs w:val="20"/>
        </w:rPr>
        <w:t>Annals of internal medicine</w:t>
      </w:r>
      <w:r>
        <w:rPr>
          <w:sz w:val="20"/>
          <w:szCs w:val="20"/>
        </w:rPr>
        <w:t xml:space="preserve">, </w:t>
      </w:r>
      <w:r>
        <w:rPr>
          <w:i/>
          <w:iCs/>
          <w:sz w:val="20"/>
          <w:szCs w:val="20"/>
        </w:rPr>
        <w:t>155</w:t>
      </w:r>
      <w:r>
        <w:rPr>
          <w:sz w:val="20"/>
          <w:szCs w:val="20"/>
        </w:rPr>
        <w:t>(8), 529-36. https://doi.org/10.7326/0003-4819-155-8-201110180-00009</w:t>
      </w:r>
    </w:p>
    <w:p w14:paraId="3D4B547F" w14:textId="77777777" w:rsidR="0039479F" w:rsidRDefault="00000000">
      <w:pPr>
        <w:spacing w:after="100" w:line="252" w:lineRule="auto"/>
        <w:ind w:left="454" w:hanging="454"/>
      </w:pPr>
      <w:r>
        <w:rPr>
          <w:sz w:val="20"/>
          <w:szCs w:val="20"/>
        </w:rPr>
        <w:t xml:space="preserve">Wu, W. T., Pan, H. Y., Wu, K. H., Huang, Y. S., Wu, C. H., &amp; Cheng, F. J. (2020). The Ottawa subarachnoid hemorrhage clinical decision rule for classifying emergency department headache patients. </w:t>
      </w:r>
      <w:r>
        <w:rPr>
          <w:i/>
          <w:iCs/>
          <w:sz w:val="20"/>
          <w:szCs w:val="20"/>
        </w:rPr>
        <w:t>The American journal of emergency medicine</w:t>
      </w:r>
      <w:r>
        <w:rPr>
          <w:sz w:val="20"/>
          <w:szCs w:val="20"/>
        </w:rPr>
        <w:t xml:space="preserve">, </w:t>
      </w:r>
      <w:r>
        <w:rPr>
          <w:i/>
          <w:iCs/>
          <w:sz w:val="20"/>
          <w:szCs w:val="20"/>
        </w:rPr>
        <w:t>38</w:t>
      </w:r>
      <w:r>
        <w:rPr>
          <w:sz w:val="20"/>
          <w:szCs w:val="20"/>
        </w:rPr>
        <w:t>(2), 198-202. https://doi.org/10.1016/j.ajem.2019.02.003</w:t>
      </w:r>
    </w:p>
    <w:p w14:paraId="0DF570B2" w14:textId="77777777" w:rsidR="0039479F" w:rsidRDefault="00000000">
      <w:pPr>
        <w:spacing w:after="100" w:line="252" w:lineRule="auto"/>
        <w:ind w:left="454" w:hanging="454"/>
      </w:pPr>
      <w:r>
        <w:rPr>
          <w:sz w:val="20"/>
          <w:szCs w:val="20"/>
        </w:rPr>
        <w:lastRenderedPageBreak/>
        <w:t xml:space="preserve">Wulff, A. B., Højgaard, J. L. S., &amp; Hilsted, L. (2020). Spectrophotometry of cerebrospinal fluid for xanthochromia is a sensitive and specific test for subarachnoid bleeding but adds little to computed tomography. </w:t>
      </w:r>
      <w:r>
        <w:rPr>
          <w:i/>
          <w:iCs/>
          <w:sz w:val="20"/>
          <w:szCs w:val="20"/>
        </w:rPr>
        <w:t>Scandinavian journal of clinical and laboratory investigation</w:t>
      </w:r>
      <w:r>
        <w:rPr>
          <w:sz w:val="20"/>
          <w:szCs w:val="20"/>
        </w:rPr>
        <w:t xml:space="preserve">, </w:t>
      </w:r>
      <w:r>
        <w:rPr>
          <w:i/>
          <w:iCs/>
          <w:sz w:val="20"/>
          <w:szCs w:val="20"/>
        </w:rPr>
        <w:t>80</w:t>
      </w:r>
      <w:r>
        <w:rPr>
          <w:sz w:val="20"/>
          <w:szCs w:val="20"/>
        </w:rPr>
        <w:t>(8), 681-686. https://doi.org/10.1080/00365513.2020.1846208</w:t>
      </w:r>
    </w:p>
    <w:p w14:paraId="1BF10700" w14:textId="77777777" w:rsidR="0039479F" w:rsidRDefault="00000000">
      <w:pPr>
        <w:spacing w:after="100" w:line="252" w:lineRule="auto"/>
        <w:ind w:left="454" w:hanging="454"/>
      </w:pPr>
      <w:r>
        <w:rPr>
          <w:sz w:val="20"/>
          <w:szCs w:val="20"/>
        </w:rPr>
        <w:t xml:space="preserve">Yan, K., Alencastro Landim, G., Lin, M. Y., Pendley, A. M., Shanmugam, N., McHenry, J. G., Duffield, S., Adamkiewicz, D. V., Vo, D. T., Prosky, J., Keadey, M. T., Wright, D. W., Dattilo, M., Fischer, A. F., Newman, N. J., &amp; Biousse, V. (2026). Nonmydriatic Ocular Fundus Imaging in Consecutive Patients </w:t>
      </w:r>
      <w:proofErr w:type="gramStart"/>
      <w:r>
        <w:rPr>
          <w:sz w:val="20"/>
          <w:szCs w:val="20"/>
        </w:rPr>
        <w:t>With</w:t>
      </w:r>
      <w:proofErr w:type="gramEnd"/>
      <w:r>
        <w:rPr>
          <w:sz w:val="20"/>
          <w:szCs w:val="20"/>
        </w:rPr>
        <w:t xml:space="preserve"> Headache in an Emergency Department. </w:t>
      </w:r>
      <w:r>
        <w:rPr>
          <w:i/>
          <w:iCs/>
          <w:sz w:val="20"/>
          <w:szCs w:val="20"/>
        </w:rPr>
        <w:t>Neurology. Clinical practice</w:t>
      </w:r>
      <w:r>
        <w:rPr>
          <w:sz w:val="20"/>
          <w:szCs w:val="20"/>
        </w:rPr>
        <w:t xml:space="preserve">, </w:t>
      </w:r>
      <w:r>
        <w:rPr>
          <w:i/>
          <w:iCs/>
          <w:sz w:val="20"/>
          <w:szCs w:val="20"/>
        </w:rPr>
        <w:t>16</w:t>
      </w:r>
      <w:r>
        <w:rPr>
          <w:sz w:val="20"/>
          <w:szCs w:val="20"/>
        </w:rPr>
        <w:t>(1), e200576. https://doi.org/10.1212/CPJ.0000000000200576</w:t>
      </w:r>
    </w:p>
    <w:p w14:paraId="08A65688" w14:textId="77777777" w:rsidR="0039479F" w:rsidRDefault="00000000">
      <w:pPr>
        <w:spacing w:after="100" w:line="252" w:lineRule="auto"/>
        <w:ind w:left="454" w:hanging="454"/>
      </w:pPr>
      <w:r>
        <w:rPr>
          <w:sz w:val="20"/>
          <w:szCs w:val="20"/>
        </w:rPr>
        <w:t xml:space="preserve">Yang, F., Meng, T., Torben-Nielsen, B., Magnus, C., Liu, C., &amp; Dejean, E. (2023). A machine learning approach to support triaging of primary versus secondary headache patients using complete blood count. </w:t>
      </w:r>
      <w:r>
        <w:rPr>
          <w:i/>
          <w:iCs/>
          <w:sz w:val="20"/>
          <w:szCs w:val="20"/>
        </w:rPr>
        <w:t>PloS one</w:t>
      </w:r>
      <w:r>
        <w:rPr>
          <w:sz w:val="20"/>
          <w:szCs w:val="20"/>
        </w:rPr>
        <w:t xml:space="preserve">, </w:t>
      </w:r>
      <w:r>
        <w:rPr>
          <w:i/>
          <w:iCs/>
          <w:sz w:val="20"/>
          <w:szCs w:val="20"/>
        </w:rPr>
        <w:t>18</w:t>
      </w:r>
      <w:r>
        <w:rPr>
          <w:sz w:val="20"/>
          <w:szCs w:val="20"/>
        </w:rPr>
        <w:t>(3), e0282237. https://doi.org/10.1371/journal.pone.0282237</w:t>
      </w:r>
    </w:p>
    <w:p w14:paraId="7052567A" w14:textId="77777777" w:rsidR="0039479F" w:rsidRDefault="00000000">
      <w:pPr>
        <w:spacing w:after="100" w:line="252" w:lineRule="auto"/>
        <w:ind w:left="454" w:hanging="454"/>
      </w:pPr>
      <w:r>
        <w:rPr>
          <w:sz w:val="20"/>
          <w:szCs w:val="20"/>
        </w:rPr>
        <w:t xml:space="preserve">Yesilaras, M., Kilic, T. Y., Yesilaras, S., Atilla, O. D., Öncel, D., &amp; Çamlar, M. (2017). The diagnostic and prognostic value of the optic nerve sheath diameter on CT for diagnosis spontaneous subarachnoid hemorrhage. </w:t>
      </w:r>
      <w:r>
        <w:rPr>
          <w:i/>
          <w:iCs/>
          <w:sz w:val="20"/>
          <w:szCs w:val="20"/>
        </w:rPr>
        <w:t>The American journal of emergency medicine</w:t>
      </w:r>
      <w:r>
        <w:rPr>
          <w:sz w:val="20"/>
          <w:szCs w:val="20"/>
        </w:rPr>
        <w:t xml:space="preserve">, </w:t>
      </w:r>
      <w:r>
        <w:rPr>
          <w:i/>
          <w:iCs/>
          <w:sz w:val="20"/>
          <w:szCs w:val="20"/>
        </w:rPr>
        <w:t>35</w:t>
      </w:r>
      <w:r>
        <w:rPr>
          <w:sz w:val="20"/>
          <w:szCs w:val="20"/>
        </w:rPr>
        <w:t>(10), 1408-1413. https://doi.org/10.1016/j.ajem.2017.04.022</w:t>
      </w:r>
    </w:p>
    <w:p w14:paraId="21CC7391" w14:textId="77777777" w:rsidR="0039479F" w:rsidRDefault="00000000">
      <w:pPr>
        <w:spacing w:after="100" w:line="252" w:lineRule="auto"/>
        <w:ind w:left="454" w:hanging="454"/>
      </w:pPr>
      <w:r>
        <w:rPr>
          <w:sz w:val="20"/>
          <w:szCs w:val="20"/>
        </w:rPr>
        <w:t xml:space="preserve">Zhang, Y., Yang, P., &amp; Wang, J. (2019b). Diagnostic Value of D-dimer in Distinguishing between Spontaneous Subarachnoid Hemorrhage and Nontraumatic Acute Headache. </w:t>
      </w:r>
      <w:r>
        <w:rPr>
          <w:i/>
          <w:iCs/>
          <w:sz w:val="20"/>
          <w:szCs w:val="20"/>
        </w:rPr>
        <w:t>Clinical laboratory</w:t>
      </w:r>
      <w:r>
        <w:rPr>
          <w:sz w:val="20"/>
          <w:szCs w:val="20"/>
        </w:rPr>
        <w:t xml:space="preserve">, </w:t>
      </w:r>
      <w:r>
        <w:rPr>
          <w:i/>
          <w:iCs/>
          <w:sz w:val="20"/>
          <w:szCs w:val="20"/>
        </w:rPr>
        <w:t>65</w:t>
      </w:r>
      <w:r>
        <w:rPr>
          <w:sz w:val="20"/>
          <w:szCs w:val="20"/>
        </w:rPr>
        <w:t>(11). https://doi.org/10.7754/Clin.Lab.2019.190230</w:t>
      </w:r>
    </w:p>
    <w:p w14:paraId="3B7A5539" w14:textId="77777777" w:rsidR="0039479F" w:rsidRDefault="00000000">
      <w:pPr>
        <w:spacing w:after="100" w:line="252" w:lineRule="auto"/>
        <w:ind w:left="454" w:hanging="454"/>
      </w:pPr>
      <w:r>
        <w:rPr>
          <w:sz w:val="20"/>
          <w:szCs w:val="20"/>
        </w:rPr>
        <w:t xml:space="preserve">Zhang, Y., Yang, P., Gu, B., &amp; Wang, J. (2019a). Comparison of the Diagnostic Values of Neutrophil, Neutrophil to Lymphocyte Ratio, and Platelet to Lymphocyte Ratio in Distinguishing Spontaneous Subarachnoid Hemorrhage from Nontraumatic Acute Headache. </w:t>
      </w:r>
      <w:r>
        <w:rPr>
          <w:i/>
          <w:iCs/>
          <w:sz w:val="20"/>
          <w:szCs w:val="20"/>
        </w:rPr>
        <w:t>Clinical laboratory</w:t>
      </w:r>
      <w:r>
        <w:rPr>
          <w:sz w:val="20"/>
          <w:szCs w:val="20"/>
        </w:rPr>
        <w:t xml:space="preserve">, </w:t>
      </w:r>
      <w:r>
        <w:rPr>
          <w:i/>
          <w:iCs/>
          <w:sz w:val="20"/>
          <w:szCs w:val="20"/>
        </w:rPr>
        <w:t>65</w:t>
      </w:r>
      <w:r>
        <w:rPr>
          <w:sz w:val="20"/>
          <w:szCs w:val="20"/>
        </w:rPr>
        <w:t>(10). https://doi.org/10.7754/Clin.Lab.2019.190301</w:t>
      </w:r>
    </w:p>
    <w:p w14:paraId="5F24337D" w14:textId="77777777" w:rsidR="0039479F" w:rsidRDefault="00000000">
      <w:pPr>
        <w:spacing w:after="100" w:line="252" w:lineRule="auto"/>
        <w:ind w:left="454" w:hanging="454"/>
      </w:pPr>
      <w:r>
        <w:rPr>
          <w:sz w:val="20"/>
          <w:szCs w:val="20"/>
        </w:rPr>
        <w:t xml:space="preserve">Zinganell, A., Berek, K., Bsteh, G., Di Pauli, F., Rass, V., Helbok, R., Walde, J., Deisenhammer, F., &amp; Hegen, H. (2023). Subarachnoid haemorrhage or traumatic lumbar puncture. Differentiation by cerebrospinal fluid parameters in a multivariable approach. </w:t>
      </w:r>
      <w:r>
        <w:rPr>
          <w:i/>
          <w:iCs/>
          <w:sz w:val="20"/>
          <w:szCs w:val="20"/>
        </w:rPr>
        <w:t>Scientific reports</w:t>
      </w:r>
      <w:r>
        <w:rPr>
          <w:sz w:val="20"/>
          <w:szCs w:val="20"/>
        </w:rPr>
        <w:t xml:space="preserve">, </w:t>
      </w:r>
      <w:r>
        <w:rPr>
          <w:i/>
          <w:iCs/>
          <w:sz w:val="20"/>
          <w:szCs w:val="20"/>
        </w:rPr>
        <w:t>13</w:t>
      </w:r>
      <w:r>
        <w:rPr>
          <w:sz w:val="20"/>
          <w:szCs w:val="20"/>
        </w:rPr>
        <w:t>(1), 22310. https://doi.org/10.1038/s41598-023-49693-y</w:t>
      </w:r>
    </w:p>
    <w:p w14:paraId="0AD81CB4" w14:textId="77777777" w:rsidR="0039479F" w:rsidRDefault="00000000">
      <w:pPr>
        <w:spacing w:after="100" w:line="252" w:lineRule="auto"/>
        <w:ind w:left="454" w:hanging="454"/>
      </w:pPr>
      <w:r>
        <w:rPr>
          <w:sz w:val="20"/>
          <w:szCs w:val="20"/>
        </w:rPr>
        <w:t xml:space="preserve">Zorbalar, N., Yesilaras, M., &amp; Aksay, E. (2014). Carbon monoxide poisoning in patients presenting to the emergency department with a headache in winter months. </w:t>
      </w:r>
      <w:r>
        <w:rPr>
          <w:i/>
          <w:iCs/>
          <w:sz w:val="20"/>
          <w:szCs w:val="20"/>
        </w:rPr>
        <w:t xml:space="preserve">Emergency medicine </w:t>
      </w:r>
      <w:proofErr w:type="gramStart"/>
      <w:r>
        <w:rPr>
          <w:i/>
          <w:iCs/>
          <w:sz w:val="20"/>
          <w:szCs w:val="20"/>
        </w:rPr>
        <w:t>journal :</w:t>
      </w:r>
      <w:proofErr w:type="gramEnd"/>
      <w:r>
        <w:rPr>
          <w:i/>
          <w:iCs/>
          <w:sz w:val="20"/>
          <w:szCs w:val="20"/>
        </w:rPr>
        <w:t xml:space="preserve"> EMJ</w:t>
      </w:r>
      <w:r>
        <w:rPr>
          <w:sz w:val="20"/>
          <w:szCs w:val="20"/>
        </w:rPr>
        <w:t xml:space="preserve">, </w:t>
      </w:r>
      <w:r>
        <w:rPr>
          <w:i/>
          <w:iCs/>
          <w:sz w:val="20"/>
          <w:szCs w:val="20"/>
        </w:rPr>
        <w:t>31</w:t>
      </w:r>
      <w:r>
        <w:rPr>
          <w:sz w:val="20"/>
          <w:szCs w:val="20"/>
        </w:rPr>
        <w:t>(e1), e66-70. https://doi.org/10.1136/emermed-2012-201712</w:t>
      </w:r>
    </w:p>
    <w:p w14:paraId="1FD1D426" w14:textId="77777777" w:rsidR="0039479F" w:rsidRDefault="00000000">
      <w:pPr>
        <w:spacing w:after="100" w:line="252" w:lineRule="auto"/>
        <w:ind w:left="454" w:hanging="454"/>
      </w:pPr>
      <w:r>
        <w:rPr>
          <w:sz w:val="20"/>
          <w:szCs w:val="20"/>
        </w:rPr>
        <w:t xml:space="preserve">Zorko Garbajs, N., Nasr, D. M., Bellolio, F., Howick, A. S., Vanmeter, D. E., Mullan, A. F., &amp; Rabinstein, A. A. (2024). Etiology and characteristics of non-aneurysmal thunderclap headache presenting to an acute setting. </w:t>
      </w:r>
      <w:r>
        <w:rPr>
          <w:i/>
          <w:iCs/>
          <w:sz w:val="20"/>
          <w:szCs w:val="20"/>
        </w:rPr>
        <w:t>The American journal of emergency medicine</w:t>
      </w:r>
      <w:r>
        <w:rPr>
          <w:sz w:val="20"/>
          <w:szCs w:val="20"/>
        </w:rPr>
        <w:t xml:space="preserve">, </w:t>
      </w:r>
      <w:r>
        <w:rPr>
          <w:i/>
          <w:iCs/>
          <w:sz w:val="20"/>
          <w:szCs w:val="20"/>
        </w:rPr>
        <w:t>85</w:t>
      </w:r>
      <w:r>
        <w:rPr>
          <w:sz w:val="20"/>
          <w:szCs w:val="20"/>
        </w:rPr>
        <w:t>, 217-224. https://doi.org/10.1016/j.ajem.2024.09.031</w:t>
      </w:r>
    </w:p>
    <w:p w14:paraId="4FC47678" w14:textId="77777777" w:rsidR="0039479F" w:rsidRDefault="00000000">
      <w:pPr>
        <w:spacing w:after="100" w:line="252" w:lineRule="auto"/>
        <w:ind w:left="454" w:hanging="454"/>
      </w:pPr>
      <w:r>
        <w:rPr>
          <w:sz w:val="20"/>
          <w:szCs w:val="20"/>
        </w:rPr>
        <w:t xml:space="preserve">Žužek, P., Rigler, I., &amp; Podnar, S. (2019). Validation of clinical criteria for referral to head imaging in the neurologic emergency setting. </w:t>
      </w:r>
      <w:r>
        <w:rPr>
          <w:i/>
          <w:iCs/>
          <w:sz w:val="20"/>
          <w:szCs w:val="20"/>
        </w:rPr>
        <w:t xml:space="preserve">Neurological </w:t>
      </w:r>
      <w:proofErr w:type="gramStart"/>
      <w:r>
        <w:rPr>
          <w:i/>
          <w:iCs/>
          <w:sz w:val="20"/>
          <w:szCs w:val="20"/>
        </w:rPr>
        <w:t>sciences :</w:t>
      </w:r>
      <w:proofErr w:type="gramEnd"/>
      <w:r>
        <w:rPr>
          <w:i/>
          <w:iCs/>
          <w:sz w:val="20"/>
          <w:szCs w:val="20"/>
        </w:rPr>
        <w:t xml:space="preserve"> official journal of the Italian Neurological Society and of the Italian Society of Clinical Neurophysiology</w:t>
      </w:r>
      <w:r>
        <w:rPr>
          <w:sz w:val="20"/>
          <w:szCs w:val="20"/>
        </w:rPr>
        <w:t xml:space="preserve">, </w:t>
      </w:r>
      <w:r>
        <w:rPr>
          <w:i/>
          <w:iCs/>
          <w:sz w:val="20"/>
          <w:szCs w:val="20"/>
        </w:rPr>
        <w:t>40</w:t>
      </w:r>
      <w:r>
        <w:rPr>
          <w:sz w:val="20"/>
          <w:szCs w:val="20"/>
        </w:rPr>
        <w:t>(12), 2541-2548. https://doi.org/10.1007/s10072-019-04009-9</w:t>
      </w:r>
    </w:p>
    <w:sectPr w:rsidR="0039479F">
      <w:headerReference w:type="even" r:id="rId9"/>
      <w:headerReference w:type="default" r:id="rId10"/>
      <w:footerReference w:type="even" r:id="rId11"/>
      <w:footerReference w:type="default" r:id="rId12"/>
      <w:headerReference w:type="first" r:id="rId13"/>
      <w:footerReference w:type="first" r:id="rId14"/>
      <w:pgSz w:w="11906" w:h="16838"/>
      <w:pgMar w:top="1020" w:right="1020" w:bottom="1020" w:left="10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50A8F" w14:textId="77777777" w:rsidR="003A6B0A" w:rsidRDefault="003A6B0A">
      <w:pPr>
        <w:spacing w:line="240" w:lineRule="auto"/>
      </w:pPr>
      <w:r>
        <w:separator/>
      </w:r>
    </w:p>
  </w:endnote>
  <w:endnote w:type="continuationSeparator" w:id="0">
    <w:p w14:paraId="5BCE321D" w14:textId="77777777" w:rsidR="003A6B0A" w:rsidRDefault="003A6B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92D4" w14:textId="77777777" w:rsidR="00241F0C" w:rsidRDefault="00241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6BC1A" w14:textId="77777777" w:rsidR="0039479F" w:rsidRDefault="00000000">
    <w:pPr>
      <w:jc w:val="center"/>
    </w:pPr>
    <w:r>
      <w:rPr>
        <w:sz w:val="18"/>
        <w:szCs w:val="18"/>
      </w:rPr>
      <w:fldChar w:fldCharType="begin"/>
    </w:r>
    <w:r>
      <w:rPr>
        <w:sz w:val="18"/>
        <w:szCs w:val="18"/>
      </w:rPr>
      <w:instrText>PAGE</w:instrText>
    </w:r>
    <w:r>
      <w:rPr>
        <w:sz w:val="18"/>
        <w:szCs w:val="18"/>
      </w:rPr>
      <w:fldChar w:fldCharType="separate"/>
    </w:r>
    <w:r w:rsidR="00E064B9">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3423" w14:textId="77777777" w:rsidR="00241F0C" w:rsidRDefault="00241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B73BD" w14:textId="77777777" w:rsidR="003A6B0A" w:rsidRDefault="003A6B0A">
      <w:pPr>
        <w:spacing w:line="240" w:lineRule="auto"/>
      </w:pPr>
      <w:r>
        <w:separator/>
      </w:r>
    </w:p>
  </w:footnote>
  <w:footnote w:type="continuationSeparator" w:id="0">
    <w:p w14:paraId="3448673F" w14:textId="77777777" w:rsidR="003A6B0A" w:rsidRDefault="003A6B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CD0FC" w14:textId="4EFEC672" w:rsidR="00241F0C" w:rsidRDefault="00241F0C">
    <w:pPr>
      <w:pStyle w:val="Header"/>
    </w:pPr>
    <w:r>
      <w:rPr>
        <w:noProof/>
      </w:rPr>
      <w:pict w14:anchorId="02D8B7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4545766" o:spid="_x0000_s1026" type="#_x0000_t136" style="position:absolute;margin-left:0;margin-top:0;width:625.95pt;height:69.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019D" w14:textId="4983C901" w:rsidR="00241F0C" w:rsidRDefault="00241F0C">
    <w:pPr>
      <w:pStyle w:val="Header"/>
    </w:pPr>
    <w:r>
      <w:rPr>
        <w:noProof/>
      </w:rPr>
      <w:pict w14:anchorId="50257E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4545767" o:spid="_x0000_s1027" type="#_x0000_t136" style="position:absolute;margin-left:0;margin-top:0;width:625.95pt;height:69.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0884" w14:textId="5F154BB4" w:rsidR="00241F0C" w:rsidRDefault="00241F0C">
    <w:pPr>
      <w:pStyle w:val="Header"/>
    </w:pPr>
    <w:r>
      <w:rPr>
        <w:noProof/>
      </w:rPr>
      <w:pict w14:anchorId="2F86BD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4545765" o:spid="_x0000_s1025" type="#_x0000_t136" style="position:absolute;margin-left:0;margin-top:0;width:625.95pt;height:69.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A5E21"/>
    <w:multiLevelType w:val="hybridMultilevel"/>
    <w:tmpl w:val="8458BBB4"/>
    <w:lvl w:ilvl="0" w:tplc="84E4A528">
      <w:start w:val="1"/>
      <w:numFmt w:val="bullet"/>
      <w:lvlText w:val="●"/>
      <w:lvlJc w:val="left"/>
      <w:pPr>
        <w:ind w:left="720" w:hanging="360"/>
      </w:pPr>
    </w:lvl>
    <w:lvl w:ilvl="1" w:tplc="8A50BCE2">
      <w:start w:val="1"/>
      <w:numFmt w:val="bullet"/>
      <w:lvlText w:val="○"/>
      <w:lvlJc w:val="left"/>
      <w:pPr>
        <w:ind w:left="1440" w:hanging="360"/>
      </w:pPr>
    </w:lvl>
    <w:lvl w:ilvl="2" w:tplc="C0529718">
      <w:start w:val="1"/>
      <w:numFmt w:val="bullet"/>
      <w:lvlText w:val="■"/>
      <w:lvlJc w:val="left"/>
      <w:pPr>
        <w:ind w:left="2160" w:hanging="360"/>
      </w:pPr>
    </w:lvl>
    <w:lvl w:ilvl="3" w:tplc="11D44BAA">
      <w:start w:val="1"/>
      <w:numFmt w:val="bullet"/>
      <w:lvlText w:val="●"/>
      <w:lvlJc w:val="left"/>
      <w:pPr>
        <w:ind w:left="2880" w:hanging="360"/>
      </w:pPr>
    </w:lvl>
    <w:lvl w:ilvl="4" w:tplc="3C88B6E2">
      <w:start w:val="1"/>
      <w:numFmt w:val="bullet"/>
      <w:lvlText w:val="○"/>
      <w:lvlJc w:val="left"/>
      <w:pPr>
        <w:ind w:left="3600" w:hanging="360"/>
      </w:pPr>
    </w:lvl>
    <w:lvl w:ilvl="5" w:tplc="8034E3A8">
      <w:start w:val="1"/>
      <w:numFmt w:val="bullet"/>
      <w:lvlText w:val="■"/>
      <w:lvlJc w:val="left"/>
      <w:pPr>
        <w:ind w:left="4320" w:hanging="360"/>
      </w:pPr>
    </w:lvl>
    <w:lvl w:ilvl="6" w:tplc="2190E6F2">
      <w:start w:val="1"/>
      <w:numFmt w:val="bullet"/>
      <w:lvlText w:val="●"/>
      <w:lvlJc w:val="left"/>
      <w:pPr>
        <w:ind w:left="5040" w:hanging="360"/>
      </w:pPr>
    </w:lvl>
    <w:lvl w:ilvl="7" w:tplc="8E90AAC0">
      <w:start w:val="1"/>
      <w:numFmt w:val="bullet"/>
      <w:lvlText w:val="●"/>
      <w:lvlJc w:val="left"/>
      <w:pPr>
        <w:ind w:left="5760" w:hanging="360"/>
      </w:pPr>
    </w:lvl>
    <w:lvl w:ilvl="8" w:tplc="08A4B832">
      <w:start w:val="1"/>
      <w:numFmt w:val="bullet"/>
      <w:lvlText w:val="●"/>
      <w:lvlJc w:val="left"/>
      <w:pPr>
        <w:ind w:left="6480" w:hanging="360"/>
      </w:pPr>
    </w:lvl>
  </w:abstractNum>
  <w:num w:numId="1" w16cid:durableId="6985056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isplayBackgroundShape/>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79F"/>
    <w:rsid w:val="0015529E"/>
    <w:rsid w:val="00241F0C"/>
    <w:rsid w:val="002B148F"/>
    <w:rsid w:val="002D74AC"/>
    <w:rsid w:val="002E2D2B"/>
    <w:rsid w:val="00392B36"/>
    <w:rsid w:val="0039479F"/>
    <w:rsid w:val="003A6B0A"/>
    <w:rsid w:val="00482A33"/>
    <w:rsid w:val="00553FF3"/>
    <w:rsid w:val="00562983"/>
    <w:rsid w:val="0062313F"/>
    <w:rsid w:val="00853FCC"/>
    <w:rsid w:val="00B006EC"/>
    <w:rsid w:val="00E064B9"/>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600F8"/>
  <w15:docId w15:val="{1614E2E2-7F35-4D97-B97A-A859DE62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bn-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sz w:val="23"/>
      <w:szCs w:val="23"/>
    </w:rPr>
  </w:style>
  <w:style w:type="paragraph" w:styleId="Heading3">
    <w:name w:val="heading 3"/>
    <w:uiPriority w:val="9"/>
    <w:semiHidden/>
    <w:unhideWhenUsed/>
    <w:qFormat/>
    <w:pPr>
      <w:outlineLvl w:val="2"/>
    </w:pPr>
    <w:rPr>
      <w:b/>
      <w:b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41F0C"/>
    <w:pPr>
      <w:tabs>
        <w:tab w:val="center" w:pos="4513"/>
        <w:tab w:val="right" w:pos="9026"/>
      </w:tabs>
      <w:spacing w:line="240" w:lineRule="auto"/>
    </w:pPr>
    <w:rPr>
      <w:szCs w:val="28"/>
    </w:rPr>
  </w:style>
  <w:style w:type="character" w:customStyle="1" w:styleId="HeaderChar">
    <w:name w:val="Header Char"/>
    <w:basedOn w:val="DefaultParagraphFont"/>
    <w:link w:val="Header"/>
    <w:uiPriority w:val="99"/>
    <w:rsid w:val="00241F0C"/>
    <w:rPr>
      <w:szCs w:val="28"/>
    </w:rPr>
  </w:style>
  <w:style w:type="paragraph" w:styleId="Footer">
    <w:name w:val="footer"/>
    <w:basedOn w:val="Normal"/>
    <w:link w:val="FooterChar"/>
    <w:uiPriority w:val="99"/>
    <w:unhideWhenUsed/>
    <w:rsid w:val="00241F0C"/>
    <w:pPr>
      <w:tabs>
        <w:tab w:val="center" w:pos="4513"/>
        <w:tab w:val="right" w:pos="9026"/>
      </w:tabs>
      <w:spacing w:line="240" w:lineRule="auto"/>
    </w:pPr>
    <w:rPr>
      <w:szCs w:val="28"/>
    </w:rPr>
  </w:style>
  <w:style w:type="character" w:customStyle="1" w:styleId="FooterChar">
    <w:name w:val="Footer Char"/>
    <w:basedOn w:val="DefaultParagraphFont"/>
    <w:link w:val="Footer"/>
    <w:uiPriority w:val="99"/>
    <w:rsid w:val="00241F0C"/>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50</Pages>
  <Words>34177</Words>
  <Characters>194810</Characters>
  <Application>Microsoft Office Word</Application>
  <DocSecurity>0</DocSecurity>
  <Lines>1623</Lines>
  <Paragraphs>457</Paragraphs>
  <ScaleCrop>false</ScaleCrop>
  <Company>HP</Company>
  <LinksUpToDate>false</LinksUpToDate>
  <CharactersWithSpaces>228530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Rapid Differential Diagnosis of Non-Traumatic Headache in the Emergency Department</dc:title>
  <dc:creator>Systematic review</dc:creator>
  <dc:description>Rapid Differential Diagnosis of Non-Traumatic Headache in the Emergency Department</dc:description>
  <cp:lastModifiedBy>SDI 1166</cp:lastModifiedBy>
  <cp:revision>8</cp:revision>
  <dcterms:created xsi:type="dcterms:W3CDTF">2026-09-04T02:36:00Z</dcterms:created>
  <dcterms:modified xsi:type="dcterms:W3CDTF">2026-09-14T11:54:00Z</dcterms:modified>
</cp:coreProperties>
</file>