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AFCD5" w14:textId="77777777" w:rsidR="004047B1" w:rsidRDefault="004047B1">
      <w:pPr>
        <w:pStyle w:val="Title"/>
        <w:keepLines/>
        <w:rPr>
          <w:rFonts w:ascii="Times New Roman" w:hAnsi="Times New Roman"/>
          <w:color w:val="auto"/>
        </w:rPr>
      </w:pPr>
      <w:r w:rsidRPr="004047B1">
        <w:rPr>
          <w:rFonts w:ascii="Times New Roman" w:hAnsi="Times New Roman"/>
          <w:color w:val="auto"/>
        </w:rPr>
        <w:t>Review Article</w:t>
      </w:r>
    </w:p>
    <w:p w14:paraId="360CA466" w14:textId="73FBC3FF" w:rsidR="00C229FA" w:rsidRPr="00A325DC" w:rsidRDefault="00000000">
      <w:pPr>
        <w:pStyle w:val="Title"/>
        <w:keepLines/>
        <w:rPr>
          <w:color w:val="auto"/>
        </w:rPr>
      </w:pPr>
      <w:r w:rsidRPr="00A325DC">
        <w:rPr>
          <w:rFonts w:ascii="Times New Roman" w:hAnsi="Times New Roman"/>
          <w:color w:val="auto"/>
        </w:rPr>
        <w:t>Artificial Intelligence for Physiologically Informed Precision Care in Sickle Cell Disease: Diagnosis, Risk Prediction, Personalised Treatment and Equitable Implementation</w:t>
      </w:r>
    </w:p>
    <w:p w14:paraId="1E0BB540" w14:textId="77777777" w:rsidR="00C229FA" w:rsidRPr="00A325DC" w:rsidRDefault="00000000">
      <w:pPr>
        <w:pStyle w:val="Heading2"/>
        <w:rPr>
          <w:color w:val="auto"/>
        </w:rPr>
      </w:pPr>
      <w:r w:rsidRPr="00A325DC">
        <w:rPr>
          <w:color w:val="auto"/>
        </w:rPr>
        <w:t>Abstract</w:t>
      </w:r>
    </w:p>
    <w:p w14:paraId="42350F2C" w14:textId="77777777" w:rsidR="00C229FA" w:rsidRPr="00A325DC" w:rsidRDefault="00000000">
      <w:pPr>
        <w:pStyle w:val="AbstractBody"/>
      </w:pPr>
      <w:r w:rsidRPr="00A325DC">
        <w:rPr>
          <w:sz w:val="22"/>
        </w:rPr>
        <w:t>Sickle cell disease (SCD) is a monogenic haemoglobinopathy whose clinical expression is shaped by multiscale interactions among haemoglobin S polymerisation, erythrocyte rheology, haemolysis, inflammation, vascular dysfunction, organ reserve, treatment exposure and social context. Artificial intelligence (AI) is increasingly being applied to these heterogeneous data, but high algorithmic performance does not by itself establish clinical usefulness. This critical narrative review evaluates how AI can support physiologically informed precision care across diagnosis, phenotyping, prediction of vaso-occlusive and organ complications, personalised treatment, curative-therapy decision support and equitable implementation. Literature published from 1 January 2015 through 28 June 2026 was identified through multidisciplinary biomedical and scholarly sources, supplemented by citation searching and a South-East Asian regional index. The evidence is strongest for automated screening and image-based phenotyping, where deep-learning systems can classify sickle morphology or haemoglobin-separation patterns with high internal accuracy. Yet many studies depend on small or reused datasets, image-level rather than patient-level validation, and limited external testing. Predictive models based on physiological signals, electronic health records and multimodal clinical variables show clinically plausible associations with pain, acute organ failure, kidney decline, readmission and mortality, but calibration, transportability and prospective utility remain insufficiently established. Personalised treatment is less mature: pharmacokinetic-guided hydroxyurea dosing provides a mechanistically grounded precision-care benchmark, whereas SCD-specific AI treatment-selection evidence remains sparse, although transplant outcome models are emerging. Biophysical imaging, erythrocyte dynamics, metabolomics and genetic modifiers offer a route towards models that represent disease mechanisms rather than correlations alone. Equitable translation is a central validity requirement because SCD burden is concentrated in populations and health systems under-represented in most AI development datasets, while physiological sensors and healthcare-derived labels can encode measurement and structural bias. The field should therefore prioritise prospective multicentre validation, physiology-aware multimodal modelling, decision-impact studies, uncertainty estimation, fairness auditing and implementation designs suited to high-burden settings.</w:t>
      </w:r>
    </w:p>
    <w:p w14:paraId="0893EA4C" w14:textId="77777777" w:rsidR="00C229FA" w:rsidRPr="00A325DC" w:rsidRDefault="00000000">
      <w:pPr>
        <w:spacing w:after="200" w:line="240" w:lineRule="auto"/>
      </w:pPr>
      <w:r w:rsidRPr="00A325DC">
        <w:rPr>
          <w:b/>
          <w:sz w:val="21"/>
        </w:rPr>
        <w:t>Keywords:</w:t>
      </w:r>
      <w:r w:rsidRPr="00A325DC">
        <w:rPr>
          <w:sz w:val="21"/>
        </w:rPr>
        <w:t xml:space="preserve"> sickle cell disease; artificial intelligence; machine learning; precision medicine; vaso-occlusive crisis; digital biomarkers; personalised treatment; health equity</w:t>
      </w:r>
    </w:p>
    <w:p w14:paraId="2D901AE3" w14:textId="77777777" w:rsidR="00C229FA" w:rsidRPr="00A325DC" w:rsidRDefault="00000000">
      <w:pPr>
        <w:pStyle w:val="Heading1"/>
        <w:rPr>
          <w:color w:val="auto"/>
        </w:rPr>
      </w:pPr>
      <w:r w:rsidRPr="00A325DC">
        <w:rPr>
          <w:color w:val="auto"/>
        </w:rPr>
        <w:t>1. Introduction</w:t>
      </w:r>
    </w:p>
    <w:p w14:paraId="0C642F90" w14:textId="77777777" w:rsidR="00C229FA" w:rsidRPr="00A325DC" w:rsidRDefault="00000000">
      <w:r w:rsidRPr="00A325DC">
        <w:t>Sickle cell disease (SCD) is caused by pathogenic variation producing haemoglobin S (HbS), but the disorder cannot be understood clinically as a simple one-gene, one-phenotype condition. Deoxygenation-dependent HbS polymerisation alters erythrocyte shape and deformability, while repeated sickling and unsickling promote membrane injury, haemolysis and abnormal adhesion. These changes interact with endothelial activation, sterile inflammation, oxidative stress and disordered vascular tone, creating a dynamic system in which microvascular obstruction and ischaemia-reperfusion injury coexist with progressive vasculopathy and end-organ damage (Kato et al., 2018; Sundd et al., 2019). The result is marked heterogeneity in acute pain, acute chest syndrome, cerebrovascular disease, nephropathy, cardiopulmonary complications and survival even among people sharing the same principal SCD genotype (Piel et al., 2017; Ware et al., 2017).</w:t>
      </w:r>
    </w:p>
    <w:p w14:paraId="7A816A85" w14:textId="77777777" w:rsidR="00C229FA" w:rsidRPr="00A325DC" w:rsidRDefault="00000000">
      <w:r w:rsidRPr="00A325DC">
        <w:t xml:space="preserve">The global context makes this heterogeneity clinically consequential. Contemporary burden estimates indicate that SCD affects millions of people and that mortality attributable to living with the disease is substantially </w:t>
      </w:r>
      <w:r w:rsidRPr="00A325DC">
        <w:lastRenderedPageBreak/>
        <w:t>underestimated when deaths are assigned only a single underlying cause (GBD 2021 Sickle Cell Disease Collaborators, 2023). Access to newborn screening, confirmatory haemoglobin analysis, transcranial Doppler surveillance, disease-modifying treatment, transfusion support, specialist care and curative therapies remains highly unequal. These differences create two linked precision-care problems. The first is biological: which physiological processes are dominant in a particular patient at a particular time? The second is operational: which information can be measured reliably in the setting where care is actually delivered, and which action is realistically available? A technically sophisticated prediction that cannot be transported across populations or health systems is not precision care in a meaningful clinical sense.</w:t>
      </w:r>
    </w:p>
    <w:p w14:paraId="51E06DE5" w14:textId="77777777" w:rsidR="00C229FA" w:rsidRPr="00A325DC" w:rsidRDefault="00000000">
      <w:r w:rsidRPr="00A325DC">
        <w:t>Artificial intelligence (AI), particularly machine learning (ML) and deep learning, has been proposed as a way to integrate the large number of interacting signals relevant to SCD. Existing applications include automated analysis of blood-smear morphology, image interpretation of haemoglobin-separation assays, prediction of pain or vaso-occlusive crisis (VOC), detection of physiological deterioration, prediction of readmission, mortality risk stratification and exploratory treatment decision support (Elsabagh et al., 2023; Machado et al., 2024). More recent work extends this agenda towards quantitative phase imaging, erythrocyte biomechanical phenotyping, low-cost automated microscopy and transplant outcome prediction (Ansong-Ansongton &amp; Adamson, 2024; Chandrasekar et al., 2025; Shrestha et al., 2025). The attraction is clear: SCD generates longitudinal, multimodal data whose relationships are nonlinear, time-varying and difficult to integrate by unaided clinical judgement.</w:t>
      </w:r>
    </w:p>
    <w:p w14:paraId="29E4D484" w14:textId="77777777" w:rsidR="00C229FA" w:rsidRPr="00A325DC" w:rsidRDefault="00000000">
      <w:r w:rsidRPr="00A325DC">
        <w:t>Nevertheless, an AI model can appear accurate for reasons that have little to do with clinically useful disease understanding. In image analysis, performance may be inflated when augmented images or multiple cells from the same patient are split across training and test sets. In electronic health records (EHRs), models can learn patterns of local documentation, treatment availability or admission thresholds rather than intrinsic disease risk. In wearable studies, a model may predict a contemporaneous pain score without demonstrating that it can forecast an impending VOC early enough to change management. In high-dimensional omics, excellent apparent discrimination can arise from overfitting when sample size is small relative to the number of candidate features. These concerns are particularly important in SCD because the patient populations with the greatest disease burden are not necessarily the populations represented in model development datasets (Abdelgader Adam et al., 2026; Machado et al., 2024).</w:t>
      </w:r>
    </w:p>
    <w:p w14:paraId="4AB99C20" w14:textId="77777777" w:rsidR="00C229FA" w:rsidRPr="00A325DC" w:rsidRDefault="00000000">
      <w:r w:rsidRPr="00A325DC">
        <w:t>A physiology-informed approach offers a more stringent conceptual standard. It asks whether the inputs, temporal structure and outputs of an AI system correspond to recognised disease mechanisms and actionable clinical states. For example, morphology-only screening captures one visible consequence of HbS polymerisation, whereas quantitative phase imaging, deformability measures and red-cell motion can interrogate biophysical properties closer to microvascular flow behaviour (Ansong-Ansongton &amp; Adamson, 2024; Darrin et al., 2023). Similarly, photoplethysmography (PPG) may be valuable not merely because it supplies a high-dimensional signal, but because vascular tone and transient vasoconstriction have a plausible relationship with microvascular perfusion and future pain propensity (Ji et al., 2021). Physiology-informed modelling therefore does not require that every algorithm be explicitly mechanistic; rather, it requires that data selection, modelling assumptions, validation and clinical interpretation be constrained by what is known about SCD biology and care pathways.</w:t>
      </w:r>
    </w:p>
    <w:p w14:paraId="4DA75F1A" w14:textId="77777777" w:rsidR="00C229FA" w:rsidRPr="00A325DC" w:rsidRDefault="00000000">
      <w:r w:rsidRPr="00A325DC">
        <w:t xml:space="preserve">Existing reviews have established that AI and ML applications in SCD are expanding, while repeatedly identifying small datasets, limited interpretability and weak external validation as barriers (Elsabagh et al., 2023; Machado et al., 2024). A 2026 systematic review focused on diagnostic and predictive performance similarly concluded that most work remains at a proof-of-concept stage despite high reported accuracy in many image-based studies (Abdelgader Adam et al., 2026). These syntheses are valuable, but the field now requires a more integrative question: not simply which algorithms have been used, but which AI applications are aligned with </w:t>
      </w:r>
      <w:r w:rsidRPr="00A325DC">
        <w:lastRenderedPageBreak/>
        <w:t>SCD physiology, which clinical decisions they can credibly support, how mature the evidence is, and whether deployment could reduce rather than reproduce existing inequities.</w:t>
      </w:r>
    </w:p>
    <w:p w14:paraId="28F83C5E" w14:textId="77777777" w:rsidR="00C229FA" w:rsidRPr="00A325DC" w:rsidRDefault="00000000">
      <w:pPr>
        <w:pStyle w:val="Heading2"/>
        <w:rPr>
          <w:color w:val="auto"/>
        </w:rPr>
      </w:pPr>
      <w:r w:rsidRPr="00A325DC">
        <w:rPr>
          <w:color w:val="auto"/>
        </w:rPr>
        <w:t>1.1 Scope, Research Gap and Objectives</w:t>
      </w:r>
    </w:p>
    <w:p w14:paraId="5630A668" w14:textId="77777777" w:rsidR="00C229FA" w:rsidRPr="00A325DC" w:rsidRDefault="00000000">
      <w:r w:rsidRPr="00A325DC">
        <w:t>This review examines AI as a component of physiologically informed precision care across the SCD pathway, from screening and phenotyping to acute and chronic risk prediction, personalised treatment and curative-therapy decision support. The central gap addressed is the absence of an integrated critical framework that connects algorithmic performance to SCD pathophysiology, clinical actionability, evidentiary maturity and equity. The review therefore distinguishes screening from definitive diagnosis, concurrent state estimation from prospective risk prediction, correlation from mechanism, and technical validation from demonstrated clinical utility. Particular attention is given to multimodal data that can represent erythrocyte biophysics, vascular physiology, organ function, genomics, metabolomics, EHR trajectories and patient-generated signals. Purely generic AI applications with no SCD-specific evidence are excluded except where they provide necessary methodological guidance for fairness, validation or implementation. The objectives are to identify where evidence is sufficiently mature for cautious clinical translation, where current claims exceed the data, how physiology can improve model design and interpretation, and which research priorities are most likely to produce safe, useful and equitable precision-care systems.</w:t>
      </w:r>
    </w:p>
    <w:p w14:paraId="236CCFD4" w14:textId="77777777" w:rsidR="00C229FA" w:rsidRPr="00A325DC" w:rsidRDefault="00000000">
      <w:pPr>
        <w:pStyle w:val="Heading1"/>
        <w:rPr>
          <w:color w:val="auto"/>
        </w:rPr>
      </w:pPr>
      <w:r w:rsidRPr="00A325DC">
        <w:rPr>
          <w:color w:val="auto"/>
        </w:rPr>
        <w:t>2. Methods for Literature Selection</w:t>
      </w:r>
    </w:p>
    <w:p w14:paraId="206DCF02" w14:textId="77777777" w:rsidR="00C229FA" w:rsidRPr="00A325DC" w:rsidRDefault="00000000">
      <w:pPr>
        <w:pStyle w:val="Heading2"/>
        <w:rPr>
          <w:color w:val="auto"/>
        </w:rPr>
      </w:pPr>
      <w:r w:rsidRPr="00A325DC">
        <w:rPr>
          <w:color w:val="auto"/>
        </w:rPr>
        <w:t>2.1 Review Design and Rationale</w:t>
      </w:r>
    </w:p>
    <w:p w14:paraId="2FAB5525" w14:textId="77777777" w:rsidR="00C229FA" w:rsidRPr="00A325DC" w:rsidRDefault="00000000">
      <w:r w:rsidRPr="00A325DC">
        <w:t>A critical narrative review design was selected because the evidence spans heterogeneous technical and clinical domains, including diagnostic image classification, signal processing, prediction modelling, unsupervised phenotyping, pharmacokinetic precision dosing, transplantation, genomics, metabolomics, digital health and algorithmic fairness. The studies differ substantially in populations, units of analysis, target outcomes and performance metrics, making a pooled quantitative estimate inappropriate. Narrative synthesis was nevertheless conducted transparently and critically. The Scale for the Assessment of Narrative Review Articles (SANRA) was used as a methodological reference for explicit justification, clear aims, transparent literature searching, appropriate referencing, presentation of evidence level and attention to clinically relevant outcomes (Baethge et al., 2019).</w:t>
      </w:r>
    </w:p>
    <w:p w14:paraId="5AEE48FA" w14:textId="77777777" w:rsidR="00C229FA" w:rsidRPr="00A325DC" w:rsidRDefault="00000000">
      <w:pPr>
        <w:pStyle w:val="Heading2"/>
        <w:rPr>
          <w:color w:val="auto"/>
        </w:rPr>
      </w:pPr>
      <w:r w:rsidRPr="00A325DC">
        <w:rPr>
          <w:color w:val="auto"/>
        </w:rPr>
        <w:t>2.2 Information Sources</w:t>
      </w:r>
    </w:p>
    <w:p w14:paraId="0272852D" w14:textId="77777777" w:rsidR="00C229FA" w:rsidRPr="00A325DC" w:rsidRDefault="00000000">
      <w:r w:rsidRPr="00A325DC">
        <w:t>The literature search used PubMed, Europe PMC, PubMed Central, OpenAlex, the Directory of Open Access Journals (DOAJ), Semantic Scholar and Google Scholar. Because SCD has major population-specific relevance in India and South-East Asia, the Index Medicus for the South-East Asia Region (IMSEAR) was searched as a supplementary regional source. Reference lists of recent SCD AI reviews and high-value primary studies were examined for backward citation searching, and related-article and forward-citation searching were used to identify newer validation studies. Bibliographic identities and Digital Object Identifiers (DOIs) were checked against PubMed records, DOI landing information and other authoritative scholarly metadata where available.</w:t>
      </w:r>
    </w:p>
    <w:p w14:paraId="7E6BC777" w14:textId="77777777" w:rsidR="00C229FA" w:rsidRPr="00A325DC" w:rsidRDefault="00000000">
      <w:pPr>
        <w:pStyle w:val="Heading2"/>
        <w:rPr>
          <w:color w:val="auto"/>
        </w:rPr>
      </w:pPr>
      <w:r w:rsidRPr="00A325DC">
        <w:rPr>
          <w:color w:val="auto"/>
        </w:rPr>
        <w:t>2.3 Search Strategy and Search Period</w:t>
      </w:r>
    </w:p>
    <w:p w14:paraId="07D02250" w14:textId="77777777" w:rsidR="00C229FA" w:rsidRPr="00A325DC" w:rsidRDefault="00000000">
      <w:r w:rsidRPr="00A325DC">
        <w:t xml:space="preserve">The principal search period was 1 January 2015 to 28 June 2026, chosen to capture the contemporary clinical ML, deep-learning, digital-health and precision-medicine era while retaining sufficient time to evaluate repeated development and validation patterns. Earlier seminal sources could be included if required for conceptual context, although the final evidence base emphasised contemporary literature. Search concepts combined “sickle cell disease”, “sickle cell anaemia”, “hemoglobin S” or “haemoglobin S” with terms including “artificial intelligence”, “machine learning”, “deep learning”, “neural network”, “computer vision”, “diagnosis”, </w:t>
      </w:r>
      <w:r w:rsidRPr="00A325DC">
        <w:lastRenderedPageBreak/>
        <w:t>“screening”, “microscopy”, “quantitative phase imaging”, “deformability”, “photoplethysmography”, “wearable”, “pain”, “vaso-occlusive”, “organ failure”, “kidney”, “readmission”, “mortality”, “hydroxyurea”, “pharmacokinetic”, “transplant”, “genomics”, “metabolomics”, “multi-omics”, “precision medicine”, “bias”, “fairness”, “equity” and “implementation”. Representative combinations were of the form (“sickle cell disease” AND [“artificial intelligence” OR “machine learning” OR “deep learning”]) AND (diagnosis OR risk OR pain OR treatment OR transplant OR equity). Searches were iteratively narrowed by modality and clinical outcome rather than relying on one generic string.</w:t>
      </w:r>
    </w:p>
    <w:p w14:paraId="56C107D7" w14:textId="77777777" w:rsidR="00C229FA" w:rsidRPr="00A325DC" w:rsidRDefault="00000000">
      <w:pPr>
        <w:pStyle w:val="Heading2"/>
        <w:rPr>
          <w:color w:val="auto"/>
        </w:rPr>
      </w:pPr>
      <w:r w:rsidRPr="00A325DC">
        <w:rPr>
          <w:color w:val="auto"/>
        </w:rPr>
        <w:t>2.4 Eligibility Criteria</w:t>
      </w:r>
    </w:p>
    <w:p w14:paraId="4656A676" w14:textId="77777777" w:rsidR="00C229FA" w:rsidRPr="00A325DC" w:rsidRDefault="00000000">
      <w:r w:rsidRPr="00A325DC">
        <w:t>Peer-reviewed human studies, clinically relevant translational studies, high-quality reviews and methodological guidance were eligible when they directly informed AI-enabled diagnosis, phenotyping, prediction, personalised management or implementation in SCD. Studies of red-cell biophysics, genetic modifiers or metabolomics were included when they supplied physiological information that could plausibly structure or validate precision models. Studies were prioritised when the clinical population, reference standard, unit of analysis, validation approach and performance metrics were sufficiently described to permit critical appraisal. English-language publications were used because reliable verification and detailed appraisal were feasible in that language during the review. Conference abstracts, unverified records, patents, promotional material and publications without confirmable bibliographic metadata were excluded as evidentiary support. Studies of generic AI with no SCD-specific data were excluded from the substantive disease synthesis, although recognised AI reporting and fairness papers were retained to evaluate implementation quality.</w:t>
      </w:r>
    </w:p>
    <w:p w14:paraId="053CD12A" w14:textId="77777777" w:rsidR="00C229FA" w:rsidRPr="00A325DC" w:rsidRDefault="00000000">
      <w:pPr>
        <w:pStyle w:val="Heading2"/>
        <w:rPr>
          <w:color w:val="auto"/>
        </w:rPr>
      </w:pPr>
      <w:r w:rsidRPr="00A325DC">
        <w:rPr>
          <w:color w:val="auto"/>
        </w:rPr>
        <w:t>2.5 Screening, Duplicate Handling and Study Selection</w:t>
      </w:r>
    </w:p>
    <w:p w14:paraId="0930F900" w14:textId="77777777" w:rsidR="00C229FA" w:rsidRPr="00A325DC" w:rsidRDefault="00000000">
      <w:r w:rsidRPr="00A325DC">
        <w:t>Titles and abstracts were assessed for direct relevance to the review questions, followed by full-text or detailed record assessment when necessary to establish the population, model objective, reference standard, validation design and clinical interpretation. Duplicate records were identified through DOI, title and author-year matching and were consolidated so that repeated indexing of the same article did not increase evidentiary weight. Where a conference report preceded a full peer-reviewed article, the journal publication was preferred. No PRISMA-style screening counts are reported because the purpose was critical narrative synthesis rather than exhaustive systematic enumeration, and unverifiable or inaccessible records were not converted into artificial counts. Studies were selected for conceptual importance, methodological quality, representativeness, clinical relevance and their capacity to illuminate agreement, contradiction or translational limitations.</w:t>
      </w:r>
    </w:p>
    <w:p w14:paraId="36CD2614" w14:textId="77777777" w:rsidR="00C229FA" w:rsidRPr="00A325DC" w:rsidRDefault="00000000">
      <w:pPr>
        <w:pStyle w:val="Heading2"/>
        <w:rPr>
          <w:color w:val="auto"/>
        </w:rPr>
      </w:pPr>
      <w:r w:rsidRPr="00A325DC">
        <w:rPr>
          <w:color w:val="auto"/>
        </w:rPr>
        <w:t>2.6 Critical Appraisal and Evidence Synthesis</w:t>
      </w:r>
    </w:p>
    <w:p w14:paraId="773AA621" w14:textId="77777777" w:rsidR="00C229FA" w:rsidRPr="00A325DC" w:rsidRDefault="00000000">
      <w:r w:rsidRPr="00A325DC">
        <w:t>Evidence was appraised according to study design, sample size, patient representativeness, independence of training and test data, reference-standard quality, missing-data handling, class imbalance, calibration, external validation, temporal validation, interpretability, clinical actionability and the risk that an apparent predictor represented healthcare processes rather than disease physiology. For image studies, particular attention was paid to patient-level separation and dataset reuse; for EHR and wearable studies, to temporal leakage, repeated measures and outcome definition; and for high-dimensional molecular studies, to the relation between feature count and sample size. Formal risk-of-bias scores were not assigned. Themes were developed around physiological distance from the disease mechanism, clinical decision point and evidence maturity. Conflicting findings were interpreted in relation to cohort composition, measurement conditions, model design, validation strategy and healthcare context rather than being resolved by simple citation counts.</w:t>
      </w:r>
    </w:p>
    <w:p w14:paraId="20042A2A" w14:textId="77777777" w:rsidR="00C229FA" w:rsidRPr="00A325DC" w:rsidRDefault="00000000">
      <w:pPr>
        <w:pStyle w:val="Heading1"/>
        <w:rPr>
          <w:color w:val="auto"/>
        </w:rPr>
      </w:pPr>
      <w:r w:rsidRPr="00A325DC">
        <w:rPr>
          <w:color w:val="auto"/>
        </w:rPr>
        <w:lastRenderedPageBreak/>
        <w:t>3. Physiological Foundations for AI-Enabled Precision Care</w:t>
      </w:r>
    </w:p>
    <w:p w14:paraId="5AD24F91" w14:textId="77777777" w:rsidR="00C229FA" w:rsidRPr="00A325DC" w:rsidRDefault="00000000">
      <w:r w:rsidRPr="00A325DC">
        <w:t>SCD offers an unusually clear genetic starting point but an unusually complex downstream phenotype. The initiating event is HbS polymerisation under deoxygenated conditions, yet the clinical consequences depend on the kinetics of polymer formation relative to microvascular transit time, intracellular haemoglobin concentration, fetal haemoglobin (HbF), red-cell hydration, membrane integrity and repeated mechanical stress (Kato et al., 2018; Sundd et al., 2019). These variables change over time and differ between erythrocytes within the same patient. A clinically useful AI model should therefore treat SCD not as a static label but as a dynamic interaction between cell-intrinsic state, vascular environment and organ reserve.</w:t>
      </w:r>
    </w:p>
    <w:p w14:paraId="5143645D" w14:textId="77777777" w:rsidR="00C229FA" w:rsidRPr="00A325DC" w:rsidRDefault="00000000">
      <w:r w:rsidRPr="00A325DC">
        <w:t>Red-cell rheology is a particularly important bridge between molecular disease and observable data. Sickling, membrane damage and dehydration reduce deformability, while abnormal adhesion of erythrocytes and leucocytes slows microvascular transit and promotes occlusion. Dynamic red-cell analysis has shown that ML can classify cell motions associated with more or less deformable behaviour, illustrating how computer vision can be directed towards functional biophysics rather than shape alone (Darrin et al., 2023). Quantitative phase imaging similarly permits label-free estimation of cell morphology, optical properties and membrane-related features. The Sickle Erythrocyte Health Index developed from quantitative phase imaging combined sickle shape, deformation and flexibility into an experimentally responsive measure, although it remains an in-vitro construct whose relationship to patient-centred outcomes requires prospective validation (Ansong-Ansongton &amp; Adamson, 2024).</w:t>
      </w:r>
    </w:p>
    <w:p w14:paraId="216E12D6" w14:textId="77777777" w:rsidR="00C229FA" w:rsidRPr="00A325DC" w:rsidRDefault="00000000">
      <w:r w:rsidRPr="00A325DC">
        <w:t>Haemolysis creates a second mechanistic axis. Cell-free haemoglobin, nitric oxide consumption, oxidative stress and endothelial dysfunction contribute to vascular abnormalities that are partly distinct from episodic microvascular occlusion, although the two processes interact (Sundd et al., 2019). This has implications for feature engineering and interpretation. A risk model that combines haemoglobin concentration, haemolytic markers, heart rate, oxygenation and organ-function measurements may capture a different phenotype from a model dominated by pain history or healthcare utilisation. The distinction is clinically useful because the same predicted probability of an adverse outcome could arise through different physiological pathways, potentially implying different monitoring or treatment strategies.</w:t>
      </w:r>
    </w:p>
    <w:p w14:paraId="16D5676C" w14:textId="77777777" w:rsidR="00C229FA" w:rsidRPr="00A325DC" w:rsidRDefault="00000000">
      <w:r w:rsidRPr="00A325DC">
        <w:t>Inflammation and vascular signalling add further temporal complexity. Neutrophil activation, endothelial adhesion, sterile inflammatory pathways and hypoxia-reoxygenation create feedback loops that can amplify a developing vaso-occlusive event (Kato et al., 2018; Sundd et al., 2019). Metabolomic studies reinforce this systems perspective. In paired samples from patients during steady state and VOC, Dembélé et al. (2020) identified broad changes involving arginine and nitric oxide metabolism, energetic stress, hypoxia and membrane remodelling. The high apparent discrimination obtained in a small supervised metabolomic analysis should not be interpreted as a ready diagnostic test, but the result shows that a VOC is accompanied by measurable biochemical state changes that could eventually complement physiological and clinical time-series data.</w:t>
      </w:r>
    </w:p>
    <w:p w14:paraId="13ED5F3F" w14:textId="77777777" w:rsidR="00C229FA" w:rsidRPr="00A325DC" w:rsidRDefault="00000000">
      <w:r w:rsidRPr="00A325DC">
        <w:t>Genetic modifiers illustrate why “monogenic” does not mean genetically homogeneous. A large systematic review and meta-analysis found the most reproducible modifiers around HbF-regulating loci and alpha-thalassaemia, while many reported associations could not be combined because phenotypes, genotypes and statistical reporting were insufficiently harmonised (Kirkham et al., 2023). For AI, this is a caution against indiscriminate genomic feature expansion. Adding thousands of poorly replicated variants to a model can increase apparent flexibility while decreasing transportability. More defensible genomic integration would begin with validated modifiers, explicitly defined phenotypes and biologically coherent interactions with treatment exposure, age and environmental context.</w:t>
      </w:r>
    </w:p>
    <w:p w14:paraId="146BB288" w14:textId="77777777" w:rsidR="00C229FA" w:rsidRPr="00A325DC" w:rsidRDefault="00000000">
      <w:r w:rsidRPr="00A325DC">
        <w:lastRenderedPageBreak/>
        <w:t>Physiology-informed precision modelling can therefore be conceptualised in terms of distance from mechanism. Morphology provides a visible disease consequence; deformability and cell motion lie closer to microvascular function; PPG and heart-rate variability reflect vascular and autonomic physiology at the organism level; routine laboratory tests and echocardiography index anaemia and organ injury; genomics captures relatively stable inherited modifiers; and EHR utilisation variables incorporate both disease and healthcare-system behaviour. None of these data types is intrinsically superior. Their value depends on the clinical question and on whether the model can distinguish biological signal from measurement artefact, treatment effect and access-to-care effects.</w:t>
      </w:r>
    </w:p>
    <w:p w14:paraId="02ACB931" w14:textId="77777777" w:rsidR="00C229FA" w:rsidRPr="00A325DC" w:rsidRDefault="00000000">
      <w:r w:rsidRPr="00A325DC">
        <w:t>The practical implication is that multimodal models should not be built simply by accumulating variables. They should define a clinical time horizon and causal ordering. Variables measured after treatment has begun may be informative for state estimation but inappropriate for predicting untreated risk. Medication administration can improve concurrent pain-score prediction while simultaneously creating label leakage if the stated goal is to anticipate pain before clinicians recognise it. Likewise, an admission-related model may accurately predict readmission while largely reflecting discharge practices, local service availability or prior utilisation. Physiological reasoning is therefore a safeguard against technically successful but clinically circular prediction.</w:t>
      </w:r>
    </w:p>
    <w:p w14:paraId="37493F9A" w14:textId="77777777" w:rsidR="00C229FA" w:rsidRPr="00A325DC" w:rsidRDefault="00000000">
      <w:r w:rsidRPr="00A325DC">
        <w:t>The principal physiological domains and their implications for AI are summarised in Table 1. The table emphasises that each modality has a different relationship to mechanism and a different failure mode; combining them is potentially powerful only when these distinctions are preserved.</w:t>
      </w:r>
    </w:p>
    <w:p w14:paraId="1019D6A2" w14:textId="77777777" w:rsidR="00C229FA" w:rsidRPr="00A325DC" w:rsidRDefault="00000000">
      <w:pPr>
        <w:keepNext/>
        <w:spacing w:before="100" w:after="80"/>
      </w:pPr>
      <w:r w:rsidRPr="00A325DC">
        <w:rPr>
          <w:b/>
          <w:sz w:val="20"/>
        </w:rPr>
        <w:t>Table 1. Physiological processes, measurable signals and AI opportunities in sickle cell disease</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468"/>
        <w:gridCol w:w="1756"/>
        <w:gridCol w:w="1655"/>
        <w:gridCol w:w="1699"/>
        <w:gridCol w:w="1655"/>
        <w:gridCol w:w="1699"/>
      </w:tblGrid>
      <w:tr w:rsidR="00A325DC" w:rsidRPr="00A325DC" w14:paraId="31A85430" w14:textId="77777777" w:rsidTr="00A325DC">
        <w:trPr>
          <w:tblHeader/>
          <w:jc w:val="center"/>
        </w:trPr>
        <w:tc>
          <w:tcPr>
            <w:tcW w:w="1468" w:type="dxa"/>
            <w:tcMar>
              <w:top w:w="80" w:type="dxa"/>
              <w:left w:w="80" w:type="dxa"/>
              <w:bottom w:w="80" w:type="dxa"/>
              <w:right w:w="80" w:type="dxa"/>
            </w:tcMar>
            <w:vAlign w:val="center"/>
          </w:tcPr>
          <w:p w14:paraId="4A4BCD9B" w14:textId="77777777" w:rsidR="00C229FA" w:rsidRPr="00A325DC" w:rsidRDefault="00000000">
            <w:pPr>
              <w:spacing w:after="0" w:line="240" w:lineRule="auto"/>
              <w:jc w:val="left"/>
            </w:pPr>
            <w:r w:rsidRPr="00A325DC">
              <w:rPr>
                <w:b/>
                <w:sz w:val="15"/>
              </w:rPr>
              <w:t>Physiological process</w:t>
            </w:r>
          </w:p>
        </w:tc>
        <w:tc>
          <w:tcPr>
            <w:tcW w:w="1756" w:type="dxa"/>
            <w:tcMar>
              <w:top w:w="80" w:type="dxa"/>
              <w:left w:w="80" w:type="dxa"/>
              <w:bottom w:w="80" w:type="dxa"/>
              <w:right w:w="80" w:type="dxa"/>
            </w:tcMar>
            <w:vAlign w:val="center"/>
          </w:tcPr>
          <w:p w14:paraId="591B9B75" w14:textId="77777777" w:rsidR="00C229FA" w:rsidRPr="00A325DC" w:rsidRDefault="00000000">
            <w:pPr>
              <w:spacing w:after="0" w:line="240" w:lineRule="auto"/>
              <w:jc w:val="left"/>
            </w:pPr>
            <w:r w:rsidRPr="00A325DC">
              <w:rPr>
                <w:b/>
                <w:sz w:val="15"/>
              </w:rPr>
              <w:t>Representative measurable signals</w:t>
            </w:r>
          </w:p>
        </w:tc>
        <w:tc>
          <w:tcPr>
            <w:tcW w:w="1655" w:type="dxa"/>
            <w:tcMar>
              <w:top w:w="80" w:type="dxa"/>
              <w:left w:w="80" w:type="dxa"/>
              <w:bottom w:w="80" w:type="dxa"/>
              <w:right w:w="80" w:type="dxa"/>
            </w:tcMar>
            <w:vAlign w:val="center"/>
          </w:tcPr>
          <w:p w14:paraId="1327C3C7" w14:textId="77777777" w:rsidR="00C229FA" w:rsidRPr="00A325DC" w:rsidRDefault="00000000">
            <w:pPr>
              <w:spacing w:after="0" w:line="240" w:lineRule="auto"/>
              <w:jc w:val="left"/>
            </w:pPr>
            <w:r w:rsidRPr="00A325DC">
              <w:rPr>
                <w:b/>
                <w:sz w:val="15"/>
              </w:rPr>
              <w:t>Potential AI task</w:t>
            </w:r>
          </w:p>
        </w:tc>
        <w:tc>
          <w:tcPr>
            <w:tcW w:w="1699" w:type="dxa"/>
            <w:tcMar>
              <w:top w:w="80" w:type="dxa"/>
              <w:left w:w="80" w:type="dxa"/>
              <w:bottom w:w="80" w:type="dxa"/>
              <w:right w:w="80" w:type="dxa"/>
            </w:tcMar>
            <w:vAlign w:val="center"/>
          </w:tcPr>
          <w:p w14:paraId="778E6ED3" w14:textId="77777777" w:rsidR="00C229FA" w:rsidRPr="00A325DC" w:rsidRDefault="00000000">
            <w:pPr>
              <w:spacing w:after="0" w:line="240" w:lineRule="auto"/>
              <w:jc w:val="left"/>
            </w:pPr>
            <w:r w:rsidRPr="00A325DC">
              <w:rPr>
                <w:b/>
                <w:sz w:val="15"/>
              </w:rPr>
              <w:t>Potential clinical use</w:t>
            </w:r>
          </w:p>
        </w:tc>
        <w:tc>
          <w:tcPr>
            <w:tcW w:w="1655" w:type="dxa"/>
            <w:tcMar>
              <w:top w:w="80" w:type="dxa"/>
              <w:left w:w="80" w:type="dxa"/>
              <w:bottom w:w="80" w:type="dxa"/>
              <w:right w:w="80" w:type="dxa"/>
            </w:tcMar>
            <w:vAlign w:val="center"/>
          </w:tcPr>
          <w:p w14:paraId="2E3E8412" w14:textId="77777777" w:rsidR="00C229FA" w:rsidRPr="00A325DC" w:rsidRDefault="00000000">
            <w:pPr>
              <w:spacing w:after="0" w:line="240" w:lineRule="auto"/>
              <w:jc w:val="left"/>
            </w:pPr>
            <w:r w:rsidRPr="00A325DC">
              <w:rPr>
                <w:b/>
                <w:sz w:val="15"/>
              </w:rPr>
              <w:t>Key limitation</w:t>
            </w:r>
          </w:p>
        </w:tc>
        <w:tc>
          <w:tcPr>
            <w:tcW w:w="1699" w:type="dxa"/>
            <w:tcMar>
              <w:top w:w="80" w:type="dxa"/>
              <w:left w:w="80" w:type="dxa"/>
              <w:bottom w:w="80" w:type="dxa"/>
              <w:right w:w="80" w:type="dxa"/>
            </w:tcMar>
            <w:vAlign w:val="center"/>
          </w:tcPr>
          <w:p w14:paraId="2F5D8447" w14:textId="77777777" w:rsidR="00C229FA" w:rsidRPr="00A325DC" w:rsidRDefault="00000000">
            <w:pPr>
              <w:spacing w:after="0" w:line="240" w:lineRule="auto"/>
              <w:jc w:val="left"/>
            </w:pPr>
            <w:r w:rsidRPr="00A325DC">
              <w:rPr>
                <w:b/>
                <w:sz w:val="15"/>
              </w:rPr>
              <w:t>Supporting references</w:t>
            </w:r>
          </w:p>
        </w:tc>
      </w:tr>
      <w:tr w:rsidR="00A325DC" w:rsidRPr="00A325DC" w14:paraId="6FC4E6C9" w14:textId="77777777" w:rsidTr="00A325DC">
        <w:trPr>
          <w:jc w:val="center"/>
        </w:trPr>
        <w:tc>
          <w:tcPr>
            <w:tcW w:w="1468" w:type="dxa"/>
            <w:tcMar>
              <w:top w:w="80" w:type="dxa"/>
              <w:left w:w="80" w:type="dxa"/>
              <w:bottom w:w="80" w:type="dxa"/>
              <w:right w:w="80" w:type="dxa"/>
            </w:tcMar>
            <w:vAlign w:val="center"/>
          </w:tcPr>
          <w:p w14:paraId="21B2785A" w14:textId="77777777" w:rsidR="00C229FA" w:rsidRPr="00A325DC" w:rsidRDefault="00000000">
            <w:pPr>
              <w:spacing w:after="0" w:line="240" w:lineRule="auto"/>
              <w:jc w:val="left"/>
            </w:pPr>
            <w:r w:rsidRPr="00A325DC">
              <w:rPr>
                <w:sz w:val="15"/>
              </w:rPr>
              <w:t xml:space="preserve">HbS </w:t>
            </w:r>
            <w:proofErr w:type="spellStart"/>
            <w:r w:rsidRPr="00A325DC">
              <w:rPr>
                <w:sz w:val="15"/>
              </w:rPr>
              <w:t>polymerisation</w:t>
            </w:r>
            <w:proofErr w:type="spellEnd"/>
            <w:r w:rsidRPr="00A325DC">
              <w:rPr>
                <w:sz w:val="15"/>
              </w:rPr>
              <w:t xml:space="preserve"> and cellular sickling</w:t>
            </w:r>
          </w:p>
        </w:tc>
        <w:tc>
          <w:tcPr>
            <w:tcW w:w="1756" w:type="dxa"/>
            <w:tcMar>
              <w:top w:w="80" w:type="dxa"/>
              <w:left w:w="80" w:type="dxa"/>
              <w:bottom w:w="80" w:type="dxa"/>
              <w:right w:w="80" w:type="dxa"/>
            </w:tcMar>
            <w:vAlign w:val="center"/>
          </w:tcPr>
          <w:p w14:paraId="56BFD00A" w14:textId="77777777" w:rsidR="00C229FA" w:rsidRPr="00A325DC" w:rsidRDefault="00000000">
            <w:pPr>
              <w:spacing w:after="0" w:line="240" w:lineRule="auto"/>
              <w:jc w:val="left"/>
            </w:pPr>
            <w:r w:rsidRPr="00A325DC">
              <w:rPr>
                <w:sz w:val="15"/>
              </w:rPr>
              <w:t>Cell shape; haemoglobin-separation patterns; deoxygenation response</w:t>
            </w:r>
          </w:p>
        </w:tc>
        <w:tc>
          <w:tcPr>
            <w:tcW w:w="1655" w:type="dxa"/>
            <w:tcMar>
              <w:top w:w="80" w:type="dxa"/>
              <w:left w:w="80" w:type="dxa"/>
              <w:bottom w:w="80" w:type="dxa"/>
              <w:right w:w="80" w:type="dxa"/>
            </w:tcMar>
            <w:vAlign w:val="center"/>
          </w:tcPr>
          <w:p w14:paraId="179CE414" w14:textId="77777777" w:rsidR="00C229FA" w:rsidRPr="00A325DC" w:rsidRDefault="00000000">
            <w:pPr>
              <w:spacing w:after="0" w:line="240" w:lineRule="auto"/>
              <w:jc w:val="left"/>
            </w:pPr>
            <w:r w:rsidRPr="00A325DC">
              <w:rPr>
                <w:sz w:val="15"/>
              </w:rPr>
              <w:t>Image classification; automated pattern recognition</w:t>
            </w:r>
          </w:p>
        </w:tc>
        <w:tc>
          <w:tcPr>
            <w:tcW w:w="1699" w:type="dxa"/>
            <w:tcMar>
              <w:top w:w="80" w:type="dxa"/>
              <w:left w:w="80" w:type="dxa"/>
              <w:bottom w:w="80" w:type="dxa"/>
              <w:right w:w="80" w:type="dxa"/>
            </w:tcMar>
            <w:vAlign w:val="center"/>
          </w:tcPr>
          <w:p w14:paraId="78E6A1F0" w14:textId="77777777" w:rsidR="00C229FA" w:rsidRPr="00A325DC" w:rsidRDefault="00000000">
            <w:pPr>
              <w:spacing w:after="0" w:line="240" w:lineRule="auto"/>
              <w:jc w:val="left"/>
            </w:pPr>
            <w:r w:rsidRPr="00A325DC">
              <w:rPr>
                <w:sz w:val="15"/>
              </w:rPr>
              <w:t>Screening and diagnostic decision support</w:t>
            </w:r>
          </w:p>
        </w:tc>
        <w:tc>
          <w:tcPr>
            <w:tcW w:w="1655" w:type="dxa"/>
            <w:tcMar>
              <w:top w:w="80" w:type="dxa"/>
              <w:left w:w="80" w:type="dxa"/>
              <w:bottom w:w="80" w:type="dxa"/>
              <w:right w:w="80" w:type="dxa"/>
            </w:tcMar>
            <w:vAlign w:val="center"/>
          </w:tcPr>
          <w:p w14:paraId="42DF69C0" w14:textId="77777777" w:rsidR="00C229FA" w:rsidRPr="00A325DC" w:rsidRDefault="00000000">
            <w:pPr>
              <w:spacing w:after="0" w:line="240" w:lineRule="auto"/>
              <w:jc w:val="left"/>
            </w:pPr>
            <w:r w:rsidRPr="00A325DC">
              <w:rPr>
                <w:sz w:val="15"/>
              </w:rPr>
              <w:t>Visible sickling is dynamic and cannot by itself establish genotype</w:t>
            </w:r>
          </w:p>
        </w:tc>
        <w:tc>
          <w:tcPr>
            <w:tcW w:w="1699" w:type="dxa"/>
            <w:tcMar>
              <w:top w:w="80" w:type="dxa"/>
              <w:left w:w="80" w:type="dxa"/>
              <w:bottom w:w="80" w:type="dxa"/>
              <w:right w:w="80" w:type="dxa"/>
            </w:tcMar>
            <w:vAlign w:val="center"/>
          </w:tcPr>
          <w:p w14:paraId="0FE8C471" w14:textId="77777777" w:rsidR="00C229FA" w:rsidRPr="00A325DC" w:rsidRDefault="00000000">
            <w:pPr>
              <w:spacing w:after="0" w:line="240" w:lineRule="auto"/>
              <w:jc w:val="left"/>
            </w:pPr>
            <w:r w:rsidRPr="00A325DC">
              <w:rPr>
                <w:sz w:val="15"/>
              </w:rPr>
              <w:t>(de Haan et al., 2020; Petrović et al., 2020; Sani et al., 2024)</w:t>
            </w:r>
          </w:p>
        </w:tc>
      </w:tr>
      <w:tr w:rsidR="00A325DC" w:rsidRPr="00A325DC" w14:paraId="151A1E12" w14:textId="77777777" w:rsidTr="00A325DC">
        <w:trPr>
          <w:jc w:val="center"/>
        </w:trPr>
        <w:tc>
          <w:tcPr>
            <w:tcW w:w="1468" w:type="dxa"/>
            <w:tcMar>
              <w:top w:w="80" w:type="dxa"/>
              <w:left w:w="80" w:type="dxa"/>
              <w:bottom w:w="80" w:type="dxa"/>
              <w:right w:w="80" w:type="dxa"/>
            </w:tcMar>
            <w:vAlign w:val="center"/>
          </w:tcPr>
          <w:p w14:paraId="6FD68EA6" w14:textId="77777777" w:rsidR="00C229FA" w:rsidRPr="00A325DC" w:rsidRDefault="00000000">
            <w:pPr>
              <w:spacing w:after="0" w:line="240" w:lineRule="auto"/>
              <w:jc w:val="left"/>
            </w:pPr>
            <w:r w:rsidRPr="00A325DC">
              <w:rPr>
                <w:sz w:val="15"/>
              </w:rPr>
              <w:t>Red-cell rheology and membrane dysfunction</w:t>
            </w:r>
          </w:p>
        </w:tc>
        <w:tc>
          <w:tcPr>
            <w:tcW w:w="1756" w:type="dxa"/>
            <w:tcMar>
              <w:top w:w="80" w:type="dxa"/>
              <w:left w:w="80" w:type="dxa"/>
              <w:bottom w:w="80" w:type="dxa"/>
              <w:right w:w="80" w:type="dxa"/>
            </w:tcMar>
            <w:vAlign w:val="center"/>
          </w:tcPr>
          <w:p w14:paraId="152B6A39" w14:textId="77777777" w:rsidR="00C229FA" w:rsidRPr="00A325DC" w:rsidRDefault="00000000">
            <w:pPr>
              <w:spacing w:after="0" w:line="240" w:lineRule="auto"/>
              <w:jc w:val="left"/>
            </w:pPr>
            <w:r w:rsidRPr="00A325DC">
              <w:rPr>
                <w:sz w:val="15"/>
              </w:rPr>
              <w:t>Deformability; cell motion; quantitative phase features</w:t>
            </w:r>
          </w:p>
        </w:tc>
        <w:tc>
          <w:tcPr>
            <w:tcW w:w="1655" w:type="dxa"/>
            <w:tcMar>
              <w:top w:w="80" w:type="dxa"/>
              <w:left w:w="80" w:type="dxa"/>
              <w:bottom w:w="80" w:type="dxa"/>
              <w:right w:w="80" w:type="dxa"/>
            </w:tcMar>
            <w:vAlign w:val="center"/>
          </w:tcPr>
          <w:p w14:paraId="3D96C02F" w14:textId="77777777" w:rsidR="00C229FA" w:rsidRPr="00A325DC" w:rsidRDefault="00000000">
            <w:pPr>
              <w:spacing w:after="0" w:line="240" w:lineRule="auto"/>
              <w:jc w:val="left"/>
            </w:pPr>
            <w:r w:rsidRPr="00A325DC">
              <w:rPr>
                <w:sz w:val="15"/>
              </w:rPr>
              <w:t>Sequence classification; composite biophysical phenotyping</w:t>
            </w:r>
          </w:p>
        </w:tc>
        <w:tc>
          <w:tcPr>
            <w:tcW w:w="1699" w:type="dxa"/>
            <w:tcMar>
              <w:top w:w="80" w:type="dxa"/>
              <w:left w:w="80" w:type="dxa"/>
              <w:bottom w:w="80" w:type="dxa"/>
              <w:right w:w="80" w:type="dxa"/>
            </w:tcMar>
            <w:vAlign w:val="center"/>
          </w:tcPr>
          <w:p w14:paraId="5B579CBF" w14:textId="77777777" w:rsidR="00C229FA" w:rsidRPr="00A325DC" w:rsidRDefault="00000000">
            <w:pPr>
              <w:spacing w:after="0" w:line="240" w:lineRule="auto"/>
              <w:jc w:val="left"/>
            </w:pPr>
            <w:r w:rsidRPr="00A325DC">
              <w:rPr>
                <w:sz w:val="15"/>
              </w:rPr>
              <w:t>Functional phenotyping and treatment-response research</w:t>
            </w:r>
          </w:p>
        </w:tc>
        <w:tc>
          <w:tcPr>
            <w:tcW w:w="1655" w:type="dxa"/>
            <w:tcMar>
              <w:top w:w="80" w:type="dxa"/>
              <w:left w:w="80" w:type="dxa"/>
              <w:bottom w:w="80" w:type="dxa"/>
              <w:right w:w="80" w:type="dxa"/>
            </w:tcMar>
            <w:vAlign w:val="center"/>
          </w:tcPr>
          <w:p w14:paraId="4B2524C7" w14:textId="77777777" w:rsidR="00C229FA" w:rsidRPr="00A325DC" w:rsidRDefault="00000000">
            <w:pPr>
              <w:spacing w:after="0" w:line="240" w:lineRule="auto"/>
              <w:jc w:val="left"/>
            </w:pPr>
            <w:r w:rsidRPr="00A325DC">
              <w:rPr>
                <w:sz w:val="15"/>
              </w:rPr>
              <w:t>Clinical thresholds and outcome validity remain unestablished</w:t>
            </w:r>
          </w:p>
        </w:tc>
        <w:tc>
          <w:tcPr>
            <w:tcW w:w="1699" w:type="dxa"/>
            <w:tcMar>
              <w:top w:w="80" w:type="dxa"/>
              <w:left w:w="80" w:type="dxa"/>
              <w:bottom w:w="80" w:type="dxa"/>
              <w:right w:w="80" w:type="dxa"/>
            </w:tcMar>
            <w:vAlign w:val="center"/>
          </w:tcPr>
          <w:p w14:paraId="6B00B484" w14:textId="77777777" w:rsidR="00C229FA" w:rsidRPr="00A325DC" w:rsidRDefault="00000000">
            <w:pPr>
              <w:spacing w:after="0" w:line="240" w:lineRule="auto"/>
              <w:jc w:val="left"/>
            </w:pPr>
            <w:r w:rsidRPr="00A325DC">
              <w:rPr>
                <w:sz w:val="15"/>
              </w:rPr>
              <w:t>(Ansong-Ansongton &amp; Adamson, 2024; Darrin et al., 2023)</w:t>
            </w:r>
          </w:p>
        </w:tc>
      </w:tr>
      <w:tr w:rsidR="00A325DC" w:rsidRPr="00A325DC" w14:paraId="71DAA164" w14:textId="77777777" w:rsidTr="00A325DC">
        <w:trPr>
          <w:jc w:val="center"/>
        </w:trPr>
        <w:tc>
          <w:tcPr>
            <w:tcW w:w="1468" w:type="dxa"/>
            <w:tcMar>
              <w:top w:w="80" w:type="dxa"/>
              <w:left w:w="80" w:type="dxa"/>
              <w:bottom w:w="80" w:type="dxa"/>
              <w:right w:w="80" w:type="dxa"/>
            </w:tcMar>
            <w:vAlign w:val="center"/>
          </w:tcPr>
          <w:p w14:paraId="26006498" w14:textId="77777777" w:rsidR="00C229FA" w:rsidRPr="00A325DC" w:rsidRDefault="00000000">
            <w:pPr>
              <w:spacing w:after="0" w:line="240" w:lineRule="auto"/>
              <w:jc w:val="left"/>
            </w:pPr>
            <w:r w:rsidRPr="00A325DC">
              <w:rPr>
                <w:sz w:val="15"/>
              </w:rPr>
              <w:t>Vascular tone and autonomic physiology</w:t>
            </w:r>
          </w:p>
        </w:tc>
        <w:tc>
          <w:tcPr>
            <w:tcW w:w="1756" w:type="dxa"/>
            <w:tcMar>
              <w:top w:w="80" w:type="dxa"/>
              <w:left w:w="80" w:type="dxa"/>
              <w:bottom w:w="80" w:type="dxa"/>
              <w:right w:w="80" w:type="dxa"/>
            </w:tcMar>
            <w:vAlign w:val="center"/>
          </w:tcPr>
          <w:p w14:paraId="781FDCB4" w14:textId="77777777" w:rsidR="00C229FA" w:rsidRPr="00A325DC" w:rsidRDefault="00000000">
            <w:pPr>
              <w:spacing w:after="0" w:line="240" w:lineRule="auto"/>
              <w:jc w:val="left"/>
            </w:pPr>
            <w:r w:rsidRPr="00A325DC">
              <w:rPr>
                <w:sz w:val="15"/>
              </w:rPr>
              <w:t>PPG morphology; heart rate; heart-rate variability; activity</w:t>
            </w:r>
          </w:p>
        </w:tc>
        <w:tc>
          <w:tcPr>
            <w:tcW w:w="1655" w:type="dxa"/>
            <w:tcMar>
              <w:top w:w="80" w:type="dxa"/>
              <w:left w:w="80" w:type="dxa"/>
              <w:bottom w:w="80" w:type="dxa"/>
              <w:right w:w="80" w:type="dxa"/>
            </w:tcMar>
            <w:vAlign w:val="center"/>
          </w:tcPr>
          <w:p w14:paraId="7962DC26" w14:textId="77777777" w:rsidR="00C229FA" w:rsidRPr="00A325DC" w:rsidRDefault="00000000">
            <w:pPr>
              <w:spacing w:after="0" w:line="240" w:lineRule="auto"/>
              <w:jc w:val="left"/>
            </w:pPr>
            <w:r w:rsidRPr="00A325DC">
              <w:rPr>
                <w:sz w:val="15"/>
              </w:rPr>
              <w:t>Time-series risk modelling</w:t>
            </w:r>
          </w:p>
        </w:tc>
        <w:tc>
          <w:tcPr>
            <w:tcW w:w="1699" w:type="dxa"/>
            <w:tcMar>
              <w:top w:w="80" w:type="dxa"/>
              <w:left w:w="80" w:type="dxa"/>
              <w:bottom w:w="80" w:type="dxa"/>
              <w:right w:w="80" w:type="dxa"/>
            </w:tcMar>
            <w:vAlign w:val="center"/>
          </w:tcPr>
          <w:p w14:paraId="60A49A42" w14:textId="77777777" w:rsidR="00C229FA" w:rsidRPr="00A325DC" w:rsidRDefault="00000000">
            <w:pPr>
              <w:spacing w:after="0" w:line="240" w:lineRule="auto"/>
              <w:jc w:val="left"/>
            </w:pPr>
            <w:r w:rsidRPr="00A325DC">
              <w:rPr>
                <w:sz w:val="15"/>
              </w:rPr>
              <w:t>Pain-state estimation and prospective VOC-risk research</w:t>
            </w:r>
          </w:p>
        </w:tc>
        <w:tc>
          <w:tcPr>
            <w:tcW w:w="1655" w:type="dxa"/>
            <w:tcMar>
              <w:top w:w="80" w:type="dxa"/>
              <w:left w:w="80" w:type="dxa"/>
              <w:bottom w:w="80" w:type="dxa"/>
              <w:right w:w="80" w:type="dxa"/>
            </w:tcMar>
            <w:vAlign w:val="center"/>
          </w:tcPr>
          <w:p w14:paraId="25BECAF1" w14:textId="77777777" w:rsidR="00C229FA" w:rsidRPr="00A325DC" w:rsidRDefault="00000000">
            <w:pPr>
              <w:spacing w:after="0" w:line="240" w:lineRule="auto"/>
              <w:jc w:val="left"/>
            </w:pPr>
            <w:r w:rsidRPr="00A325DC">
              <w:rPr>
                <w:sz w:val="15"/>
              </w:rPr>
              <w:t>Small cohorts, missingness and sensor-domain effects</w:t>
            </w:r>
          </w:p>
        </w:tc>
        <w:tc>
          <w:tcPr>
            <w:tcW w:w="1699" w:type="dxa"/>
            <w:tcMar>
              <w:top w:w="80" w:type="dxa"/>
              <w:left w:w="80" w:type="dxa"/>
              <w:bottom w:w="80" w:type="dxa"/>
              <w:right w:w="80" w:type="dxa"/>
            </w:tcMar>
            <w:vAlign w:val="center"/>
          </w:tcPr>
          <w:p w14:paraId="237C47C9" w14:textId="77777777" w:rsidR="00C229FA" w:rsidRPr="00A325DC" w:rsidRDefault="00000000">
            <w:pPr>
              <w:spacing w:after="0" w:line="240" w:lineRule="auto"/>
              <w:jc w:val="left"/>
            </w:pPr>
            <w:r w:rsidRPr="00A325DC">
              <w:rPr>
                <w:sz w:val="15"/>
              </w:rPr>
              <w:t>(Ji et al., 2021; Stojancic et al., 2023; Vuong et al., 2023)</w:t>
            </w:r>
          </w:p>
        </w:tc>
      </w:tr>
      <w:tr w:rsidR="00A325DC" w:rsidRPr="00A325DC" w14:paraId="1495C703" w14:textId="77777777" w:rsidTr="00A325DC">
        <w:trPr>
          <w:jc w:val="center"/>
        </w:trPr>
        <w:tc>
          <w:tcPr>
            <w:tcW w:w="1468" w:type="dxa"/>
            <w:tcMar>
              <w:top w:w="80" w:type="dxa"/>
              <w:left w:w="80" w:type="dxa"/>
              <w:bottom w:w="80" w:type="dxa"/>
              <w:right w:w="80" w:type="dxa"/>
            </w:tcMar>
            <w:vAlign w:val="center"/>
          </w:tcPr>
          <w:p w14:paraId="6B6E5C15" w14:textId="77777777" w:rsidR="00C229FA" w:rsidRPr="00A325DC" w:rsidRDefault="00000000">
            <w:pPr>
              <w:spacing w:after="0" w:line="240" w:lineRule="auto"/>
              <w:jc w:val="left"/>
            </w:pPr>
            <w:proofErr w:type="spellStart"/>
            <w:r w:rsidRPr="00A325DC">
              <w:rPr>
                <w:sz w:val="15"/>
              </w:rPr>
              <w:t>Haemolysis</w:t>
            </w:r>
            <w:proofErr w:type="spellEnd"/>
            <w:r w:rsidRPr="00A325DC">
              <w:rPr>
                <w:sz w:val="15"/>
              </w:rPr>
              <w:t>, inflammation and organ injury</w:t>
            </w:r>
          </w:p>
        </w:tc>
        <w:tc>
          <w:tcPr>
            <w:tcW w:w="1756" w:type="dxa"/>
            <w:tcMar>
              <w:top w:w="80" w:type="dxa"/>
              <w:left w:w="80" w:type="dxa"/>
              <w:bottom w:w="80" w:type="dxa"/>
              <w:right w:w="80" w:type="dxa"/>
            </w:tcMar>
            <w:vAlign w:val="center"/>
          </w:tcPr>
          <w:p w14:paraId="03CF7B0F" w14:textId="77777777" w:rsidR="00C229FA" w:rsidRPr="00A325DC" w:rsidRDefault="00000000">
            <w:pPr>
              <w:spacing w:after="0" w:line="240" w:lineRule="auto"/>
              <w:jc w:val="left"/>
            </w:pPr>
            <w:r w:rsidRPr="00A325DC">
              <w:rPr>
                <w:sz w:val="15"/>
              </w:rPr>
              <w:t>Haemoglobin; renal, hepatic and cardiopulmonary variables; vital signs</w:t>
            </w:r>
          </w:p>
        </w:tc>
        <w:tc>
          <w:tcPr>
            <w:tcW w:w="1655" w:type="dxa"/>
            <w:tcMar>
              <w:top w:w="80" w:type="dxa"/>
              <w:left w:w="80" w:type="dxa"/>
              <w:bottom w:w="80" w:type="dxa"/>
              <w:right w:w="80" w:type="dxa"/>
            </w:tcMar>
            <w:vAlign w:val="center"/>
          </w:tcPr>
          <w:p w14:paraId="49B09171" w14:textId="77777777" w:rsidR="00C229FA" w:rsidRPr="00A325DC" w:rsidRDefault="00000000">
            <w:pPr>
              <w:spacing w:after="0" w:line="240" w:lineRule="auto"/>
              <w:jc w:val="left"/>
            </w:pPr>
            <w:r w:rsidRPr="00A325DC">
              <w:rPr>
                <w:sz w:val="15"/>
              </w:rPr>
              <w:t>Risk stratification; survival modelling</w:t>
            </w:r>
          </w:p>
        </w:tc>
        <w:tc>
          <w:tcPr>
            <w:tcW w:w="1699" w:type="dxa"/>
            <w:tcMar>
              <w:top w:w="80" w:type="dxa"/>
              <w:left w:w="80" w:type="dxa"/>
              <w:bottom w:w="80" w:type="dxa"/>
              <w:right w:w="80" w:type="dxa"/>
            </w:tcMar>
            <w:vAlign w:val="center"/>
          </w:tcPr>
          <w:p w14:paraId="15C86F39" w14:textId="77777777" w:rsidR="00C229FA" w:rsidRPr="00A325DC" w:rsidRDefault="00000000">
            <w:pPr>
              <w:spacing w:after="0" w:line="240" w:lineRule="auto"/>
              <w:jc w:val="left"/>
            </w:pPr>
            <w:r w:rsidRPr="00A325DC">
              <w:rPr>
                <w:sz w:val="15"/>
              </w:rPr>
              <w:t>Detection of physiological deterioration and long-term risk</w:t>
            </w:r>
          </w:p>
        </w:tc>
        <w:tc>
          <w:tcPr>
            <w:tcW w:w="1655" w:type="dxa"/>
            <w:tcMar>
              <w:top w:w="80" w:type="dxa"/>
              <w:left w:w="80" w:type="dxa"/>
              <w:bottom w:w="80" w:type="dxa"/>
              <w:right w:w="80" w:type="dxa"/>
            </w:tcMar>
            <w:vAlign w:val="center"/>
          </w:tcPr>
          <w:p w14:paraId="455FA903" w14:textId="77777777" w:rsidR="00C229FA" w:rsidRPr="00A325DC" w:rsidRDefault="00000000">
            <w:pPr>
              <w:spacing w:after="0" w:line="240" w:lineRule="auto"/>
              <w:jc w:val="left"/>
            </w:pPr>
            <w:r w:rsidRPr="00A325DC">
              <w:rPr>
                <w:sz w:val="15"/>
              </w:rPr>
              <w:t>Markers are affected by treatment, comorbidity and care context</w:t>
            </w:r>
          </w:p>
        </w:tc>
        <w:tc>
          <w:tcPr>
            <w:tcW w:w="1699" w:type="dxa"/>
            <w:tcMar>
              <w:top w:w="80" w:type="dxa"/>
              <w:left w:w="80" w:type="dxa"/>
              <w:bottom w:w="80" w:type="dxa"/>
              <w:right w:w="80" w:type="dxa"/>
            </w:tcMar>
            <w:vAlign w:val="center"/>
          </w:tcPr>
          <w:p w14:paraId="01E3A0A0" w14:textId="77777777" w:rsidR="00C229FA" w:rsidRPr="00A325DC" w:rsidRDefault="00000000">
            <w:pPr>
              <w:spacing w:after="0" w:line="240" w:lineRule="auto"/>
              <w:jc w:val="left"/>
            </w:pPr>
            <w:r w:rsidRPr="00A325DC">
              <w:rPr>
                <w:sz w:val="15"/>
              </w:rPr>
              <w:t>(Mohammed et al., 2020; Sachdev et al., 2021; Sundd et al., 2019)</w:t>
            </w:r>
          </w:p>
        </w:tc>
      </w:tr>
      <w:tr w:rsidR="00A325DC" w:rsidRPr="00A325DC" w14:paraId="40EB5C15" w14:textId="77777777" w:rsidTr="00A325DC">
        <w:trPr>
          <w:jc w:val="center"/>
        </w:trPr>
        <w:tc>
          <w:tcPr>
            <w:tcW w:w="1468" w:type="dxa"/>
            <w:tcMar>
              <w:top w:w="80" w:type="dxa"/>
              <w:left w:w="80" w:type="dxa"/>
              <w:bottom w:w="80" w:type="dxa"/>
              <w:right w:w="80" w:type="dxa"/>
            </w:tcMar>
            <w:vAlign w:val="center"/>
          </w:tcPr>
          <w:p w14:paraId="51006A00" w14:textId="77777777" w:rsidR="00C229FA" w:rsidRPr="00A325DC" w:rsidRDefault="00000000">
            <w:pPr>
              <w:spacing w:after="0" w:line="240" w:lineRule="auto"/>
              <w:jc w:val="left"/>
            </w:pPr>
            <w:r w:rsidRPr="00A325DC">
              <w:rPr>
                <w:sz w:val="15"/>
              </w:rPr>
              <w:t>Metabolic state</w:t>
            </w:r>
          </w:p>
        </w:tc>
        <w:tc>
          <w:tcPr>
            <w:tcW w:w="1756" w:type="dxa"/>
            <w:tcMar>
              <w:top w:w="80" w:type="dxa"/>
              <w:left w:w="80" w:type="dxa"/>
              <w:bottom w:w="80" w:type="dxa"/>
              <w:right w:w="80" w:type="dxa"/>
            </w:tcMar>
            <w:vAlign w:val="center"/>
          </w:tcPr>
          <w:p w14:paraId="17EF5D6A" w14:textId="77777777" w:rsidR="00C229FA" w:rsidRPr="00A325DC" w:rsidRDefault="00000000">
            <w:pPr>
              <w:spacing w:after="0" w:line="240" w:lineRule="auto"/>
              <w:jc w:val="left"/>
            </w:pPr>
            <w:r w:rsidRPr="00A325DC">
              <w:rPr>
                <w:sz w:val="15"/>
              </w:rPr>
              <w:t>Plasma and erythrocyte metabolite profiles</w:t>
            </w:r>
          </w:p>
        </w:tc>
        <w:tc>
          <w:tcPr>
            <w:tcW w:w="1655" w:type="dxa"/>
            <w:tcMar>
              <w:top w:w="80" w:type="dxa"/>
              <w:left w:w="80" w:type="dxa"/>
              <w:bottom w:w="80" w:type="dxa"/>
              <w:right w:w="80" w:type="dxa"/>
            </w:tcMar>
            <w:vAlign w:val="center"/>
          </w:tcPr>
          <w:p w14:paraId="54DF760F" w14:textId="77777777" w:rsidR="00C229FA" w:rsidRPr="00A325DC" w:rsidRDefault="00000000">
            <w:pPr>
              <w:spacing w:after="0" w:line="240" w:lineRule="auto"/>
              <w:jc w:val="left"/>
            </w:pPr>
            <w:r w:rsidRPr="00A325DC">
              <w:rPr>
                <w:sz w:val="15"/>
              </w:rPr>
              <w:t>Multivariate classification; biomarker discovery</w:t>
            </w:r>
          </w:p>
        </w:tc>
        <w:tc>
          <w:tcPr>
            <w:tcW w:w="1699" w:type="dxa"/>
            <w:tcMar>
              <w:top w:w="80" w:type="dxa"/>
              <w:left w:w="80" w:type="dxa"/>
              <w:bottom w:w="80" w:type="dxa"/>
              <w:right w:w="80" w:type="dxa"/>
            </w:tcMar>
            <w:vAlign w:val="center"/>
          </w:tcPr>
          <w:p w14:paraId="1BC11364" w14:textId="77777777" w:rsidR="00C229FA" w:rsidRPr="00A325DC" w:rsidRDefault="00000000">
            <w:pPr>
              <w:spacing w:after="0" w:line="240" w:lineRule="auto"/>
              <w:jc w:val="left"/>
            </w:pPr>
            <w:r w:rsidRPr="00A325DC">
              <w:rPr>
                <w:sz w:val="15"/>
              </w:rPr>
              <w:t>Mechanistic phenotyping of steady state versus VOC</w:t>
            </w:r>
          </w:p>
        </w:tc>
        <w:tc>
          <w:tcPr>
            <w:tcW w:w="1655" w:type="dxa"/>
            <w:tcMar>
              <w:top w:w="80" w:type="dxa"/>
              <w:left w:w="80" w:type="dxa"/>
              <w:bottom w:w="80" w:type="dxa"/>
              <w:right w:w="80" w:type="dxa"/>
            </w:tcMar>
            <w:vAlign w:val="center"/>
          </w:tcPr>
          <w:p w14:paraId="5911930E" w14:textId="77777777" w:rsidR="00C229FA" w:rsidRPr="00A325DC" w:rsidRDefault="00000000">
            <w:pPr>
              <w:spacing w:after="0" w:line="240" w:lineRule="auto"/>
              <w:jc w:val="left"/>
            </w:pPr>
            <w:r w:rsidRPr="00A325DC">
              <w:rPr>
                <w:sz w:val="15"/>
              </w:rPr>
              <w:t>High-dimensional small-sample overfitting risk</w:t>
            </w:r>
          </w:p>
        </w:tc>
        <w:tc>
          <w:tcPr>
            <w:tcW w:w="1699" w:type="dxa"/>
            <w:tcMar>
              <w:top w:w="80" w:type="dxa"/>
              <w:left w:w="80" w:type="dxa"/>
              <w:bottom w:w="80" w:type="dxa"/>
              <w:right w:w="80" w:type="dxa"/>
            </w:tcMar>
            <w:vAlign w:val="center"/>
          </w:tcPr>
          <w:p w14:paraId="124374FA" w14:textId="77777777" w:rsidR="00C229FA" w:rsidRPr="00A325DC" w:rsidRDefault="00000000">
            <w:pPr>
              <w:spacing w:after="0" w:line="240" w:lineRule="auto"/>
              <w:jc w:val="left"/>
            </w:pPr>
            <w:r w:rsidRPr="00A325DC">
              <w:rPr>
                <w:sz w:val="15"/>
              </w:rPr>
              <w:t>(Dembélé et al., 2020)</w:t>
            </w:r>
          </w:p>
        </w:tc>
      </w:tr>
      <w:tr w:rsidR="00A325DC" w:rsidRPr="00A325DC" w14:paraId="0FAB577F" w14:textId="77777777" w:rsidTr="00A325DC">
        <w:trPr>
          <w:jc w:val="center"/>
        </w:trPr>
        <w:tc>
          <w:tcPr>
            <w:tcW w:w="1468" w:type="dxa"/>
            <w:tcMar>
              <w:top w:w="80" w:type="dxa"/>
              <w:left w:w="80" w:type="dxa"/>
              <w:bottom w:w="80" w:type="dxa"/>
              <w:right w:w="80" w:type="dxa"/>
            </w:tcMar>
            <w:vAlign w:val="center"/>
          </w:tcPr>
          <w:p w14:paraId="2038737D" w14:textId="77777777" w:rsidR="00C229FA" w:rsidRPr="00A325DC" w:rsidRDefault="00000000">
            <w:pPr>
              <w:spacing w:after="0" w:line="240" w:lineRule="auto"/>
              <w:jc w:val="left"/>
            </w:pPr>
            <w:r w:rsidRPr="00A325DC">
              <w:rPr>
                <w:sz w:val="15"/>
              </w:rPr>
              <w:t>Inherited modifiers</w:t>
            </w:r>
          </w:p>
        </w:tc>
        <w:tc>
          <w:tcPr>
            <w:tcW w:w="1756" w:type="dxa"/>
            <w:tcMar>
              <w:top w:w="80" w:type="dxa"/>
              <w:left w:w="80" w:type="dxa"/>
              <w:bottom w:w="80" w:type="dxa"/>
              <w:right w:w="80" w:type="dxa"/>
            </w:tcMar>
            <w:vAlign w:val="center"/>
          </w:tcPr>
          <w:p w14:paraId="30B33E6E" w14:textId="77777777" w:rsidR="00C229FA" w:rsidRPr="00A325DC" w:rsidRDefault="00000000">
            <w:pPr>
              <w:spacing w:after="0" w:line="240" w:lineRule="auto"/>
              <w:jc w:val="left"/>
            </w:pPr>
            <w:r w:rsidRPr="00A325DC">
              <w:rPr>
                <w:sz w:val="15"/>
              </w:rPr>
              <w:t>HbF-associated loci; alpha-thalassaemia; validated modifier variants</w:t>
            </w:r>
          </w:p>
        </w:tc>
        <w:tc>
          <w:tcPr>
            <w:tcW w:w="1655" w:type="dxa"/>
            <w:tcMar>
              <w:top w:w="80" w:type="dxa"/>
              <w:left w:w="80" w:type="dxa"/>
              <w:bottom w:w="80" w:type="dxa"/>
              <w:right w:w="80" w:type="dxa"/>
            </w:tcMar>
            <w:vAlign w:val="center"/>
          </w:tcPr>
          <w:p w14:paraId="676EC864" w14:textId="77777777" w:rsidR="00C229FA" w:rsidRPr="00A325DC" w:rsidRDefault="00000000">
            <w:pPr>
              <w:spacing w:after="0" w:line="240" w:lineRule="auto"/>
              <w:jc w:val="left"/>
            </w:pPr>
            <w:r w:rsidRPr="00A325DC">
              <w:rPr>
                <w:sz w:val="15"/>
              </w:rPr>
              <w:t>Risk modelling; treatment-response stratification</w:t>
            </w:r>
          </w:p>
        </w:tc>
        <w:tc>
          <w:tcPr>
            <w:tcW w:w="1699" w:type="dxa"/>
            <w:tcMar>
              <w:top w:w="80" w:type="dxa"/>
              <w:left w:w="80" w:type="dxa"/>
              <w:bottom w:w="80" w:type="dxa"/>
              <w:right w:w="80" w:type="dxa"/>
            </w:tcMar>
            <w:vAlign w:val="center"/>
          </w:tcPr>
          <w:p w14:paraId="200A9AA4" w14:textId="77777777" w:rsidR="00C229FA" w:rsidRPr="00A325DC" w:rsidRDefault="00000000">
            <w:pPr>
              <w:spacing w:after="0" w:line="240" w:lineRule="auto"/>
              <w:jc w:val="left"/>
            </w:pPr>
            <w:r w:rsidRPr="00A325DC">
              <w:rPr>
                <w:sz w:val="15"/>
              </w:rPr>
              <w:t>Long-term prognosis and biological stratification</w:t>
            </w:r>
          </w:p>
        </w:tc>
        <w:tc>
          <w:tcPr>
            <w:tcW w:w="1655" w:type="dxa"/>
            <w:tcMar>
              <w:top w:w="80" w:type="dxa"/>
              <w:left w:w="80" w:type="dxa"/>
              <w:bottom w:w="80" w:type="dxa"/>
              <w:right w:w="80" w:type="dxa"/>
            </w:tcMar>
            <w:vAlign w:val="center"/>
          </w:tcPr>
          <w:p w14:paraId="51DB5826" w14:textId="77777777" w:rsidR="00C229FA" w:rsidRPr="00A325DC" w:rsidRDefault="00000000">
            <w:pPr>
              <w:spacing w:after="0" w:line="240" w:lineRule="auto"/>
              <w:jc w:val="left"/>
            </w:pPr>
            <w:r w:rsidRPr="00A325DC">
              <w:rPr>
                <w:sz w:val="15"/>
              </w:rPr>
              <w:t>Phenotype harmonisation and replication remain incomplete</w:t>
            </w:r>
          </w:p>
        </w:tc>
        <w:tc>
          <w:tcPr>
            <w:tcW w:w="1699" w:type="dxa"/>
            <w:tcMar>
              <w:top w:w="80" w:type="dxa"/>
              <w:left w:w="80" w:type="dxa"/>
              <w:bottom w:w="80" w:type="dxa"/>
              <w:right w:w="80" w:type="dxa"/>
            </w:tcMar>
            <w:vAlign w:val="center"/>
          </w:tcPr>
          <w:p w14:paraId="66D18A16" w14:textId="77777777" w:rsidR="00C229FA" w:rsidRPr="00A325DC" w:rsidRDefault="00000000">
            <w:pPr>
              <w:spacing w:after="0" w:line="240" w:lineRule="auto"/>
              <w:jc w:val="left"/>
            </w:pPr>
            <w:r w:rsidRPr="00A325DC">
              <w:rPr>
                <w:sz w:val="15"/>
              </w:rPr>
              <w:t>(Kirkham et al., 2023)</w:t>
            </w:r>
          </w:p>
        </w:tc>
      </w:tr>
      <w:tr w:rsidR="00A325DC" w:rsidRPr="00A325DC" w14:paraId="4D73F9CE" w14:textId="77777777" w:rsidTr="00A325DC">
        <w:trPr>
          <w:jc w:val="center"/>
        </w:trPr>
        <w:tc>
          <w:tcPr>
            <w:tcW w:w="1468" w:type="dxa"/>
            <w:tcMar>
              <w:top w:w="80" w:type="dxa"/>
              <w:left w:w="80" w:type="dxa"/>
              <w:bottom w:w="80" w:type="dxa"/>
              <w:right w:w="80" w:type="dxa"/>
            </w:tcMar>
            <w:vAlign w:val="center"/>
          </w:tcPr>
          <w:p w14:paraId="3B484D06" w14:textId="77777777" w:rsidR="00C229FA" w:rsidRPr="00A325DC" w:rsidRDefault="00000000">
            <w:pPr>
              <w:spacing w:after="0" w:line="240" w:lineRule="auto"/>
              <w:jc w:val="left"/>
            </w:pPr>
            <w:r w:rsidRPr="00A325DC">
              <w:rPr>
                <w:sz w:val="15"/>
              </w:rPr>
              <w:t>Healthcare trajectory</w:t>
            </w:r>
          </w:p>
        </w:tc>
        <w:tc>
          <w:tcPr>
            <w:tcW w:w="1756" w:type="dxa"/>
            <w:tcMar>
              <w:top w:w="80" w:type="dxa"/>
              <w:left w:w="80" w:type="dxa"/>
              <w:bottom w:w="80" w:type="dxa"/>
              <w:right w:w="80" w:type="dxa"/>
            </w:tcMar>
            <w:vAlign w:val="center"/>
          </w:tcPr>
          <w:p w14:paraId="5FBFA742" w14:textId="77777777" w:rsidR="00C229FA" w:rsidRPr="00A325DC" w:rsidRDefault="00000000">
            <w:pPr>
              <w:spacing w:after="0" w:line="240" w:lineRule="auto"/>
              <w:jc w:val="left"/>
            </w:pPr>
            <w:r w:rsidRPr="00A325DC">
              <w:rPr>
                <w:sz w:val="15"/>
              </w:rPr>
              <w:t>Admissions; medications; diagnoses; prior utilisation</w:t>
            </w:r>
          </w:p>
        </w:tc>
        <w:tc>
          <w:tcPr>
            <w:tcW w:w="1655" w:type="dxa"/>
            <w:tcMar>
              <w:top w:w="80" w:type="dxa"/>
              <w:left w:w="80" w:type="dxa"/>
              <w:bottom w:w="80" w:type="dxa"/>
              <w:right w:w="80" w:type="dxa"/>
            </w:tcMar>
            <w:vAlign w:val="center"/>
          </w:tcPr>
          <w:p w14:paraId="56808523" w14:textId="77777777" w:rsidR="00C229FA" w:rsidRPr="00A325DC" w:rsidRDefault="00000000">
            <w:pPr>
              <w:spacing w:after="0" w:line="240" w:lineRule="auto"/>
              <w:jc w:val="left"/>
            </w:pPr>
            <w:r w:rsidRPr="00A325DC">
              <w:rPr>
                <w:sz w:val="15"/>
              </w:rPr>
              <w:t>Readmission and outcome prediction</w:t>
            </w:r>
          </w:p>
        </w:tc>
        <w:tc>
          <w:tcPr>
            <w:tcW w:w="1699" w:type="dxa"/>
            <w:tcMar>
              <w:top w:w="80" w:type="dxa"/>
              <w:left w:w="80" w:type="dxa"/>
              <w:bottom w:w="80" w:type="dxa"/>
              <w:right w:w="80" w:type="dxa"/>
            </w:tcMar>
            <w:vAlign w:val="center"/>
          </w:tcPr>
          <w:p w14:paraId="1B807AB7" w14:textId="77777777" w:rsidR="00C229FA" w:rsidRPr="00A325DC" w:rsidRDefault="00000000">
            <w:pPr>
              <w:spacing w:after="0" w:line="240" w:lineRule="auto"/>
              <w:jc w:val="left"/>
            </w:pPr>
            <w:r w:rsidRPr="00A325DC">
              <w:rPr>
                <w:sz w:val="15"/>
              </w:rPr>
              <w:t>Resource planning and follow-up targeting</w:t>
            </w:r>
          </w:p>
        </w:tc>
        <w:tc>
          <w:tcPr>
            <w:tcW w:w="1655" w:type="dxa"/>
            <w:tcMar>
              <w:top w:w="80" w:type="dxa"/>
              <w:left w:w="80" w:type="dxa"/>
              <w:bottom w:w="80" w:type="dxa"/>
              <w:right w:w="80" w:type="dxa"/>
            </w:tcMar>
            <w:vAlign w:val="center"/>
          </w:tcPr>
          <w:p w14:paraId="2AF080A5" w14:textId="77777777" w:rsidR="00C229FA" w:rsidRPr="00A325DC" w:rsidRDefault="00000000">
            <w:pPr>
              <w:spacing w:after="0" w:line="240" w:lineRule="auto"/>
              <w:jc w:val="left"/>
            </w:pPr>
            <w:r w:rsidRPr="00A325DC">
              <w:rPr>
                <w:sz w:val="15"/>
              </w:rPr>
              <w:t>May encode local access, practice and structural inequity</w:t>
            </w:r>
          </w:p>
        </w:tc>
        <w:tc>
          <w:tcPr>
            <w:tcW w:w="1699" w:type="dxa"/>
            <w:tcMar>
              <w:top w:w="80" w:type="dxa"/>
              <w:left w:w="80" w:type="dxa"/>
              <w:bottom w:w="80" w:type="dxa"/>
              <w:right w:w="80" w:type="dxa"/>
            </w:tcMar>
            <w:vAlign w:val="center"/>
          </w:tcPr>
          <w:p w14:paraId="6783FC53" w14:textId="77777777" w:rsidR="00C229FA" w:rsidRPr="00A325DC" w:rsidRDefault="00000000">
            <w:pPr>
              <w:spacing w:after="0" w:line="240" w:lineRule="auto"/>
              <w:jc w:val="left"/>
            </w:pPr>
            <w:r w:rsidRPr="00A325DC">
              <w:rPr>
                <w:sz w:val="15"/>
              </w:rPr>
              <w:t>(Padhee et al., 2022; Patel et al., 2021)</w:t>
            </w:r>
          </w:p>
        </w:tc>
      </w:tr>
    </w:tbl>
    <w:p w14:paraId="75434520" w14:textId="77777777" w:rsidR="00C229FA" w:rsidRPr="00A325DC" w:rsidRDefault="00000000">
      <w:pPr>
        <w:spacing w:before="60" w:after="160" w:line="240" w:lineRule="auto"/>
      </w:pPr>
      <w:r w:rsidRPr="00A325DC">
        <w:rPr>
          <w:i/>
          <w:sz w:val="16"/>
        </w:rPr>
        <w:t>Note. AI = artificial intelligence; HbF = fetal haemoglobin; HbS = haemoglobin S; PPG = photoplethysmography; VOC = vaso-occlusive crisis.</w:t>
      </w:r>
    </w:p>
    <w:p w14:paraId="30BFCF0B" w14:textId="77777777" w:rsidR="00C229FA" w:rsidRPr="00A325DC" w:rsidRDefault="00000000">
      <w:pPr>
        <w:pStyle w:val="Heading1"/>
        <w:rPr>
          <w:color w:val="auto"/>
        </w:rPr>
      </w:pPr>
      <w:r w:rsidRPr="00A325DC">
        <w:rPr>
          <w:color w:val="auto"/>
        </w:rPr>
        <w:t>4. AI for Diagnosis and Phenotyping</w:t>
      </w:r>
    </w:p>
    <w:p w14:paraId="49769A8F" w14:textId="77777777" w:rsidR="00C229FA" w:rsidRPr="00A325DC" w:rsidRDefault="00000000">
      <w:pPr>
        <w:pStyle w:val="Heading2"/>
        <w:rPr>
          <w:color w:val="auto"/>
        </w:rPr>
      </w:pPr>
      <w:r w:rsidRPr="00A325DC">
        <w:rPr>
          <w:color w:val="auto"/>
        </w:rPr>
        <w:t>4.1 Blood-Smear Computer Vision: Strong Technical Signal, Limited Diagnostic Scope</w:t>
      </w:r>
    </w:p>
    <w:p w14:paraId="66143750" w14:textId="77777777" w:rsidR="00C229FA" w:rsidRPr="00A325DC" w:rsidRDefault="00000000">
      <w:r w:rsidRPr="00A325DC">
        <w:t>Blood-smear analysis is the most visible area of SCD AI because sickled erythrocytes provide a recognisable morphological target. Petrović et al. (2020) compared interpretable feature-based approaches for classifying red-</w:t>
      </w:r>
      <w:r w:rsidRPr="00A325DC">
        <w:lastRenderedPageBreak/>
        <w:t>cell morphology using the public ErythrocytesIDB dataset, with emphasis on feature selection and model interpretability. Subsequent deep-learning studies reported very high cell-shape classification metrics using transfer learning and convolutional neural networks (Jennifer et al., 2023). The attraction of these methods is operational: they can automate repetitive microscopic inspection and potentially extend screening to settings where specialised haematology expertise is scarce.</w:t>
      </w:r>
    </w:p>
    <w:p w14:paraId="309AF053" w14:textId="77777777" w:rsidR="00C229FA" w:rsidRPr="00A325DC" w:rsidRDefault="00000000">
      <w:r w:rsidRPr="00A325DC">
        <w:t>The principal limitation is that a cell-level morphology classifier is not equivalent to a patient-level SCD diagnosis. The fraction of visibly sickled cells varies with oxygenation, preparation, treatment and genotype. Sickle trait, compound heterozygous states and other red-cell abnormalities require haemoglobin-level or molecular distinction. Consequently, morphology-based AI should be viewed as a screening or decision-support layer unless validated against definitive haemoglobin analysis at the patient level. This distinction is sometimes blurred when studies report near-perfect cell-classification performance and then use the language of disease “diagnosis”. The model may correctly recognise an elongated erythrocyte while still being unable to determine the full haemoglobinopathy phenotype.</w:t>
      </w:r>
    </w:p>
    <w:p w14:paraId="43026815" w14:textId="77777777" w:rsidR="00C229FA" w:rsidRPr="00A325DC" w:rsidRDefault="00000000">
      <w:r w:rsidRPr="00A325DC">
        <w:t>Dataset design is another major constraint. Deep-learning studies often reuse a small number of publicly available images, then expand training volume through augmentation. Augmentation improves robustness to transformations but does not create new biological diversity. If images or cells from the same patient, slide or acquisition session appear in both training and test partitions, performance can reflect recognition of acquisition-specific features rather than disease-general morphology. Jennifer et al. (2023), for example, demonstrated striking classification performance on a limited public dataset, but such results cannot establish transportability across laboratories, microscopes, staining protocols or patient populations. More recent work has explicitly used group-aware and duplicate-aware splits, an important methodological improvement, yet still remains constrained by the biological diversity of the underlying public data (Tasji et al., 2026).</w:t>
      </w:r>
    </w:p>
    <w:p w14:paraId="4E5FD5DB" w14:textId="77777777" w:rsidR="00C229FA" w:rsidRPr="00A325DC" w:rsidRDefault="00000000">
      <w:r w:rsidRPr="00A325DC">
        <w:t>Patel et al. (2026) combined transfer learning, contrastive learning and explainable AI for SCD image detection under data-limited conditions. The study is useful because it addresses class imbalance and small datasets directly, but it also illustrates the field's persistent circularity: sophisticated architectures are repeatedly optimised on a narrow public-image foundation. Improvements in loss functions and explanation maps cannot substitute for patient-level external validation. The next advance in blood-smear AI is therefore less likely to come from another architecture comparison than from prospectively collected, geographically diverse, standardised and independently tested datasets with clear patient-level reference standards.</w:t>
      </w:r>
    </w:p>
    <w:p w14:paraId="4D9BFF6F" w14:textId="77777777" w:rsidR="00C229FA" w:rsidRPr="00A325DC" w:rsidRDefault="00000000">
      <w:pPr>
        <w:pStyle w:val="Heading2"/>
        <w:rPr>
          <w:color w:val="auto"/>
        </w:rPr>
      </w:pPr>
      <w:r w:rsidRPr="00A325DC">
        <w:rPr>
          <w:color w:val="auto"/>
        </w:rPr>
        <w:t>4.2 Mobile and Low-Cost Automated Microscopy</w:t>
      </w:r>
    </w:p>
    <w:p w14:paraId="74A32D19" w14:textId="77777777" w:rsidR="00C229FA" w:rsidRPr="00A325DC" w:rsidRDefault="00000000">
      <w:r w:rsidRPr="00A325DC">
        <w:t>Mobile microscopy provides a more compelling implementation rationale because it targets an access barrier rather than only a classification benchmark. de Haan et al. (2020) developed a smartphone-based microscope in which one neural network enhanced captured images and another segmented sickle cells. In blinded testing involving 96 unique patients, including 32 with SCD, the system achieved approximately 98% patient-level accuracy and an area under the receiver-operating characteristic curve close to 1.0. The use of unique patients and a low-cost acquisition pathway gives this study greater translational relevance than cell-only benchmarks, although the sample remained small and did not establish performance across different epidemiological settings or haemoglobinopathy distributions.</w:t>
      </w:r>
    </w:p>
    <w:p w14:paraId="330607E0" w14:textId="77777777" w:rsidR="00C229FA" w:rsidRPr="00A325DC" w:rsidRDefault="00000000">
      <w:r w:rsidRPr="00A325DC">
        <w:t xml:space="preserve">A stronger recent test of low-resource relevance came from an international multicentre evaluation in Nepal and Canada. Shrestha et al. (2025) compared six low-cost approaches against high-performance liquid chromatography (HPLC), including an automated sickling test using automated microscopy and ML. In 138 analysed participants, several point-of-care approaches performed strongly for severe SCD phenotypes; the automated sickling approach also attempted to discriminate trait conditions, although performance for carrier states was less robust than for severe disease. This is an important corrective to single-modality enthusiasm: the </w:t>
      </w:r>
      <w:r w:rsidRPr="00A325DC">
        <w:lastRenderedPageBreak/>
        <w:t>most useful low-cost technology may depend on whether the programme needs to detect severe disease only, distinguish carriers for reproductive counselling, identify beta-thalassaemia, or support newborn screening. AI should be evaluated against the actual programme objective rather than a generic accuracy target.</w:t>
      </w:r>
    </w:p>
    <w:p w14:paraId="0968F684" w14:textId="77777777" w:rsidR="00C229FA" w:rsidRPr="00A325DC" w:rsidRDefault="00000000">
      <w:r w:rsidRPr="00A325DC">
        <w:t>Basu et al. (2025) extended imaging towards three-dimensional quantitative phase microscopy, using a U-Net segmentation stage and ML classifiers to distinguish sickle and healthy cells. The reported gradient-boosting accuracy of 94.9% demonstrates feasibility, but the clinical value of quantitative phase systems will depend on whether the additional instrumentation yields information beyond conventional morphology that changes diagnosis, phenotyping or treatment. Its most promising role may not be mass screening but functional phenotyping, where phase-derived properties can quantify cell health or treatment response more continuously than a binary sickle/non-sickle label.</w:t>
      </w:r>
    </w:p>
    <w:p w14:paraId="1AC5ED23" w14:textId="77777777" w:rsidR="00C229FA" w:rsidRPr="00A325DC" w:rsidRDefault="00000000">
      <w:pPr>
        <w:pStyle w:val="Heading2"/>
        <w:rPr>
          <w:color w:val="auto"/>
        </w:rPr>
      </w:pPr>
      <w:r w:rsidRPr="00A325DC">
        <w:rPr>
          <w:color w:val="auto"/>
        </w:rPr>
        <w:t>4.3 AI Applied to Haemoglobin-Separation and Routine Laboratory Data</w:t>
      </w:r>
    </w:p>
    <w:p w14:paraId="3627209F" w14:textId="77777777" w:rsidR="00C229FA" w:rsidRPr="00A325DC" w:rsidRDefault="00000000">
      <w:r w:rsidRPr="00A325DC">
        <w:t>An alternative strategy is to automate interpretation of measurements closer to the biochemical definition of haemoglobinopathy. Sani et al. (2024) combined microcolumn isoelectric focusing with a ResNet34 model to classify haemoglobin patterns. The underlying assay showed high agreement with HPLC and DNA analysis, while the AI layer automated pattern interpretation. This architecture is conceptually stronger for definitive classification than morphology alone because the input contains information about haemoglobin variants, although prospective evaluation across rare variants, co-inheritance and laboratory conditions remains necessary. It also demonstrates an important principle: AI can add value by standardising interpretation of a valid laboratory assay rather than replacing the assay itself.</w:t>
      </w:r>
    </w:p>
    <w:p w14:paraId="161B437D" w14:textId="77777777" w:rsidR="00C229FA" w:rsidRPr="00A325DC" w:rsidRDefault="00000000">
      <w:r w:rsidRPr="00A325DC">
        <w:t>Routine blood-count data may also support opportunistic screening. Christensen et al. (2025) developed ML models for detecting HbS and HbC carriers in a UK general population using routine laboratory tests. At high sensitivity, specificity was moderate, and performance fell when analysis was restricted to Black individuals. This finding is particularly instructive for fairness and transportability. A model can perform adequately in a mixed population partly because ethnicity, prevalence and laboratory correlations make the classification problem easier, then deteriorate within the population for whom the screening question is most relevant. Such subgroup performance should be considered a core validity measure, not a secondary fairness appendix.</w:t>
      </w:r>
    </w:p>
    <w:p w14:paraId="2EF8D014" w14:textId="77777777" w:rsidR="00C229FA" w:rsidRPr="00A325DC" w:rsidRDefault="00000000">
      <w:pPr>
        <w:pStyle w:val="Heading2"/>
        <w:rPr>
          <w:color w:val="auto"/>
        </w:rPr>
      </w:pPr>
      <w:r w:rsidRPr="00A325DC">
        <w:rPr>
          <w:color w:val="auto"/>
        </w:rPr>
        <w:t>4.4 From Binary Detection to Functional Phenotyping</w:t>
      </w:r>
    </w:p>
    <w:p w14:paraId="1A53558D" w14:textId="77777777" w:rsidR="00C229FA" w:rsidRPr="00A325DC" w:rsidRDefault="00000000">
      <w:r w:rsidRPr="00A325DC">
        <w:t>The more consequential future role of AI may be to quantify disease state after diagnosis. Darrin et al. (2023) used convolutional and recurrent neural networks to classify red-cell motion under low-shear flow. Their two-stage pipeline first rejected unreliable sequences and then differentiated motion patterns associated with cell deformability, obtaining high sequence-level performance. Ansong-Ansongton and Adamson (2024) similarly used quantitative phase imaging and ML to create an erythrocyte health index combining shape, deformation and flexibility. These studies move beyond “is this a sickle cell?” towards “how functionally abnormal is the erythrocyte population under defined conditions?”</w:t>
      </w:r>
    </w:p>
    <w:p w14:paraId="0A05C43D" w14:textId="77777777" w:rsidR="00C229FA" w:rsidRPr="00A325DC" w:rsidRDefault="00000000">
      <w:r w:rsidRPr="00A325DC">
        <w:t>That shift aligns more closely with precision treatment because disease-modifying therapies alter HbF, polymerisation kinetics, hydration and red-cell survival. A continuous biophysical phenotype could, in principle, detect response heterogeneity that is not captured by total HbF or a routine complete blood count. Yet the link from in-vitro cell behaviour to clinically meaningful outcomes has not been established. Before such indices can guide treatment, they require reproducibility across laboratories, pre-analytical standardisation, longitudinal within-person stability, responsiveness to known effective therapies and prospective association with outcomes such as VOC frequency or organ injury.</w:t>
      </w:r>
    </w:p>
    <w:p w14:paraId="1A460C9D" w14:textId="77777777" w:rsidR="00C229FA" w:rsidRPr="00A325DC" w:rsidRDefault="00000000">
      <w:r w:rsidRPr="00A325DC">
        <w:t xml:space="preserve">Overall, diagnostic AI in SCD has progressed from conventional morphology classification towards assay interpretation and functional cell phenotyping, but evidence maturity is uneven. Table 2 compares representative </w:t>
      </w:r>
      <w:r w:rsidRPr="00A325DC">
        <w:lastRenderedPageBreak/>
        <w:t>studies and shows why apparently similar accuracy values are not directly comparable: some operate on cells, some on patients, some on biochemical patterns and some on functional red-cell measurements.</w:t>
      </w:r>
    </w:p>
    <w:p w14:paraId="0C5E9C35" w14:textId="77777777" w:rsidR="00C229FA" w:rsidRPr="00A325DC" w:rsidRDefault="00000000">
      <w:pPr>
        <w:keepNext/>
        <w:spacing w:before="100" w:after="80"/>
      </w:pPr>
      <w:r w:rsidRPr="00A325DC">
        <w:rPr>
          <w:b/>
          <w:sz w:val="20"/>
        </w:rPr>
        <w:t>Table 2. Representative AI-enabled diagnostic and phenotyping studies in sickle cell disease</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468"/>
        <w:gridCol w:w="1756"/>
        <w:gridCol w:w="1655"/>
        <w:gridCol w:w="1699"/>
        <w:gridCol w:w="1655"/>
        <w:gridCol w:w="1699"/>
      </w:tblGrid>
      <w:tr w:rsidR="00A325DC" w:rsidRPr="00A325DC" w14:paraId="134C4950" w14:textId="77777777" w:rsidTr="00A325DC">
        <w:trPr>
          <w:tblHeader/>
          <w:jc w:val="center"/>
        </w:trPr>
        <w:tc>
          <w:tcPr>
            <w:tcW w:w="1468" w:type="dxa"/>
            <w:tcMar>
              <w:top w:w="80" w:type="dxa"/>
              <w:left w:w="80" w:type="dxa"/>
              <w:bottom w:w="80" w:type="dxa"/>
              <w:right w:w="80" w:type="dxa"/>
            </w:tcMar>
            <w:vAlign w:val="center"/>
          </w:tcPr>
          <w:p w14:paraId="249B676F" w14:textId="77777777" w:rsidR="00C229FA" w:rsidRPr="00A325DC" w:rsidRDefault="00000000">
            <w:pPr>
              <w:spacing w:after="0" w:line="240" w:lineRule="auto"/>
              <w:jc w:val="left"/>
            </w:pPr>
            <w:r w:rsidRPr="00A325DC">
              <w:rPr>
                <w:b/>
                <w:sz w:val="15"/>
              </w:rPr>
              <w:t>Study and modality</w:t>
            </w:r>
          </w:p>
        </w:tc>
        <w:tc>
          <w:tcPr>
            <w:tcW w:w="1756" w:type="dxa"/>
            <w:tcMar>
              <w:top w:w="80" w:type="dxa"/>
              <w:left w:w="80" w:type="dxa"/>
              <w:bottom w:w="80" w:type="dxa"/>
              <w:right w:w="80" w:type="dxa"/>
            </w:tcMar>
            <w:vAlign w:val="center"/>
          </w:tcPr>
          <w:p w14:paraId="78DBE06B" w14:textId="77777777" w:rsidR="00C229FA" w:rsidRPr="00A325DC" w:rsidRDefault="00000000">
            <w:pPr>
              <w:spacing w:after="0" w:line="240" w:lineRule="auto"/>
              <w:jc w:val="left"/>
            </w:pPr>
            <w:r w:rsidRPr="00A325DC">
              <w:rPr>
                <w:b/>
                <w:sz w:val="15"/>
              </w:rPr>
              <w:t>Population or data unit</w:t>
            </w:r>
          </w:p>
        </w:tc>
        <w:tc>
          <w:tcPr>
            <w:tcW w:w="1655" w:type="dxa"/>
            <w:tcMar>
              <w:top w:w="80" w:type="dxa"/>
              <w:left w:w="80" w:type="dxa"/>
              <w:bottom w:w="80" w:type="dxa"/>
              <w:right w:w="80" w:type="dxa"/>
            </w:tcMar>
            <w:vAlign w:val="center"/>
          </w:tcPr>
          <w:p w14:paraId="263D5392" w14:textId="77777777" w:rsidR="00C229FA" w:rsidRPr="00A325DC" w:rsidRDefault="00000000">
            <w:pPr>
              <w:spacing w:after="0" w:line="240" w:lineRule="auto"/>
              <w:jc w:val="left"/>
            </w:pPr>
            <w:r w:rsidRPr="00A325DC">
              <w:rPr>
                <w:b/>
                <w:sz w:val="15"/>
              </w:rPr>
              <w:t>AI approach</w:t>
            </w:r>
          </w:p>
        </w:tc>
        <w:tc>
          <w:tcPr>
            <w:tcW w:w="1699" w:type="dxa"/>
            <w:tcMar>
              <w:top w:w="80" w:type="dxa"/>
              <w:left w:w="80" w:type="dxa"/>
              <w:bottom w:w="80" w:type="dxa"/>
              <w:right w:w="80" w:type="dxa"/>
            </w:tcMar>
            <w:vAlign w:val="center"/>
          </w:tcPr>
          <w:p w14:paraId="19BBD4B2" w14:textId="77777777" w:rsidR="00C229FA" w:rsidRPr="00A325DC" w:rsidRDefault="00000000">
            <w:pPr>
              <w:spacing w:after="0" w:line="240" w:lineRule="auto"/>
              <w:jc w:val="left"/>
            </w:pPr>
            <w:r w:rsidRPr="00A325DC">
              <w:rPr>
                <w:b/>
                <w:sz w:val="15"/>
              </w:rPr>
              <w:t>Principal result or contribution</w:t>
            </w:r>
          </w:p>
        </w:tc>
        <w:tc>
          <w:tcPr>
            <w:tcW w:w="1655" w:type="dxa"/>
            <w:tcMar>
              <w:top w:w="80" w:type="dxa"/>
              <w:left w:w="80" w:type="dxa"/>
              <w:bottom w:w="80" w:type="dxa"/>
              <w:right w:w="80" w:type="dxa"/>
            </w:tcMar>
            <w:vAlign w:val="center"/>
          </w:tcPr>
          <w:p w14:paraId="55DB5D2C" w14:textId="77777777" w:rsidR="00C229FA" w:rsidRPr="00A325DC" w:rsidRDefault="00000000">
            <w:pPr>
              <w:spacing w:after="0" w:line="240" w:lineRule="auto"/>
              <w:jc w:val="left"/>
            </w:pPr>
            <w:r w:rsidRPr="00A325DC">
              <w:rPr>
                <w:b/>
                <w:sz w:val="15"/>
              </w:rPr>
              <w:t>Critical interpretation</w:t>
            </w:r>
          </w:p>
        </w:tc>
        <w:tc>
          <w:tcPr>
            <w:tcW w:w="1699" w:type="dxa"/>
            <w:tcMar>
              <w:top w:w="80" w:type="dxa"/>
              <w:left w:w="80" w:type="dxa"/>
              <w:bottom w:w="80" w:type="dxa"/>
              <w:right w:w="80" w:type="dxa"/>
            </w:tcMar>
            <w:vAlign w:val="center"/>
          </w:tcPr>
          <w:p w14:paraId="5B9236C7" w14:textId="77777777" w:rsidR="00C229FA" w:rsidRPr="00A325DC" w:rsidRDefault="00000000">
            <w:pPr>
              <w:spacing w:after="0" w:line="240" w:lineRule="auto"/>
              <w:jc w:val="left"/>
            </w:pPr>
            <w:r w:rsidRPr="00A325DC">
              <w:rPr>
                <w:b/>
                <w:sz w:val="15"/>
              </w:rPr>
              <w:t>Supporting references</w:t>
            </w:r>
          </w:p>
        </w:tc>
      </w:tr>
      <w:tr w:rsidR="00A325DC" w:rsidRPr="00A325DC" w14:paraId="50A800C7" w14:textId="77777777" w:rsidTr="00A325DC">
        <w:trPr>
          <w:jc w:val="center"/>
        </w:trPr>
        <w:tc>
          <w:tcPr>
            <w:tcW w:w="1468" w:type="dxa"/>
            <w:tcMar>
              <w:top w:w="80" w:type="dxa"/>
              <w:left w:w="80" w:type="dxa"/>
              <w:bottom w:w="80" w:type="dxa"/>
              <w:right w:w="80" w:type="dxa"/>
            </w:tcMar>
            <w:vAlign w:val="center"/>
          </w:tcPr>
          <w:p w14:paraId="70A52D71" w14:textId="77777777" w:rsidR="00C229FA" w:rsidRPr="00A325DC" w:rsidRDefault="00000000">
            <w:pPr>
              <w:spacing w:after="0" w:line="240" w:lineRule="auto"/>
              <w:jc w:val="left"/>
            </w:pPr>
            <w:r w:rsidRPr="00A325DC">
              <w:rPr>
                <w:sz w:val="15"/>
              </w:rPr>
              <w:t>Petrović et al.; blood-smear morphology</w:t>
            </w:r>
          </w:p>
        </w:tc>
        <w:tc>
          <w:tcPr>
            <w:tcW w:w="1756" w:type="dxa"/>
            <w:tcMar>
              <w:top w:w="80" w:type="dxa"/>
              <w:left w:w="80" w:type="dxa"/>
              <w:bottom w:w="80" w:type="dxa"/>
              <w:right w:w="80" w:type="dxa"/>
            </w:tcMar>
            <w:vAlign w:val="center"/>
          </w:tcPr>
          <w:p w14:paraId="0BCD4EC6" w14:textId="77777777" w:rsidR="00C229FA" w:rsidRPr="00A325DC" w:rsidRDefault="00000000">
            <w:pPr>
              <w:spacing w:after="0" w:line="240" w:lineRule="auto"/>
              <w:jc w:val="left"/>
            </w:pPr>
            <w:r w:rsidRPr="00A325DC">
              <w:rPr>
                <w:sz w:val="15"/>
              </w:rPr>
              <w:t>Public erythrocyte image dataset</w:t>
            </w:r>
          </w:p>
        </w:tc>
        <w:tc>
          <w:tcPr>
            <w:tcW w:w="1655" w:type="dxa"/>
            <w:tcMar>
              <w:top w:w="80" w:type="dxa"/>
              <w:left w:w="80" w:type="dxa"/>
              <w:bottom w:w="80" w:type="dxa"/>
              <w:right w:w="80" w:type="dxa"/>
            </w:tcMar>
            <w:vAlign w:val="center"/>
          </w:tcPr>
          <w:p w14:paraId="5E53CC2F" w14:textId="77777777" w:rsidR="00C229FA" w:rsidRPr="00A325DC" w:rsidRDefault="00000000">
            <w:pPr>
              <w:spacing w:after="0" w:line="240" w:lineRule="auto"/>
              <w:jc w:val="left"/>
            </w:pPr>
            <w:r w:rsidRPr="00A325DC">
              <w:rPr>
                <w:sz w:val="15"/>
              </w:rPr>
              <w:t>Feature engineering with multiple ML classifiers</w:t>
            </w:r>
          </w:p>
        </w:tc>
        <w:tc>
          <w:tcPr>
            <w:tcW w:w="1699" w:type="dxa"/>
            <w:tcMar>
              <w:top w:w="80" w:type="dxa"/>
              <w:left w:w="80" w:type="dxa"/>
              <w:bottom w:w="80" w:type="dxa"/>
              <w:right w:w="80" w:type="dxa"/>
            </w:tcMar>
            <w:vAlign w:val="center"/>
          </w:tcPr>
          <w:p w14:paraId="4FCD0123" w14:textId="77777777" w:rsidR="00C229FA" w:rsidRPr="00A325DC" w:rsidRDefault="00000000">
            <w:pPr>
              <w:spacing w:after="0" w:line="240" w:lineRule="auto"/>
              <w:jc w:val="left"/>
            </w:pPr>
            <w:r w:rsidRPr="00A325DC">
              <w:rPr>
                <w:sz w:val="15"/>
              </w:rPr>
              <w:t>Interpretable cell-morphology classification framework</w:t>
            </w:r>
          </w:p>
        </w:tc>
        <w:tc>
          <w:tcPr>
            <w:tcW w:w="1655" w:type="dxa"/>
            <w:tcMar>
              <w:top w:w="80" w:type="dxa"/>
              <w:left w:w="80" w:type="dxa"/>
              <w:bottom w:w="80" w:type="dxa"/>
              <w:right w:w="80" w:type="dxa"/>
            </w:tcMar>
            <w:vAlign w:val="center"/>
          </w:tcPr>
          <w:p w14:paraId="06B1824C" w14:textId="77777777" w:rsidR="00C229FA" w:rsidRPr="00A325DC" w:rsidRDefault="00000000">
            <w:pPr>
              <w:spacing w:after="0" w:line="240" w:lineRule="auto"/>
              <w:jc w:val="left"/>
            </w:pPr>
            <w:r w:rsidRPr="00A325DC">
              <w:rPr>
                <w:sz w:val="15"/>
              </w:rPr>
              <w:t>Useful benchmark; limited patient-level and cross-site inference</w:t>
            </w:r>
          </w:p>
        </w:tc>
        <w:tc>
          <w:tcPr>
            <w:tcW w:w="1699" w:type="dxa"/>
            <w:tcMar>
              <w:top w:w="80" w:type="dxa"/>
              <w:left w:w="80" w:type="dxa"/>
              <w:bottom w:w="80" w:type="dxa"/>
              <w:right w:w="80" w:type="dxa"/>
            </w:tcMar>
            <w:vAlign w:val="center"/>
          </w:tcPr>
          <w:p w14:paraId="62E04445" w14:textId="77777777" w:rsidR="00C229FA" w:rsidRPr="00A325DC" w:rsidRDefault="00000000">
            <w:pPr>
              <w:spacing w:after="0" w:line="240" w:lineRule="auto"/>
              <w:jc w:val="left"/>
            </w:pPr>
            <w:r w:rsidRPr="00A325DC">
              <w:rPr>
                <w:sz w:val="15"/>
              </w:rPr>
              <w:t>(Petrović et al., 2020)</w:t>
            </w:r>
          </w:p>
        </w:tc>
      </w:tr>
      <w:tr w:rsidR="00A325DC" w:rsidRPr="00A325DC" w14:paraId="76269392" w14:textId="77777777" w:rsidTr="00A325DC">
        <w:trPr>
          <w:jc w:val="center"/>
        </w:trPr>
        <w:tc>
          <w:tcPr>
            <w:tcW w:w="1468" w:type="dxa"/>
            <w:tcMar>
              <w:top w:w="80" w:type="dxa"/>
              <w:left w:w="80" w:type="dxa"/>
              <w:bottom w:w="80" w:type="dxa"/>
              <w:right w:w="80" w:type="dxa"/>
            </w:tcMar>
            <w:vAlign w:val="center"/>
          </w:tcPr>
          <w:p w14:paraId="5832B9D8" w14:textId="77777777" w:rsidR="00C229FA" w:rsidRPr="00A325DC" w:rsidRDefault="00000000">
            <w:pPr>
              <w:spacing w:after="0" w:line="240" w:lineRule="auto"/>
              <w:jc w:val="left"/>
            </w:pPr>
            <w:r w:rsidRPr="00A325DC">
              <w:rPr>
                <w:sz w:val="15"/>
              </w:rPr>
              <w:t>de Haan et al.; smartphone microscopy</w:t>
            </w:r>
          </w:p>
        </w:tc>
        <w:tc>
          <w:tcPr>
            <w:tcW w:w="1756" w:type="dxa"/>
            <w:tcMar>
              <w:top w:w="80" w:type="dxa"/>
              <w:left w:w="80" w:type="dxa"/>
              <w:bottom w:w="80" w:type="dxa"/>
              <w:right w:w="80" w:type="dxa"/>
            </w:tcMar>
            <w:vAlign w:val="center"/>
          </w:tcPr>
          <w:p w14:paraId="2D106E5C" w14:textId="77777777" w:rsidR="00C229FA" w:rsidRPr="00A325DC" w:rsidRDefault="00000000">
            <w:pPr>
              <w:spacing w:after="0" w:line="240" w:lineRule="auto"/>
              <w:jc w:val="left"/>
            </w:pPr>
            <w:r w:rsidRPr="00A325DC">
              <w:rPr>
                <w:sz w:val="15"/>
              </w:rPr>
              <w:t>96 unique patients, including 32 with SCD</w:t>
            </w:r>
          </w:p>
        </w:tc>
        <w:tc>
          <w:tcPr>
            <w:tcW w:w="1655" w:type="dxa"/>
            <w:tcMar>
              <w:top w:w="80" w:type="dxa"/>
              <w:left w:w="80" w:type="dxa"/>
              <w:bottom w:w="80" w:type="dxa"/>
              <w:right w:w="80" w:type="dxa"/>
            </w:tcMar>
            <w:vAlign w:val="center"/>
          </w:tcPr>
          <w:p w14:paraId="6A667F8F" w14:textId="77777777" w:rsidR="00C229FA" w:rsidRPr="00A325DC" w:rsidRDefault="00000000">
            <w:pPr>
              <w:spacing w:after="0" w:line="240" w:lineRule="auto"/>
              <w:jc w:val="left"/>
            </w:pPr>
            <w:r w:rsidRPr="00A325DC">
              <w:rPr>
                <w:sz w:val="15"/>
              </w:rPr>
              <w:t>Image enhancement plus deep semantic segmentation</w:t>
            </w:r>
          </w:p>
        </w:tc>
        <w:tc>
          <w:tcPr>
            <w:tcW w:w="1699" w:type="dxa"/>
            <w:tcMar>
              <w:top w:w="80" w:type="dxa"/>
              <w:left w:w="80" w:type="dxa"/>
              <w:bottom w:w="80" w:type="dxa"/>
              <w:right w:w="80" w:type="dxa"/>
            </w:tcMar>
            <w:vAlign w:val="center"/>
          </w:tcPr>
          <w:p w14:paraId="79387D5E" w14:textId="77777777" w:rsidR="00C229FA" w:rsidRPr="00A325DC" w:rsidRDefault="00000000">
            <w:pPr>
              <w:spacing w:after="0" w:line="240" w:lineRule="auto"/>
              <w:jc w:val="left"/>
            </w:pPr>
            <w:r w:rsidRPr="00A325DC">
              <w:rPr>
                <w:sz w:val="15"/>
              </w:rPr>
              <w:t>Approximately 98% patient-level accuracy; AUC 0.998</w:t>
            </w:r>
          </w:p>
        </w:tc>
        <w:tc>
          <w:tcPr>
            <w:tcW w:w="1655" w:type="dxa"/>
            <w:tcMar>
              <w:top w:w="80" w:type="dxa"/>
              <w:left w:w="80" w:type="dxa"/>
              <w:bottom w:w="80" w:type="dxa"/>
              <w:right w:w="80" w:type="dxa"/>
            </w:tcMar>
            <w:vAlign w:val="center"/>
          </w:tcPr>
          <w:p w14:paraId="072E78FC" w14:textId="77777777" w:rsidR="00C229FA" w:rsidRPr="00A325DC" w:rsidRDefault="00000000">
            <w:pPr>
              <w:spacing w:after="0" w:line="240" w:lineRule="auto"/>
              <w:jc w:val="left"/>
            </w:pPr>
            <w:r w:rsidRPr="00A325DC">
              <w:rPr>
                <w:sz w:val="15"/>
              </w:rPr>
              <w:t>Strong proof-of-concept for low-cost screening; small external scope</w:t>
            </w:r>
          </w:p>
        </w:tc>
        <w:tc>
          <w:tcPr>
            <w:tcW w:w="1699" w:type="dxa"/>
            <w:tcMar>
              <w:top w:w="80" w:type="dxa"/>
              <w:left w:w="80" w:type="dxa"/>
              <w:bottom w:w="80" w:type="dxa"/>
              <w:right w:w="80" w:type="dxa"/>
            </w:tcMar>
            <w:vAlign w:val="center"/>
          </w:tcPr>
          <w:p w14:paraId="1CE41C83" w14:textId="77777777" w:rsidR="00C229FA" w:rsidRPr="00A325DC" w:rsidRDefault="00000000">
            <w:pPr>
              <w:spacing w:after="0" w:line="240" w:lineRule="auto"/>
              <w:jc w:val="left"/>
            </w:pPr>
            <w:r w:rsidRPr="00A325DC">
              <w:rPr>
                <w:sz w:val="15"/>
              </w:rPr>
              <w:t>(de Haan et al., 2020)</w:t>
            </w:r>
          </w:p>
        </w:tc>
      </w:tr>
      <w:tr w:rsidR="00A325DC" w:rsidRPr="00A325DC" w14:paraId="62F31DC9" w14:textId="77777777" w:rsidTr="00A325DC">
        <w:trPr>
          <w:jc w:val="center"/>
        </w:trPr>
        <w:tc>
          <w:tcPr>
            <w:tcW w:w="1468" w:type="dxa"/>
            <w:tcMar>
              <w:top w:w="80" w:type="dxa"/>
              <w:left w:w="80" w:type="dxa"/>
              <w:bottom w:w="80" w:type="dxa"/>
              <w:right w:w="80" w:type="dxa"/>
            </w:tcMar>
            <w:vAlign w:val="center"/>
          </w:tcPr>
          <w:p w14:paraId="40F83AE8" w14:textId="77777777" w:rsidR="00C229FA" w:rsidRPr="00A325DC" w:rsidRDefault="00000000">
            <w:pPr>
              <w:spacing w:after="0" w:line="240" w:lineRule="auto"/>
              <w:jc w:val="left"/>
            </w:pPr>
            <w:r w:rsidRPr="00A325DC">
              <w:rPr>
                <w:sz w:val="15"/>
              </w:rPr>
              <w:t>Jennifer et al.; public smear images</w:t>
            </w:r>
          </w:p>
        </w:tc>
        <w:tc>
          <w:tcPr>
            <w:tcW w:w="1756" w:type="dxa"/>
            <w:tcMar>
              <w:top w:w="80" w:type="dxa"/>
              <w:left w:w="80" w:type="dxa"/>
              <w:bottom w:w="80" w:type="dxa"/>
              <w:right w:w="80" w:type="dxa"/>
            </w:tcMar>
            <w:vAlign w:val="center"/>
          </w:tcPr>
          <w:p w14:paraId="0DF89B4B" w14:textId="77777777" w:rsidR="00C229FA" w:rsidRPr="00A325DC" w:rsidRDefault="00000000">
            <w:pPr>
              <w:spacing w:after="0" w:line="240" w:lineRule="auto"/>
              <w:jc w:val="left"/>
            </w:pPr>
            <w:r w:rsidRPr="00A325DC">
              <w:rPr>
                <w:sz w:val="15"/>
              </w:rPr>
              <w:t>ErythrocytesIDB images</w:t>
            </w:r>
          </w:p>
        </w:tc>
        <w:tc>
          <w:tcPr>
            <w:tcW w:w="1655" w:type="dxa"/>
            <w:tcMar>
              <w:top w:w="80" w:type="dxa"/>
              <w:left w:w="80" w:type="dxa"/>
              <w:bottom w:w="80" w:type="dxa"/>
              <w:right w:w="80" w:type="dxa"/>
            </w:tcMar>
            <w:vAlign w:val="center"/>
          </w:tcPr>
          <w:p w14:paraId="156A4AE4" w14:textId="77777777" w:rsidR="00C229FA" w:rsidRPr="00A325DC" w:rsidRDefault="00000000">
            <w:pPr>
              <w:spacing w:after="0" w:line="240" w:lineRule="auto"/>
              <w:jc w:val="left"/>
            </w:pPr>
            <w:r w:rsidRPr="00A325DC">
              <w:rPr>
                <w:sz w:val="15"/>
              </w:rPr>
              <w:t>Transfer learning and CNN models</w:t>
            </w:r>
          </w:p>
        </w:tc>
        <w:tc>
          <w:tcPr>
            <w:tcW w:w="1699" w:type="dxa"/>
            <w:tcMar>
              <w:top w:w="80" w:type="dxa"/>
              <w:left w:w="80" w:type="dxa"/>
              <w:bottom w:w="80" w:type="dxa"/>
              <w:right w:w="80" w:type="dxa"/>
            </w:tcMar>
            <w:vAlign w:val="center"/>
          </w:tcPr>
          <w:p w14:paraId="29C7BA9C" w14:textId="77777777" w:rsidR="00C229FA" w:rsidRPr="00A325DC" w:rsidRDefault="00000000">
            <w:pPr>
              <w:spacing w:after="0" w:line="240" w:lineRule="auto"/>
              <w:jc w:val="left"/>
            </w:pPr>
            <w:r w:rsidRPr="00A325DC">
              <w:rPr>
                <w:sz w:val="15"/>
              </w:rPr>
              <w:t>Very high class-wise precision, recall and F1 in selected experiments</w:t>
            </w:r>
          </w:p>
        </w:tc>
        <w:tc>
          <w:tcPr>
            <w:tcW w:w="1655" w:type="dxa"/>
            <w:tcMar>
              <w:top w:w="80" w:type="dxa"/>
              <w:left w:w="80" w:type="dxa"/>
              <w:bottom w:w="80" w:type="dxa"/>
              <w:right w:w="80" w:type="dxa"/>
            </w:tcMar>
            <w:vAlign w:val="center"/>
          </w:tcPr>
          <w:p w14:paraId="6E4ECBD6" w14:textId="77777777" w:rsidR="00C229FA" w:rsidRPr="00A325DC" w:rsidRDefault="00000000">
            <w:pPr>
              <w:spacing w:after="0" w:line="240" w:lineRule="auto"/>
              <w:jc w:val="left"/>
            </w:pPr>
            <w:r w:rsidRPr="00A325DC">
              <w:rPr>
                <w:sz w:val="15"/>
              </w:rPr>
              <w:t>Augmentation cannot replace biological diversity; leakage risk must be excluded</w:t>
            </w:r>
          </w:p>
        </w:tc>
        <w:tc>
          <w:tcPr>
            <w:tcW w:w="1699" w:type="dxa"/>
            <w:tcMar>
              <w:top w:w="80" w:type="dxa"/>
              <w:left w:w="80" w:type="dxa"/>
              <w:bottom w:w="80" w:type="dxa"/>
              <w:right w:w="80" w:type="dxa"/>
            </w:tcMar>
            <w:vAlign w:val="center"/>
          </w:tcPr>
          <w:p w14:paraId="5FEEB06D" w14:textId="77777777" w:rsidR="00C229FA" w:rsidRPr="00A325DC" w:rsidRDefault="00000000">
            <w:pPr>
              <w:spacing w:after="0" w:line="240" w:lineRule="auto"/>
              <w:jc w:val="left"/>
            </w:pPr>
            <w:r w:rsidRPr="00A325DC">
              <w:rPr>
                <w:sz w:val="15"/>
              </w:rPr>
              <w:t>(Jennifer et al., 2023)</w:t>
            </w:r>
          </w:p>
        </w:tc>
      </w:tr>
      <w:tr w:rsidR="00A325DC" w:rsidRPr="00A325DC" w14:paraId="333C7549" w14:textId="77777777" w:rsidTr="00A325DC">
        <w:trPr>
          <w:jc w:val="center"/>
        </w:trPr>
        <w:tc>
          <w:tcPr>
            <w:tcW w:w="1468" w:type="dxa"/>
            <w:tcMar>
              <w:top w:w="80" w:type="dxa"/>
              <w:left w:w="80" w:type="dxa"/>
              <w:bottom w:w="80" w:type="dxa"/>
              <w:right w:w="80" w:type="dxa"/>
            </w:tcMar>
            <w:vAlign w:val="center"/>
          </w:tcPr>
          <w:p w14:paraId="23CAA035" w14:textId="77777777" w:rsidR="00C229FA" w:rsidRPr="00A325DC" w:rsidRDefault="00000000">
            <w:pPr>
              <w:spacing w:after="0" w:line="240" w:lineRule="auto"/>
              <w:jc w:val="left"/>
            </w:pPr>
            <w:r w:rsidRPr="00A325DC">
              <w:rPr>
                <w:sz w:val="15"/>
              </w:rPr>
              <w:t>Sani et al.; microcolumn isoelectric focusing</w:t>
            </w:r>
          </w:p>
        </w:tc>
        <w:tc>
          <w:tcPr>
            <w:tcW w:w="1756" w:type="dxa"/>
            <w:tcMar>
              <w:top w:w="80" w:type="dxa"/>
              <w:left w:w="80" w:type="dxa"/>
              <w:bottom w:w="80" w:type="dxa"/>
              <w:right w:w="80" w:type="dxa"/>
            </w:tcMar>
            <w:vAlign w:val="center"/>
          </w:tcPr>
          <w:p w14:paraId="2F70D238" w14:textId="77777777" w:rsidR="00C229FA" w:rsidRPr="00A325DC" w:rsidRDefault="00000000">
            <w:pPr>
              <w:spacing w:after="0" w:line="240" w:lineRule="auto"/>
              <w:jc w:val="left"/>
            </w:pPr>
            <w:r w:rsidRPr="00A325DC">
              <w:rPr>
                <w:sz w:val="15"/>
              </w:rPr>
              <w:t>Clinical haemoglobinopathy samples and assay images</w:t>
            </w:r>
          </w:p>
        </w:tc>
        <w:tc>
          <w:tcPr>
            <w:tcW w:w="1655" w:type="dxa"/>
            <w:tcMar>
              <w:top w:w="80" w:type="dxa"/>
              <w:left w:w="80" w:type="dxa"/>
              <w:bottom w:w="80" w:type="dxa"/>
              <w:right w:w="80" w:type="dxa"/>
            </w:tcMar>
            <w:vAlign w:val="center"/>
          </w:tcPr>
          <w:p w14:paraId="163D7454" w14:textId="77777777" w:rsidR="00C229FA" w:rsidRPr="00A325DC" w:rsidRDefault="00000000">
            <w:pPr>
              <w:spacing w:after="0" w:line="240" w:lineRule="auto"/>
              <w:jc w:val="left"/>
            </w:pPr>
            <w:r w:rsidRPr="00A325DC">
              <w:rPr>
                <w:sz w:val="15"/>
              </w:rPr>
              <w:t>ResNet34 feature extraction and classification</w:t>
            </w:r>
          </w:p>
        </w:tc>
        <w:tc>
          <w:tcPr>
            <w:tcW w:w="1699" w:type="dxa"/>
            <w:tcMar>
              <w:top w:w="80" w:type="dxa"/>
              <w:left w:w="80" w:type="dxa"/>
              <w:bottom w:w="80" w:type="dxa"/>
              <w:right w:w="80" w:type="dxa"/>
            </w:tcMar>
            <w:vAlign w:val="center"/>
          </w:tcPr>
          <w:p w14:paraId="4EA48704" w14:textId="77777777" w:rsidR="00C229FA" w:rsidRPr="00A325DC" w:rsidRDefault="00000000">
            <w:pPr>
              <w:spacing w:after="0" w:line="240" w:lineRule="auto"/>
              <w:jc w:val="left"/>
            </w:pPr>
            <w:r w:rsidRPr="00A325DC">
              <w:rPr>
                <w:sz w:val="15"/>
              </w:rPr>
              <w:t>Automated classification layered onto a haemoglobin-separation assay</w:t>
            </w:r>
          </w:p>
        </w:tc>
        <w:tc>
          <w:tcPr>
            <w:tcW w:w="1655" w:type="dxa"/>
            <w:tcMar>
              <w:top w:w="80" w:type="dxa"/>
              <w:left w:w="80" w:type="dxa"/>
              <w:bottom w:w="80" w:type="dxa"/>
              <w:right w:w="80" w:type="dxa"/>
            </w:tcMar>
            <w:vAlign w:val="center"/>
          </w:tcPr>
          <w:p w14:paraId="18DC8FC1" w14:textId="77777777" w:rsidR="00C229FA" w:rsidRPr="00A325DC" w:rsidRDefault="00000000">
            <w:pPr>
              <w:spacing w:after="0" w:line="240" w:lineRule="auto"/>
              <w:jc w:val="left"/>
            </w:pPr>
            <w:r w:rsidRPr="00A325DC">
              <w:rPr>
                <w:sz w:val="15"/>
              </w:rPr>
              <w:t>Closer to biochemical diagnosis than morphology; rare-variant validation needed</w:t>
            </w:r>
          </w:p>
        </w:tc>
        <w:tc>
          <w:tcPr>
            <w:tcW w:w="1699" w:type="dxa"/>
            <w:tcMar>
              <w:top w:w="80" w:type="dxa"/>
              <w:left w:w="80" w:type="dxa"/>
              <w:bottom w:w="80" w:type="dxa"/>
              <w:right w:w="80" w:type="dxa"/>
            </w:tcMar>
            <w:vAlign w:val="center"/>
          </w:tcPr>
          <w:p w14:paraId="608396C9" w14:textId="77777777" w:rsidR="00C229FA" w:rsidRPr="00A325DC" w:rsidRDefault="00000000">
            <w:pPr>
              <w:spacing w:after="0" w:line="240" w:lineRule="auto"/>
              <w:jc w:val="left"/>
            </w:pPr>
            <w:r w:rsidRPr="00A325DC">
              <w:rPr>
                <w:sz w:val="15"/>
              </w:rPr>
              <w:t>(Sani et al., 2024)</w:t>
            </w:r>
          </w:p>
        </w:tc>
      </w:tr>
      <w:tr w:rsidR="00A325DC" w:rsidRPr="00A325DC" w14:paraId="384AA211" w14:textId="77777777" w:rsidTr="00A325DC">
        <w:trPr>
          <w:jc w:val="center"/>
        </w:trPr>
        <w:tc>
          <w:tcPr>
            <w:tcW w:w="1468" w:type="dxa"/>
            <w:tcMar>
              <w:top w:w="80" w:type="dxa"/>
              <w:left w:w="80" w:type="dxa"/>
              <w:bottom w:w="80" w:type="dxa"/>
              <w:right w:w="80" w:type="dxa"/>
            </w:tcMar>
            <w:vAlign w:val="center"/>
          </w:tcPr>
          <w:p w14:paraId="316C4A50" w14:textId="77777777" w:rsidR="00C229FA" w:rsidRPr="00A325DC" w:rsidRDefault="00000000">
            <w:pPr>
              <w:spacing w:after="0" w:line="240" w:lineRule="auto"/>
              <w:jc w:val="left"/>
            </w:pPr>
            <w:r w:rsidRPr="00A325DC">
              <w:rPr>
                <w:sz w:val="15"/>
              </w:rPr>
              <w:t>Shrestha et al.; low-cost automated sickling</w:t>
            </w:r>
          </w:p>
        </w:tc>
        <w:tc>
          <w:tcPr>
            <w:tcW w:w="1756" w:type="dxa"/>
            <w:tcMar>
              <w:top w:w="80" w:type="dxa"/>
              <w:left w:w="80" w:type="dxa"/>
              <w:bottom w:w="80" w:type="dxa"/>
              <w:right w:w="80" w:type="dxa"/>
            </w:tcMar>
            <w:vAlign w:val="center"/>
          </w:tcPr>
          <w:p w14:paraId="226B9BE8" w14:textId="77777777" w:rsidR="00C229FA" w:rsidRPr="00A325DC" w:rsidRDefault="00000000">
            <w:pPr>
              <w:spacing w:after="0" w:line="240" w:lineRule="auto"/>
              <w:jc w:val="left"/>
            </w:pPr>
            <w:r w:rsidRPr="00A325DC">
              <w:rPr>
                <w:sz w:val="15"/>
              </w:rPr>
              <w:t>138 participants in Nepal and Canada</w:t>
            </w:r>
          </w:p>
        </w:tc>
        <w:tc>
          <w:tcPr>
            <w:tcW w:w="1655" w:type="dxa"/>
            <w:tcMar>
              <w:top w:w="80" w:type="dxa"/>
              <w:left w:w="80" w:type="dxa"/>
              <w:bottom w:w="80" w:type="dxa"/>
              <w:right w:w="80" w:type="dxa"/>
            </w:tcMar>
            <w:vAlign w:val="center"/>
          </w:tcPr>
          <w:p w14:paraId="1548D9A4" w14:textId="77777777" w:rsidR="00C229FA" w:rsidRPr="00A325DC" w:rsidRDefault="00000000">
            <w:pPr>
              <w:spacing w:after="0" w:line="240" w:lineRule="auto"/>
              <w:jc w:val="left"/>
            </w:pPr>
            <w:r w:rsidRPr="00A325DC">
              <w:rPr>
                <w:sz w:val="15"/>
              </w:rPr>
              <w:t>Automated microscopy and ML within a six-test comparison</w:t>
            </w:r>
          </w:p>
        </w:tc>
        <w:tc>
          <w:tcPr>
            <w:tcW w:w="1699" w:type="dxa"/>
            <w:tcMar>
              <w:top w:w="80" w:type="dxa"/>
              <w:left w:w="80" w:type="dxa"/>
              <w:bottom w:w="80" w:type="dxa"/>
              <w:right w:w="80" w:type="dxa"/>
            </w:tcMar>
            <w:vAlign w:val="center"/>
          </w:tcPr>
          <w:p w14:paraId="26D2318F" w14:textId="77777777" w:rsidR="00C229FA" w:rsidRPr="00A325DC" w:rsidRDefault="00000000">
            <w:pPr>
              <w:spacing w:after="0" w:line="240" w:lineRule="auto"/>
              <w:jc w:val="left"/>
            </w:pPr>
            <w:r w:rsidRPr="00A325DC">
              <w:rPr>
                <w:sz w:val="15"/>
              </w:rPr>
              <w:t>High performance for severe SCD; weaker discrimination of some carrier states</w:t>
            </w:r>
          </w:p>
        </w:tc>
        <w:tc>
          <w:tcPr>
            <w:tcW w:w="1655" w:type="dxa"/>
            <w:tcMar>
              <w:top w:w="80" w:type="dxa"/>
              <w:left w:w="80" w:type="dxa"/>
              <w:bottom w:w="80" w:type="dxa"/>
              <w:right w:w="80" w:type="dxa"/>
            </w:tcMar>
            <w:vAlign w:val="center"/>
          </w:tcPr>
          <w:p w14:paraId="68C411A4" w14:textId="77777777" w:rsidR="00C229FA" w:rsidRPr="00A325DC" w:rsidRDefault="00000000">
            <w:pPr>
              <w:spacing w:after="0" w:line="240" w:lineRule="auto"/>
              <w:jc w:val="left"/>
            </w:pPr>
            <w:r w:rsidRPr="00A325DC">
              <w:rPr>
                <w:sz w:val="15"/>
              </w:rPr>
              <w:t>Directly relevant to resource-limited screening; programme objectives determine acceptable trade-offs</w:t>
            </w:r>
          </w:p>
        </w:tc>
        <w:tc>
          <w:tcPr>
            <w:tcW w:w="1699" w:type="dxa"/>
            <w:tcMar>
              <w:top w:w="80" w:type="dxa"/>
              <w:left w:w="80" w:type="dxa"/>
              <w:bottom w:w="80" w:type="dxa"/>
              <w:right w:w="80" w:type="dxa"/>
            </w:tcMar>
            <w:vAlign w:val="center"/>
          </w:tcPr>
          <w:p w14:paraId="44E5A07D" w14:textId="77777777" w:rsidR="00C229FA" w:rsidRPr="00A325DC" w:rsidRDefault="00000000">
            <w:pPr>
              <w:spacing w:after="0" w:line="240" w:lineRule="auto"/>
              <w:jc w:val="left"/>
            </w:pPr>
            <w:r w:rsidRPr="00A325DC">
              <w:rPr>
                <w:sz w:val="15"/>
              </w:rPr>
              <w:t>(Shrestha et al., 2025)</w:t>
            </w:r>
          </w:p>
        </w:tc>
      </w:tr>
      <w:tr w:rsidR="00A325DC" w:rsidRPr="00A325DC" w14:paraId="5652DF57" w14:textId="77777777" w:rsidTr="00A325DC">
        <w:trPr>
          <w:jc w:val="center"/>
        </w:trPr>
        <w:tc>
          <w:tcPr>
            <w:tcW w:w="1468" w:type="dxa"/>
            <w:tcMar>
              <w:top w:w="80" w:type="dxa"/>
              <w:left w:w="80" w:type="dxa"/>
              <w:bottom w:w="80" w:type="dxa"/>
              <w:right w:w="80" w:type="dxa"/>
            </w:tcMar>
            <w:vAlign w:val="center"/>
          </w:tcPr>
          <w:p w14:paraId="22384B08" w14:textId="77777777" w:rsidR="00C229FA" w:rsidRPr="00A325DC" w:rsidRDefault="00000000">
            <w:pPr>
              <w:spacing w:after="0" w:line="240" w:lineRule="auto"/>
              <w:jc w:val="left"/>
            </w:pPr>
            <w:r w:rsidRPr="00A325DC">
              <w:rPr>
                <w:sz w:val="15"/>
              </w:rPr>
              <w:t>Basu et al.; 3D quantitative phase microscopy</w:t>
            </w:r>
          </w:p>
        </w:tc>
        <w:tc>
          <w:tcPr>
            <w:tcW w:w="1756" w:type="dxa"/>
            <w:tcMar>
              <w:top w:w="80" w:type="dxa"/>
              <w:left w:w="80" w:type="dxa"/>
              <w:bottom w:w="80" w:type="dxa"/>
              <w:right w:w="80" w:type="dxa"/>
            </w:tcMar>
            <w:vAlign w:val="center"/>
          </w:tcPr>
          <w:p w14:paraId="64A3381D" w14:textId="77777777" w:rsidR="00C229FA" w:rsidRPr="00A325DC" w:rsidRDefault="00000000">
            <w:pPr>
              <w:spacing w:after="0" w:line="240" w:lineRule="auto"/>
              <w:jc w:val="left"/>
            </w:pPr>
            <w:r w:rsidRPr="00A325DC">
              <w:rPr>
                <w:sz w:val="15"/>
              </w:rPr>
              <w:t>Quantitative phase images of sickle and healthy cells</w:t>
            </w:r>
          </w:p>
        </w:tc>
        <w:tc>
          <w:tcPr>
            <w:tcW w:w="1655" w:type="dxa"/>
            <w:tcMar>
              <w:top w:w="80" w:type="dxa"/>
              <w:left w:w="80" w:type="dxa"/>
              <w:bottom w:w="80" w:type="dxa"/>
              <w:right w:w="80" w:type="dxa"/>
            </w:tcMar>
            <w:vAlign w:val="center"/>
          </w:tcPr>
          <w:p w14:paraId="64AC91F1" w14:textId="77777777" w:rsidR="00C229FA" w:rsidRPr="00A325DC" w:rsidRDefault="00000000">
            <w:pPr>
              <w:spacing w:after="0" w:line="240" w:lineRule="auto"/>
              <w:jc w:val="left"/>
            </w:pPr>
            <w:r w:rsidRPr="00A325DC">
              <w:rPr>
                <w:sz w:val="15"/>
              </w:rPr>
              <w:t>U-Net segmentation plus ML classification</w:t>
            </w:r>
          </w:p>
        </w:tc>
        <w:tc>
          <w:tcPr>
            <w:tcW w:w="1699" w:type="dxa"/>
            <w:tcMar>
              <w:top w:w="80" w:type="dxa"/>
              <w:left w:w="80" w:type="dxa"/>
              <w:bottom w:w="80" w:type="dxa"/>
              <w:right w:w="80" w:type="dxa"/>
            </w:tcMar>
            <w:vAlign w:val="center"/>
          </w:tcPr>
          <w:p w14:paraId="4B67A97C" w14:textId="77777777" w:rsidR="00C229FA" w:rsidRPr="00A325DC" w:rsidRDefault="00000000">
            <w:pPr>
              <w:spacing w:after="0" w:line="240" w:lineRule="auto"/>
              <w:jc w:val="left"/>
            </w:pPr>
            <w:r w:rsidRPr="00A325DC">
              <w:rPr>
                <w:sz w:val="15"/>
              </w:rPr>
              <w:t>Gradient boosting achieved 94.9% accuracy</w:t>
            </w:r>
          </w:p>
        </w:tc>
        <w:tc>
          <w:tcPr>
            <w:tcW w:w="1655" w:type="dxa"/>
            <w:tcMar>
              <w:top w:w="80" w:type="dxa"/>
              <w:left w:w="80" w:type="dxa"/>
              <w:bottom w:w="80" w:type="dxa"/>
              <w:right w:w="80" w:type="dxa"/>
            </w:tcMar>
            <w:vAlign w:val="center"/>
          </w:tcPr>
          <w:p w14:paraId="62DDD934" w14:textId="77777777" w:rsidR="00C229FA" w:rsidRPr="00A325DC" w:rsidRDefault="00000000">
            <w:pPr>
              <w:spacing w:after="0" w:line="240" w:lineRule="auto"/>
              <w:jc w:val="left"/>
            </w:pPr>
            <w:r w:rsidRPr="00A325DC">
              <w:rPr>
                <w:sz w:val="15"/>
              </w:rPr>
              <w:t>Potential functional phenotype; clinical incremental value not yet established</w:t>
            </w:r>
          </w:p>
        </w:tc>
        <w:tc>
          <w:tcPr>
            <w:tcW w:w="1699" w:type="dxa"/>
            <w:tcMar>
              <w:top w:w="80" w:type="dxa"/>
              <w:left w:w="80" w:type="dxa"/>
              <w:bottom w:w="80" w:type="dxa"/>
              <w:right w:w="80" w:type="dxa"/>
            </w:tcMar>
            <w:vAlign w:val="center"/>
          </w:tcPr>
          <w:p w14:paraId="73E293F4" w14:textId="77777777" w:rsidR="00C229FA" w:rsidRPr="00A325DC" w:rsidRDefault="00000000">
            <w:pPr>
              <w:spacing w:after="0" w:line="240" w:lineRule="auto"/>
              <w:jc w:val="left"/>
            </w:pPr>
            <w:r w:rsidRPr="00A325DC">
              <w:rPr>
                <w:sz w:val="15"/>
              </w:rPr>
              <w:t>(Basu et al., 2025)</w:t>
            </w:r>
          </w:p>
        </w:tc>
      </w:tr>
      <w:tr w:rsidR="00A325DC" w:rsidRPr="00A325DC" w14:paraId="2C344845" w14:textId="77777777" w:rsidTr="00A325DC">
        <w:trPr>
          <w:jc w:val="center"/>
        </w:trPr>
        <w:tc>
          <w:tcPr>
            <w:tcW w:w="1468" w:type="dxa"/>
            <w:tcMar>
              <w:top w:w="80" w:type="dxa"/>
              <w:left w:w="80" w:type="dxa"/>
              <w:bottom w:w="80" w:type="dxa"/>
              <w:right w:w="80" w:type="dxa"/>
            </w:tcMar>
            <w:vAlign w:val="center"/>
          </w:tcPr>
          <w:p w14:paraId="444EF56E" w14:textId="77777777" w:rsidR="00C229FA" w:rsidRPr="00A325DC" w:rsidRDefault="00000000">
            <w:pPr>
              <w:spacing w:after="0" w:line="240" w:lineRule="auto"/>
              <w:jc w:val="left"/>
            </w:pPr>
            <w:proofErr w:type="spellStart"/>
            <w:r w:rsidRPr="00A325DC">
              <w:rPr>
                <w:sz w:val="15"/>
              </w:rPr>
              <w:t>Tasji</w:t>
            </w:r>
            <w:proofErr w:type="spellEnd"/>
            <w:r w:rsidRPr="00A325DC">
              <w:rPr>
                <w:sz w:val="15"/>
              </w:rPr>
              <w:t xml:space="preserve"> et al.; public smear benchmark</w:t>
            </w:r>
          </w:p>
        </w:tc>
        <w:tc>
          <w:tcPr>
            <w:tcW w:w="1756" w:type="dxa"/>
            <w:tcMar>
              <w:top w:w="80" w:type="dxa"/>
              <w:left w:w="80" w:type="dxa"/>
              <w:bottom w:w="80" w:type="dxa"/>
              <w:right w:w="80" w:type="dxa"/>
            </w:tcMar>
            <w:vAlign w:val="center"/>
          </w:tcPr>
          <w:p w14:paraId="242A5B39" w14:textId="77777777" w:rsidR="00C229FA" w:rsidRPr="00A325DC" w:rsidRDefault="00000000">
            <w:pPr>
              <w:spacing w:after="0" w:line="240" w:lineRule="auto"/>
              <w:jc w:val="left"/>
            </w:pPr>
            <w:r w:rsidRPr="00A325DC">
              <w:rPr>
                <w:sz w:val="15"/>
              </w:rPr>
              <w:t>Public blood-smear images</w:t>
            </w:r>
          </w:p>
        </w:tc>
        <w:tc>
          <w:tcPr>
            <w:tcW w:w="1655" w:type="dxa"/>
            <w:tcMar>
              <w:top w:w="80" w:type="dxa"/>
              <w:left w:w="80" w:type="dxa"/>
              <w:bottom w:w="80" w:type="dxa"/>
              <w:right w:w="80" w:type="dxa"/>
            </w:tcMar>
            <w:vAlign w:val="center"/>
          </w:tcPr>
          <w:p w14:paraId="07FA6085" w14:textId="77777777" w:rsidR="00C229FA" w:rsidRPr="00A325DC" w:rsidRDefault="00000000">
            <w:pPr>
              <w:spacing w:after="0" w:line="240" w:lineRule="auto"/>
              <w:jc w:val="left"/>
            </w:pPr>
            <w:r w:rsidRPr="00A325DC">
              <w:rPr>
                <w:sz w:val="15"/>
              </w:rPr>
              <w:t>CNN, transformer and hybrid architectures with group-aware splits</w:t>
            </w:r>
          </w:p>
        </w:tc>
        <w:tc>
          <w:tcPr>
            <w:tcW w:w="1699" w:type="dxa"/>
            <w:tcMar>
              <w:top w:w="80" w:type="dxa"/>
              <w:left w:w="80" w:type="dxa"/>
              <w:bottom w:w="80" w:type="dxa"/>
              <w:right w:w="80" w:type="dxa"/>
            </w:tcMar>
            <w:vAlign w:val="center"/>
          </w:tcPr>
          <w:p w14:paraId="2B557462" w14:textId="77777777" w:rsidR="00C229FA" w:rsidRPr="00A325DC" w:rsidRDefault="00000000">
            <w:pPr>
              <w:spacing w:after="0" w:line="240" w:lineRule="auto"/>
              <w:jc w:val="left"/>
            </w:pPr>
            <w:r w:rsidRPr="00A325DC">
              <w:rPr>
                <w:sz w:val="15"/>
              </w:rPr>
              <w:t>CNN and hybrid models more stable than transformer-only models</w:t>
            </w:r>
          </w:p>
        </w:tc>
        <w:tc>
          <w:tcPr>
            <w:tcW w:w="1655" w:type="dxa"/>
            <w:tcMar>
              <w:top w:w="80" w:type="dxa"/>
              <w:left w:w="80" w:type="dxa"/>
              <w:bottom w:w="80" w:type="dxa"/>
              <w:right w:w="80" w:type="dxa"/>
            </w:tcMar>
            <w:vAlign w:val="center"/>
          </w:tcPr>
          <w:p w14:paraId="085E9192" w14:textId="77777777" w:rsidR="00C229FA" w:rsidRPr="00A325DC" w:rsidRDefault="00000000">
            <w:pPr>
              <w:spacing w:after="0" w:line="240" w:lineRule="auto"/>
              <w:jc w:val="left"/>
            </w:pPr>
            <w:r w:rsidRPr="00A325DC">
              <w:rPr>
                <w:sz w:val="15"/>
              </w:rPr>
              <w:t>Methodological improvement in splitting; still limited by source-dataset diversity</w:t>
            </w:r>
          </w:p>
        </w:tc>
        <w:tc>
          <w:tcPr>
            <w:tcW w:w="1699" w:type="dxa"/>
            <w:tcMar>
              <w:top w:w="80" w:type="dxa"/>
              <w:left w:w="80" w:type="dxa"/>
              <w:bottom w:w="80" w:type="dxa"/>
              <w:right w:w="80" w:type="dxa"/>
            </w:tcMar>
            <w:vAlign w:val="center"/>
          </w:tcPr>
          <w:p w14:paraId="2F0349D5" w14:textId="77777777" w:rsidR="00C229FA" w:rsidRPr="00A325DC" w:rsidRDefault="00000000">
            <w:pPr>
              <w:spacing w:after="0" w:line="240" w:lineRule="auto"/>
              <w:jc w:val="left"/>
            </w:pPr>
            <w:r w:rsidRPr="00A325DC">
              <w:rPr>
                <w:sz w:val="15"/>
              </w:rPr>
              <w:t>(Tasji et al., 2026)</w:t>
            </w:r>
          </w:p>
        </w:tc>
      </w:tr>
      <w:tr w:rsidR="00A325DC" w:rsidRPr="00A325DC" w14:paraId="182AD35F" w14:textId="77777777" w:rsidTr="00A325DC">
        <w:trPr>
          <w:jc w:val="center"/>
        </w:trPr>
        <w:tc>
          <w:tcPr>
            <w:tcW w:w="1468" w:type="dxa"/>
            <w:tcMar>
              <w:top w:w="80" w:type="dxa"/>
              <w:left w:w="80" w:type="dxa"/>
              <w:bottom w:w="80" w:type="dxa"/>
              <w:right w:w="80" w:type="dxa"/>
            </w:tcMar>
            <w:vAlign w:val="center"/>
          </w:tcPr>
          <w:p w14:paraId="6CC55B60" w14:textId="77777777" w:rsidR="00C229FA" w:rsidRPr="00A325DC" w:rsidRDefault="00000000">
            <w:pPr>
              <w:spacing w:after="0" w:line="240" w:lineRule="auto"/>
              <w:jc w:val="left"/>
            </w:pPr>
            <w:r w:rsidRPr="00A325DC">
              <w:rPr>
                <w:sz w:val="15"/>
              </w:rPr>
              <w:t>Patel et al.; low-data smear detection</w:t>
            </w:r>
          </w:p>
        </w:tc>
        <w:tc>
          <w:tcPr>
            <w:tcW w:w="1756" w:type="dxa"/>
            <w:tcMar>
              <w:top w:w="80" w:type="dxa"/>
              <w:left w:w="80" w:type="dxa"/>
              <w:bottom w:w="80" w:type="dxa"/>
              <w:right w:w="80" w:type="dxa"/>
            </w:tcMar>
            <w:vAlign w:val="center"/>
          </w:tcPr>
          <w:p w14:paraId="6A4F69AF" w14:textId="77777777" w:rsidR="00C229FA" w:rsidRPr="00A325DC" w:rsidRDefault="00000000">
            <w:pPr>
              <w:spacing w:after="0" w:line="240" w:lineRule="auto"/>
              <w:jc w:val="left"/>
            </w:pPr>
            <w:r w:rsidRPr="00A325DC">
              <w:rPr>
                <w:sz w:val="15"/>
              </w:rPr>
              <w:t>Public SCD image dataset</w:t>
            </w:r>
          </w:p>
        </w:tc>
        <w:tc>
          <w:tcPr>
            <w:tcW w:w="1655" w:type="dxa"/>
            <w:tcMar>
              <w:top w:w="80" w:type="dxa"/>
              <w:left w:w="80" w:type="dxa"/>
              <w:bottom w:w="80" w:type="dxa"/>
              <w:right w:w="80" w:type="dxa"/>
            </w:tcMar>
            <w:vAlign w:val="center"/>
          </w:tcPr>
          <w:p w14:paraId="03964980" w14:textId="77777777" w:rsidR="00C229FA" w:rsidRPr="00A325DC" w:rsidRDefault="00000000">
            <w:pPr>
              <w:spacing w:after="0" w:line="240" w:lineRule="auto"/>
              <w:jc w:val="left"/>
            </w:pPr>
            <w:r w:rsidRPr="00A325DC">
              <w:rPr>
                <w:sz w:val="15"/>
              </w:rPr>
              <w:t>Transfer learning, contrastive learning, focal loss and XAI</w:t>
            </w:r>
          </w:p>
        </w:tc>
        <w:tc>
          <w:tcPr>
            <w:tcW w:w="1699" w:type="dxa"/>
            <w:tcMar>
              <w:top w:w="80" w:type="dxa"/>
              <w:left w:w="80" w:type="dxa"/>
              <w:bottom w:w="80" w:type="dxa"/>
              <w:right w:w="80" w:type="dxa"/>
            </w:tcMar>
            <w:vAlign w:val="center"/>
          </w:tcPr>
          <w:p w14:paraId="378E6EB2" w14:textId="77777777" w:rsidR="00C229FA" w:rsidRPr="00A325DC" w:rsidRDefault="00000000">
            <w:pPr>
              <w:spacing w:after="0" w:line="240" w:lineRule="auto"/>
              <w:jc w:val="left"/>
            </w:pPr>
            <w:r w:rsidRPr="00A325DC">
              <w:rPr>
                <w:sz w:val="15"/>
              </w:rPr>
              <w:t>Improved classification under data scarcity</w:t>
            </w:r>
          </w:p>
        </w:tc>
        <w:tc>
          <w:tcPr>
            <w:tcW w:w="1655" w:type="dxa"/>
            <w:tcMar>
              <w:top w:w="80" w:type="dxa"/>
              <w:left w:w="80" w:type="dxa"/>
              <w:bottom w:w="80" w:type="dxa"/>
              <w:right w:w="80" w:type="dxa"/>
            </w:tcMar>
            <w:vAlign w:val="center"/>
          </w:tcPr>
          <w:p w14:paraId="6E39692B" w14:textId="77777777" w:rsidR="00C229FA" w:rsidRPr="00A325DC" w:rsidRDefault="00000000">
            <w:pPr>
              <w:spacing w:after="0" w:line="240" w:lineRule="auto"/>
              <w:jc w:val="left"/>
            </w:pPr>
            <w:r w:rsidRPr="00A325DC">
              <w:rPr>
                <w:sz w:val="15"/>
              </w:rPr>
              <w:t>Architecture advances remain secondary to independent patient-level validation</w:t>
            </w:r>
          </w:p>
        </w:tc>
        <w:tc>
          <w:tcPr>
            <w:tcW w:w="1699" w:type="dxa"/>
            <w:tcMar>
              <w:top w:w="80" w:type="dxa"/>
              <w:left w:w="80" w:type="dxa"/>
              <w:bottom w:w="80" w:type="dxa"/>
              <w:right w:w="80" w:type="dxa"/>
            </w:tcMar>
            <w:vAlign w:val="center"/>
          </w:tcPr>
          <w:p w14:paraId="2B8493E7" w14:textId="77777777" w:rsidR="00C229FA" w:rsidRPr="00A325DC" w:rsidRDefault="00000000">
            <w:pPr>
              <w:spacing w:after="0" w:line="240" w:lineRule="auto"/>
              <w:jc w:val="left"/>
            </w:pPr>
            <w:r w:rsidRPr="00A325DC">
              <w:rPr>
                <w:sz w:val="15"/>
              </w:rPr>
              <w:t>(Patel et al., 2026)</w:t>
            </w:r>
          </w:p>
        </w:tc>
      </w:tr>
      <w:tr w:rsidR="00A325DC" w:rsidRPr="00A325DC" w14:paraId="71E3A501" w14:textId="77777777" w:rsidTr="00A325DC">
        <w:trPr>
          <w:jc w:val="center"/>
        </w:trPr>
        <w:tc>
          <w:tcPr>
            <w:tcW w:w="1468" w:type="dxa"/>
            <w:tcMar>
              <w:top w:w="80" w:type="dxa"/>
              <w:left w:w="80" w:type="dxa"/>
              <w:bottom w:w="80" w:type="dxa"/>
              <w:right w:w="80" w:type="dxa"/>
            </w:tcMar>
            <w:vAlign w:val="center"/>
          </w:tcPr>
          <w:p w14:paraId="3DFB9DCE" w14:textId="77777777" w:rsidR="00C229FA" w:rsidRPr="00A325DC" w:rsidRDefault="00000000">
            <w:pPr>
              <w:spacing w:after="0" w:line="240" w:lineRule="auto"/>
              <w:jc w:val="left"/>
            </w:pPr>
            <w:r w:rsidRPr="00A325DC">
              <w:rPr>
                <w:sz w:val="15"/>
              </w:rPr>
              <w:t>Ansong-</w:t>
            </w:r>
            <w:proofErr w:type="spellStart"/>
            <w:r w:rsidRPr="00A325DC">
              <w:rPr>
                <w:sz w:val="15"/>
              </w:rPr>
              <w:t>Ansongton</w:t>
            </w:r>
            <w:proofErr w:type="spellEnd"/>
            <w:r w:rsidRPr="00A325DC">
              <w:rPr>
                <w:sz w:val="15"/>
              </w:rPr>
              <w:t xml:space="preserve"> and Adamson; quantitative phase imaging</w:t>
            </w:r>
          </w:p>
        </w:tc>
        <w:tc>
          <w:tcPr>
            <w:tcW w:w="1756" w:type="dxa"/>
            <w:tcMar>
              <w:top w:w="80" w:type="dxa"/>
              <w:left w:w="80" w:type="dxa"/>
              <w:bottom w:w="80" w:type="dxa"/>
              <w:right w:w="80" w:type="dxa"/>
            </w:tcMar>
            <w:vAlign w:val="center"/>
          </w:tcPr>
          <w:p w14:paraId="78E1CDCF" w14:textId="77777777" w:rsidR="00C229FA" w:rsidRPr="00A325DC" w:rsidRDefault="00000000">
            <w:pPr>
              <w:spacing w:after="0" w:line="240" w:lineRule="auto"/>
              <w:jc w:val="left"/>
            </w:pPr>
            <w:r w:rsidRPr="00A325DC">
              <w:rPr>
                <w:sz w:val="15"/>
              </w:rPr>
              <w:t>In-vitro SCD and non-SCD erythrocytes</w:t>
            </w:r>
          </w:p>
        </w:tc>
        <w:tc>
          <w:tcPr>
            <w:tcW w:w="1655" w:type="dxa"/>
            <w:tcMar>
              <w:top w:w="80" w:type="dxa"/>
              <w:left w:w="80" w:type="dxa"/>
              <w:bottom w:w="80" w:type="dxa"/>
              <w:right w:w="80" w:type="dxa"/>
            </w:tcMar>
            <w:vAlign w:val="center"/>
          </w:tcPr>
          <w:p w14:paraId="09A18693" w14:textId="77777777" w:rsidR="00C229FA" w:rsidRPr="00A325DC" w:rsidRDefault="00000000">
            <w:pPr>
              <w:spacing w:after="0" w:line="240" w:lineRule="auto"/>
              <w:jc w:val="left"/>
            </w:pPr>
            <w:r w:rsidRPr="00A325DC">
              <w:rPr>
                <w:sz w:val="15"/>
              </w:rPr>
              <w:t>Hand-crafted and learned-feature health indices</w:t>
            </w:r>
          </w:p>
        </w:tc>
        <w:tc>
          <w:tcPr>
            <w:tcW w:w="1699" w:type="dxa"/>
            <w:tcMar>
              <w:top w:w="80" w:type="dxa"/>
              <w:left w:w="80" w:type="dxa"/>
              <w:bottom w:w="80" w:type="dxa"/>
              <w:right w:w="80" w:type="dxa"/>
            </w:tcMar>
            <w:vAlign w:val="center"/>
          </w:tcPr>
          <w:p w14:paraId="14B458FF" w14:textId="77777777" w:rsidR="00C229FA" w:rsidRPr="00A325DC" w:rsidRDefault="00000000">
            <w:pPr>
              <w:spacing w:after="0" w:line="240" w:lineRule="auto"/>
              <w:jc w:val="left"/>
            </w:pPr>
            <w:r w:rsidRPr="00A325DC">
              <w:rPr>
                <w:sz w:val="15"/>
              </w:rPr>
              <w:t>Composite index sensitive to disease status and chemical sickling</w:t>
            </w:r>
          </w:p>
        </w:tc>
        <w:tc>
          <w:tcPr>
            <w:tcW w:w="1655" w:type="dxa"/>
            <w:tcMar>
              <w:top w:w="80" w:type="dxa"/>
              <w:left w:w="80" w:type="dxa"/>
              <w:bottom w:w="80" w:type="dxa"/>
              <w:right w:w="80" w:type="dxa"/>
            </w:tcMar>
            <w:vAlign w:val="center"/>
          </w:tcPr>
          <w:p w14:paraId="65C6ECD3" w14:textId="77777777" w:rsidR="00C229FA" w:rsidRPr="00A325DC" w:rsidRDefault="00000000">
            <w:pPr>
              <w:spacing w:after="0" w:line="240" w:lineRule="auto"/>
              <w:jc w:val="left"/>
            </w:pPr>
            <w:r w:rsidRPr="00A325DC">
              <w:rPr>
                <w:sz w:val="15"/>
              </w:rPr>
              <w:t>Promising mechanistic phenotype; clinical-outcome validity unproven</w:t>
            </w:r>
          </w:p>
        </w:tc>
        <w:tc>
          <w:tcPr>
            <w:tcW w:w="1699" w:type="dxa"/>
            <w:tcMar>
              <w:top w:w="80" w:type="dxa"/>
              <w:left w:w="80" w:type="dxa"/>
              <w:bottom w:w="80" w:type="dxa"/>
              <w:right w:w="80" w:type="dxa"/>
            </w:tcMar>
            <w:vAlign w:val="center"/>
          </w:tcPr>
          <w:p w14:paraId="1B7851B7" w14:textId="77777777" w:rsidR="00C229FA" w:rsidRPr="00A325DC" w:rsidRDefault="00000000">
            <w:pPr>
              <w:spacing w:after="0" w:line="240" w:lineRule="auto"/>
              <w:jc w:val="left"/>
            </w:pPr>
            <w:r w:rsidRPr="00A325DC">
              <w:rPr>
                <w:sz w:val="15"/>
              </w:rPr>
              <w:t>(Ansong-Ansongton &amp; Adamson, 2024)</w:t>
            </w:r>
          </w:p>
        </w:tc>
      </w:tr>
    </w:tbl>
    <w:p w14:paraId="453E1B2A" w14:textId="77777777" w:rsidR="00C229FA" w:rsidRPr="00A325DC" w:rsidRDefault="00000000">
      <w:pPr>
        <w:spacing w:before="60" w:after="160" w:line="240" w:lineRule="auto"/>
      </w:pPr>
      <w:r w:rsidRPr="00A325DC">
        <w:rPr>
          <w:i/>
          <w:sz w:val="16"/>
        </w:rPr>
        <w:t>Note. AI = artificial intelligence; AUC = area under the receiver-operating characteristic curve; CNN = convolutional neural network; ML = machine learning; SCD = sickle cell disease; XAI = explainable artificial intelligence.</w:t>
      </w:r>
    </w:p>
    <w:p w14:paraId="7AA4E136" w14:textId="77777777" w:rsidR="00C229FA" w:rsidRPr="00A325DC" w:rsidRDefault="00000000">
      <w:pPr>
        <w:pStyle w:val="Heading1"/>
        <w:rPr>
          <w:color w:val="auto"/>
        </w:rPr>
      </w:pPr>
      <w:r w:rsidRPr="00A325DC">
        <w:rPr>
          <w:color w:val="auto"/>
        </w:rPr>
        <w:t>5. Risk Prediction for Acute Events and Organ Complications</w:t>
      </w:r>
    </w:p>
    <w:p w14:paraId="2260D559" w14:textId="77777777" w:rsidR="00C229FA" w:rsidRPr="00A325DC" w:rsidRDefault="00000000">
      <w:pPr>
        <w:pStyle w:val="Heading2"/>
        <w:rPr>
          <w:color w:val="auto"/>
        </w:rPr>
      </w:pPr>
      <w:r w:rsidRPr="00A325DC">
        <w:rPr>
          <w:color w:val="auto"/>
        </w:rPr>
        <w:t>5.1 Pain and Vaso-Occlusive Risk: Distinguishing State Estimation from Forecasting</w:t>
      </w:r>
    </w:p>
    <w:p w14:paraId="77E56D34" w14:textId="77777777" w:rsidR="00C229FA" w:rsidRPr="00A325DC" w:rsidRDefault="00000000">
      <w:r w:rsidRPr="00A325DC">
        <w:t>Pain is the outcome for which SCD AI most clearly demonstrates both promise and conceptual ambiguity. Pain is clinically central, biologically complex and intrinsically patient-reported. An algorithm that infers a patient's current pain score from vital signs is therefore answering a different question from an algorithm that predicts an impending VOC before pain becomes severe. Conflating these tasks can produce misleading claims about “prediction”. The most clinically ambitious objective is prospective warning early enough to support hydration, medication adjustment, contact with the care team or other preventive action, but robust evidence for that objective remains limited.</w:t>
      </w:r>
    </w:p>
    <w:p w14:paraId="379B54BC" w14:textId="77777777" w:rsidR="00C229FA" w:rsidRPr="00A325DC" w:rsidRDefault="00000000">
      <w:r w:rsidRPr="00A325DC">
        <w:t xml:space="preserve">Ji et al. (2021) provide one of the more physiologically grounded prospective examples. Using PPG-derived features measured during sleep in 212 children, they developed a stacked ML model to classify future pain-crisis </w:t>
      </w:r>
      <w:r w:rsidRPr="00A325DC">
        <w:lastRenderedPageBreak/>
        <w:t>propensity. The dataset was substantially imbalanced, with many more low-pain than high-pain participants, and the final F1 score for future VOC risk was modest at 0.43. From a purely algorithmic perspective this performance is not impressive. From a physiological perspective, however, the study is important because the features relate to transient peripheral vasoconstriction, linking model input to a plausible microvascular mechanism. The result therefore represents a meaningful hypothesis about physiology even though it is not ready for clinical deployment.</w:t>
      </w:r>
    </w:p>
    <w:p w14:paraId="5D0E790D" w14:textId="77777777" w:rsidR="00C229FA" w:rsidRPr="00A325DC" w:rsidRDefault="00000000">
      <w:r w:rsidRPr="00A325DC">
        <w:t>Wearable studies using consumer devices have broadened the signal set. Stojancic et al. (2023) enrolled 20 adults during day-hospital VOC care and used Apple Watch measures including heart rate and heart-rate variability to estimate pain scores. A random-forest model achieved 84.5% accuracy with a root-mean-square error of 0.84, but participants wore the device for a median of only a few hours, so the study primarily demonstrated feasibility and concurrent pain estimation. Vuong et al. (2023) extended monitoring to 19 adults during and after VOC admission for a median of 28 days, yielding 2,395 pain data points. The best random-forest model showed high micro-averaged accuracy and an area under the receiver-operating characteristic curve of 0.9, yet the F1 score was more modest. Repeated observations from a very small number of individuals mean that the apparent data volume should not be mistaken for population diversity.</w:t>
      </w:r>
    </w:p>
    <w:p w14:paraId="0F46CFE0" w14:textId="77777777" w:rsidR="00C229FA" w:rsidRPr="00A325DC" w:rsidRDefault="00000000">
      <w:r w:rsidRPr="00A325DC">
        <w:t>The distinction between observations and independent patients is crucial in wearable AI. Thousands of time points can support within-person pattern learning while providing little assurance of between-person generalisation. SCD genotypes, baseline autonomic physiology, medications, anaemia severity, activity patterns and device-wearing behaviour can differ substantially across patients. In addition, missingness is often informative: a patient may remove a device during severe pain, bathing, work or hospital care. Treating such missingness as random can bias a model. Prospective validation should therefore separate patients across training and testing, pre-specify prediction horizons, evaluate alarm burden and measure whether warnings precede clinically recognised deterioration.</w:t>
      </w:r>
    </w:p>
    <w:p w14:paraId="2AA18A49" w14:textId="77777777" w:rsidR="00C229FA" w:rsidRPr="00A325DC" w:rsidRDefault="00000000">
      <w:r w:rsidRPr="00A325DC">
        <w:t>Padhee et al. (2022) used EHR vital signs and medication variables to predict reported pain intensity in 496 patients across five years. Medication information improved classification, which makes sense for estimating current clinical state because medication type and dose are strongly related to pain management. Yet this creates an important causal-ordering problem if the model is interpreted as an early warning system. Medication may be administered because pain has already been assessed. In that setting it is a consequence of clinician recognition rather than an independent precursor. Physiology-informed modelling therefore requires explicit separation of prediction-before-intervention from state estimation-after-intervention.</w:t>
      </w:r>
    </w:p>
    <w:p w14:paraId="1242D80E" w14:textId="77777777" w:rsidR="00C229FA" w:rsidRPr="00A325DC" w:rsidRDefault="00000000">
      <w:pPr>
        <w:pStyle w:val="Heading2"/>
        <w:rPr>
          <w:color w:val="auto"/>
        </w:rPr>
      </w:pPr>
      <w:r w:rsidRPr="00A325DC">
        <w:rPr>
          <w:color w:val="auto"/>
        </w:rPr>
        <w:t>5.2 Acute Physiological Deterioration</w:t>
      </w:r>
    </w:p>
    <w:p w14:paraId="29675A25" w14:textId="77777777" w:rsidR="00C229FA" w:rsidRPr="00A325DC" w:rsidRDefault="00000000">
      <w:r w:rsidRPr="00A325DC">
        <w:t>In critical care, Mohammed et al. (2020) used high-frequency physiological variables to predict acute organ failure in adults with SCD. The study included 63 patients and 163 ICU encounters, with signal-processing features derived from heart rate, blood pressure and respiratory rate. A multilayer perceptron reportedly achieved high sensitivity and specificity for organ failure up to six hours before onset. The model is attractive because it uses dynamic physiology and a clinically meaningful time horizon. Nevertheless, the small single-centre cohort and repeated encounters create a substantial risk that model performance depends on local ICU practice or patient-level correlation. Independent temporal and external validation is necessary before high reported accuracy can be interpreted as a reliable early-warning tool.</w:t>
      </w:r>
    </w:p>
    <w:p w14:paraId="7CF9F4BC" w14:textId="77777777" w:rsidR="00C229FA" w:rsidRPr="00A325DC" w:rsidRDefault="00000000">
      <w:r w:rsidRPr="00A325DC">
        <w:t xml:space="preserve">This study also exposes a broader issue in SCD acute-care modelling: the outcome definition can incorporate the same physiological variables used as predictors. Organ-failure scores and clinical deterioration definitions often include blood pressure, respiratory and laboratory measurements. If predictors are temporally close to the threshold used to define the event, an algorithm may identify the onset of the definition rather than anticipate the underlying pathophysiology. Clinically useful forecasting requires a clear “prediction gap” between the last </w:t>
      </w:r>
      <w:r w:rsidRPr="00A325DC">
        <w:lastRenderedPageBreak/>
        <w:t>input and event determination, alongside sensitivity analyses excluding variables that are direct components of the outcome.</w:t>
      </w:r>
    </w:p>
    <w:p w14:paraId="1C2ED273" w14:textId="77777777" w:rsidR="00C229FA" w:rsidRPr="00A325DC" w:rsidRDefault="00000000">
      <w:pPr>
        <w:pStyle w:val="Heading2"/>
        <w:rPr>
          <w:color w:val="auto"/>
        </w:rPr>
      </w:pPr>
      <w:r w:rsidRPr="00A325DC">
        <w:rPr>
          <w:color w:val="auto"/>
        </w:rPr>
        <w:t>5.3 Kidney Decline and Chronic Organ Risk</w:t>
      </w:r>
    </w:p>
    <w:p w14:paraId="4B4C4CE2" w14:textId="77777777" w:rsidR="00C229FA" w:rsidRPr="00A325DC" w:rsidRDefault="00000000">
      <w:r w:rsidRPr="00A325DC">
        <w:t>Sickle nephropathy progresses variably, making early risk stratification clinically valuable. Güntürkün et al. (2021) developed ML models for rapid decline in estimated glomerular filtration rate (eGFR) in sickle cell anaemia, using an internal cohort and an external cohort. Reported discrimination for six-month decline was high, whereas longer-horizon performance was weaker. The inclusion of an external cohort strengthens the study relative to most SCD AI work, but the short report, limited sample size and changing eGFR behaviour in SCD constrain inference. Hyperfiltration, creatinine biology, acute illness and treatment can complicate conventional kidney metrics, so prediction should ultimately be linked to validated kidney endpoints and intervention strategies rather than eGFR change alone.</w:t>
      </w:r>
    </w:p>
    <w:p w14:paraId="492E6267" w14:textId="77777777" w:rsidR="00C229FA" w:rsidRPr="00A325DC" w:rsidRDefault="00000000">
      <w:r w:rsidRPr="00A325DC">
        <w:t>The temporal horizon matters especially for organ complications. A model that predicts six-month laboratory decline may be useful for intensified surveillance, but only if risk categories are calibrated and stable enough to change management. For long-term precision care, models need to account for age, genotype, hydroxyurea exposure, transfusion history, blood pressure, albuminuria and competing organ disease. Such models may benefit from mechanistic priors because the number of plausible covariates can easily exceed what SCD cohorts can support statistically.</w:t>
      </w:r>
    </w:p>
    <w:p w14:paraId="1381DD44" w14:textId="77777777" w:rsidR="00C229FA" w:rsidRPr="00A325DC" w:rsidRDefault="00000000">
      <w:pPr>
        <w:pStyle w:val="Heading2"/>
        <w:rPr>
          <w:color w:val="auto"/>
        </w:rPr>
      </w:pPr>
      <w:r w:rsidRPr="00A325DC">
        <w:rPr>
          <w:color w:val="auto"/>
        </w:rPr>
        <w:t>5.4 Readmission as a Hybrid Biological and System Outcome</w:t>
      </w:r>
    </w:p>
    <w:p w14:paraId="781236FE" w14:textId="77777777" w:rsidR="00C229FA" w:rsidRPr="00A325DC" w:rsidRDefault="00000000">
      <w:r w:rsidRPr="00A325DC">
        <w:t>Patel et al. (2021) developed ML models for 30-day unplanned readmission using 446 adults and 3,299 admissions. Random forest and logistic regression achieved C-statistics around 0.77, outperforming general readmission scores. The study demonstrates that SCD-specific longitudinal data improve prediction of a service-use outcome, but readmission should not be interpreted as a pure measure of biological severity. It is jointly determined by pain burden, organ disease, discharge decisions, outpatient access, opioid policies, socioeconomic circumstances, transportation and thresholds for returning to hospital.</w:t>
      </w:r>
    </w:p>
    <w:p w14:paraId="6DD49E70" w14:textId="77777777" w:rsidR="00C229FA" w:rsidRPr="00A325DC" w:rsidRDefault="00000000">
      <w:r w:rsidRPr="00A325DC">
        <w:t>This hybrid nature makes readmission prediction ethically sensitive. A model can be accurate because it recognises geographic or utilisation patterns associated with limited access, not because it discovers a physiological high-risk state. If the response is to intensify supportive follow-up for those patients, such a model might still improve equity. If the response is to label patients as “high utilisation” or restrict resources, the same model could compound disadvantage. The outcome and intervention must therefore be designed together. SCD is an especially important setting for this principle because painful crises have historically been subject to stigma, mistrust and unequal treatment.</w:t>
      </w:r>
    </w:p>
    <w:p w14:paraId="10CF2BBF" w14:textId="77777777" w:rsidR="00C229FA" w:rsidRPr="00A325DC" w:rsidRDefault="00000000">
      <w:pPr>
        <w:pStyle w:val="Heading2"/>
        <w:rPr>
          <w:color w:val="auto"/>
        </w:rPr>
      </w:pPr>
      <w:r w:rsidRPr="00A325DC">
        <w:rPr>
          <w:color w:val="auto"/>
        </w:rPr>
        <w:t>5.5 Mortality and Unsupervised Phenotyping</w:t>
      </w:r>
    </w:p>
    <w:p w14:paraId="76CDF801" w14:textId="77777777" w:rsidR="00C229FA" w:rsidRPr="00A325DC" w:rsidRDefault="00000000">
      <w:r w:rsidRPr="00A325DC">
        <w:t>Sachdev et al. (2021) applied random survival forests and regularised Cox regression to a prospective cohort of 600 adults, using clinical, laboratory and echocardiographic variables to develop a mortality risk score. The final model combined markers of cardiopulmonary, renal and hepatic injury and achieved a bias-corrected C-statistic of 0.763. The study is notable because ML was used partly for variable selection within a clinically interpretable survival framework rather than as an opaque end-to-end predictor. Its features also map to recognised organ pathophysiology, increasing face validity. The limitation is primarily transportability: the cohort arose from a specialised research context, and calibration across ages, genotypes and global care environments remains uncertain.</w:t>
      </w:r>
    </w:p>
    <w:p w14:paraId="56B0325A" w14:textId="77777777" w:rsidR="00C229FA" w:rsidRPr="00A325DC" w:rsidRDefault="00000000">
      <w:r w:rsidRPr="00A325DC">
        <w:t xml:space="preserve">Padrão et al. (2022) used unsupervised hierarchical clustering to identify three phenotypes among 125 ICU admissions in Brazil. One cluster had substantially higher organ dysfunction, mechanical ventilation and </w:t>
      </w:r>
      <w:r w:rsidRPr="00A325DC">
        <w:lastRenderedPageBreak/>
        <w:t>mortality. Unsupervised phenotyping can be useful when SCD syndromes represent mixtures of pathophysiological states, but clusters are not automatically biological subtypes. Clustering results are sensitive to variable scaling, missingness, feature selection and local admission patterns. Replication across centres is essential before assigning mechanistic meaning or building treatment pathways around such groups.</w:t>
      </w:r>
    </w:p>
    <w:p w14:paraId="4088876E" w14:textId="77777777" w:rsidR="00C229FA" w:rsidRPr="00A325DC" w:rsidRDefault="00000000">
      <w:r w:rsidRPr="00A325DC">
        <w:t>Taken together, SCD risk models show a progression from retrospective service-use outcomes towards physiological time series and multimodal organ-risk models. Table 3 highlights that external validation, calibration, prediction horizon and actionability are more important for translation than a single headline accuracy metric.</w:t>
      </w:r>
    </w:p>
    <w:p w14:paraId="50C04D8B" w14:textId="77777777" w:rsidR="00C229FA" w:rsidRPr="00A325DC" w:rsidRDefault="00000000">
      <w:pPr>
        <w:keepNext/>
        <w:spacing w:before="100" w:after="80"/>
      </w:pPr>
      <w:r w:rsidRPr="00A325DC">
        <w:rPr>
          <w:b/>
          <w:sz w:val="20"/>
        </w:rPr>
        <w:t>Table 3. Representative AI and machine-learning studies for SCD risk prediction</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468"/>
        <w:gridCol w:w="1756"/>
        <w:gridCol w:w="1655"/>
        <w:gridCol w:w="1699"/>
        <w:gridCol w:w="1655"/>
        <w:gridCol w:w="1699"/>
      </w:tblGrid>
      <w:tr w:rsidR="00A325DC" w:rsidRPr="00A325DC" w14:paraId="385AC7FC" w14:textId="77777777" w:rsidTr="00A325DC">
        <w:trPr>
          <w:tblHeader/>
          <w:jc w:val="center"/>
        </w:trPr>
        <w:tc>
          <w:tcPr>
            <w:tcW w:w="1468" w:type="dxa"/>
            <w:tcMar>
              <w:top w:w="80" w:type="dxa"/>
              <w:left w:w="80" w:type="dxa"/>
              <w:bottom w:w="80" w:type="dxa"/>
              <w:right w:w="80" w:type="dxa"/>
            </w:tcMar>
            <w:vAlign w:val="center"/>
          </w:tcPr>
          <w:p w14:paraId="7C6BAB61" w14:textId="77777777" w:rsidR="00C229FA" w:rsidRPr="00A325DC" w:rsidRDefault="00000000">
            <w:pPr>
              <w:spacing w:after="0" w:line="240" w:lineRule="auto"/>
              <w:jc w:val="left"/>
            </w:pPr>
            <w:r w:rsidRPr="00A325DC">
              <w:rPr>
                <w:b/>
                <w:sz w:val="15"/>
              </w:rPr>
              <w:t>Clinical target</w:t>
            </w:r>
          </w:p>
        </w:tc>
        <w:tc>
          <w:tcPr>
            <w:tcW w:w="1756" w:type="dxa"/>
            <w:tcMar>
              <w:top w:w="80" w:type="dxa"/>
              <w:left w:w="80" w:type="dxa"/>
              <w:bottom w:w="80" w:type="dxa"/>
              <w:right w:w="80" w:type="dxa"/>
            </w:tcMar>
            <w:vAlign w:val="center"/>
          </w:tcPr>
          <w:p w14:paraId="499A98EE" w14:textId="77777777" w:rsidR="00C229FA" w:rsidRPr="00A325DC" w:rsidRDefault="00000000">
            <w:pPr>
              <w:spacing w:after="0" w:line="240" w:lineRule="auto"/>
              <w:jc w:val="left"/>
            </w:pPr>
            <w:r w:rsidRPr="00A325DC">
              <w:rPr>
                <w:b/>
                <w:sz w:val="15"/>
              </w:rPr>
              <w:t>Study population</w:t>
            </w:r>
          </w:p>
        </w:tc>
        <w:tc>
          <w:tcPr>
            <w:tcW w:w="1655" w:type="dxa"/>
            <w:tcMar>
              <w:top w:w="80" w:type="dxa"/>
              <w:left w:w="80" w:type="dxa"/>
              <w:bottom w:w="80" w:type="dxa"/>
              <w:right w:w="80" w:type="dxa"/>
            </w:tcMar>
            <w:vAlign w:val="center"/>
          </w:tcPr>
          <w:p w14:paraId="4AE9C37E" w14:textId="77777777" w:rsidR="00C229FA" w:rsidRPr="00A325DC" w:rsidRDefault="00000000">
            <w:pPr>
              <w:spacing w:after="0" w:line="240" w:lineRule="auto"/>
              <w:jc w:val="left"/>
            </w:pPr>
            <w:r w:rsidRPr="00A325DC">
              <w:rPr>
                <w:b/>
                <w:sz w:val="15"/>
              </w:rPr>
              <w:t>Inputs and model</w:t>
            </w:r>
          </w:p>
        </w:tc>
        <w:tc>
          <w:tcPr>
            <w:tcW w:w="1699" w:type="dxa"/>
            <w:tcMar>
              <w:top w:w="80" w:type="dxa"/>
              <w:left w:w="80" w:type="dxa"/>
              <w:bottom w:w="80" w:type="dxa"/>
              <w:right w:w="80" w:type="dxa"/>
            </w:tcMar>
            <w:vAlign w:val="center"/>
          </w:tcPr>
          <w:p w14:paraId="04FD9B3C" w14:textId="77777777" w:rsidR="00C229FA" w:rsidRPr="00A325DC" w:rsidRDefault="00000000">
            <w:pPr>
              <w:spacing w:after="0" w:line="240" w:lineRule="auto"/>
              <w:jc w:val="left"/>
            </w:pPr>
            <w:r w:rsidRPr="00A325DC">
              <w:rPr>
                <w:b/>
                <w:sz w:val="15"/>
              </w:rPr>
              <w:t>Reported performance or finding</w:t>
            </w:r>
          </w:p>
        </w:tc>
        <w:tc>
          <w:tcPr>
            <w:tcW w:w="1655" w:type="dxa"/>
            <w:tcMar>
              <w:top w:w="80" w:type="dxa"/>
              <w:left w:w="80" w:type="dxa"/>
              <w:bottom w:w="80" w:type="dxa"/>
              <w:right w:w="80" w:type="dxa"/>
            </w:tcMar>
            <w:vAlign w:val="center"/>
          </w:tcPr>
          <w:p w14:paraId="1038F3D6" w14:textId="77777777" w:rsidR="00C229FA" w:rsidRPr="00A325DC" w:rsidRDefault="00000000">
            <w:pPr>
              <w:spacing w:after="0" w:line="240" w:lineRule="auto"/>
              <w:jc w:val="left"/>
            </w:pPr>
            <w:r w:rsidRPr="00A325DC">
              <w:rPr>
                <w:b/>
                <w:sz w:val="15"/>
              </w:rPr>
              <w:t>Main translational limitation</w:t>
            </w:r>
          </w:p>
        </w:tc>
        <w:tc>
          <w:tcPr>
            <w:tcW w:w="1699" w:type="dxa"/>
            <w:tcMar>
              <w:top w:w="80" w:type="dxa"/>
              <w:left w:w="80" w:type="dxa"/>
              <w:bottom w:w="80" w:type="dxa"/>
              <w:right w:w="80" w:type="dxa"/>
            </w:tcMar>
            <w:vAlign w:val="center"/>
          </w:tcPr>
          <w:p w14:paraId="73EF2491" w14:textId="77777777" w:rsidR="00C229FA" w:rsidRPr="00A325DC" w:rsidRDefault="00000000">
            <w:pPr>
              <w:spacing w:after="0" w:line="240" w:lineRule="auto"/>
              <w:jc w:val="left"/>
            </w:pPr>
            <w:r w:rsidRPr="00A325DC">
              <w:rPr>
                <w:b/>
                <w:sz w:val="15"/>
              </w:rPr>
              <w:t>Supporting references</w:t>
            </w:r>
          </w:p>
        </w:tc>
      </w:tr>
      <w:tr w:rsidR="00A325DC" w:rsidRPr="00A325DC" w14:paraId="7A2D303D" w14:textId="77777777" w:rsidTr="00A325DC">
        <w:trPr>
          <w:jc w:val="center"/>
        </w:trPr>
        <w:tc>
          <w:tcPr>
            <w:tcW w:w="1468" w:type="dxa"/>
            <w:tcMar>
              <w:top w:w="80" w:type="dxa"/>
              <w:left w:w="80" w:type="dxa"/>
              <w:bottom w:w="80" w:type="dxa"/>
              <w:right w:w="80" w:type="dxa"/>
            </w:tcMar>
            <w:vAlign w:val="center"/>
          </w:tcPr>
          <w:p w14:paraId="0DB6EB63" w14:textId="77777777" w:rsidR="00C229FA" w:rsidRPr="00A325DC" w:rsidRDefault="00000000">
            <w:pPr>
              <w:spacing w:after="0" w:line="240" w:lineRule="auto"/>
              <w:jc w:val="left"/>
            </w:pPr>
            <w:r w:rsidRPr="00A325DC">
              <w:rPr>
                <w:sz w:val="15"/>
              </w:rPr>
              <w:t>Future pain-crisis propensity</w:t>
            </w:r>
          </w:p>
        </w:tc>
        <w:tc>
          <w:tcPr>
            <w:tcW w:w="1756" w:type="dxa"/>
            <w:tcMar>
              <w:top w:w="80" w:type="dxa"/>
              <w:left w:w="80" w:type="dxa"/>
              <w:bottom w:w="80" w:type="dxa"/>
              <w:right w:w="80" w:type="dxa"/>
            </w:tcMar>
            <w:vAlign w:val="center"/>
          </w:tcPr>
          <w:p w14:paraId="3D70EA77" w14:textId="77777777" w:rsidR="00C229FA" w:rsidRPr="00A325DC" w:rsidRDefault="00000000">
            <w:pPr>
              <w:spacing w:after="0" w:line="240" w:lineRule="auto"/>
              <w:jc w:val="left"/>
            </w:pPr>
            <w:r w:rsidRPr="00A325DC">
              <w:rPr>
                <w:sz w:val="15"/>
              </w:rPr>
              <w:t>212 children from a sleep cohort</w:t>
            </w:r>
          </w:p>
        </w:tc>
        <w:tc>
          <w:tcPr>
            <w:tcW w:w="1655" w:type="dxa"/>
            <w:tcMar>
              <w:top w:w="80" w:type="dxa"/>
              <w:left w:w="80" w:type="dxa"/>
              <w:bottom w:w="80" w:type="dxa"/>
              <w:right w:w="80" w:type="dxa"/>
            </w:tcMar>
            <w:vAlign w:val="center"/>
          </w:tcPr>
          <w:p w14:paraId="2FDFA53B" w14:textId="77777777" w:rsidR="00C229FA" w:rsidRPr="00A325DC" w:rsidRDefault="00000000">
            <w:pPr>
              <w:spacing w:after="0" w:line="240" w:lineRule="auto"/>
              <w:jc w:val="left"/>
            </w:pPr>
            <w:r w:rsidRPr="00A325DC">
              <w:rPr>
                <w:sz w:val="15"/>
              </w:rPr>
              <w:t>Sleep PPG features and stacked ML</w:t>
            </w:r>
          </w:p>
        </w:tc>
        <w:tc>
          <w:tcPr>
            <w:tcW w:w="1699" w:type="dxa"/>
            <w:tcMar>
              <w:top w:w="80" w:type="dxa"/>
              <w:left w:w="80" w:type="dxa"/>
              <w:bottom w:w="80" w:type="dxa"/>
              <w:right w:w="80" w:type="dxa"/>
            </w:tcMar>
            <w:vAlign w:val="center"/>
          </w:tcPr>
          <w:p w14:paraId="31D2A5A5" w14:textId="77777777" w:rsidR="00C229FA" w:rsidRPr="00A325DC" w:rsidRDefault="00000000">
            <w:pPr>
              <w:spacing w:after="0" w:line="240" w:lineRule="auto"/>
              <w:jc w:val="left"/>
            </w:pPr>
            <w:r w:rsidRPr="00A325DC">
              <w:rPr>
                <w:sz w:val="15"/>
              </w:rPr>
              <w:t>Future-VOC F1 approximately 0.43; better than conventional comparator</w:t>
            </w:r>
          </w:p>
        </w:tc>
        <w:tc>
          <w:tcPr>
            <w:tcW w:w="1655" w:type="dxa"/>
            <w:tcMar>
              <w:top w:w="80" w:type="dxa"/>
              <w:left w:w="80" w:type="dxa"/>
              <w:bottom w:w="80" w:type="dxa"/>
              <w:right w:w="80" w:type="dxa"/>
            </w:tcMar>
            <w:vAlign w:val="center"/>
          </w:tcPr>
          <w:p w14:paraId="79298347" w14:textId="77777777" w:rsidR="00C229FA" w:rsidRPr="00A325DC" w:rsidRDefault="00000000">
            <w:pPr>
              <w:spacing w:after="0" w:line="240" w:lineRule="auto"/>
              <w:jc w:val="left"/>
            </w:pPr>
            <w:r w:rsidRPr="00A325DC">
              <w:rPr>
                <w:sz w:val="15"/>
              </w:rPr>
              <w:t>Class imbalance and modest discrimination; prospective alarm utility untested</w:t>
            </w:r>
          </w:p>
        </w:tc>
        <w:tc>
          <w:tcPr>
            <w:tcW w:w="1699" w:type="dxa"/>
            <w:tcMar>
              <w:top w:w="80" w:type="dxa"/>
              <w:left w:w="80" w:type="dxa"/>
              <w:bottom w:w="80" w:type="dxa"/>
              <w:right w:w="80" w:type="dxa"/>
            </w:tcMar>
            <w:vAlign w:val="center"/>
          </w:tcPr>
          <w:p w14:paraId="489E40EA" w14:textId="77777777" w:rsidR="00C229FA" w:rsidRPr="00A325DC" w:rsidRDefault="00000000">
            <w:pPr>
              <w:spacing w:after="0" w:line="240" w:lineRule="auto"/>
              <w:jc w:val="left"/>
            </w:pPr>
            <w:r w:rsidRPr="00A325DC">
              <w:rPr>
                <w:sz w:val="15"/>
              </w:rPr>
              <w:t>(Ji et al., 2021)</w:t>
            </w:r>
          </w:p>
        </w:tc>
      </w:tr>
      <w:tr w:rsidR="00A325DC" w:rsidRPr="00A325DC" w14:paraId="18D93A60" w14:textId="77777777" w:rsidTr="00A325DC">
        <w:trPr>
          <w:jc w:val="center"/>
        </w:trPr>
        <w:tc>
          <w:tcPr>
            <w:tcW w:w="1468" w:type="dxa"/>
            <w:tcMar>
              <w:top w:w="80" w:type="dxa"/>
              <w:left w:w="80" w:type="dxa"/>
              <w:bottom w:w="80" w:type="dxa"/>
              <w:right w:w="80" w:type="dxa"/>
            </w:tcMar>
            <w:vAlign w:val="center"/>
          </w:tcPr>
          <w:p w14:paraId="32A08F32" w14:textId="77777777" w:rsidR="00C229FA" w:rsidRPr="00A325DC" w:rsidRDefault="00000000">
            <w:pPr>
              <w:spacing w:after="0" w:line="240" w:lineRule="auto"/>
              <w:jc w:val="left"/>
            </w:pPr>
            <w:r w:rsidRPr="00A325DC">
              <w:rPr>
                <w:sz w:val="15"/>
              </w:rPr>
              <w:t>Concurrent pain estimation</w:t>
            </w:r>
          </w:p>
        </w:tc>
        <w:tc>
          <w:tcPr>
            <w:tcW w:w="1756" w:type="dxa"/>
            <w:tcMar>
              <w:top w:w="80" w:type="dxa"/>
              <w:left w:w="80" w:type="dxa"/>
              <w:bottom w:w="80" w:type="dxa"/>
              <w:right w:w="80" w:type="dxa"/>
            </w:tcMar>
            <w:vAlign w:val="center"/>
          </w:tcPr>
          <w:p w14:paraId="54A22E88" w14:textId="77777777" w:rsidR="00C229FA" w:rsidRPr="00A325DC" w:rsidRDefault="00000000">
            <w:pPr>
              <w:spacing w:after="0" w:line="240" w:lineRule="auto"/>
              <w:jc w:val="left"/>
            </w:pPr>
            <w:r w:rsidRPr="00A325DC">
              <w:rPr>
                <w:sz w:val="15"/>
              </w:rPr>
              <w:t>496 patients with longitudinal EHR data</w:t>
            </w:r>
          </w:p>
        </w:tc>
        <w:tc>
          <w:tcPr>
            <w:tcW w:w="1655" w:type="dxa"/>
            <w:tcMar>
              <w:top w:w="80" w:type="dxa"/>
              <w:left w:w="80" w:type="dxa"/>
              <w:bottom w:w="80" w:type="dxa"/>
              <w:right w:w="80" w:type="dxa"/>
            </w:tcMar>
            <w:vAlign w:val="center"/>
          </w:tcPr>
          <w:p w14:paraId="6CDFE82D" w14:textId="77777777" w:rsidR="00C229FA" w:rsidRPr="00A325DC" w:rsidRDefault="00000000">
            <w:pPr>
              <w:spacing w:after="0" w:line="240" w:lineRule="auto"/>
              <w:jc w:val="left"/>
            </w:pPr>
            <w:r w:rsidRPr="00A325DC">
              <w:rPr>
                <w:sz w:val="15"/>
              </w:rPr>
              <w:t>Vital signs, medication features, representation learning plus classifiers</w:t>
            </w:r>
          </w:p>
        </w:tc>
        <w:tc>
          <w:tcPr>
            <w:tcW w:w="1699" w:type="dxa"/>
            <w:tcMar>
              <w:top w:w="80" w:type="dxa"/>
              <w:left w:w="80" w:type="dxa"/>
              <w:bottom w:w="80" w:type="dxa"/>
              <w:right w:w="80" w:type="dxa"/>
            </w:tcMar>
            <w:vAlign w:val="center"/>
          </w:tcPr>
          <w:p w14:paraId="64DAFF34" w14:textId="77777777" w:rsidR="00C229FA" w:rsidRPr="00A325DC" w:rsidRDefault="00000000">
            <w:pPr>
              <w:spacing w:after="0" w:line="240" w:lineRule="auto"/>
              <w:jc w:val="left"/>
            </w:pPr>
            <w:r w:rsidRPr="00A325DC">
              <w:rPr>
                <w:sz w:val="15"/>
              </w:rPr>
              <w:t>Medication information improved pain-score classification</w:t>
            </w:r>
          </w:p>
        </w:tc>
        <w:tc>
          <w:tcPr>
            <w:tcW w:w="1655" w:type="dxa"/>
            <w:tcMar>
              <w:top w:w="80" w:type="dxa"/>
              <w:left w:w="80" w:type="dxa"/>
              <w:bottom w:w="80" w:type="dxa"/>
              <w:right w:w="80" w:type="dxa"/>
            </w:tcMar>
            <w:vAlign w:val="center"/>
          </w:tcPr>
          <w:p w14:paraId="407D6DA5" w14:textId="77777777" w:rsidR="00C229FA" w:rsidRPr="00A325DC" w:rsidRDefault="00000000">
            <w:pPr>
              <w:spacing w:after="0" w:line="240" w:lineRule="auto"/>
              <w:jc w:val="left"/>
            </w:pPr>
            <w:r w:rsidRPr="00A325DC">
              <w:rPr>
                <w:sz w:val="15"/>
              </w:rPr>
              <w:t>Medication may be downstream of pain recognition; not equivalent to pre-VOC forecasting</w:t>
            </w:r>
          </w:p>
        </w:tc>
        <w:tc>
          <w:tcPr>
            <w:tcW w:w="1699" w:type="dxa"/>
            <w:tcMar>
              <w:top w:w="80" w:type="dxa"/>
              <w:left w:w="80" w:type="dxa"/>
              <w:bottom w:w="80" w:type="dxa"/>
              <w:right w:w="80" w:type="dxa"/>
            </w:tcMar>
            <w:vAlign w:val="center"/>
          </w:tcPr>
          <w:p w14:paraId="26E4212B" w14:textId="77777777" w:rsidR="00C229FA" w:rsidRPr="00A325DC" w:rsidRDefault="00000000">
            <w:pPr>
              <w:spacing w:after="0" w:line="240" w:lineRule="auto"/>
              <w:jc w:val="left"/>
            </w:pPr>
            <w:r w:rsidRPr="00A325DC">
              <w:rPr>
                <w:sz w:val="15"/>
              </w:rPr>
              <w:t>(Padhee et al., 2022)</w:t>
            </w:r>
          </w:p>
        </w:tc>
      </w:tr>
      <w:tr w:rsidR="00A325DC" w:rsidRPr="00A325DC" w14:paraId="729C8B9D" w14:textId="77777777" w:rsidTr="00A325DC">
        <w:trPr>
          <w:jc w:val="center"/>
        </w:trPr>
        <w:tc>
          <w:tcPr>
            <w:tcW w:w="1468" w:type="dxa"/>
            <w:tcMar>
              <w:top w:w="80" w:type="dxa"/>
              <w:left w:w="80" w:type="dxa"/>
              <w:bottom w:w="80" w:type="dxa"/>
              <w:right w:w="80" w:type="dxa"/>
            </w:tcMar>
            <w:vAlign w:val="center"/>
          </w:tcPr>
          <w:p w14:paraId="60A140DA" w14:textId="77777777" w:rsidR="00C229FA" w:rsidRPr="00A325DC" w:rsidRDefault="00000000">
            <w:pPr>
              <w:spacing w:after="0" w:line="240" w:lineRule="auto"/>
              <w:jc w:val="left"/>
            </w:pPr>
            <w:r w:rsidRPr="00A325DC">
              <w:rPr>
                <w:sz w:val="15"/>
              </w:rPr>
              <w:t>Day-hospital VOC pain</w:t>
            </w:r>
          </w:p>
        </w:tc>
        <w:tc>
          <w:tcPr>
            <w:tcW w:w="1756" w:type="dxa"/>
            <w:tcMar>
              <w:top w:w="80" w:type="dxa"/>
              <w:left w:w="80" w:type="dxa"/>
              <w:bottom w:w="80" w:type="dxa"/>
              <w:right w:w="80" w:type="dxa"/>
            </w:tcMar>
            <w:vAlign w:val="center"/>
          </w:tcPr>
          <w:p w14:paraId="2541CC14" w14:textId="77777777" w:rsidR="00C229FA" w:rsidRPr="00A325DC" w:rsidRDefault="00000000">
            <w:pPr>
              <w:spacing w:after="0" w:line="240" w:lineRule="auto"/>
              <w:jc w:val="left"/>
            </w:pPr>
            <w:r w:rsidRPr="00A325DC">
              <w:rPr>
                <w:sz w:val="15"/>
              </w:rPr>
              <w:t>20 adults</w:t>
            </w:r>
          </w:p>
        </w:tc>
        <w:tc>
          <w:tcPr>
            <w:tcW w:w="1655" w:type="dxa"/>
            <w:tcMar>
              <w:top w:w="80" w:type="dxa"/>
              <w:left w:w="80" w:type="dxa"/>
              <w:bottom w:w="80" w:type="dxa"/>
              <w:right w:w="80" w:type="dxa"/>
            </w:tcMar>
            <w:vAlign w:val="center"/>
          </w:tcPr>
          <w:p w14:paraId="683EEFC8" w14:textId="77777777" w:rsidR="00C229FA" w:rsidRPr="00A325DC" w:rsidRDefault="00000000">
            <w:pPr>
              <w:spacing w:after="0" w:line="240" w:lineRule="auto"/>
              <w:jc w:val="left"/>
            </w:pPr>
            <w:r w:rsidRPr="00A325DC">
              <w:rPr>
                <w:sz w:val="15"/>
              </w:rPr>
              <w:t>Apple Watch heart rate/variability and ML</w:t>
            </w:r>
          </w:p>
        </w:tc>
        <w:tc>
          <w:tcPr>
            <w:tcW w:w="1699" w:type="dxa"/>
            <w:tcMar>
              <w:top w:w="80" w:type="dxa"/>
              <w:left w:w="80" w:type="dxa"/>
              <w:bottom w:w="80" w:type="dxa"/>
              <w:right w:w="80" w:type="dxa"/>
            </w:tcMar>
            <w:vAlign w:val="center"/>
          </w:tcPr>
          <w:p w14:paraId="5181C7A9" w14:textId="77777777" w:rsidR="00C229FA" w:rsidRPr="00A325DC" w:rsidRDefault="00000000">
            <w:pPr>
              <w:spacing w:after="0" w:line="240" w:lineRule="auto"/>
              <w:jc w:val="left"/>
            </w:pPr>
            <w:r w:rsidRPr="00A325DC">
              <w:rPr>
                <w:sz w:val="15"/>
              </w:rPr>
              <w:t>Random forest accuracy 84.5%; RMSE 0.84</w:t>
            </w:r>
          </w:p>
        </w:tc>
        <w:tc>
          <w:tcPr>
            <w:tcW w:w="1655" w:type="dxa"/>
            <w:tcMar>
              <w:top w:w="80" w:type="dxa"/>
              <w:left w:w="80" w:type="dxa"/>
              <w:bottom w:w="80" w:type="dxa"/>
              <w:right w:w="80" w:type="dxa"/>
            </w:tcMar>
            <w:vAlign w:val="center"/>
          </w:tcPr>
          <w:p w14:paraId="7AD58FD5" w14:textId="77777777" w:rsidR="00C229FA" w:rsidRPr="00A325DC" w:rsidRDefault="00000000">
            <w:pPr>
              <w:spacing w:after="0" w:line="240" w:lineRule="auto"/>
              <w:jc w:val="left"/>
            </w:pPr>
            <w:r w:rsidRPr="00A325DC">
              <w:rPr>
                <w:sz w:val="15"/>
              </w:rPr>
              <w:t>Very small cohort and short monitoring period</w:t>
            </w:r>
          </w:p>
        </w:tc>
        <w:tc>
          <w:tcPr>
            <w:tcW w:w="1699" w:type="dxa"/>
            <w:tcMar>
              <w:top w:w="80" w:type="dxa"/>
              <w:left w:w="80" w:type="dxa"/>
              <w:bottom w:w="80" w:type="dxa"/>
              <w:right w:w="80" w:type="dxa"/>
            </w:tcMar>
            <w:vAlign w:val="center"/>
          </w:tcPr>
          <w:p w14:paraId="6DFBDEBB" w14:textId="77777777" w:rsidR="00C229FA" w:rsidRPr="00A325DC" w:rsidRDefault="00000000">
            <w:pPr>
              <w:spacing w:after="0" w:line="240" w:lineRule="auto"/>
              <w:jc w:val="left"/>
            </w:pPr>
            <w:r w:rsidRPr="00A325DC">
              <w:rPr>
                <w:sz w:val="15"/>
              </w:rPr>
              <w:t>(Stojancic et al., 2023)</w:t>
            </w:r>
          </w:p>
        </w:tc>
      </w:tr>
      <w:tr w:rsidR="00A325DC" w:rsidRPr="00A325DC" w14:paraId="4FF1CB14" w14:textId="77777777" w:rsidTr="00A325DC">
        <w:trPr>
          <w:jc w:val="center"/>
        </w:trPr>
        <w:tc>
          <w:tcPr>
            <w:tcW w:w="1468" w:type="dxa"/>
            <w:tcMar>
              <w:top w:w="80" w:type="dxa"/>
              <w:left w:w="80" w:type="dxa"/>
              <w:bottom w:w="80" w:type="dxa"/>
              <w:right w:w="80" w:type="dxa"/>
            </w:tcMar>
            <w:vAlign w:val="center"/>
          </w:tcPr>
          <w:p w14:paraId="7AA50496" w14:textId="77777777" w:rsidR="00C229FA" w:rsidRPr="00A325DC" w:rsidRDefault="00000000">
            <w:pPr>
              <w:spacing w:after="0" w:line="240" w:lineRule="auto"/>
              <w:jc w:val="left"/>
            </w:pPr>
            <w:r w:rsidRPr="00A325DC">
              <w:rPr>
                <w:sz w:val="15"/>
              </w:rPr>
              <w:t>Pain during and after VOC admission</w:t>
            </w:r>
          </w:p>
        </w:tc>
        <w:tc>
          <w:tcPr>
            <w:tcW w:w="1756" w:type="dxa"/>
            <w:tcMar>
              <w:top w:w="80" w:type="dxa"/>
              <w:left w:w="80" w:type="dxa"/>
              <w:bottom w:w="80" w:type="dxa"/>
              <w:right w:w="80" w:type="dxa"/>
            </w:tcMar>
            <w:vAlign w:val="center"/>
          </w:tcPr>
          <w:p w14:paraId="27ADE6C1" w14:textId="77777777" w:rsidR="00C229FA" w:rsidRPr="00A325DC" w:rsidRDefault="00000000">
            <w:pPr>
              <w:spacing w:after="0" w:line="240" w:lineRule="auto"/>
              <w:jc w:val="left"/>
            </w:pPr>
            <w:r w:rsidRPr="00A325DC">
              <w:rPr>
                <w:sz w:val="15"/>
              </w:rPr>
              <w:t>19 adults, median follow-up 28 days</w:t>
            </w:r>
          </w:p>
        </w:tc>
        <w:tc>
          <w:tcPr>
            <w:tcW w:w="1655" w:type="dxa"/>
            <w:tcMar>
              <w:top w:w="80" w:type="dxa"/>
              <w:left w:w="80" w:type="dxa"/>
              <w:bottom w:w="80" w:type="dxa"/>
              <w:right w:w="80" w:type="dxa"/>
            </w:tcMar>
            <w:vAlign w:val="center"/>
          </w:tcPr>
          <w:p w14:paraId="557A421E" w14:textId="77777777" w:rsidR="00C229FA" w:rsidRPr="00A325DC" w:rsidRDefault="00000000">
            <w:pPr>
              <w:spacing w:after="0" w:line="240" w:lineRule="auto"/>
              <w:jc w:val="left"/>
            </w:pPr>
            <w:r w:rsidRPr="00A325DC">
              <w:rPr>
                <w:sz w:val="15"/>
              </w:rPr>
              <w:t>Consumer wearable physiology and random forest</w:t>
            </w:r>
          </w:p>
        </w:tc>
        <w:tc>
          <w:tcPr>
            <w:tcW w:w="1699" w:type="dxa"/>
            <w:tcMar>
              <w:top w:w="80" w:type="dxa"/>
              <w:left w:w="80" w:type="dxa"/>
              <w:bottom w:w="80" w:type="dxa"/>
              <w:right w:w="80" w:type="dxa"/>
            </w:tcMar>
            <w:vAlign w:val="center"/>
          </w:tcPr>
          <w:p w14:paraId="4E476817" w14:textId="77777777" w:rsidR="00C229FA" w:rsidRPr="00A325DC" w:rsidRDefault="00000000">
            <w:pPr>
              <w:spacing w:after="0" w:line="240" w:lineRule="auto"/>
              <w:jc w:val="left"/>
            </w:pPr>
            <w:r w:rsidRPr="00A325DC">
              <w:rPr>
                <w:sz w:val="15"/>
              </w:rPr>
              <w:t>Micro-averaged accuracy 92%; AUC 0.9; F1 0.63</w:t>
            </w:r>
          </w:p>
        </w:tc>
        <w:tc>
          <w:tcPr>
            <w:tcW w:w="1655" w:type="dxa"/>
            <w:tcMar>
              <w:top w:w="80" w:type="dxa"/>
              <w:left w:w="80" w:type="dxa"/>
              <w:bottom w:w="80" w:type="dxa"/>
              <w:right w:w="80" w:type="dxa"/>
            </w:tcMar>
            <w:vAlign w:val="center"/>
          </w:tcPr>
          <w:p w14:paraId="2471297A" w14:textId="77777777" w:rsidR="00C229FA" w:rsidRPr="00A325DC" w:rsidRDefault="00000000">
            <w:pPr>
              <w:spacing w:after="0" w:line="240" w:lineRule="auto"/>
              <w:jc w:val="left"/>
            </w:pPr>
            <w:r w:rsidRPr="00A325DC">
              <w:rPr>
                <w:sz w:val="15"/>
              </w:rPr>
              <w:t>Many observations but few independent patients; external validity unknown</w:t>
            </w:r>
          </w:p>
        </w:tc>
        <w:tc>
          <w:tcPr>
            <w:tcW w:w="1699" w:type="dxa"/>
            <w:tcMar>
              <w:top w:w="80" w:type="dxa"/>
              <w:left w:w="80" w:type="dxa"/>
              <w:bottom w:w="80" w:type="dxa"/>
              <w:right w:w="80" w:type="dxa"/>
            </w:tcMar>
            <w:vAlign w:val="center"/>
          </w:tcPr>
          <w:p w14:paraId="2450EF1C" w14:textId="77777777" w:rsidR="00C229FA" w:rsidRPr="00A325DC" w:rsidRDefault="00000000">
            <w:pPr>
              <w:spacing w:after="0" w:line="240" w:lineRule="auto"/>
              <w:jc w:val="left"/>
            </w:pPr>
            <w:r w:rsidRPr="00A325DC">
              <w:rPr>
                <w:sz w:val="15"/>
              </w:rPr>
              <w:t>(Vuong et al., 2023)</w:t>
            </w:r>
          </w:p>
        </w:tc>
      </w:tr>
      <w:tr w:rsidR="00A325DC" w:rsidRPr="00A325DC" w14:paraId="0ACFB81C" w14:textId="77777777" w:rsidTr="00A325DC">
        <w:trPr>
          <w:jc w:val="center"/>
        </w:trPr>
        <w:tc>
          <w:tcPr>
            <w:tcW w:w="1468" w:type="dxa"/>
            <w:tcMar>
              <w:top w:w="80" w:type="dxa"/>
              <w:left w:w="80" w:type="dxa"/>
              <w:bottom w:w="80" w:type="dxa"/>
              <w:right w:w="80" w:type="dxa"/>
            </w:tcMar>
            <w:vAlign w:val="center"/>
          </w:tcPr>
          <w:p w14:paraId="0A08AA2A" w14:textId="77777777" w:rsidR="00C229FA" w:rsidRPr="00A325DC" w:rsidRDefault="00000000">
            <w:pPr>
              <w:spacing w:after="0" w:line="240" w:lineRule="auto"/>
              <w:jc w:val="left"/>
            </w:pPr>
            <w:r w:rsidRPr="00A325DC">
              <w:rPr>
                <w:sz w:val="15"/>
              </w:rPr>
              <w:t>Acute organ failure in ICU</w:t>
            </w:r>
          </w:p>
        </w:tc>
        <w:tc>
          <w:tcPr>
            <w:tcW w:w="1756" w:type="dxa"/>
            <w:tcMar>
              <w:top w:w="80" w:type="dxa"/>
              <w:left w:w="80" w:type="dxa"/>
              <w:bottom w:w="80" w:type="dxa"/>
              <w:right w:w="80" w:type="dxa"/>
            </w:tcMar>
            <w:vAlign w:val="center"/>
          </w:tcPr>
          <w:p w14:paraId="0974D651" w14:textId="77777777" w:rsidR="00C229FA" w:rsidRPr="00A325DC" w:rsidRDefault="00000000">
            <w:pPr>
              <w:spacing w:after="0" w:line="240" w:lineRule="auto"/>
              <w:jc w:val="left"/>
            </w:pPr>
            <w:r w:rsidRPr="00A325DC">
              <w:rPr>
                <w:sz w:val="15"/>
              </w:rPr>
              <w:t>63 patients, 163 encounters</w:t>
            </w:r>
          </w:p>
        </w:tc>
        <w:tc>
          <w:tcPr>
            <w:tcW w:w="1655" w:type="dxa"/>
            <w:tcMar>
              <w:top w:w="80" w:type="dxa"/>
              <w:left w:w="80" w:type="dxa"/>
              <w:bottom w:w="80" w:type="dxa"/>
              <w:right w:w="80" w:type="dxa"/>
            </w:tcMar>
            <w:vAlign w:val="center"/>
          </w:tcPr>
          <w:p w14:paraId="624E98B9" w14:textId="77777777" w:rsidR="00C229FA" w:rsidRPr="00A325DC" w:rsidRDefault="00000000">
            <w:pPr>
              <w:spacing w:after="0" w:line="240" w:lineRule="auto"/>
              <w:jc w:val="left"/>
            </w:pPr>
            <w:r w:rsidRPr="00A325DC">
              <w:rPr>
                <w:sz w:val="15"/>
              </w:rPr>
              <w:t>Heart rate, blood pressure, respiratory-rate signal features; multilayer perceptron</w:t>
            </w:r>
          </w:p>
        </w:tc>
        <w:tc>
          <w:tcPr>
            <w:tcW w:w="1699" w:type="dxa"/>
            <w:tcMar>
              <w:top w:w="80" w:type="dxa"/>
              <w:left w:w="80" w:type="dxa"/>
              <w:bottom w:w="80" w:type="dxa"/>
              <w:right w:w="80" w:type="dxa"/>
            </w:tcMar>
            <w:vAlign w:val="center"/>
          </w:tcPr>
          <w:p w14:paraId="7C45CCFE" w14:textId="77777777" w:rsidR="00C229FA" w:rsidRPr="00A325DC" w:rsidRDefault="00000000">
            <w:pPr>
              <w:spacing w:after="0" w:line="240" w:lineRule="auto"/>
              <w:jc w:val="left"/>
            </w:pPr>
            <w:r w:rsidRPr="00A325DC">
              <w:rPr>
                <w:sz w:val="15"/>
              </w:rPr>
              <w:t>High reported sensitivity and specificity up to six hours before onset</w:t>
            </w:r>
          </w:p>
        </w:tc>
        <w:tc>
          <w:tcPr>
            <w:tcW w:w="1655" w:type="dxa"/>
            <w:tcMar>
              <w:top w:w="80" w:type="dxa"/>
              <w:left w:w="80" w:type="dxa"/>
              <w:bottom w:w="80" w:type="dxa"/>
              <w:right w:w="80" w:type="dxa"/>
            </w:tcMar>
            <w:vAlign w:val="center"/>
          </w:tcPr>
          <w:p w14:paraId="1CD619AC" w14:textId="77777777" w:rsidR="00C229FA" w:rsidRPr="00A325DC" w:rsidRDefault="00000000">
            <w:pPr>
              <w:spacing w:after="0" w:line="240" w:lineRule="auto"/>
              <w:jc w:val="left"/>
            </w:pPr>
            <w:r w:rsidRPr="00A325DC">
              <w:rPr>
                <w:sz w:val="15"/>
              </w:rPr>
              <w:t>Single centre, repeated encounters and possible proximity to outcome-definition variables</w:t>
            </w:r>
          </w:p>
        </w:tc>
        <w:tc>
          <w:tcPr>
            <w:tcW w:w="1699" w:type="dxa"/>
            <w:tcMar>
              <w:top w:w="80" w:type="dxa"/>
              <w:left w:w="80" w:type="dxa"/>
              <w:bottom w:w="80" w:type="dxa"/>
              <w:right w:w="80" w:type="dxa"/>
            </w:tcMar>
            <w:vAlign w:val="center"/>
          </w:tcPr>
          <w:p w14:paraId="5CA39674" w14:textId="77777777" w:rsidR="00C229FA" w:rsidRPr="00A325DC" w:rsidRDefault="00000000">
            <w:pPr>
              <w:spacing w:after="0" w:line="240" w:lineRule="auto"/>
              <w:jc w:val="left"/>
            </w:pPr>
            <w:r w:rsidRPr="00A325DC">
              <w:rPr>
                <w:sz w:val="15"/>
              </w:rPr>
              <w:t>(Mohammed et al., 2020)</w:t>
            </w:r>
          </w:p>
        </w:tc>
      </w:tr>
      <w:tr w:rsidR="00A325DC" w:rsidRPr="00A325DC" w14:paraId="335700EB" w14:textId="77777777" w:rsidTr="00A325DC">
        <w:trPr>
          <w:jc w:val="center"/>
        </w:trPr>
        <w:tc>
          <w:tcPr>
            <w:tcW w:w="1468" w:type="dxa"/>
            <w:tcMar>
              <w:top w:w="80" w:type="dxa"/>
              <w:left w:w="80" w:type="dxa"/>
              <w:bottom w:w="80" w:type="dxa"/>
              <w:right w:w="80" w:type="dxa"/>
            </w:tcMar>
            <w:vAlign w:val="center"/>
          </w:tcPr>
          <w:p w14:paraId="5DD6C716" w14:textId="77777777" w:rsidR="00C229FA" w:rsidRPr="00A325DC" w:rsidRDefault="00000000">
            <w:pPr>
              <w:spacing w:after="0" w:line="240" w:lineRule="auto"/>
              <w:jc w:val="left"/>
            </w:pPr>
            <w:r w:rsidRPr="00A325DC">
              <w:rPr>
                <w:sz w:val="15"/>
              </w:rPr>
              <w:t>Rapid kidney-function decline</w:t>
            </w:r>
          </w:p>
        </w:tc>
        <w:tc>
          <w:tcPr>
            <w:tcW w:w="1756" w:type="dxa"/>
            <w:tcMar>
              <w:top w:w="80" w:type="dxa"/>
              <w:left w:w="80" w:type="dxa"/>
              <w:bottom w:w="80" w:type="dxa"/>
              <w:right w:w="80" w:type="dxa"/>
            </w:tcMar>
            <w:vAlign w:val="center"/>
          </w:tcPr>
          <w:p w14:paraId="13A08AAF" w14:textId="77777777" w:rsidR="00C229FA" w:rsidRPr="00A325DC" w:rsidRDefault="00000000">
            <w:pPr>
              <w:spacing w:after="0" w:line="240" w:lineRule="auto"/>
              <w:jc w:val="left"/>
            </w:pPr>
            <w:r w:rsidRPr="00A325DC">
              <w:rPr>
                <w:sz w:val="15"/>
              </w:rPr>
              <w:t>Internal cohort of 236 and external cohort of 168 patients with HbSS</w:t>
            </w:r>
          </w:p>
        </w:tc>
        <w:tc>
          <w:tcPr>
            <w:tcW w:w="1655" w:type="dxa"/>
            <w:tcMar>
              <w:top w:w="80" w:type="dxa"/>
              <w:left w:w="80" w:type="dxa"/>
              <w:bottom w:w="80" w:type="dxa"/>
              <w:right w:w="80" w:type="dxa"/>
            </w:tcMar>
            <w:vAlign w:val="center"/>
          </w:tcPr>
          <w:p w14:paraId="10F52070" w14:textId="77777777" w:rsidR="00C229FA" w:rsidRPr="00A325DC" w:rsidRDefault="00000000">
            <w:pPr>
              <w:spacing w:after="0" w:line="240" w:lineRule="auto"/>
              <w:jc w:val="left"/>
            </w:pPr>
            <w:r w:rsidRPr="00A325DC">
              <w:rPr>
                <w:sz w:val="15"/>
              </w:rPr>
              <w:t>Clinical and laboratory features with ML classifiers</w:t>
            </w:r>
          </w:p>
        </w:tc>
        <w:tc>
          <w:tcPr>
            <w:tcW w:w="1699" w:type="dxa"/>
            <w:tcMar>
              <w:top w:w="80" w:type="dxa"/>
              <w:left w:w="80" w:type="dxa"/>
              <w:bottom w:w="80" w:type="dxa"/>
              <w:right w:w="80" w:type="dxa"/>
            </w:tcMar>
            <w:vAlign w:val="center"/>
          </w:tcPr>
          <w:p w14:paraId="26EA1965" w14:textId="77777777" w:rsidR="00C229FA" w:rsidRPr="00A325DC" w:rsidRDefault="00000000">
            <w:pPr>
              <w:spacing w:after="0" w:line="240" w:lineRule="auto"/>
              <w:jc w:val="left"/>
            </w:pPr>
            <w:r w:rsidRPr="00A325DC">
              <w:rPr>
                <w:sz w:val="15"/>
              </w:rPr>
              <w:t>Strong short-horizon discrimination; weaker at longer horizon</w:t>
            </w:r>
          </w:p>
        </w:tc>
        <w:tc>
          <w:tcPr>
            <w:tcW w:w="1655" w:type="dxa"/>
            <w:tcMar>
              <w:top w:w="80" w:type="dxa"/>
              <w:left w:w="80" w:type="dxa"/>
              <w:bottom w:w="80" w:type="dxa"/>
              <w:right w:w="80" w:type="dxa"/>
            </w:tcMar>
            <w:vAlign w:val="center"/>
          </w:tcPr>
          <w:p w14:paraId="7DDCEDB6" w14:textId="77777777" w:rsidR="00C229FA" w:rsidRPr="00A325DC" w:rsidRDefault="00000000">
            <w:pPr>
              <w:spacing w:after="0" w:line="240" w:lineRule="auto"/>
              <w:jc w:val="left"/>
            </w:pPr>
            <w:r w:rsidRPr="00A325DC">
              <w:rPr>
                <w:sz w:val="15"/>
              </w:rPr>
              <w:t>Small cohorts and uncertainty about actionable kidney endpoints</w:t>
            </w:r>
          </w:p>
        </w:tc>
        <w:tc>
          <w:tcPr>
            <w:tcW w:w="1699" w:type="dxa"/>
            <w:tcMar>
              <w:top w:w="80" w:type="dxa"/>
              <w:left w:w="80" w:type="dxa"/>
              <w:bottom w:w="80" w:type="dxa"/>
              <w:right w:w="80" w:type="dxa"/>
            </w:tcMar>
            <w:vAlign w:val="center"/>
          </w:tcPr>
          <w:p w14:paraId="1F985DE6" w14:textId="77777777" w:rsidR="00C229FA" w:rsidRPr="00A325DC" w:rsidRDefault="00000000">
            <w:pPr>
              <w:spacing w:after="0" w:line="240" w:lineRule="auto"/>
              <w:jc w:val="left"/>
            </w:pPr>
            <w:r w:rsidRPr="00A325DC">
              <w:rPr>
                <w:sz w:val="15"/>
              </w:rPr>
              <w:t>(Güntürkün et al., 2021)</w:t>
            </w:r>
          </w:p>
        </w:tc>
      </w:tr>
      <w:tr w:rsidR="00A325DC" w:rsidRPr="00A325DC" w14:paraId="0E2F42BB" w14:textId="77777777" w:rsidTr="00A325DC">
        <w:trPr>
          <w:jc w:val="center"/>
        </w:trPr>
        <w:tc>
          <w:tcPr>
            <w:tcW w:w="1468" w:type="dxa"/>
            <w:tcMar>
              <w:top w:w="80" w:type="dxa"/>
              <w:left w:w="80" w:type="dxa"/>
              <w:bottom w:w="80" w:type="dxa"/>
              <w:right w:w="80" w:type="dxa"/>
            </w:tcMar>
            <w:vAlign w:val="center"/>
          </w:tcPr>
          <w:p w14:paraId="2BCB1256" w14:textId="77777777" w:rsidR="00C229FA" w:rsidRPr="00A325DC" w:rsidRDefault="00000000">
            <w:pPr>
              <w:spacing w:after="0" w:line="240" w:lineRule="auto"/>
              <w:jc w:val="left"/>
            </w:pPr>
            <w:r w:rsidRPr="00A325DC">
              <w:rPr>
                <w:sz w:val="15"/>
              </w:rPr>
              <w:t>30-day unplanned readmission</w:t>
            </w:r>
          </w:p>
        </w:tc>
        <w:tc>
          <w:tcPr>
            <w:tcW w:w="1756" w:type="dxa"/>
            <w:tcMar>
              <w:top w:w="80" w:type="dxa"/>
              <w:left w:w="80" w:type="dxa"/>
              <w:bottom w:w="80" w:type="dxa"/>
              <w:right w:w="80" w:type="dxa"/>
            </w:tcMar>
            <w:vAlign w:val="center"/>
          </w:tcPr>
          <w:p w14:paraId="288B345A" w14:textId="77777777" w:rsidR="00C229FA" w:rsidRPr="00A325DC" w:rsidRDefault="00000000">
            <w:pPr>
              <w:spacing w:after="0" w:line="240" w:lineRule="auto"/>
              <w:jc w:val="left"/>
            </w:pPr>
            <w:r w:rsidRPr="00A325DC">
              <w:rPr>
                <w:sz w:val="15"/>
              </w:rPr>
              <w:t>446 adults, 3,299 admissions</w:t>
            </w:r>
          </w:p>
        </w:tc>
        <w:tc>
          <w:tcPr>
            <w:tcW w:w="1655" w:type="dxa"/>
            <w:tcMar>
              <w:top w:w="80" w:type="dxa"/>
              <w:left w:w="80" w:type="dxa"/>
              <w:bottom w:w="80" w:type="dxa"/>
              <w:right w:w="80" w:type="dxa"/>
            </w:tcMar>
            <w:vAlign w:val="center"/>
          </w:tcPr>
          <w:p w14:paraId="7F6422A1" w14:textId="77777777" w:rsidR="00C229FA" w:rsidRPr="00A325DC" w:rsidRDefault="00000000">
            <w:pPr>
              <w:spacing w:after="0" w:line="240" w:lineRule="auto"/>
              <w:jc w:val="left"/>
            </w:pPr>
            <w:r w:rsidRPr="00A325DC">
              <w:rPr>
                <w:sz w:val="15"/>
              </w:rPr>
              <w:t>486 candidate EHR predictors; random forest, logistic regression and SVM</w:t>
            </w:r>
          </w:p>
        </w:tc>
        <w:tc>
          <w:tcPr>
            <w:tcW w:w="1699" w:type="dxa"/>
            <w:tcMar>
              <w:top w:w="80" w:type="dxa"/>
              <w:left w:w="80" w:type="dxa"/>
              <w:bottom w:w="80" w:type="dxa"/>
              <w:right w:w="80" w:type="dxa"/>
            </w:tcMar>
            <w:vAlign w:val="center"/>
          </w:tcPr>
          <w:p w14:paraId="3F9174B2" w14:textId="77777777" w:rsidR="00C229FA" w:rsidRPr="00A325DC" w:rsidRDefault="00000000">
            <w:pPr>
              <w:spacing w:after="0" w:line="240" w:lineRule="auto"/>
              <w:jc w:val="left"/>
            </w:pPr>
            <w:r w:rsidRPr="00A325DC">
              <w:rPr>
                <w:sz w:val="15"/>
              </w:rPr>
              <w:t>Random forest and logistic regression C-statistic about 0.77</w:t>
            </w:r>
          </w:p>
        </w:tc>
        <w:tc>
          <w:tcPr>
            <w:tcW w:w="1655" w:type="dxa"/>
            <w:tcMar>
              <w:top w:w="80" w:type="dxa"/>
              <w:left w:w="80" w:type="dxa"/>
              <w:bottom w:w="80" w:type="dxa"/>
              <w:right w:w="80" w:type="dxa"/>
            </w:tcMar>
            <w:vAlign w:val="center"/>
          </w:tcPr>
          <w:p w14:paraId="4A36B465" w14:textId="77777777" w:rsidR="00C229FA" w:rsidRPr="00A325DC" w:rsidRDefault="00000000">
            <w:pPr>
              <w:spacing w:after="0" w:line="240" w:lineRule="auto"/>
              <w:jc w:val="left"/>
            </w:pPr>
            <w:r w:rsidRPr="00A325DC">
              <w:rPr>
                <w:sz w:val="15"/>
              </w:rPr>
              <w:t>Readmission reflects healthcare access and local practice as well as disease</w:t>
            </w:r>
          </w:p>
        </w:tc>
        <w:tc>
          <w:tcPr>
            <w:tcW w:w="1699" w:type="dxa"/>
            <w:tcMar>
              <w:top w:w="80" w:type="dxa"/>
              <w:left w:w="80" w:type="dxa"/>
              <w:bottom w:w="80" w:type="dxa"/>
              <w:right w:w="80" w:type="dxa"/>
            </w:tcMar>
            <w:vAlign w:val="center"/>
          </w:tcPr>
          <w:p w14:paraId="2FB35777" w14:textId="77777777" w:rsidR="00C229FA" w:rsidRPr="00A325DC" w:rsidRDefault="00000000">
            <w:pPr>
              <w:spacing w:after="0" w:line="240" w:lineRule="auto"/>
              <w:jc w:val="left"/>
            </w:pPr>
            <w:r w:rsidRPr="00A325DC">
              <w:rPr>
                <w:sz w:val="15"/>
              </w:rPr>
              <w:t>(Patel et al., 2021)</w:t>
            </w:r>
          </w:p>
        </w:tc>
      </w:tr>
      <w:tr w:rsidR="00A325DC" w:rsidRPr="00A325DC" w14:paraId="4AAC9C7E" w14:textId="77777777" w:rsidTr="00A325DC">
        <w:trPr>
          <w:jc w:val="center"/>
        </w:trPr>
        <w:tc>
          <w:tcPr>
            <w:tcW w:w="1468" w:type="dxa"/>
            <w:tcMar>
              <w:top w:w="80" w:type="dxa"/>
              <w:left w:w="80" w:type="dxa"/>
              <w:bottom w:w="80" w:type="dxa"/>
              <w:right w:w="80" w:type="dxa"/>
            </w:tcMar>
            <w:vAlign w:val="center"/>
          </w:tcPr>
          <w:p w14:paraId="461FB2E3" w14:textId="77777777" w:rsidR="00C229FA" w:rsidRPr="00A325DC" w:rsidRDefault="00000000">
            <w:pPr>
              <w:spacing w:after="0" w:line="240" w:lineRule="auto"/>
              <w:jc w:val="left"/>
            </w:pPr>
            <w:r w:rsidRPr="00A325DC">
              <w:rPr>
                <w:sz w:val="15"/>
              </w:rPr>
              <w:t>All-cause mortality</w:t>
            </w:r>
          </w:p>
        </w:tc>
        <w:tc>
          <w:tcPr>
            <w:tcW w:w="1756" w:type="dxa"/>
            <w:tcMar>
              <w:top w:w="80" w:type="dxa"/>
              <w:left w:w="80" w:type="dxa"/>
              <w:bottom w:w="80" w:type="dxa"/>
              <w:right w:w="80" w:type="dxa"/>
            </w:tcMar>
            <w:vAlign w:val="center"/>
          </w:tcPr>
          <w:p w14:paraId="491E75B9" w14:textId="77777777" w:rsidR="00C229FA" w:rsidRPr="00A325DC" w:rsidRDefault="00000000">
            <w:pPr>
              <w:spacing w:after="0" w:line="240" w:lineRule="auto"/>
              <w:jc w:val="left"/>
            </w:pPr>
            <w:r w:rsidRPr="00A325DC">
              <w:rPr>
                <w:sz w:val="15"/>
              </w:rPr>
              <w:t>600 adults in a prospective research cohort</w:t>
            </w:r>
          </w:p>
        </w:tc>
        <w:tc>
          <w:tcPr>
            <w:tcW w:w="1655" w:type="dxa"/>
            <w:tcMar>
              <w:top w:w="80" w:type="dxa"/>
              <w:left w:w="80" w:type="dxa"/>
              <w:bottom w:w="80" w:type="dxa"/>
              <w:right w:w="80" w:type="dxa"/>
            </w:tcMar>
            <w:vAlign w:val="center"/>
          </w:tcPr>
          <w:p w14:paraId="30970A15" w14:textId="77777777" w:rsidR="00C229FA" w:rsidRPr="00A325DC" w:rsidRDefault="00000000">
            <w:pPr>
              <w:spacing w:after="0" w:line="240" w:lineRule="auto"/>
              <w:jc w:val="left"/>
            </w:pPr>
            <w:r w:rsidRPr="00A325DC">
              <w:rPr>
                <w:sz w:val="15"/>
              </w:rPr>
              <w:t>Clinical, laboratory and echocardiographic variables; survival ML plus Cox modelling</w:t>
            </w:r>
          </w:p>
        </w:tc>
        <w:tc>
          <w:tcPr>
            <w:tcW w:w="1699" w:type="dxa"/>
            <w:tcMar>
              <w:top w:w="80" w:type="dxa"/>
              <w:left w:w="80" w:type="dxa"/>
              <w:bottom w:w="80" w:type="dxa"/>
              <w:right w:w="80" w:type="dxa"/>
            </w:tcMar>
            <w:vAlign w:val="center"/>
          </w:tcPr>
          <w:p w14:paraId="2D6A933C" w14:textId="77777777" w:rsidR="00C229FA" w:rsidRPr="00A325DC" w:rsidRDefault="00000000">
            <w:pPr>
              <w:spacing w:after="0" w:line="240" w:lineRule="auto"/>
              <w:jc w:val="left"/>
            </w:pPr>
            <w:r w:rsidRPr="00A325DC">
              <w:rPr>
                <w:sz w:val="15"/>
              </w:rPr>
              <w:t>Bias-corrected C-statistic 0.763; interpretable multiorgan score</w:t>
            </w:r>
          </w:p>
        </w:tc>
        <w:tc>
          <w:tcPr>
            <w:tcW w:w="1655" w:type="dxa"/>
            <w:tcMar>
              <w:top w:w="80" w:type="dxa"/>
              <w:left w:w="80" w:type="dxa"/>
              <w:bottom w:w="80" w:type="dxa"/>
              <w:right w:w="80" w:type="dxa"/>
            </w:tcMar>
            <w:vAlign w:val="center"/>
          </w:tcPr>
          <w:p w14:paraId="6C9F22D6" w14:textId="77777777" w:rsidR="00C229FA" w:rsidRPr="00A325DC" w:rsidRDefault="00000000">
            <w:pPr>
              <w:spacing w:after="0" w:line="240" w:lineRule="auto"/>
              <w:jc w:val="left"/>
            </w:pPr>
            <w:r w:rsidRPr="00A325DC">
              <w:rPr>
                <w:sz w:val="15"/>
              </w:rPr>
              <w:t>External calibration and global transportability not established</w:t>
            </w:r>
          </w:p>
        </w:tc>
        <w:tc>
          <w:tcPr>
            <w:tcW w:w="1699" w:type="dxa"/>
            <w:tcMar>
              <w:top w:w="80" w:type="dxa"/>
              <w:left w:w="80" w:type="dxa"/>
              <w:bottom w:w="80" w:type="dxa"/>
              <w:right w:w="80" w:type="dxa"/>
            </w:tcMar>
            <w:vAlign w:val="center"/>
          </w:tcPr>
          <w:p w14:paraId="300854DE" w14:textId="77777777" w:rsidR="00C229FA" w:rsidRPr="00A325DC" w:rsidRDefault="00000000">
            <w:pPr>
              <w:spacing w:after="0" w:line="240" w:lineRule="auto"/>
              <w:jc w:val="left"/>
            </w:pPr>
            <w:r w:rsidRPr="00A325DC">
              <w:rPr>
                <w:sz w:val="15"/>
              </w:rPr>
              <w:t>(Sachdev et al., 2021)</w:t>
            </w:r>
          </w:p>
        </w:tc>
      </w:tr>
      <w:tr w:rsidR="00A325DC" w:rsidRPr="00A325DC" w14:paraId="7D1E74B3" w14:textId="77777777" w:rsidTr="00A325DC">
        <w:trPr>
          <w:jc w:val="center"/>
        </w:trPr>
        <w:tc>
          <w:tcPr>
            <w:tcW w:w="1468" w:type="dxa"/>
            <w:tcMar>
              <w:top w:w="80" w:type="dxa"/>
              <w:left w:w="80" w:type="dxa"/>
              <w:bottom w:w="80" w:type="dxa"/>
              <w:right w:w="80" w:type="dxa"/>
            </w:tcMar>
            <w:vAlign w:val="center"/>
          </w:tcPr>
          <w:p w14:paraId="5AFC716D" w14:textId="77777777" w:rsidR="00C229FA" w:rsidRPr="00A325DC" w:rsidRDefault="00000000">
            <w:pPr>
              <w:spacing w:after="0" w:line="240" w:lineRule="auto"/>
              <w:jc w:val="left"/>
            </w:pPr>
            <w:r w:rsidRPr="00A325DC">
              <w:rPr>
                <w:sz w:val="15"/>
              </w:rPr>
              <w:t>ICU phenotype and mortality</w:t>
            </w:r>
          </w:p>
        </w:tc>
        <w:tc>
          <w:tcPr>
            <w:tcW w:w="1756" w:type="dxa"/>
            <w:tcMar>
              <w:top w:w="80" w:type="dxa"/>
              <w:left w:w="80" w:type="dxa"/>
              <w:bottom w:w="80" w:type="dxa"/>
              <w:right w:w="80" w:type="dxa"/>
            </w:tcMar>
            <w:vAlign w:val="center"/>
          </w:tcPr>
          <w:p w14:paraId="219852C4" w14:textId="77777777" w:rsidR="00C229FA" w:rsidRPr="00A325DC" w:rsidRDefault="00000000">
            <w:pPr>
              <w:spacing w:after="0" w:line="240" w:lineRule="auto"/>
              <w:jc w:val="left"/>
            </w:pPr>
            <w:r w:rsidRPr="00A325DC">
              <w:rPr>
                <w:sz w:val="15"/>
              </w:rPr>
              <w:t>125 ICU admissions</w:t>
            </w:r>
          </w:p>
        </w:tc>
        <w:tc>
          <w:tcPr>
            <w:tcW w:w="1655" w:type="dxa"/>
            <w:tcMar>
              <w:top w:w="80" w:type="dxa"/>
              <w:left w:w="80" w:type="dxa"/>
              <w:bottom w:w="80" w:type="dxa"/>
              <w:right w:w="80" w:type="dxa"/>
            </w:tcMar>
            <w:vAlign w:val="center"/>
          </w:tcPr>
          <w:p w14:paraId="6BABFFD1" w14:textId="77777777" w:rsidR="00C229FA" w:rsidRPr="00A325DC" w:rsidRDefault="00000000">
            <w:pPr>
              <w:spacing w:after="0" w:line="240" w:lineRule="auto"/>
              <w:jc w:val="left"/>
            </w:pPr>
            <w:r w:rsidRPr="00A325DC">
              <w:rPr>
                <w:sz w:val="15"/>
              </w:rPr>
              <w:t>Hierarchical clustering of clinical and organ-dysfunction variables</w:t>
            </w:r>
          </w:p>
        </w:tc>
        <w:tc>
          <w:tcPr>
            <w:tcW w:w="1699" w:type="dxa"/>
            <w:tcMar>
              <w:top w:w="80" w:type="dxa"/>
              <w:left w:w="80" w:type="dxa"/>
              <w:bottom w:w="80" w:type="dxa"/>
              <w:right w:w="80" w:type="dxa"/>
            </w:tcMar>
            <w:vAlign w:val="center"/>
          </w:tcPr>
          <w:p w14:paraId="4081F43B" w14:textId="77777777" w:rsidR="00C229FA" w:rsidRPr="00A325DC" w:rsidRDefault="00000000">
            <w:pPr>
              <w:spacing w:after="0" w:line="240" w:lineRule="auto"/>
              <w:jc w:val="left"/>
            </w:pPr>
            <w:r w:rsidRPr="00A325DC">
              <w:rPr>
                <w:sz w:val="15"/>
              </w:rPr>
              <w:t>Three clusters; one associated with markedly higher mortality</w:t>
            </w:r>
          </w:p>
        </w:tc>
        <w:tc>
          <w:tcPr>
            <w:tcW w:w="1655" w:type="dxa"/>
            <w:tcMar>
              <w:top w:w="80" w:type="dxa"/>
              <w:left w:w="80" w:type="dxa"/>
              <w:bottom w:w="80" w:type="dxa"/>
              <w:right w:w="80" w:type="dxa"/>
            </w:tcMar>
            <w:vAlign w:val="center"/>
          </w:tcPr>
          <w:p w14:paraId="54834649" w14:textId="77777777" w:rsidR="00C229FA" w:rsidRPr="00A325DC" w:rsidRDefault="00000000">
            <w:pPr>
              <w:spacing w:after="0" w:line="240" w:lineRule="auto"/>
              <w:jc w:val="left"/>
            </w:pPr>
            <w:r w:rsidRPr="00A325DC">
              <w:rPr>
                <w:sz w:val="15"/>
              </w:rPr>
              <w:t>Exploratory single-centre clusters may not represent stable biological phenotypes</w:t>
            </w:r>
          </w:p>
        </w:tc>
        <w:tc>
          <w:tcPr>
            <w:tcW w:w="1699" w:type="dxa"/>
            <w:tcMar>
              <w:top w:w="80" w:type="dxa"/>
              <w:left w:w="80" w:type="dxa"/>
              <w:bottom w:w="80" w:type="dxa"/>
              <w:right w:w="80" w:type="dxa"/>
            </w:tcMar>
            <w:vAlign w:val="center"/>
          </w:tcPr>
          <w:p w14:paraId="4B2C49F7" w14:textId="77777777" w:rsidR="00C229FA" w:rsidRPr="00A325DC" w:rsidRDefault="00000000">
            <w:pPr>
              <w:spacing w:after="0" w:line="240" w:lineRule="auto"/>
              <w:jc w:val="left"/>
            </w:pPr>
            <w:r w:rsidRPr="00A325DC">
              <w:rPr>
                <w:sz w:val="15"/>
              </w:rPr>
              <w:t>(Padrão et al., 2022)</w:t>
            </w:r>
          </w:p>
        </w:tc>
      </w:tr>
    </w:tbl>
    <w:p w14:paraId="146FED6B" w14:textId="77777777" w:rsidR="00C229FA" w:rsidRPr="00A325DC" w:rsidRDefault="00000000">
      <w:pPr>
        <w:spacing w:before="60" w:after="160" w:line="240" w:lineRule="auto"/>
      </w:pPr>
      <w:r w:rsidRPr="00A325DC">
        <w:rPr>
          <w:i/>
          <w:sz w:val="16"/>
        </w:rPr>
        <w:t>Note. AUC = area under the receiver-operating characteristic curve; EHR = electronic health record; F1 = F1 score; HbSS = homozygous haemoglobin S; ICU = intensive care unit; ML = machine learning; PPG = photoplethysmography; RMSE = root-mean-square error; SCD = sickle cell disease; SVM = support-vector machine; VOC = vaso-occlusive crisis.</w:t>
      </w:r>
    </w:p>
    <w:p w14:paraId="24F3D50D" w14:textId="77777777" w:rsidR="00C229FA" w:rsidRPr="00A325DC" w:rsidRDefault="00000000">
      <w:pPr>
        <w:pStyle w:val="Heading1"/>
        <w:rPr>
          <w:color w:val="auto"/>
        </w:rPr>
      </w:pPr>
      <w:r w:rsidRPr="00A325DC">
        <w:rPr>
          <w:color w:val="auto"/>
        </w:rPr>
        <w:t>6. Personalised Treatment and Dynamic Decision Support</w:t>
      </w:r>
    </w:p>
    <w:p w14:paraId="39410986" w14:textId="77777777" w:rsidR="00C229FA" w:rsidRPr="00A325DC" w:rsidRDefault="00000000">
      <w:pPr>
        <w:pStyle w:val="Heading2"/>
        <w:rPr>
          <w:color w:val="auto"/>
        </w:rPr>
      </w:pPr>
      <w:r w:rsidRPr="00A325DC">
        <w:rPr>
          <w:color w:val="auto"/>
        </w:rPr>
        <w:t>6.1 Hydroxyurea as a Benchmark for Mechanistically Grounded Precision Care</w:t>
      </w:r>
    </w:p>
    <w:p w14:paraId="0F171D32" w14:textId="77777777" w:rsidR="00C229FA" w:rsidRPr="00A325DC" w:rsidRDefault="00000000">
      <w:r w:rsidRPr="00A325DC">
        <w:t xml:space="preserve">The most useful benchmark for AI-guided treatment in SCD is not another ML algorithm but an established mechanistic precision approach: individualised hydroxyurea dosing. Hydroxyurea increases HbF and reduces HbS polymerisation, but pharmacokinetic exposure and maximum tolerated dose vary between patients. Dong et </w:t>
      </w:r>
      <w:r w:rsidRPr="00A325DC">
        <w:lastRenderedPageBreak/>
        <w:t>al. (2016) developed a population pharmacokinetic model and limited-sampling strategy to estimate individual hydroxyurea exposure, providing a pathway from measurable drug disposition to an individualised starting dose. This is precision medicine because the decision rule is anchored to drug exposure and a known disease mechanism rather than to statistical association alone.</w:t>
      </w:r>
    </w:p>
    <w:p w14:paraId="04C7AD88" w14:textId="77777777" w:rsidR="00C229FA" w:rsidRPr="00A325DC" w:rsidRDefault="00000000">
      <w:r w:rsidRPr="00A325DC">
        <w:t>Clinical follow-up of pharmacokinetic-guided dosing has reinforced this approach. Quinn et al. (2021) reported sustained high HbF and near-pancellular or pancellular F-cell expression in children started early on individualised pharmacokinetic-guided dosing. These results do not prove that a PK strategy is superior for every patient or setting, but they demonstrate what a clinically coherent precision loop looks like: a treatment with a defined mechanism, an exposure model, a measurable biological response and longitudinal adjustment. AI treatment models should be held to a similar standard. Predicting a dose category from historical clinician prescribing is much weaker evidence than predicting a dose that improves a prespecified patient outcome.</w:t>
      </w:r>
    </w:p>
    <w:p w14:paraId="7B58EDE1" w14:textId="77777777" w:rsidR="00C229FA" w:rsidRPr="00A325DC" w:rsidRDefault="00000000">
      <w:r w:rsidRPr="00A325DC">
        <w:t>The relevance of context is shown by hydroxyurea studies in sub-Saharan Africa. John et al. (2020) demonstrated that dose escalation to approximately maximum tolerated dose improved haematological and clinical outcomes compared with fixed dosing in children in Uganda without a corresponding increase in major dose-limiting toxic effects. The study was not an AI trial, but it matters for AI development because training targets should reflect effective treatment strategies rather than historical under-treatment. An ML system trained on past prescribing can faithfully reproduce conservative dosing even when better evidence supports escalation.</w:t>
      </w:r>
    </w:p>
    <w:p w14:paraId="1DAAC8C7" w14:textId="77777777" w:rsidR="00C229FA" w:rsidRPr="00A325DC" w:rsidRDefault="00000000">
      <w:pPr>
        <w:pStyle w:val="Heading2"/>
        <w:rPr>
          <w:color w:val="auto"/>
        </w:rPr>
      </w:pPr>
      <w:r w:rsidRPr="00A325DC">
        <w:rPr>
          <w:color w:val="auto"/>
        </w:rPr>
        <w:t>6.2 Why Current SCD-Specific AI Treatment Evidence Is Still Sparse</w:t>
      </w:r>
    </w:p>
    <w:p w14:paraId="3BE52D78" w14:textId="77777777" w:rsidR="00C229FA" w:rsidRPr="00A325DC" w:rsidRDefault="00000000">
      <w:r w:rsidRPr="00A325DC">
        <w:t>The SCD AI literature contains far more diagnostic and risk-prediction studies than studies in which an algorithm prospectively selects a therapy, dose or monitoring strategy and improves outcomes. This imbalance is not surprising. Treatment selection requires stronger causal assumptions than prognosis. A risk model can identify patients likely to experience an outcome; a treatment model must estimate what would happen under alternative interventions. Historical EHR data are vulnerable to confounding by indication because sicker patients are more likely to receive intensive therapies, transfusions or higher doses. Without careful causal design, an algorithm may infer that effective treatment causes poor outcomes because the treatment is preferentially given to high-risk patients.</w:t>
      </w:r>
    </w:p>
    <w:p w14:paraId="620E30C1" w14:textId="77777777" w:rsidR="00C229FA" w:rsidRPr="00A325DC" w:rsidRDefault="00000000">
      <w:r w:rsidRPr="00A325DC">
        <w:t>Hydroxyurea illustrates a safer development pathway. ML could eventually complement pharmacokinetic models by incorporating adherence patterns, blood counts, HbF trajectories, toxicity, renal function and patient preferences. Yet the target should be a decision such as time to optimal exposure, sustained HbF response or clinically meaningful reduction in VOC, not simple agreement with clinician dose. Hybrid pharmacometric-ML models are attractive because they can preserve known dose-exposure relationships while modelling residual variability. Such models should be prospectively compared with transparent pharmacokinetic dosing rather than only with empirical standard practice.</w:t>
      </w:r>
    </w:p>
    <w:p w14:paraId="557145FC" w14:textId="77777777" w:rsidR="00C229FA" w:rsidRPr="00A325DC" w:rsidRDefault="00000000">
      <w:pPr>
        <w:pStyle w:val="Heading2"/>
        <w:rPr>
          <w:color w:val="auto"/>
        </w:rPr>
      </w:pPr>
      <w:r w:rsidRPr="00A325DC">
        <w:rPr>
          <w:color w:val="auto"/>
        </w:rPr>
        <w:t>6.3 Transfusion, Stroke Prevention and Organ-Specific Decision Support</w:t>
      </w:r>
    </w:p>
    <w:p w14:paraId="7596C7A2" w14:textId="77777777" w:rsidR="00C229FA" w:rsidRPr="00A325DC" w:rsidRDefault="00000000">
      <w:r w:rsidRPr="00A325DC">
        <w:t>Transfusion decisions in SCD depend on indication, alloimmunisation risk, iron burden, prior reactions, genotype, vascular risk and access to matched blood. AI could potentially integrate these variables to support transfusion planning, but robust SCD-specific outcome studies are limited. The appropriate near-term role is therefore decision support around established clinical pathways rather than autonomous treatment selection. Models might identify patients at risk of recurrent transfusion requirements or predict resource needs, but any recommendation must remain subordinate to validated stroke-prevention and transfusion standards.</w:t>
      </w:r>
    </w:p>
    <w:p w14:paraId="3475920E" w14:textId="77777777" w:rsidR="00C229FA" w:rsidRPr="00A325DC" w:rsidRDefault="00000000">
      <w:r w:rsidRPr="00A325DC">
        <w:t xml:space="preserve">A similar principle applies to organ-specific surveillance. Kidney-risk, cardiopulmonary and mortality models may help prioritise monitoring, but the clinical action must be explicit. A patient assigned high renal risk needs a defined surveillance or therapeutic pathway, not merely a probability. Model development should therefore </w:t>
      </w:r>
      <w:r w:rsidRPr="00A325DC">
        <w:lastRenderedPageBreak/>
        <w:t>include decision-curve analysis, threshold selection based on benefit-harm trade-offs and prospective evaluation of whether additional surveillance changes management. Without such links, risk stratification can add workload without improving outcomes.</w:t>
      </w:r>
    </w:p>
    <w:p w14:paraId="1D70F4D6" w14:textId="77777777" w:rsidR="00C229FA" w:rsidRPr="00A325DC" w:rsidRDefault="00000000">
      <w:pPr>
        <w:pStyle w:val="Heading2"/>
        <w:rPr>
          <w:color w:val="auto"/>
        </w:rPr>
      </w:pPr>
      <w:r w:rsidRPr="00A325DC">
        <w:rPr>
          <w:color w:val="auto"/>
        </w:rPr>
        <w:t>6.4 Curative Therapy and Transplant Outcome Prediction</w:t>
      </w:r>
    </w:p>
    <w:p w14:paraId="116D6FBD" w14:textId="77777777" w:rsidR="00C229FA" w:rsidRPr="00A325DC" w:rsidRDefault="00000000">
      <w:r w:rsidRPr="00A325DC">
        <w:t>Allogeneic haematopoietic cell transplantation (HCT) and newer curative-intent strategies create a particularly consequential precision-decision problem. Patients and clinicians must weigh disease severity and future risk against treatment toxicity, donor availability, infertility risk, organ reserve and uncertainty about long-term outcomes. The growing curative landscape makes predictive support attractive, but this is also a setting where model errors have high stakes and where shared decision-making is essential (Brandow &amp; Liem, 2022; Yu et al., 2024).</w:t>
      </w:r>
    </w:p>
    <w:p w14:paraId="2E646FC4" w14:textId="77777777" w:rsidR="00C229FA" w:rsidRPr="00A325DC" w:rsidRDefault="00000000">
      <w:r w:rsidRPr="00A325DC">
        <w:t>Li et al. (2025) reported an ML-based workflow for predicting transplant outcomes using clinical and imaging variables in SCD, identifying red-cell distribution width and renal organ damage as important risk factors. The study was small and exploratory, but it marks a shift from generic prognosis to treatment-specific risk stratification. Chandrasekar et al. (2025) subsequently developed the SPRIGHT tool from a registry dataset of 1,641 HCT recipients, using random forests to predict outcomes including overall survival, event-free survival, graft failure, graft-versus-host disease and post-transplant VOC. Reported discrimination varied by outcome, and calibration was acceptable for several targets but not uniformly ideal. This is one of the most clinically mature SCD-specific treatment prediction efforts because it uses a large transplant registry, reports calibration and produces multiple outcomes relevant to shared decision-making.</w:t>
      </w:r>
    </w:p>
    <w:p w14:paraId="5E207E54" w14:textId="77777777" w:rsidR="00C229FA" w:rsidRPr="00A325DC" w:rsidRDefault="00000000">
      <w:r w:rsidRPr="00A325DC">
        <w:t>Even this stronger evidence requires cautious interpretation. Registry data span changes in conditioning regimens, supportive care, donor selection and transplant expertise. A model may therefore learn historical treatment eras that no longer represent current practice. The rare adverse outcomes that matter most can also be difficult to model precisely. In shared decisions, prediction uncertainty should be communicated explicitly and should not be converted into deterministic recommendations. External validation in contemporary cohorts and prospective study of how predictions affect choices and outcomes are necessary before such tools can be regarded as standard precision care.</w:t>
      </w:r>
    </w:p>
    <w:p w14:paraId="1F9B4B56" w14:textId="77777777" w:rsidR="00C229FA" w:rsidRPr="00A325DC" w:rsidRDefault="00000000">
      <w:pPr>
        <w:pStyle w:val="Heading2"/>
        <w:rPr>
          <w:color w:val="auto"/>
        </w:rPr>
      </w:pPr>
      <w:r w:rsidRPr="00A325DC">
        <w:rPr>
          <w:color w:val="auto"/>
        </w:rPr>
        <w:t>6.5 Gene and Cell Therapies: A Precision Opportunity, Not Yet an AI Success Story</w:t>
      </w:r>
    </w:p>
    <w:p w14:paraId="23A5EE85" w14:textId="77777777" w:rsidR="00C229FA" w:rsidRPr="00A325DC" w:rsidRDefault="00000000">
      <w:r w:rsidRPr="00A325DC">
        <w:t>Curative-intent gene and cell therapies intensify the need for personalised decision support because eligibility, conditioning risk, fertility preservation, organ reserve, previous treatment and patient values all influence the balance of benefit and harm. Current SCD precision-health discussions increasingly recognise that eliminating VOC is not the only outcome; long-term organ health, function and quality of life remain important (Yu et al., 2024). However, there is not yet a mature SCD-specific AI evidence base showing that ML improves selection among gene therapy, transplantation and disease-modifying therapy.</w:t>
      </w:r>
    </w:p>
    <w:p w14:paraId="2FBC3AB6" w14:textId="77777777" w:rsidR="00C229FA" w:rsidRPr="00A325DC" w:rsidRDefault="00000000">
      <w:r w:rsidRPr="00A325DC">
        <w:t>This distinction should be maintained to avoid technology-driven overstatement. AI may eventually estimate individual long-term trajectories under alternative curative and non-curative strategies, integrate genomic and organ-risk information, or identify patients in whom irreversible organ damage is developing. At present these remain research objectives. A defensible clinical system would need counterfactual treatment modelling, long follow-up, contemporary comparator cohorts and explicit incorporation of patient preferences. The field should resist presenting generic “personalised treatment” potential as if it were already demonstrated clinical effectiveness.</w:t>
      </w:r>
    </w:p>
    <w:p w14:paraId="63251C26" w14:textId="77777777" w:rsidR="00C229FA" w:rsidRPr="00A325DC" w:rsidRDefault="00000000">
      <w:r w:rsidRPr="00A325DC">
        <w:t xml:space="preserve">Table 4 places treatment applications on an evidence-maturity continuum. The central conclusion is that mechanistically grounded PK-guided hydroxyurea is currently a stronger precision-care exemplar than most AI </w:t>
      </w:r>
      <w:r w:rsidRPr="00A325DC">
        <w:lastRenderedPageBreak/>
        <w:t>treatment-selection proposals, while transplant prediction is an emerging area with increasingly relevant SCD-specific evidence.</w:t>
      </w:r>
    </w:p>
    <w:p w14:paraId="21B5DB50" w14:textId="77777777" w:rsidR="00C229FA" w:rsidRPr="00A325DC" w:rsidRDefault="00000000">
      <w:pPr>
        <w:keepNext/>
        <w:spacing w:before="100" w:after="80"/>
      </w:pPr>
      <w:r w:rsidRPr="00A325DC">
        <w:rPr>
          <w:b/>
          <w:sz w:val="20"/>
        </w:rPr>
        <w:t>Table 4. Personalised treatment opportunities and evidence maturity in SCD</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468"/>
        <w:gridCol w:w="1756"/>
        <w:gridCol w:w="1655"/>
        <w:gridCol w:w="1699"/>
        <w:gridCol w:w="1655"/>
        <w:gridCol w:w="1699"/>
      </w:tblGrid>
      <w:tr w:rsidR="00A325DC" w:rsidRPr="00A325DC" w14:paraId="0229B058" w14:textId="77777777" w:rsidTr="00A325DC">
        <w:trPr>
          <w:tblHeader/>
          <w:jc w:val="center"/>
        </w:trPr>
        <w:tc>
          <w:tcPr>
            <w:tcW w:w="1468" w:type="dxa"/>
            <w:tcMar>
              <w:top w:w="80" w:type="dxa"/>
              <w:left w:w="80" w:type="dxa"/>
              <w:bottom w:w="80" w:type="dxa"/>
              <w:right w:w="80" w:type="dxa"/>
            </w:tcMar>
            <w:vAlign w:val="center"/>
          </w:tcPr>
          <w:p w14:paraId="58AB490E" w14:textId="77777777" w:rsidR="00C229FA" w:rsidRPr="00A325DC" w:rsidRDefault="00000000">
            <w:pPr>
              <w:spacing w:after="0" w:line="240" w:lineRule="auto"/>
              <w:jc w:val="left"/>
            </w:pPr>
            <w:r w:rsidRPr="00A325DC">
              <w:rPr>
                <w:b/>
                <w:sz w:val="15"/>
              </w:rPr>
              <w:t>Decision domain</w:t>
            </w:r>
          </w:p>
        </w:tc>
        <w:tc>
          <w:tcPr>
            <w:tcW w:w="1756" w:type="dxa"/>
            <w:tcMar>
              <w:top w:w="80" w:type="dxa"/>
              <w:left w:w="80" w:type="dxa"/>
              <w:bottom w:w="80" w:type="dxa"/>
              <w:right w:w="80" w:type="dxa"/>
            </w:tcMar>
            <w:vAlign w:val="center"/>
          </w:tcPr>
          <w:p w14:paraId="3E1E7261" w14:textId="77777777" w:rsidR="00C229FA" w:rsidRPr="00A325DC" w:rsidRDefault="00000000">
            <w:pPr>
              <w:spacing w:after="0" w:line="240" w:lineRule="auto"/>
              <w:jc w:val="left"/>
            </w:pPr>
            <w:r w:rsidRPr="00A325DC">
              <w:rPr>
                <w:b/>
                <w:sz w:val="15"/>
              </w:rPr>
              <w:t>Current precision signal</w:t>
            </w:r>
          </w:p>
        </w:tc>
        <w:tc>
          <w:tcPr>
            <w:tcW w:w="1655" w:type="dxa"/>
            <w:tcMar>
              <w:top w:w="80" w:type="dxa"/>
              <w:left w:w="80" w:type="dxa"/>
              <w:bottom w:w="80" w:type="dxa"/>
              <w:right w:w="80" w:type="dxa"/>
            </w:tcMar>
            <w:vAlign w:val="center"/>
          </w:tcPr>
          <w:p w14:paraId="3116DA57" w14:textId="77777777" w:rsidR="00C229FA" w:rsidRPr="00A325DC" w:rsidRDefault="00000000">
            <w:pPr>
              <w:spacing w:after="0" w:line="240" w:lineRule="auto"/>
              <w:jc w:val="left"/>
            </w:pPr>
            <w:r w:rsidRPr="00A325DC">
              <w:rPr>
                <w:b/>
                <w:sz w:val="15"/>
              </w:rPr>
              <w:t>Potential AI contribution</w:t>
            </w:r>
          </w:p>
        </w:tc>
        <w:tc>
          <w:tcPr>
            <w:tcW w:w="1699" w:type="dxa"/>
            <w:tcMar>
              <w:top w:w="80" w:type="dxa"/>
              <w:left w:w="80" w:type="dxa"/>
              <w:bottom w:w="80" w:type="dxa"/>
              <w:right w:w="80" w:type="dxa"/>
            </w:tcMar>
            <w:vAlign w:val="center"/>
          </w:tcPr>
          <w:p w14:paraId="54C3130C" w14:textId="77777777" w:rsidR="00C229FA" w:rsidRPr="00A325DC" w:rsidRDefault="00000000">
            <w:pPr>
              <w:spacing w:after="0" w:line="240" w:lineRule="auto"/>
              <w:jc w:val="left"/>
            </w:pPr>
            <w:r w:rsidRPr="00A325DC">
              <w:rPr>
                <w:b/>
                <w:sz w:val="15"/>
              </w:rPr>
              <w:t>Evidence maturity</w:t>
            </w:r>
          </w:p>
        </w:tc>
        <w:tc>
          <w:tcPr>
            <w:tcW w:w="1655" w:type="dxa"/>
            <w:tcMar>
              <w:top w:w="80" w:type="dxa"/>
              <w:left w:w="80" w:type="dxa"/>
              <w:bottom w:w="80" w:type="dxa"/>
              <w:right w:w="80" w:type="dxa"/>
            </w:tcMar>
            <w:vAlign w:val="center"/>
          </w:tcPr>
          <w:p w14:paraId="5ABE8C39" w14:textId="77777777" w:rsidR="00C229FA" w:rsidRPr="00A325DC" w:rsidRDefault="00000000">
            <w:pPr>
              <w:spacing w:after="0" w:line="240" w:lineRule="auto"/>
              <w:jc w:val="left"/>
            </w:pPr>
            <w:r w:rsidRPr="00A325DC">
              <w:rPr>
                <w:b/>
                <w:sz w:val="15"/>
              </w:rPr>
              <w:t>Priority before routine use</w:t>
            </w:r>
          </w:p>
        </w:tc>
        <w:tc>
          <w:tcPr>
            <w:tcW w:w="1699" w:type="dxa"/>
            <w:tcMar>
              <w:top w:w="80" w:type="dxa"/>
              <w:left w:w="80" w:type="dxa"/>
              <w:bottom w:w="80" w:type="dxa"/>
              <w:right w:w="80" w:type="dxa"/>
            </w:tcMar>
            <w:vAlign w:val="center"/>
          </w:tcPr>
          <w:p w14:paraId="5B1650E1" w14:textId="77777777" w:rsidR="00C229FA" w:rsidRPr="00A325DC" w:rsidRDefault="00000000">
            <w:pPr>
              <w:spacing w:after="0" w:line="240" w:lineRule="auto"/>
              <w:jc w:val="left"/>
            </w:pPr>
            <w:r w:rsidRPr="00A325DC">
              <w:rPr>
                <w:b/>
                <w:sz w:val="15"/>
              </w:rPr>
              <w:t>Supporting references</w:t>
            </w:r>
          </w:p>
        </w:tc>
      </w:tr>
      <w:tr w:rsidR="00A325DC" w:rsidRPr="00A325DC" w14:paraId="142972AF" w14:textId="77777777" w:rsidTr="00A325DC">
        <w:trPr>
          <w:jc w:val="center"/>
        </w:trPr>
        <w:tc>
          <w:tcPr>
            <w:tcW w:w="1468" w:type="dxa"/>
            <w:tcMar>
              <w:top w:w="80" w:type="dxa"/>
              <w:left w:w="80" w:type="dxa"/>
              <w:bottom w:w="80" w:type="dxa"/>
              <w:right w:w="80" w:type="dxa"/>
            </w:tcMar>
            <w:vAlign w:val="center"/>
          </w:tcPr>
          <w:p w14:paraId="145EC2F7" w14:textId="77777777" w:rsidR="00C229FA" w:rsidRPr="00A325DC" w:rsidRDefault="00000000">
            <w:pPr>
              <w:spacing w:after="0" w:line="240" w:lineRule="auto"/>
              <w:jc w:val="left"/>
            </w:pPr>
            <w:r w:rsidRPr="00A325DC">
              <w:rPr>
                <w:sz w:val="15"/>
              </w:rPr>
              <w:t>Hydroxyurea initiation and escalation</w:t>
            </w:r>
          </w:p>
        </w:tc>
        <w:tc>
          <w:tcPr>
            <w:tcW w:w="1756" w:type="dxa"/>
            <w:tcMar>
              <w:top w:w="80" w:type="dxa"/>
              <w:left w:w="80" w:type="dxa"/>
              <w:bottom w:w="80" w:type="dxa"/>
              <w:right w:w="80" w:type="dxa"/>
            </w:tcMar>
            <w:vAlign w:val="center"/>
          </w:tcPr>
          <w:p w14:paraId="126A2A8B" w14:textId="77777777" w:rsidR="00C229FA" w:rsidRPr="00A325DC" w:rsidRDefault="00000000">
            <w:pPr>
              <w:spacing w:after="0" w:line="240" w:lineRule="auto"/>
              <w:jc w:val="left"/>
            </w:pPr>
            <w:r w:rsidRPr="00A325DC">
              <w:rPr>
                <w:sz w:val="15"/>
              </w:rPr>
              <w:t>PK exposure, HbF response, blood counts, toxicity and adherence</w:t>
            </w:r>
          </w:p>
        </w:tc>
        <w:tc>
          <w:tcPr>
            <w:tcW w:w="1655" w:type="dxa"/>
            <w:tcMar>
              <w:top w:w="80" w:type="dxa"/>
              <w:left w:w="80" w:type="dxa"/>
              <w:bottom w:w="80" w:type="dxa"/>
              <w:right w:w="80" w:type="dxa"/>
            </w:tcMar>
            <w:vAlign w:val="center"/>
          </w:tcPr>
          <w:p w14:paraId="0DEED271" w14:textId="77777777" w:rsidR="00C229FA" w:rsidRPr="00A325DC" w:rsidRDefault="00000000">
            <w:pPr>
              <w:spacing w:after="0" w:line="240" w:lineRule="auto"/>
              <w:jc w:val="left"/>
            </w:pPr>
            <w:r w:rsidRPr="00A325DC">
              <w:rPr>
                <w:sz w:val="15"/>
              </w:rPr>
              <w:t>Hybrid PK-ML models; adaptive response prediction</w:t>
            </w:r>
          </w:p>
        </w:tc>
        <w:tc>
          <w:tcPr>
            <w:tcW w:w="1699" w:type="dxa"/>
            <w:tcMar>
              <w:top w:w="80" w:type="dxa"/>
              <w:left w:w="80" w:type="dxa"/>
              <w:bottom w:w="80" w:type="dxa"/>
              <w:right w:w="80" w:type="dxa"/>
            </w:tcMar>
            <w:vAlign w:val="center"/>
          </w:tcPr>
          <w:p w14:paraId="1E0BF884" w14:textId="77777777" w:rsidR="00C229FA" w:rsidRPr="00A325DC" w:rsidRDefault="00000000">
            <w:pPr>
              <w:spacing w:after="0" w:line="240" w:lineRule="auto"/>
              <w:jc w:val="left"/>
            </w:pPr>
            <w:r w:rsidRPr="00A325DC">
              <w:rPr>
                <w:sz w:val="15"/>
              </w:rPr>
              <w:t>Moderate for mechanistic precision dosing; low for AI-guided dosing</w:t>
            </w:r>
          </w:p>
        </w:tc>
        <w:tc>
          <w:tcPr>
            <w:tcW w:w="1655" w:type="dxa"/>
            <w:tcMar>
              <w:top w:w="80" w:type="dxa"/>
              <w:left w:w="80" w:type="dxa"/>
              <w:bottom w:w="80" w:type="dxa"/>
              <w:right w:w="80" w:type="dxa"/>
            </w:tcMar>
            <w:vAlign w:val="center"/>
          </w:tcPr>
          <w:p w14:paraId="4C49B406" w14:textId="77777777" w:rsidR="00C229FA" w:rsidRPr="00A325DC" w:rsidRDefault="00000000">
            <w:pPr>
              <w:spacing w:after="0" w:line="240" w:lineRule="auto"/>
              <w:jc w:val="left"/>
            </w:pPr>
            <w:r w:rsidRPr="00A325DC">
              <w:rPr>
                <w:sz w:val="15"/>
              </w:rPr>
              <w:t>Prospective comparison with transparent PK-guided strategies and clinically meaningful endpoints</w:t>
            </w:r>
          </w:p>
        </w:tc>
        <w:tc>
          <w:tcPr>
            <w:tcW w:w="1699" w:type="dxa"/>
            <w:tcMar>
              <w:top w:w="80" w:type="dxa"/>
              <w:left w:w="80" w:type="dxa"/>
              <w:bottom w:w="80" w:type="dxa"/>
              <w:right w:w="80" w:type="dxa"/>
            </w:tcMar>
            <w:vAlign w:val="center"/>
          </w:tcPr>
          <w:p w14:paraId="428C1C60" w14:textId="77777777" w:rsidR="00C229FA" w:rsidRPr="00A325DC" w:rsidRDefault="00000000">
            <w:pPr>
              <w:spacing w:after="0" w:line="240" w:lineRule="auto"/>
              <w:jc w:val="left"/>
            </w:pPr>
            <w:r w:rsidRPr="00A325DC">
              <w:rPr>
                <w:sz w:val="15"/>
              </w:rPr>
              <w:t>(Dong et al., 2016; John et al., 2020; Quinn et al., 2021)</w:t>
            </w:r>
          </w:p>
        </w:tc>
      </w:tr>
      <w:tr w:rsidR="00A325DC" w:rsidRPr="00A325DC" w14:paraId="724B1430" w14:textId="77777777" w:rsidTr="00A325DC">
        <w:trPr>
          <w:jc w:val="center"/>
        </w:trPr>
        <w:tc>
          <w:tcPr>
            <w:tcW w:w="1468" w:type="dxa"/>
            <w:tcMar>
              <w:top w:w="80" w:type="dxa"/>
              <w:left w:w="80" w:type="dxa"/>
              <w:bottom w:w="80" w:type="dxa"/>
              <w:right w:w="80" w:type="dxa"/>
            </w:tcMar>
            <w:vAlign w:val="center"/>
          </w:tcPr>
          <w:p w14:paraId="152154F4" w14:textId="77777777" w:rsidR="00C229FA" w:rsidRPr="00A325DC" w:rsidRDefault="00000000">
            <w:pPr>
              <w:spacing w:after="0" w:line="240" w:lineRule="auto"/>
              <w:jc w:val="left"/>
            </w:pPr>
            <w:r w:rsidRPr="00A325DC">
              <w:rPr>
                <w:sz w:val="15"/>
              </w:rPr>
              <w:t>VOC treatment adaptation</w:t>
            </w:r>
          </w:p>
        </w:tc>
        <w:tc>
          <w:tcPr>
            <w:tcW w:w="1756" w:type="dxa"/>
            <w:tcMar>
              <w:top w:w="80" w:type="dxa"/>
              <w:left w:w="80" w:type="dxa"/>
              <w:bottom w:w="80" w:type="dxa"/>
              <w:right w:w="80" w:type="dxa"/>
            </w:tcMar>
            <w:vAlign w:val="center"/>
          </w:tcPr>
          <w:p w14:paraId="3AC4E304" w14:textId="77777777" w:rsidR="00C229FA" w:rsidRPr="00A325DC" w:rsidRDefault="00000000">
            <w:pPr>
              <w:spacing w:after="0" w:line="240" w:lineRule="auto"/>
              <w:jc w:val="left"/>
            </w:pPr>
            <w:r w:rsidRPr="00A325DC">
              <w:rPr>
                <w:sz w:val="15"/>
              </w:rPr>
              <w:t>Pain trajectory, physiology, medication response and home monitoring</w:t>
            </w:r>
          </w:p>
        </w:tc>
        <w:tc>
          <w:tcPr>
            <w:tcW w:w="1655" w:type="dxa"/>
            <w:tcMar>
              <w:top w:w="80" w:type="dxa"/>
              <w:left w:w="80" w:type="dxa"/>
              <w:bottom w:w="80" w:type="dxa"/>
              <w:right w:w="80" w:type="dxa"/>
            </w:tcMar>
            <w:vAlign w:val="center"/>
          </w:tcPr>
          <w:p w14:paraId="2E45EA25" w14:textId="77777777" w:rsidR="00C229FA" w:rsidRPr="00A325DC" w:rsidRDefault="00000000">
            <w:pPr>
              <w:spacing w:after="0" w:line="240" w:lineRule="auto"/>
              <w:jc w:val="left"/>
            </w:pPr>
            <w:r w:rsidRPr="00A325DC">
              <w:rPr>
                <w:sz w:val="15"/>
              </w:rPr>
              <w:t>Dynamic state estimation and personalised escalation alerts</w:t>
            </w:r>
          </w:p>
        </w:tc>
        <w:tc>
          <w:tcPr>
            <w:tcW w:w="1699" w:type="dxa"/>
            <w:tcMar>
              <w:top w:w="80" w:type="dxa"/>
              <w:left w:w="80" w:type="dxa"/>
              <w:bottom w:w="80" w:type="dxa"/>
              <w:right w:w="80" w:type="dxa"/>
            </w:tcMar>
            <w:vAlign w:val="center"/>
          </w:tcPr>
          <w:p w14:paraId="4B34512D" w14:textId="77777777" w:rsidR="00C229FA" w:rsidRPr="00A325DC" w:rsidRDefault="00000000">
            <w:pPr>
              <w:spacing w:after="0" w:line="240" w:lineRule="auto"/>
              <w:jc w:val="left"/>
            </w:pPr>
            <w:r w:rsidRPr="00A325DC">
              <w:rPr>
                <w:sz w:val="15"/>
              </w:rPr>
              <w:t>Low</w:t>
            </w:r>
          </w:p>
        </w:tc>
        <w:tc>
          <w:tcPr>
            <w:tcW w:w="1655" w:type="dxa"/>
            <w:tcMar>
              <w:top w:w="80" w:type="dxa"/>
              <w:left w:w="80" w:type="dxa"/>
              <w:bottom w:w="80" w:type="dxa"/>
              <w:right w:w="80" w:type="dxa"/>
            </w:tcMar>
            <w:vAlign w:val="center"/>
          </w:tcPr>
          <w:p w14:paraId="311B0CFB" w14:textId="77777777" w:rsidR="00C229FA" w:rsidRPr="00A325DC" w:rsidRDefault="00000000">
            <w:pPr>
              <w:spacing w:after="0" w:line="240" w:lineRule="auto"/>
              <w:jc w:val="left"/>
            </w:pPr>
            <w:r w:rsidRPr="00A325DC">
              <w:rPr>
                <w:sz w:val="15"/>
              </w:rPr>
              <w:t>Prediction must precede intervention and demonstrate benefit beyond patient-reported pain</w:t>
            </w:r>
          </w:p>
        </w:tc>
        <w:tc>
          <w:tcPr>
            <w:tcW w:w="1699" w:type="dxa"/>
            <w:tcMar>
              <w:top w:w="80" w:type="dxa"/>
              <w:left w:w="80" w:type="dxa"/>
              <w:bottom w:w="80" w:type="dxa"/>
              <w:right w:w="80" w:type="dxa"/>
            </w:tcMar>
            <w:vAlign w:val="center"/>
          </w:tcPr>
          <w:p w14:paraId="75CDC6A8" w14:textId="77777777" w:rsidR="00C229FA" w:rsidRPr="00A325DC" w:rsidRDefault="00000000">
            <w:pPr>
              <w:spacing w:after="0" w:line="240" w:lineRule="auto"/>
              <w:jc w:val="left"/>
            </w:pPr>
            <w:r w:rsidRPr="00A325DC">
              <w:rPr>
                <w:sz w:val="15"/>
              </w:rPr>
              <w:t>(Padhee et al., 2022; Vuong et al., 2023)</w:t>
            </w:r>
          </w:p>
        </w:tc>
      </w:tr>
      <w:tr w:rsidR="00A325DC" w:rsidRPr="00A325DC" w14:paraId="553A719E" w14:textId="77777777" w:rsidTr="00A325DC">
        <w:trPr>
          <w:jc w:val="center"/>
        </w:trPr>
        <w:tc>
          <w:tcPr>
            <w:tcW w:w="1468" w:type="dxa"/>
            <w:tcMar>
              <w:top w:w="80" w:type="dxa"/>
              <w:left w:w="80" w:type="dxa"/>
              <w:bottom w:w="80" w:type="dxa"/>
              <w:right w:w="80" w:type="dxa"/>
            </w:tcMar>
            <w:vAlign w:val="center"/>
          </w:tcPr>
          <w:p w14:paraId="45526AB3" w14:textId="77777777" w:rsidR="00C229FA" w:rsidRPr="00A325DC" w:rsidRDefault="00000000">
            <w:pPr>
              <w:spacing w:after="0" w:line="240" w:lineRule="auto"/>
              <w:jc w:val="left"/>
            </w:pPr>
            <w:r w:rsidRPr="00A325DC">
              <w:rPr>
                <w:sz w:val="15"/>
              </w:rPr>
              <w:t>Transfusion and organ surveillance</w:t>
            </w:r>
          </w:p>
        </w:tc>
        <w:tc>
          <w:tcPr>
            <w:tcW w:w="1756" w:type="dxa"/>
            <w:tcMar>
              <w:top w:w="80" w:type="dxa"/>
              <w:left w:w="80" w:type="dxa"/>
              <w:bottom w:w="80" w:type="dxa"/>
              <w:right w:w="80" w:type="dxa"/>
            </w:tcMar>
            <w:vAlign w:val="center"/>
          </w:tcPr>
          <w:p w14:paraId="05D43936" w14:textId="77777777" w:rsidR="00C229FA" w:rsidRPr="00A325DC" w:rsidRDefault="00000000">
            <w:pPr>
              <w:spacing w:after="0" w:line="240" w:lineRule="auto"/>
              <w:jc w:val="left"/>
            </w:pPr>
            <w:r w:rsidRPr="00A325DC">
              <w:rPr>
                <w:sz w:val="15"/>
              </w:rPr>
              <w:t>Clinical indication, transfusion history, organ function and risk markers</w:t>
            </w:r>
          </w:p>
        </w:tc>
        <w:tc>
          <w:tcPr>
            <w:tcW w:w="1655" w:type="dxa"/>
            <w:tcMar>
              <w:top w:w="80" w:type="dxa"/>
              <w:left w:w="80" w:type="dxa"/>
              <w:bottom w:w="80" w:type="dxa"/>
              <w:right w:w="80" w:type="dxa"/>
            </w:tcMar>
            <w:vAlign w:val="center"/>
          </w:tcPr>
          <w:p w14:paraId="39A37A79" w14:textId="77777777" w:rsidR="00C229FA" w:rsidRPr="00A325DC" w:rsidRDefault="00000000">
            <w:pPr>
              <w:spacing w:after="0" w:line="240" w:lineRule="auto"/>
              <w:jc w:val="left"/>
            </w:pPr>
            <w:r w:rsidRPr="00A325DC">
              <w:rPr>
                <w:sz w:val="15"/>
              </w:rPr>
              <w:t>Decision support for surveillance intensity and resource planning</w:t>
            </w:r>
          </w:p>
        </w:tc>
        <w:tc>
          <w:tcPr>
            <w:tcW w:w="1699" w:type="dxa"/>
            <w:tcMar>
              <w:top w:w="80" w:type="dxa"/>
              <w:left w:w="80" w:type="dxa"/>
              <w:bottom w:w="80" w:type="dxa"/>
              <w:right w:w="80" w:type="dxa"/>
            </w:tcMar>
            <w:vAlign w:val="center"/>
          </w:tcPr>
          <w:p w14:paraId="4F9E5417" w14:textId="77777777" w:rsidR="00C229FA" w:rsidRPr="00A325DC" w:rsidRDefault="00000000">
            <w:pPr>
              <w:spacing w:after="0" w:line="240" w:lineRule="auto"/>
              <w:jc w:val="left"/>
            </w:pPr>
            <w:r w:rsidRPr="00A325DC">
              <w:rPr>
                <w:sz w:val="15"/>
              </w:rPr>
              <w:t>Low</w:t>
            </w:r>
          </w:p>
        </w:tc>
        <w:tc>
          <w:tcPr>
            <w:tcW w:w="1655" w:type="dxa"/>
            <w:tcMar>
              <w:top w:w="80" w:type="dxa"/>
              <w:left w:w="80" w:type="dxa"/>
              <w:bottom w:w="80" w:type="dxa"/>
              <w:right w:w="80" w:type="dxa"/>
            </w:tcMar>
            <w:vAlign w:val="center"/>
          </w:tcPr>
          <w:p w14:paraId="080CD1EC" w14:textId="77777777" w:rsidR="00C229FA" w:rsidRPr="00A325DC" w:rsidRDefault="00000000">
            <w:pPr>
              <w:spacing w:after="0" w:line="240" w:lineRule="auto"/>
              <w:jc w:val="left"/>
            </w:pPr>
            <w:r w:rsidRPr="00A325DC">
              <w:rPr>
                <w:sz w:val="15"/>
              </w:rPr>
              <w:t>Define actionable thresholds and avoid reproducing historical access patterns</w:t>
            </w:r>
          </w:p>
        </w:tc>
        <w:tc>
          <w:tcPr>
            <w:tcW w:w="1699" w:type="dxa"/>
            <w:tcMar>
              <w:top w:w="80" w:type="dxa"/>
              <w:left w:w="80" w:type="dxa"/>
              <w:bottom w:w="80" w:type="dxa"/>
              <w:right w:w="80" w:type="dxa"/>
            </w:tcMar>
            <w:vAlign w:val="center"/>
          </w:tcPr>
          <w:p w14:paraId="6EDDFCDC" w14:textId="77777777" w:rsidR="00C229FA" w:rsidRPr="00A325DC" w:rsidRDefault="00000000">
            <w:pPr>
              <w:spacing w:after="0" w:line="240" w:lineRule="auto"/>
              <w:jc w:val="left"/>
            </w:pPr>
            <w:r w:rsidRPr="00A325DC">
              <w:rPr>
                <w:sz w:val="15"/>
              </w:rPr>
              <w:t>(Güntürkün et al., 2021; Sachdev et al., 2021)</w:t>
            </w:r>
          </w:p>
        </w:tc>
      </w:tr>
      <w:tr w:rsidR="00A325DC" w:rsidRPr="00A325DC" w14:paraId="2A65EBE6" w14:textId="77777777" w:rsidTr="00A325DC">
        <w:trPr>
          <w:jc w:val="center"/>
        </w:trPr>
        <w:tc>
          <w:tcPr>
            <w:tcW w:w="1468" w:type="dxa"/>
            <w:tcMar>
              <w:top w:w="80" w:type="dxa"/>
              <w:left w:w="80" w:type="dxa"/>
              <w:bottom w:w="80" w:type="dxa"/>
              <w:right w:w="80" w:type="dxa"/>
            </w:tcMar>
            <w:vAlign w:val="center"/>
          </w:tcPr>
          <w:p w14:paraId="3E25913E" w14:textId="77777777" w:rsidR="00C229FA" w:rsidRPr="00A325DC" w:rsidRDefault="00000000">
            <w:pPr>
              <w:spacing w:after="0" w:line="240" w:lineRule="auto"/>
              <w:jc w:val="left"/>
            </w:pPr>
            <w:r w:rsidRPr="00A325DC">
              <w:rPr>
                <w:sz w:val="15"/>
              </w:rPr>
              <w:t>HCT candidate counselling</w:t>
            </w:r>
          </w:p>
        </w:tc>
        <w:tc>
          <w:tcPr>
            <w:tcW w:w="1756" w:type="dxa"/>
            <w:tcMar>
              <w:top w:w="80" w:type="dxa"/>
              <w:left w:w="80" w:type="dxa"/>
              <w:bottom w:w="80" w:type="dxa"/>
              <w:right w:w="80" w:type="dxa"/>
            </w:tcMar>
            <w:vAlign w:val="center"/>
          </w:tcPr>
          <w:p w14:paraId="4241BF01" w14:textId="77777777" w:rsidR="00C229FA" w:rsidRPr="00A325DC" w:rsidRDefault="00000000">
            <w:pPr>
              <w:spacing w:after="0" w:line="240" w:lineRule="auto"/>
              <w:jc w:val="left"/>
            </w:pPr>
            <w:r w:rsidRPr="00A325DC">
              <w:rPr>
                <w:sz w:val="15"/>
              </w:rPr>
              <w:t>Age, organ damage, donor and regimen variables, prior complications</w:t>
            </w:r>
          </w:p>
        </w:tc>
        <w:tc>
          <w:tcPr>
            <w:tcW w:w="1655" w:type="dxa"/>
            <w:tcMar>
              <w:top w:w="80" w:type="dxa"/>
              <w:left w:w="80" w:type="dxa"/>
              <w:bottom w:w="80" w:type="dxa"/>
              <w:right w:w="80" w:type="dxa"/>
            </w:tcMar>
            <w:vAlign w:val="center"/>
          </w:tcPr>
          <w:p w14:paraId="6F496E24" w14:textId="77777777" w:rsidR="00C229FA" w:rsidRPr="00A325DC" w:rsidRDefault="00000000">
            <w:pPr>
              <w:spacing w:after="0" w:line="240" w:lineRule="auto"/>
              <w:jc w:val="left"/>
            </w:pPr>
            <w:r w:rsidRPr="00A325DC">
              <w:rPr>
                <w:sz w:val="15"/>
              </w:rPr>
              <w:t>Individualised multi-outcome risk prediction</w:t>
            </w:r>
          </w:p>
        </w:tc>
        <w:tc>
          <w:tcPr>
            <w:tcW w:w="1699" w:type="dxa"/>
            <w:tcMar>
              <w:top w:w="80" w:type="dxa"/>
              <w:left w:w="80" w:type="dxa"/>
              <w:bottom w:w="80" w:type="dxa"/>
              <w:right w:w="80" w:type="dxa"/>
            </w:tcMar>
            <w:vAlign w:val="center"/>
          </w:tcPr>
          <w:p w14:paraId="6F1340AE" w14:textId="77777777" w:rsidR="00C229FA" w:rsidRPr="00A325DC" w:rsidRDefault="00000000">
            <w:pPr>
              <w:spacing w:after="0" w:line="240" w:lineRule="auto"/>
              <w:jc w:val="left"/>
            </w:pPr>
            <w:r w:rsidRPr="00A325DC">
              <w:rPr>
                <w:sz w:val="15"/>
              </w:rPr>
              <w:t>Emerging moderate evidence</w:t>
            </w:r>
          </w:p>
        </w:tc>
        <w:tc>
          <w:tcPr>
            <w:tcW w:w="1655" w:type="dxa"/>
            <w:tcMar>
              <w:top w:w="80" w:type="dxa"/>
              <w:left w:w="80" w:type="dxa"/>
              <w:bottom w:w="80" w:type="dxa"/>
              <w:right w:w="80" w:type="dxa"/>
            </w:tcMar>
            <w:vAlign w:val="center"/>
          </w:tcPr>
          <w:p w14:paraId="50A538BD" w14:textId="77777777" w:rsidR="00C229FA" w:rsidRPr="00A325DC" w:rsidRDefault="00000000">
            <w:pPr>
              <w:spacing w:after="0" w:line="240" w:lineRule="auto"/>
              <w:jc w:val="left"/>
            </w:pPr>
            <w:r w:rsidRPr="00A325DC">
              <w:rPr>
                <w:sz w:val="15"/>
              </w:rPr>
              <w:t>Contemporary external validation, uncertainty communication and prospective decision-impact evaluation</w:t>
            </w:r>
          </w:p>
        </w:tc>
        <w:tc>
          <w:tcPr>
            <w:tcW w:w="1699" w:type="dxa"/>
            <w:tcMar>
              <w:top w:w="80" w:type="dxa"/>
              <w:left w:w="80" w:type="dxa"/>
              <w:bottom w:w="80" w:type="dxa"/>
              <w:right w:w="80" w:type="dxa"/>
            </w:tcMar>
            <w:vAlign w:val="center"/>
          </w:tcPr>
          <w:p w14:paraId="6D7E894B" w14:textId="77777777" w:rsidR="00C229FA" w:rsidRPr="00A325DC" w:rsidRDefault="00000000">
            <w:pPr>
              <w:spacing w:after="0" w:line="240" w:lineRule="auto"/>
              <w:jc w:val="left"/>
            </w:pPr>
            <w:r w:rsidRPr="00A325DC">
              <w:rPr>
                <w:sz w:val="15"/>
              </w:rPr>
              <w:t>(Chandrasekar et al., 2025; Li et al., 2025)</w:t>
            </w:r>
          </w:p>
        </w:tc>
      </w:tr>
      <w:tr w:rsidR="00A325DC" w:rsidRPr="00A325DC" w14:paraId="284B0C4C" w14:textId="77777777" w:rsidTr="00A325DC">
        <w:trPr>
          <w:jc w:val="center"/>
        </w:trPr>
        <w:tc>
          <w:tcPr>
            <w:tcW w:w="1468" w:type="dxa"/>
            <w:tcMar>
              <w:top w:w="80" w:type="dxa"/>
              <w:left w:w="80" w:type="dxa"/>
              <w:bottom w:w="80" w:type="dxa"/>
              <w:right w:w="80" w:type="dxa"/>
            </w:tcMar>
            <w:vAlign w:val="center"/>
          </w:tcPr>
          <w:p w14:paraId="23178E87" w14:textId="77777777" w:rsidR="00C229FA" w:rsidRPr="00A325DC" w:rsidRDefault="00000000">
            <w:pPr>
              <w:spacing w:after="0" w:line="240" w:lineRule="auto"/>
              <w:jc w:val="left"/>
            </w:pPr>
            <w:r w:rsidRPr="00A325DC">
              <w:rPr>
                <w:sz w:val="15"/>
              </w:rPr>
              <w:t>Curative gene/cell therapy selection</w:t>
            </w:r>
          </w:p>
        </w:tc>
        <w:tc>
          <w:tcPr>
            <w:tcW w:w="1756" w:type="dxa"/>
            <w:tcMar>
              <w:top w:w="80" w:type="dxa"/>
              <w:left w:w="80" w:type="dxa"/>
              <w:bottom w:w="80" w:type="dxa"/>
              <w:right w:w="80" w:type="dxa"/>
            </w:tcMar>
            <w:vAlign w:val="center"/>
          </w:tcPr>
          <w:p w14:paraId="59C39ED1" w14:textId="77777777" w:rsidR="00C229FA" w:rsidRPr="00A325DC" w:rsidRDefault="00000000">
            <w:pPr>
              <w:spacing w:after="0" w:line="240" w:lineRule="auto"/>
              <w:jc w:val="left"/>
            </w:pPr>
            <w:r w:rsidRPr="00A325DC">
              <w:rPr>
                <w:sz w:val="15"/>
              </w:rPr>
              <w:t>Disease trajectory, organ reserve, prior therapy, fertility and patient goals</w:t>
            </w:r>
          </w:p>
        </w:tc>
        <w:tc>
          <w:tcPr>
            <w:tcW w:w="1655" w:type="dxa"/>
            <w:tcMar>
              <w:top w:w="80" w:type="dxa"/>
              <w:left w:w="80" w:type="dxa"/>
              <w:bottom w:w="80" w:type="dxa"/>
              <w:right w:w="80" w:type="dxa"/>
            </w:tcMar>
            <w:vAlign w:val="center"/>
          </w:tcPr>
          <w:p w14:paraId="40B0A698" w14:textId="77777777" w:rsidR="00C229FA" w:rsidRPr="00A325DC" w:rsidRDefault="00000000">
            <w:pPr>
              <w:spacing w:after="0" w:line="240" w:lineRule="auto"/>
              <w:jc w:val="left"/>
            </w:pPr>
            <w:r w:rsidRPr="00A325DC">
              <w:rPr>
                <w:sz w:val="15"/>
              </w:rPr>
              <w:t>Counterfactual benefit-risk modelling and long-term outcome prediction</w:t>
            </w:r>
          </w:p>
        </w:tc>
        <w:tc>
          <w:tcPr>
            <w:tcW w:w="1699" w:type="dxa"/>
            <w:tcMar>
              <w:top w:w="80" w:type="dxa"/>
              <w:left w:w="80" w:type="dxa"/>
              <w:bottom w:w="80" w:type="dxa"/>
              <w:right w:w="80" w:type="dxa"/>
            </w:tcMar>
            <w:vAlign w:val="center"/>
          </w:tcPr>
          <w:p w14:paraId="53F3F9EC" w14:textId="77777777" w:rsidR="00C229FA" w:rsidRPr="00A325DC" w:rsidRDefault="00000000">
            <w:pPr>
              <w:spacing w:after="0" w:line="240" w:lineRule="auto"/>
              <w:jc w:val="left"/>
            </w:pPr>
            <w:r w:rsidRPr="00A325DC">
              <w:rPr>
                <w:sz w:val="15"/>
              </w:rPr>
              <w:t>Very low SCD-specific AI evidence</w:t>
            </w:r>
          </w:p>
        </w:tc>
        <w:tc>
          <w:tcPr>
            <w:tcW w:w="1655" w:type="dxa"/>
            <w:tcMar>
              <w:top w:w="80" w:type="dxa"/>
              <w:left w:w="80" w:type="dxa"/>
              <w:bottom w:w="80" w:type="dxa"/>
              <w:right w:w="80" w:type="dxa"/>
            </w:tcMar>
            <w:vAlign w:val="center"/>
          </w:tcPr>
          <w:p w14:paraId="51C7B15E" w14:textId="77777777" w:rsidR="00C229FA" w:rsidRPr="00A325DC" w:rsidRDefault="00000000">
            <w:pPr>
              <w:spacing w:after="0" w:line="240" w:lineRule="auto"/>
              <w:jc w:val="left"/>
            </w:pPr>
            <w:r w:rsidRPr="00A325DC">
              <w:rPr>
                <w:sz w:val="15"/>
              </w:rPr>
              <w:t>Longitudinal comparative data and patient-centred outcomes before algorithmic selection</w:t>
            </w:r>
          </w:p>
        </w:tc>
        <w:tc>
          <w:tcPr>
            <w:tcW w:w="1699" w:type="dxa"/>
            <w:tcMar>
              <w:top w:w="80" w:type="dxa"/>
              <w:left w:w="80" w:type="dxa"/>
              <w:bottom w:w="80" w:type="dxa"/>
              <w:right w:w="80" w:type="dxa"/>
            </w:tcMar>
            <w:vAlign w:val="center"/>
          </w:tcPr>
          <w:p w14:paraId="74EC4CCB" w14:textId="77777777" w:rsidR="00C229FA" w:rsidRPr="00A325DC" w:rsidRDefault="00000000">
            <w:pPr>
              <w:spacing w:after="0" w:line="240" w:lineRule="auto"/>
              <w:jc w:val="left"/>
            </w:pPr>
            <w:r w:rsidRPr="00A325DC">
              <w:rPr>
                <w:sz w:val="15"/>
              </w:rPr>
              <w:t>(Brandow &amp; Liem, 2022; Yu et al., 2024)</w:t>
            </w:r>
          </w:p>
        </w:tc>
      </w:tr>
    </w:tbl>
    <w:p w14:paraId="62237F85" w14:textId="77777777" w:rsidR="00C229FA" w:rsidRPr="00A325DC" w:rsidRDefault="00000000">
      <w:pPr>
        <w:spacing w:before="60" w:after="160" w:line="240" w:lineRule="auto"/>
      </w:pPr>
      <w:r w:rsidRPr="00A325DC">
        <w:rPr>
          <w:i/>
          <w:sz w:val="16"/>
        </w:rPr>
        <w:t>Note. AI = artificial intelligence; HbF = fetal haemoglobin; HCT = haematopoietic cell transplantation; ML = machine learning; PK = pharmacokinetic; SCD = sickle cell disease; VOC = vaso-occlusive crisis.</w:t>
      </w:r>
    </w:p>
    <w:p w14:paraId="06E00F33" w14:textId="77777777" w:rsidR="00C229FA" w:rsidRPr="00A325DC" w:rsidRDefault="00000000">
      <w:pPr>
        <w:pStyle w:val="Heading1"/>
        <w:rPr>
          <w:color w:val="auto"/>
        </w:rPr>
      </w:pPr>
      <w:r w:rsidRPr="00A325DC">
        <w:rPr>
          <w:color w:val="auto"/>
        </w:rPr>
        <w:t>7. Multimodal and Physiologically Informed Modelling</w:t>
      </w:r>
    </w:p>
    <w:p w14:paraId="5CB3D0FF" w14:textId="77777777" w:rsidR="00C229FA" w:rsidRPr="00A325DC" w:rsidRDefault="00000000">
      <w:pPr>
        <w:pStyle w:val="Heading2"/>
        <w:rPr>
          <w:color w:val="auto"/>
        </w:rPr>
      </w:pPr>
      <w:r w:rsidRPr="00A325DC">
        <w:rPr>
          <w:color w:val="auto"/>
        </w:rPr>
        <w:t>7.1 Why Multimodal Integration Is Biologically Plausible</w:t>
      </w:r>
    </w:p>
    <w:p w14:paraId="7965ACB0" w14:textId="77777777" w:rsidR="00C229FA" w:rsidRPr="00A325DC" w:rsidRDefault="00000000">
      <w:r w:rsidRPr="00A325DC">
        <w:t>The strongest rationale for AI in SCD arises from the fact that no single measurement captures the whole disease. HbS polymerisation is necessary, but clinical severity reflects modifiers such as HbF, red-cell hydration and alpha-thalassaemia, as well as inflammation, vascular responses, organ reserve, treatment exposure and environmental stress. A multimodal model could combine relatively stable variables such as genotype with intermediate-timescale variables such as haemolytic profile and organ function, and rapid variables such as heart-rate variability, PPG morphology, activity or pain. This layered structure better matches SCD physiology than a flat vector of unrelated features (Kato et al., 2018; Kirkham et al., 2023; Sundd et al., 2019).</w:t>
      </w:r>
    </w:p>
    <w:p w14:paraId="4C9EC4E9" w14:textId="77777777" w:rsidR="00C229FA" w:rsidRPr="00A325DC" w:rsidRDefault="00000000">
      <w:r w:rsidRPr="00A325DC">
        <w:t>The key methodological problem is that multimodal data are usually missing asynchronously. Genotypes may be measured once, laboratory tests intermittently, echocardiography annually, wearable physiology continuously and patient-reported outcomes only when participants engage. Naively concatenating these variables can make missingness patterns themselves dominant predictors. In SCD, missingness may encode access to care, insurance coverage, travel distance or clinician practice. Multimodal modelling must therefore distinguish “not measured” from “normal”, report missingness by subgroup and use architectures that can represent irregular time series without converting care inequality into an invisible prediction feature.</w:t>
      </w:r>
    </w:p>
    <w:p w14:paraId="01F50AEC" w14:textId="77777777" w:rsidR="00C229FA" w:rsidRPr="00A325DC" w:rsidRDefault="00000000">
      <w:pPr>
        <w:pStyle w:val="Heading2"/>
        <w:rPr>
          <w:color w:val="auto"/>
        </w:rPr>
      </w:pPr>
      <w:r w:rsidRPr="00A325DC">
        <w:rPr>
          <w:color w:val="auto"/>
        </w:rPr>
        <w:t>7.2 Biophysical and Molecular Anchors</w:t>
      </w:r>
    </w:p>
    <w:p w14:paraId="30B09EE8" w14:textId="77777777" w:rsidR="00C229FA" w:rsidRPr="00A325DC" w:rsidRDefault="00000000">
      <w:r w:rsidRPr="00A325DC">
        <w:t>Biophysical measures offer useful anchors because they provide intermediate phenotypes between genotype and clinical events. Darrin et al. (2023) demonstrated automated classification of red-cell dynamics, while Ansong-</w:t>
      </w:r>
      <w:r w:rsidRPr="00A325DC">
        <w:lastRenderedPageBreak/>
        <w:t>Ansongton and Adamson (2024) integrated deformation and membrane flexibility into a phase-imaging health index. These measurements could eventually help determine whether two patients with similar HbF have different functional erythrocyte behaviour. They may also provide treatment-response endpoints that change faster than clinical event rates, which is attractive for adaptive precision-care studies.</w:t>
      </w:r>
    </w:p>
    <w:p w14:paraId="02CCF358" w14:textId="77777777" w:rsidR="00C229FA" w:rsidRPr="00A325DC" w:rsidRDefault="00000000">
      <w:r w:rsidRPr="00A325DC">
        <w:t>Molecular data could add complementary information, but high dimensionality is dangerous in small SCD cohorts. The genetic literature contains thousands of reported associations, yet cross-study synthesis supports only a relatively small fraction because phenotype definitions and reporting are inconsistent (Kirkham et al., 2023). Metabolomic discrimination of VOC state similarly illustrates biological richness but also the statistical vulnerability of many features in small samples (Dembélé et al., 2020). A physiology-informed model should therefore prefer reproducible, mechanistically coherent features or use strong regularisation and independent validation rather than assuming that more molecular variables necessarily increase precision.</w:t>
      </w:r>
    </w:p>
    <w:p w14:paraId="0BA01EE9" w14:textId="77777777" w:rsidR="00C229FA" w:rsidRPr="00A325DC" w:rsidRDefault="00000000">
      <w:pPr>
        <w:pStyle w:val="Heading2"/>
        <w:rPr>
          <w:color w:val="auto"/>
        </w:rPr>
      </w:pPr>
      <w:r w:rsidRPr="00A325DC">
        <w:rPr>
          <w:color w:val="auto"/>
        </w:rPr>
        <w:t>7.3 Hybrid Mechanistic and Data-Driven Models</w:t>
      </w:r>
    </w:p>
    <w:p w14:paraId="18CE7D02" w14:textId="77777777" w:rsidR="00C229FA" w:rsidRPr="00A325DC" w:rsidRDefault="00000000">
      <w:r w:rsidRPr="00A325DC">
        <w:t>One promising direction is the hybridisation of mechanistic models with ML. Hydroxyurea pharmacokinetics already provides a concrete example in which known drug-exposure relationships can constrain individualisation (Dong et al., 2016). Similar principles could be applied to red-cell sickling kinetics, oxygen delivery or organ-function trajectories. ML could estimate residual nonlinear effects while the mechanistic component enforces physiologically plausible directionality or parameter ranges. This can reduce the risk that a model exploits spurious correlations that disappear under distribution shift.</w:t>
      </w:r>
    </w:p>
    <w:p w14:paraId="449E6E37" w14:textId="77777777" w:rsidR="00C229FA" w:rsidRPr="00A325DC" w:rsidRDefault="00000000">
      <w:r w:rsidRPr="00A325DC">
        <w:t>Hybrid models may also improve interpretability. In a purely data-driven system, a feature attribution method can identify variables associated with a prediction but cannot establish why the relationship exists. In a physiology-constrained system, outputs can be decomposed into interpretable latent states such as erythrocyte rheological impairment, haemolytic burden, vascular instability and organ reserve. Such states would still require validation; assigning a biological label to a latent variable does not make it biological. The advantage is that model design creates hypotheses that can be tested against independent physiological measurements.</w:t>
      </w:r>
    </w:p>
    <w:p w14:paraId="0CF6FCED" w14:textId="77777777" w:rsidR="00C229FA" w:rsidRPr="00A325DC" w:rsidRDefault="00000000">
      <w:pPr>
        <w:pStyle w:val="Heading2"/>
        <w:rPr>
          <w:color w:val="auto"/>
        </w:rPr>
      </w:pPr>
      <w:r w:rsidRPr="00A325DC">
        <w:rPr>
          <w:color w:val="auto"/>
        </w:rPr>
        <w:t>7.4 Personal Baselines and Dynamic Phenotyping</w:t>
      </w:r>
    </w:p>
    <w:p w14:paraId="7A51D015" w14:textId="77777777" w:rsidR="00C229FA" w:rsidRPr="00A325DC" w:rsidRDefault="00000000">
      <w:r w:rsidRPr="00A325DC">
        <w:t>SCD may be especially suited to personalised baseline modelling because between-person heterogeneity is large. A resting heart rate, HbF concentration or pain score that is abnormal for one patient may be typical for another. Longitudinal models can compare current physiology with an individual's own stable baseline rather than relying only on population cut-offs. Consumer wearable studies suggest that repeated measurements are feasible in at least some patients, but current cohorts are too small to establish whether within-person deviations can reliably forecast clinically actionable events (Stojancic et al., 2023; Vuong et al., 2023).</w:t>
      </w:r>
    </w:p>
    <w:p w14:paraId="2FA8BA7A" w14:textId="77777777" w:rsidR="00C229FA" w:rsidRPr="00A325DC" w:rsidRDefault="00000000">
      <w:r w:rsidRPr="00A325DC">
        <w:t>A future dynamic phenotype could combine deviations in vascular signals, activity, sleep, laboratory trends and patient-reported symptoms, then update risk as new data arrive. The crucial validation question would be whether the model detects a pre-clinical transition state rather than simply tracking symptoms that the patient already recognises. Evaluation should therefore compare AI warnings with patient self-assessment, simple threshold rules and clinician judgement. If a complex model cannot improve on these comparators, its physiological sophistication does not justify deployment.</w:t>
      </w:r>
    </w:p>
    <w:p w14:paraId="7706B61B" w14:textId="77777777" w:rsidR="00C229FA" w:rsidRPr="00A325DC" w:rsidRDefault="00000000">
      <w:pPr>
        <w:pStyle w:val="Heading1"/>
        <w:rPr>
          <w:color w:val="auto"/>
        </w:rPr>
      </w:pPr>
      <w:r w:rsidRPr="00A325DC">
        <w:rPr>
          <w:color w:val="auto"/>
        </w:rPr>
        <w:t>8. Equitable Clinical Implementation</w:t>
      </w:r>
    </w:p>
    <w:p w14:paraId="57851734" w14:textId="77777777" w:rsidR="00C229FA" w:rsidRPr="00A325DC" w:rsidRDefault="00000000">
      <w:pPr>
        <w:pStyle w:val="Heading2"/>
        <w:rPr>
          <w:color w:val="auto"/>
        </w:rPr>
      </w:pPr>
      <w:r w:rsidRPr="00A325DC">
        <w:rPr>
          <w:color w:val="auto"/>
        </w:rPr>
        <w:t>8.1 Equity as a Component of Model Validity</w:t>
      </w:r>
    </w:p>
    <w:p w14:paraId="27D80739" w14:textId="77777777" w:rsidR="00C229FA" w:rsidRPr="00A325DC" w:rsidRDefault="00000000">
      <w:r w:rsidRPr="00A325DC">
        <w:t xml:space="preserve">Equity is often discussed as an ethical issue that follows technical validation. In SCD, that sequencing is inadequate because the distribution of disease and the distribution of AI development data are misaligned. </w:t>
      </w:r>
      <w:r w:rsidRPr="00A325DC">
        <w:lastRenderedPageBreak/>
        <w:t>Global burden is concentrated in sub-Saharan Africa and other regions with substantial unmet diagnostic and treatment needs, while many published AI studies arise from single academic centres in the United States, Europe or small public image datasets (GBD 2021 Sickle Cell Disease Collaborators, 2023; Machado et al., 2024). A model that performs well only in resource-rich specialist settings has limited validity for the global SCD population, regardless of its internal discrimination.</w:t>
      </w:r>
    </w:p>
    <w:p w14:paraId="2599EDAD" w14:textId="77777777" w:rsidR="00C229FA" w:rsidRPr="00A325DC" w:rsidRDefault="00000000">
      <w:r w:rsidRPr="00A325DC">
        <w:t>The low-cost microscopy literature partly addresses this mismatch. Smartphone microscopy and automated sickling systems are explicitly designed for settings where laboratory infrastructure and specialist personnel are constrained (de Haan et al., 2020; Shrestha et al., 2025). Yet “low cost” at the device level does not guarantee low implementation burden. Programmes require consumables, power, maintenance, training, quality assurance, confirmatory testing, referral pathways and data governance. AI evaluation in high-burden settings should therefore include total workflow reliability and cost, not only per-image computation.</w:t>
      </w:r>
    </w:p>
    <w:p w14:paraId="1D3FC2C4" w14:textId="77777777" w:rsidR="00C229FA" w:rsidRPr="00A325DC" w:rsidRDefault="00000000">
      <w:pPr>
        <w:pStyle w:val="Heading2"/>
        <w:rPr>
          <w:color w:val="auto"/>
        </w:rPr>
      </w:pPr>
      <w:r w:rsidRPr="00A325DC">
        <w:rPr>
          <w:color w:val="auto"/>
        </w:rPr>
        <w:t>8.2 Representation, Prevalence and Spectrum Effects</w:t>
      </w:r>
    </w:p>
    <w:p w14:paraId="321FA688" w14:textId="77777777" w:rsidR="00C229FA" w:rsidRPr="00A325DC" w:rsidRDefault="00000000">
      <w:r w:rsidRPr="00A325DC">
        <w:t>Model performance depends on the clinical spectrum in which a test is used. A classifier developed on obvious HbSS cases and healthy controls may perform poorly when deployed among newborns, hydroxyurea-treated patients, HbSC disease, sickle beta-thalassaemia, transfused patients or people with coexisting haematological disorders. Prevalence also changes predictive values even when sensitivity and specificity remain stable. External validation must therefore reflect the intended use population rather than a convenient mixed dataset.</w:t>
      </w:r>
    </w:p>
    <w:p w14:paraId="03447445" w14:textId="77777777" w:rsidR="00C229FA" w:rsidRPr="00A325DC" w:rsidRDefault="00000000">
      <w:r w:rsidRPr="00A325DC">
        <w:t>Subgroup degradation can reveal hidden dependence on population structure. Christensen et al. (2025) found that ML detection of HbS/HbC carriers using routine laboratory tests performed less well when restricted to Black individuals. This result should not be read as a property of race; it indicates that correlations learned in a mixed population did not transfer equivalently within a more clinically relevant subgroup. The appropriate response is to examine feature distributions, prevalence, laboratory reference patterns and data-generating processes, not to add race as a simplistic corrective variable.</w:t>
      </w:r>
    </w:p>
    <w:p w14:paraId="742D2BC4" w14:textId="77777777" w:rsidR="00C229FA" w:rsidRPr="00A325DC" w:rsidRDefault="00000000">
      <w:pPr>
        <w:pStyle w:val="Heading2"/>
        <w:rPr>
          <w:color w:val="auto"/>
        </w:rPr>
      </w:pPr>
      <w:r w:rsidRPr="00A325DC">
        <w:rPr>
          <w:color w:val="auto"/>
        </w:rPr>
        <w:t>8.3 Sensor Bias and Physiological Measurement Error</w:t>
      </w:r>
    </w:p>
    <w:p w14:paraId="03F500F6" w14:textId="77777777" w:rsidR="00C229FA" w:rsidRPr="00A325DC" w:rsidRDefault="00000000">
      <w:r w:rsidRPr="00A325DC">
        <w:t>Wearable and bedside models inherit the limitations of their sensors. Pulse oximetry is especially relevant because oxygen saturation may be used directly as an input or indirectly influence clinical labels. Sjoding et al. (2020) showed that occult hypoxaemia was more frequent in Black than White patients at comparable pulse-oximetry readings in a large paired-measurement analysis. The study was not SCD-specific, but its relevance is immediate because SCD disproportionately affects people with darker skin tones and hypoxaemia can influence sickling physiology, acute chest evaluation and treatment decisions.</w:t>
      </w:r>
    </w:p>
    <w:p w14:paraId="6932800F" w14:textId="77777777" w:rsidR="00C229FA" w:rsidRPr="00A325DC" w:rsidRDefault="00000000">
      <w:r w:rsidRPr="00A325DC">
        <w:t>If a biased sensor feeds an AI system, the algorithm can amplify rather than correct the error. A model may learn that a falsely reassuring oxygen-saturation value predicts lower risk, or clinicians may use the same biased value to define the outcome, contaminating both features and labels. Fairness auditing must therefore begin before modelling, at the measurement layer. Device model, firmware, skin pigmentation, perfusion, motion artefact and clinical setting should be documented where relevant, and performance should be stratified by characteristics that plausibly affect measurement.</w:t>
      </w:r>
    </w:p>
    <w:p w14:paraId="51679D1C" w14:textId="77777777" w:rsidR="00C229FA" w:rsidRPr="00A325DC" w:rsidRDefault="00000000">
      <w:pPr>
        <w:pStyle w:val="Heading2"/>
        <w:rPr>
          <w:color w:val="auto"/>
        </w:rPr>
      </w:pPr>
      <w:r w:rsidRPr="00A325DC">
        <w:rPr>
          <w:color w:val="auto"/>
        </w:rPr>
        <w:t>8.4 Labels Can Encode Structural Inequity</w:t>
      </w:r>
    </w:p>
    <w:p w14:paraId="0F0316F6" w14:textId="77777777" w:rsidR="00C229FA" w:rsidRPr="00A325DC" w:rsidRDefault="00000000">
      <w:r w:rsidRPr="00A325DC">
        <w:t xml:space="preserve">Healthcare-derived labels are not neutral. Obermeyer et al. (2019) demonstrated in a widely cited non-SCD example that using healthcare cost as a proxy for need generated racial bias because historical spending differed despite illness burden. The same principle applies to SCD. Readmission, emergency-department visits, opioid administration, specialist referral and documented pain can all be influenced by access, stigma, clinician trust </w:t>
      </w:r>
      <w:r w:rsidRPr="00A325DC">
        <w:lastRenderedPageBreak/>
        <w:t>and institutional policy. An algorithm trained to predict these outcomes may reproduce the healthcare system rather than estimate disease biology.</w:t>
      </w:r>
    </w:p>
    <w:p w14:paraId="0494A267" w14:textId="77777777" w:rsidR="00C229FA" w:rsidRPr="00A325DC" w:rsidRDefault="00000000">
      <w:r w:rsidRPr="00A325DC">
        <w:t>Rajkomar et al. (2018) argued that fairness in clinical ML requires explicit decisions about which notion of equity matters, including equality of performance, outcomes or resource allocation. For SCD, the appropriate fairness target depends on the intervention. A screening model may require comparable sensitivity across genotypes and geographic populations because false negatives delay diagnosis. An acute-deterioration model may require well-calibrated risk across skin tones and care settings. A resource-allocation model may need to correct for historically unequal access rather than reproduce observed utilisation. No single statistical fairness metric is sufficient for all these tasks.</w:t>
      </w:r>
    </w:p>
    <w:p w14:paraId="55270463" w14:textId="77777777" w:rsidR="00C229FA" w:rsidRPr="00A325DC" w:rsidRDefault="00000000">
      <w:pPr>
        <w:pStyle w:val="Heading2"/>
        <w:rPr>
          <w:color w:val="auto"/>
        </w:rPr>
      </w:pPr>
      <w:r w:rsidRPr="00A325DC">
        <w:rPr>
          <w:color w:val="auto"/>
        </w:rPr>
        <w:t>8.5 Data Infrastructure and Global Transportability</w:t>
      </w:r>
    </w:p>
    <w:p w14:paraId="54E021EE" w14:textId="77777777" w:rsidR="00C229FA" w:rsidRPr="00A325DC" w:rsidRDefault="00000000">
      <w:r w:rsidRPr="00A325DC">
        <w:t>High-burden settings may have sparse longitudinal EHRs but strong community screening networks, paper records or laboratory registries. Requiring dense EHR histories or continuous wearables can therefore select for health systems and patients already advantaged by digital infrastructure. Precision care should instead be designed around minimum viable data. A model that uses a small set of robust laboratory and clinical variables may deliver more global benefit than a multimodal model requiring continuous cloud connectivity and expensive sensors.</w:t>
      </w:r>
    </w:p>
    <w:p w14:paraId="35828ABE" w14:textId="77777777" w:rsidR="00C229FA" w:rsidRPr="00A325DC" w:rsidRDefault="00000000">
      <w:r w:rsidRPr="00A325DC">
        <w:t>Regional sources also reveal why global models need local phenotyping. Indian and South-Asian SCD populations include substantial genetic, environmental and healthcare heterogeneity, including differences in HbF, co-inherited traits and patterns of screening. The automated low-cost study in Nepal and Canada is valuable because it tests the same technologies across markedly different settings rather than assuming that laboratory performance transports unchanged (Shrestha et al., 2025). Similar multicountry studies are needed in African and Indian high-burden regions, with local investigators involved in problem definition, model governance and interpretation.</w:t>
      </w:r>
    </w:p>
    <w:p w14:paraId="6C116859" w14:textId="77777777" w:rsidR="00C229FA" w:rsidRPr="00A325DC" w:rsidRDefault="00000000">
      <w:r w:rsidRPr="00A325DC">
        <w:t>Federated or privacy-preserving learning is often proposed for geographically distributed rare-disease data, but technical decentralisation does not solve governance by itself. Sites may differ in phenotype definitions, assay platforms, coding, consent and data completeness. Before model aggregation, partners need a common data model, agreed outcome definitions and transparent rules for data contribution and benefit sharing. Otherwise, federated learning can combine incompatible labels while creating an appearance of scale.</w:t>
      </w:r>
    </w:p>
    <w:p w14:paraId="72DD098D" w14:textId="77777777" w:rsidR="00C229FA" w:rsidRPr="00A325DC" w:rsidRDefault="00000000">
      <w:pPr>
        <w:pStyle w:val="Heading2"/>
        <w:rPr>
          <w:color w:val="auto"/>
        </w:rPr>
      </w:pPr>
      <w:r w:rsidRPr="00A325DC">
        <w:rPr>
          <w:color w:val="auto"/>
        </w:rPr>
        <w:t>8.6 Human Factors, Uncertainty and Clinical Workflow</w:t>
      </w:r>
    </w:p>
    <w:p w14:paraId="24C463BB" w14:textId="77777777" w:rsidR="00C229FA" w:rsidRPr="00A325DC" w:rsidRDefault="00000000">
      <w:r w:rsidRPr="00A325DC">
        <w:t>Deployment changes the system in which a model was validated. If clinicians act on a risk score, treatment changes, which in turn changes future data. This feedback is particularly important for VOC alerts: once an alert triggers hydration, analgesia or clinical contact, the event rate may fall, making the original model appear less accurate even if it is beneficial. Prospective evaluation must therefore measure patient outcomes and workflow effects, not merely retrospective discrimination.</w:t>
      </w:r>
    </w:p>
    <w:p w14:paraId="1D32BA01" w14:textId="77777777" w:rsidR="00C229FA" w:rsidRPr="00A325DC" w:rsidRDefault="00000000">
      <w:r w:rsidRPr="00A325DC">
        <w:t>The DECIDE-AI guideline emphasises early-stage clinical evaluation, human factors and actual use of AI decision support, while CONSORT-AI, SPIRIT-AI and TRIPOD+AI provide complementary expectations for trials, protocols and prediction-model reporting (Collins et al., 2024; Cruz Rivera et al., 2020; Liu et al., 2020; Vasey et al., 2022). SCD studies would benefit from these standards because many current papers do not provide enough information about patient-level splitting, missing data, calibration, intended use or failure cases. Reporting standards are not bureaucratic additions; they determine whether a model can be independently appraised and reproduced.</w:t>
      </w:r>
    </w:p>
    <w:p w14:paraId="3E166D43" w14:textId="77777777" w:rsidR="00C229FA" w:rsidRPr="00A325DC" w:rsidRDefault="00000000">
      <w:r w:rsidRPr="00A325DC">
        <w:lastRenderedPageBreak/>
        <w:t>Uncertainty communication is equally important. A probability should not be displayed as a categorical truth unless thresholds have been justified. Models should be able to abstain when inputs are outside the training distribution or data quality is inadequate. For a smartphone microscope, this may mean requesting a repeat image when focus or staining is poor. For an HCT model, it may mean showing broad uncertainty intervals when a patient resembles few registry participants. Confidence that is not calibrated is a safety hazard.</w:t>
      </w:r>
    </w:p>
    <w:p w14:paraId="7D6A8651" w14:textId="77777777" w:rsidR="00C229FA" w:rsidRPr="00A325DC" w:rsidRDefault="00000000">
      <w:pPr>
        <w:pStyle w:val="Heading2"/>
        <w:rPr>
          <w:color w:val="auto"/>
        </w:rPr>
      </w:pPr>
      <w:r w:rsidRPr="00A325DC">
        <w:rPr>
          <w:color w:val="auto"/>
        </w:rPr>
        <w:t>8.7 Governance and Post-Deployment Monitoring</w:t>
      </w:r>
    </w:p>
    <w:p w14:paraId="7AAFCF9A" w14:textId="77777777" w:rsidR="00C229FA" w:rsidRPr="00A325DC" w:rsidRDefault="00000000">
      <w:r w:rsidRPr="00A325DC">
        <w:t>Responsible clinical ML requires continuous evaluation after deployment because data and care pathways drift (Wiens et al., 2019). In SCD, changes in hydroxyurea use, curative-therapy availability, transfusion practice or outpatient care can alter predictor-outcome relationships. A model validated on historical data should therefore have a documented monitoring plan, including calibration drift, subgroup performance, missingness, alert frequency and downstream clinical actions.</w:t>
      </w:r>
    </w:p>
    <w:p w14:paraId="45BC42A7" w14:textId="77777777" w:rsidR="00C229FA" w:rsidRPr="00A325DC" w:rsidRDefault="00000000">
      <w:r w:rsidRPr="00A325DC">
        <w:t>Governance should include patients with SCD, caregivers, clinicians, data scientists and representatives from the populations where the tool will be used. Patient involvement is especially important for pain-related models because pain is subjective and because algorithmic inference must never be used to discount self-report. An AI estimate should support, not replace, the patient's description of pain. The history of inequity in SCD care makes this safeguard clinically essential.</w:t>
      </w:r>
    </w:p>
    <w:p w14:paraId="6255D64F" w14:textId="77777777" w:rsidR="00C229FA" w:rsidRPr="00A325DC" w:rsidRDefault="00000000">
      <w:r w:rsidRPr="00A325DC">
        <w:t>Table 5 summarises an implementation framework in which fairness is evaluated across the entire data-to-decision pipeline. The key principle is that equity cannot be repaired solely by adjusting a final model after biased measurements and labels have already been accepted.</w:t>
      </w:r>
    </w:p>
    <w:p w14:paraId="120B8625" w14:textId="77777777" w:rsidR="00C229FA" w:rsidRPr="00A325DC" w:rsidRDefault="00000000">
      <w:pPr>
        <w:keepNext/>
        <w:spacing w:before="100" w:after="80"/>
      </w:pPr>
      <w:r w:rsidRPr="00A325DC">
        <w:rPr>
          <w:b/>
          <w:sz w:val="20"/>
        </w:rPr>
        <w:t>Table 5. Equity and implementation risks across the SCD AI lifecycle</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468"/>
        <w:gridCol w:w="1756"/>
        <w:gridCol w:w="1655"/>
        <w:gridCol w:w="1699"/>
        <w:gridCol w:w="1655"/>
        <w:gridCol w:w="1699"/>
      </w:tblGrid>
      <w:tr w:rsidR="00A325DC" w:rsidRPr="00A325DC" w14:paraId="17469B82" w14:textId="77777777" w:rsidTr="00A325DC">
        <w:trPr>
          <w:tblHeader/>
          <w:jc w:val="center"/>
        </w:trPr>
        <w:tc>
          <w:tcPr>
            <w:tcW w:w="1468" w:type="dxa"/>
            <w:tcMar>
              <w:top w:w="80" w:type="dxa"/>
              <w:left w:w="80" w:type="dxa"/>
              <w:bottom w:w="80" w:type="dxa"/>
              <w:right w:w="80" w:type="dxa"/>
            </w:tcMar>
            <w:vAlign w:val="center"/>
          </w:tcPr>
          <w:p w14:paraId="5F25ED11" w14:textId="77777777" w:rsidR="00C229FA" w:rsidRPr="00A325DC" w:rsidRDefault="00000000">
            <w:pPr>
              <w:spacing w:after="0" w:line="240" w:lineRule="auto"/>
              <w:jc w:val="left"/>
            </w:pPr>
            <w:r w:rsidRPr="00A325DC">
              <w:rPr>
                <w:b/>
                <w:sz w:val="15"/>
              </w:rPr>
              <w:t>Lifecycle stage</w:t>
            </w:r>
          </w:p>
        </w:tc>
        <w:tc>
          <w:tcPr>
            <w:tcW w:w="1756" w:type="dxa"/>
            <w:tcMar>
              <w:top w:w="80" w:type="dxa"/>
              <w:left w:w="80" w:type="dxa"/>
              <w:bottom w:w="80" w:type="dxa"/>
              <w:right w:w="80" w:type="dxa"/>
            </w:tcMar>
            <w:vAlign w:val="center"/>
          </w:tcPr>
          <w:p w14:paraId="4D0484C9" w14:textId="77777777" w:rsidR="00C229FA" w:rsidRPr="00A325DC" w:rsidRDefault="00000000">
            <w:pPr>
              <w:spacing w:after="0" w:line="240" w:lineRule="auto"/>
              <w:jc w:val="left"/>
            </w:pPr>
            <w:r w:rsidRPr="00A325DC">
              <w:rPr>
                <w:b/>
                <w:sz w:val="15"/>
              </w:rPr>
              <w:t>Principal risk</w:t>
            </w:r>
          </w:p>
        </w:tc>
        <w:tc>
          <w:tcPr>
            <w:tcW w:w="1655" w:type="dxa"/>
            <w:tcMar>
              <w:top w:w="80" w:type="dxa"/>
              <w:left w:w="80" w:type="dxa"/>
              <w:bottom w:w="80" w:type="dxa"/>
              <w:right w:w="80" w:type="dxa"/>
            </w:tcMar>
            <w:vAlign w:val="center"/>
          </w:tcPr>
          <w:p w14:paraId="4166E42B" w14:textId="77777777" w:rsidR="00C229FA" w:rsidRPr="00A325DC" w:rsidRDefault="00000000">
            <w:pPr>
              <w:spacing w:after="0" w:line="240" w:lineRule="auto"/>
              <w:jc w:val="left"/>
            </w:pPr>
            <w:r w:rsidRPr="00A325DC">
              <w:rPr>
                <w:b/>
                <w:sz w:val="15"/>
              </w:rPr>
              <w:t>Why it matters in SCD</w:t>
            </w:r>
          </w:p>
        </w:tc>
        <w:tc>
          <w:tcPr>
            <w:tcW w:w="1699" w:type="dxa"/>
            <w:tcMar>
              <w:top w:w="80" w:type="dxa"/>
              <w:left w:w="80" w:type="dxa"/>
              <w:bottom w:w="80" w:type="dxa"/>
              <w:right w:w="80" w:type="dxa"/>
            </w:tcMar>
            <w:vAlign w:val="center"/>
          </w:tcPr>
          <w:p w14:paraId="234C1499" w14:textId="77777777" w:rsidR="00C229FA" w:rsidRPr="00A325DC" w:rsidRDefault="00000000">
            <w:pPr>
              <w:spacing w:after="0" w:line="240" w:lineRule="auto"/>
              <w:jc w:val="left"/>
            </w:pPr>
            <w:r w:rsidRPr="00A325DC">
              <w:rPr>
                <w:b/>
                <w:sz w:val="15"/>
              </w:rPr>
              <w:t>Recommended safeguard</w:t>
            </w:r>
          </w:p>
        </w:tc>
        <w:tc>
          <w:tcPr>
            <w:tcW w:w="1655" w:type="dxa"/>
            <w:tcMar>
              <w:top w:w="80" w:type="dxa"/>
              <w:left w:w="80" w:type="dxa"/>
              <w:bottom w:w="80" w:type="dxa"/>
              <w:right w:w="80" w:type="dxa"/>
            </w:tcMar>
            <w:vAlign w:val="center"/>
          </w:tcPr>
          <w:p w14:paraId="38BEF64B" w14:textId="77777777" w:rsidR="00C229FA" w:rsidRPr="00A325DC" w:rsidRDefault="00000000">
            <w:pPr>
              <w:spacing w:after="0" w:line="240" w:lineRule="auto"/>
              <w:jc w:val="left"/>
            </w:pPr>
            <w:r w:rsidRPr="00A325DC">
              <w:rPr>
                <w:b/>
                <w:sz w:val="15"/>
              </w:rPr>
              <w:t>Evidence or rationale</w:t>
            </w:r>
          </w:p>
        </w:tc>
        <w:tc>
          <w:tcPr>
            <w:tcW w:w="1699" w:type="dxa"/>
            <w:tcMar>
              <w:top w:w="80" w:type="dxa"/>
              <w:left w:w="80" w:type="dxa"/>
              <w:bottom w:w="80" w:type="dxa"/>
              <w:right w:w="80" w:type="dxa"/>
            </w:tcMar>
            <w:vAlign w:val="center"/>
          </w:tcPr>
          <w:p w14:paraId="10FB6461" w14:textId="77777777" w:rsidR="00C229FA" w:rsidRPr="00A325DC" w:rsidRDefault="00000000">
            <w:pPr>
              <w:spacing w:after="0" w:line="240" w:lineRule="auto"/>
              <w:jc w:val="left"/>
            </w:pPr>
            <w:r w:rsidRPr="00A325DC">
              <w:rPr>
                <w:b/>
                <w:sz w:val="15"/>
              </w:rPr>
              <w:t>Supporting references</w:t>
            </w:r>
          </w:p>
        </w:tc>
      </w:tr>
      <w:tr w:rsidR="00A325DC" w:rsidRPr="00A325DC" w14:paraId="6CB3CA58" w14:textId="77777777" w:rsidTr="00A325DC">
        <w:trPr>
          <w:jc w:val="center"/>
        </w:trPr>
        <w:tc>
          <w:tcPr>
            <w:tcW w:w="1468" w:type="dxa"/>
            <w:tcMar>
              <w:top w:w="80" w:type="dxa"/>
              <w:left w:w="80" w:type="dxa"/>
              <w:bottom w:w="80" w:type="dxa"/>
              <w:right w:w="80" w:type="dxa"/>
            </w:tcMar>
            <w:vAlign w:val="center"/>
          </w:tcPr>
          <w:p w14:paraId="0AC87B88" w14:textId="77777777" w:rsidR="00C229FA" w:rsidRPr="00A325DC" w:rsidRDefault="00000000">
            <w:pPr>
              <w:spacing w:after="0" w:line="240" w:lineRule="auto"/>
              <w:jc w:val="left"/>
            </w:pPr>
            <w:r w:rsidRPr="00A325DC">
              <w:rPr>
                <w:sz w:val="15"/>
              </w:rPr>
              <w:t>Problem definition</w:t>
            </w:r>
          </w:p>
        </w:tc>
        <w:tc>
          <w:tcPr>
            <w:tcW w:w="1756" w:type="dxa"/>
            <w:tcMar>
              <w:top w:w="80" w:type="dxa"/>
              <w:left w:w="80" w:type="dxa"/>
              <w:bottom w:w="80" w:type="dxa"/>
              <w:right w:w="80" w:type="dxa"/>
            </w:tcMar>
            <w:vAlign w:val="center"/>
          </w:tcPr>
          <w:p w14:paraId="4837D7D0" w14:textId="77777777" w:rsidR="00C229FA" w:rsidRPr="00A325DC" w:rsidRDefault="00000000">
            <w:pPr>
              <w:spacing w:after="0" w:line="240" w:lineRule="auto"/>
              <w:jc w:val="left"/>
            </w:pPr>
            <w:r w:rsidRPr="00A325DC">
              <w:rPr>
                <w:sz w:val="15"/>
              </w:rPr>
              <w:t>Optimising a convenient proxy rather than patient benefit</w:t>
            </w:r>
          </w:p>
        </w:tc>
        <w:tc>
          <w:tcPr>
            <w:tcW w:w="1655" w:type="dxa"/>
            <w:tcMar>
              <w:top w:w="80" w:type="dxa"/>
              <w:left w:w="80" w:type="dxa"/>
              <w:bottom w:w="80" w:type="dxa"/>
              <w:right w:w="80" w:type="dxa"/>
            </w:tcMar>
            <w:vAlign w:val="center"/>
          </w:tcPr>
          <w:p w14:paraId="215F2460" w14:textId="77777777" w:rsidR="00C229FA" w:rsidRPr="00A325DC" w:rsidRDefault="00000000">
            <w:pPr>
              <w:spacing w:after="0" w:line="240" w:lineRule="auto"/>
              <w:jc w:val="left"/>
            </w:pPr>
            <w:r w:rsidRPr="00A325DC">
              <w:rPr>
                <w:sz w:val="15"/>
              </w:rPr>
              <w:t>Readmission, cost or medication use can reflect access and institutional practice</w:t>
            </w:r>
          </w:p>
        </w:tc>
        <w:tc>
          <w:tcPr>
            <w:tcW w:w="1699" w:type="dxa"/>
            <w:tcMar>
              <w:top w:w="80" w:type="dxa"/>
              <w:left w:w="80" w:type="dxa"/>
              <w:bottom w:w="80" w:type="dxa"/>
              <w:right w:w="80" w:type="dxa"/>
            </w:tcMar>
            <w:vAlign w:val="center"/>
          </w:tcPr>
          <w:p w14:paraId="5A033A3C" w14:textId="77777777" w:rsidR="00C229FA" w:rsidRPr="00A325DC" w:rsidRDefault="00000000">
            <w:pPr>
              <w:spacing w:after="0" w:line="240" w:lineRule="auto"/>
              <w:jc w:val="left"/>
            </w:pPr>
            <w:r w:rsidRPr="00A325DC">
              <w:rPr>
                <w:sz w:val="15"/>
              </w:rPr>
              <w:t>Define clinically meaningful outcomes and the intervention that follows a prediction</w:t>
            </w:r>
          </w:p>
        </w:tc>
        <w:tc>
          <w:tcPr>
            <w:tcW w:w="1655" w:type="dxa"/>
            <w:tcMar>
              <w:top w:w="80" w:type="dxa"/>
              <w:left w:w="80" w:type="dxa"/>
              <w:bottom w:w="80" w:type="dxa"/>
              <w:right w:w="80" w:type="dxa"/>
            </w:tcMar>
            <w:vAlign w:val="center"/>
          </w:tcPr>
          <w:p w14:paraId="48DDF4F3" w14:textId="77777777" w:rsidR="00C229FA" w:rsidRPr="00A325DC" w:rsidRDefault="00000000">
            <w:pPr>
              <w:spacing w:after="0" w:line="240" w:lineRule="auto"/>
              <w:jc w:val="left"/>
            </w:pPr>
            <w:r w:rsidRPr="00A325DC">
              <w:rPr>
                <w:sz w:val="15"/>
              </w:rPr>
              <w:t>Proxy outcomes can encode structural inequity</w:t>
            </w:r>
          </w:p>
        </w:tc>
        <w:tc>
          <w:tcPr>
            <w:tcW w:w="1699" w:type="dxa"/>
            <w:tcMar>
              <w:top w:w="80" w:type="dxa"/>
              <w:left w:w="80" w:type="dxa"/>
              <w:bottom w:w="80" w:type="dxa"/>
              <w:right w:w="80" w:type="dxa"/>
            </w:tcMar>
            <w:vAlign w:val="center"/>
          </w:tcPr>
          <w:p w14:paraId="060AF05D" w14:textId="77777777" w:rsidR="00C229FA" w:rsidRPr="00A325DC" w:rsidRDefault="00000000">
            <w:pPr>
              <w:spacing w:after="0" w:line="240" w:lineRule="auto"/>
              <w:jc w:val="left"/>
            </w:pPr>
            <w:r w:rsidRPr="00A325DC">
              <w:rPr>
                <w:sz w:val="15"/>
              </w:rPr>
              <w:t>(Obermeyer et al., 2019; Patel et al., 2021)</w:t>
            </w:r>
          </w:p>
        </w:tc>
      </w:tr>
      <w:tr w:rsidR="00A325DC" w:rsidRPr="00A325DC" w14:paraId="037F0FF7" w14:textId="77777777" w:rsidTr="00A325DC">
        <w:trPr>
          <w:jc w:val="center"/>
        </w:trPr>
        <w:tc>
          <w:tcPr>
            <w:tcW w:w="1468" w:type="dxa"/>
            <w:tcMar>
              <w:top w:w="80" w:type="dxa"/>
              <w:left w:w="80" w:type="dxa"/>
              <w:bottom w:w="80" w:type="dxa"/>
              <w:right w:w="80" w:type="dxa"/>
            </w:tcMar>
            <w:vAlign w:val="center"/>
          </w:tcPr>
          <w:p w14:paraId="48667267" w14:textId="77777777" w:rsidR="00C229FA" w:rsidRPr="00A325DC" w:rsidRDefault="00000000">
            <w:pPr>
              <w:spacing w:after="0" w:line="240" w:lineRule="auto"/>
              <w:jc w:val="left"/>
            </w:pPr>
            <w:r w:rsidRPr="00A325DC">
              <w:rPr>
                <w:sz w:val="15"/>
              </w:rPr>
              <w:t>Data collection</w:t>
            </w:r>
          </w:p>
        </w:tc>
        <w:tc>
          <w:tcPr>
            <w:tcW w:w="1756" w:type="dxa"/>
            <w:tcMar>
              <w:top w:w="80" w:type="dxa"/>
              <w:left w:w="80" w:type="dxa"/>
              <w:bottom w:w="80" w:type="dxa"/>
              <w:right w:w="80" w:type="dxa"/>
            </w:tcMar>
            <w:vAlign w:val="center"/>
          </w:tcPr>
          <w:p w14:paraId="1D3FAA91" w14:textId="77777777" w:rsidR="00C229FA" w:rsidRPr="00A325DC" w:rsidRDefault="00000000">
            <w:pPr>
              <w:spacing w:after="0" w:line="240" w:lineRule="auto"/>
              <w:jc w:val="left"/>
            </w:pPr>
            <w:r w:rsidRPr="00A325DC">
              <w:rPr>
                <w:sz w:val="15"/>
              </w:rPr>
              <w:t>Geographic and genotype under-representation</w:t>
            </w:r>
          </w:p>
        </w:tc>
        <w:tc>
          <w:tcPr>
            <w:tcW w:w="1655" w:type="dxa"/>
            <w:tcMar>
              <w:top w:w="80" w:type="dxa"/>
              <w:left w:w="80" w:type="dxa"/>
              <w:bottom w:w="80" w:type="dxa"/>
              <w:right w:w="80" w:type="dxa"/>
            </w:tcMar>
            <w:vAlign w:val="center"/>
          </w:tcPr>
          <w:p w14:paraId="2E7F4BA7" w14:textId="77777777" w:rsidR="00C229FA" w:rsidRPr="00A325DC" w:rsidRDefault="00000000">
            <w:pPr>
              <w:spacing w:after="0" w:line="240" w:lineRule="auto"/>
              <w:jc w:val="left"/>
            </w:pPr>
            <w:r w:rsidRPr="00A325DC">
              <w:rPr>
                <w:sz w:val="15"/>
              </w:rPr>
              <w:t>Global SCD burden is concentrated outside many AI development cohorts</w:t>
            </w:r>
          </w:p>
        </w:tc>
        <w:tc>
          <w:tcPr>
            <w:tcW w:w="1699" w:type="dxa"/>
            <w:tcMar>
              <w:top w:w="80" w:type="dxa"/>
              <w:left w:w="80" w:type="dxa"/>
              <w:bottom w:w="80" w:type="dxa"/>
              <w:right w:w="80" w:type="dxa"/>
            </w:tcMar>
            <w:vAlign w:val="center"/>
          </w:tcPr>
          <w:p w14:paraId="64860A60" w14:textId="77777777" w:rsidR="00C229FA" w:rsidRPr="00A325DC" w:rsidRDefault="00000000">
            <w:pPr>
              <w:spacing w:after="0" w:line="240" w:lineRule="auto"/>
              <w:jc w:val="left"/>
            </w:pPr>
            <w:r w:rsidRPr="00A325DC">
              <w:rPr>
                <w:sz w:val="15"/>
              </w:rPr>
              <w:t>Prospective multicentre recruitment across high-burden populations and genotypes</w:t>
            </w:r>
          </w:p>
        </w:tc>
        <w:tc>
          <w:tcPr>
            <w:tcW w:w="1655" w:type="dxa"/>
            <w:tcMar>
              <w:top w:w="80" w:type="dxa"/>
              <w:left w:w="80" w:type="dxa"/>
              <w:bottom w:w="80" w:type="dxa"/>
              <w:right w:w="80" w:type="dxa"/>
            </w:tcMar>
            <w:vAlign w:val="center"/>
          </w:tcPr>
          <w:p w14:paraId="0548F45F" w14:textId="77777777" w:rsidR="00C229FA" w:rsidRPr="00A325DC" w:rsidRDefault="00000000">
            <w:pPr>
              <w:spacing w:after="0" w:line="240" w:lineRule="auto"/>
              <w:jc w:val="left"/>
            </w:pPr>
            <w:r w:rsidRPr="00A325DC">
              <w:rPr>
                <w:sz w:val="15"/>
              </w:rPr>
              <w:t>Transportability cannot be inferred from internal validation</w:t>
            </w:r>
          </w:p>
        </w:tc>
        <w:tc>
          <w:tcPr>
            <w:tcW w:w="1699" w:type="dxa"/>
            <w:tcMar>
              <w:top w:w="80" w:type="dxa"/>
              <w:left w:w="80" w:type="dxa"/>
              <w:bottom w:w="80" w:type="dxa"/>
              <w:right w:w="80" w:type="dxa"/>
            </w:tcMar>
            <w:vAlign w:val="center"/>
          </w:tcPr>
          <w:p w14:paraId="5AD39EC7" w14:textId="77777777" w:rsidR="00C229FA" w:rsidRPr="00A325DC" w:rsidRDefault="00000000">
            <w:pPr>
              <w:spacing w:after="0" w:line="240" w:lineRule="auto"/>
              <w:jc w:val="left"/>
            </w:pPr>
            <w:r w:rsidRPr="00A325DC">
              <w:rPr>
                <w:sz w:val="15"/>
              </w:rPr>
              <w:t>(GBD 2021 Sickle Cell Disease Collaborators, 2023; Machado et al., 2024)</w:t>
            </w:r>
          </w:p>
        </w:tc>
      </w:tr>
      <w:tr w:rsidR="00A325DC" w:rsidRPr="00A325DC" w14:paraId="5C2E916C" w14:textId="77777777" w:rsidTr="00A325DC">
        <w:trPr>
          <w:jc w:val="center"/>
        </w:trPr>
        <w:tc>
          <w:tcPr>
            <w:tcW w:w="1468" w:type="dxa"/>
            <w:tcMar>
              <w:top w:w="80" w:type="dxa"/>
              <w:left w:w="80" w:type="dxa"/>
              <w:bottom w:w="80" w:type="dxa"/>
              <w:right w:w="80" w:type="dxa"/>
            </w:tcMar>
            <w:vAlign w:val="center"/>
          </w:tcPr>
          <w:p w14:paraId="3C9417C6" w14:textId="77777777" w:rsidR="00C229FA" w:rsidRPr="00A325DC" w:rsidRDefault="00000000">
            <w:pPr>
              <w:spacing w:after="0" w:line="240" w:lineRule="auto"/>
              <w:jc w:val="left"/>
            </w:pPr>
            <w:r w:rsidRPr="00A325DC">
              <w:rPr>
                <w:sz w:val="15"/>
              </w:rPr>
              <w:t>Measurement</w:t>
            </w:r>
          </w:p>
        </w:tc>
        <w:tc>
          <w:tcPr>
            <w:tcW w:w="1756" w:type="dxa"/>
            <w:tcMar>
              <w:top w:w="80" w:type="dxa"/>
              <w:left w:w="80" w:type="dxa"/>
              <w:bottom w:w="80" w:type="dxa"/>
              <w:right w:w="80" w:type="dxa"/>
            </w:tcMar>
            <w:vAlign w:val="center"/>
          </w:tcPr>
          <w:p w14:paraId="1860E4BE" w14:textId="77777777" w:rsidR="00C229FA" w:rsidRPr="00A325DC" w:rsidRDefault="00000000">
            <w:pPr>
              <w:spacing w:after="0" w:line="240" w:lineRule="auto"/>
              <w:jc w:val="left"/>
            </w:pPr>
            <w:r w:rsidRPr="00A325DC">
              <w:rPr>
                <w:sz w:val="15"/>
              </w:rPr>
              <w:t>Sensor error varying with skin pigmentation or perfusion</w:t>
            </w:r>
          </w:p>
        </w:tc>
        <w:tc>
          <w:tcPr>
            <w:tcW w:w="1655" w:type="dxa"/>
            <w:tcMar>
              <w:top w:w="80" w:type="dxa"/>
              <w:left w:w="80" w:type="dxa"/>
              <w:bottom w:w="80" w:type="dxa"/>
              <w:right w:w="80" w:type="dxa"/>
            </w:tcMar>
            <w:vAlign w:val="center"/>
          </w:tcPr>
          <w:p w14:paraId="58341062" w14:textId="77777777" w:rsidR="00C229FA" w:rsidRPr="00A325DC" w:rsidRDefault="00000000">
            <w:pPr>
              <w:spacing w:after="0" w:line="240" w:lineRule="auto"/>
              <w:jc w:val="left"/>
            </w:pPr>
            <w:r w:rsidRPr="00A325DC">
              <w:rPr>
                <w:sz w:val="15"/>
              </w:rPr>
              <w:t>Oxygen-related signals may be systematically biased in populations heavily affected by SCD</w:t>
            </w:r>
          </w:p>
        </w:tc>
        <w:tc>
          <w:tcPr>
            <w:tcW w:w="1699" w:type="dxa"/>
            <w:tcMar>
              <w:top w:w="80" w:type="dxa"/>
              <w:left w:w="80" w:type="dxa"/>
              <w:bottom w:w="80" w:type="dxa"/>
              <w:right w:w="80" w:type="dxa"/>
            </w:tcMar>
            <w:vAlign w:val="center"/>
          </w:tcPr>
          <w:p w14:paraId="606564C1" w14:textId="77777777" w:rsidR="00C229FA" w:rsidRPr="00A325DC" w:rsidRDefault="00000000">
            <w:pPr>
              <w:spacing w:after="0" w:line="240" w:lineRule="auto"/>
              <w:jc w:val="left"/>
            </w:pPr>
            <w:r w:rsidRPr="00A325DC">
              <w:rPr>
                <w:sz w:val="15"/>
              </w:rPr>
              <w:t>Audit device performance and model error by relevant measurement strata</w:t>
            </w:r>
          </w:p>
        </w:tc>
        <w:tc>
          <w:tcPr>
            <w:tcW w:w="1655" w:type="dxa"/>
            <w:tcMar>
              <w:top w:w="80" w:type="dxa"/>
              <w:left w:w="80" w:type="dxa"/>
              <w:bottom w:w="80" w:type="dxa"/>
              <w:right w:w="80" w:type="dxa"/>
            </w:tcMar>
            <w:vAlign w:val="center"/>
          </w:tcPr>
          <w:p w14:paraId="2CD72232" w14:textId="77777777" w:rsidR="00C229FA" w:rsidRPr="00A325DC" w:rsidRDefault="00000000">
            <w:pPr>
              <w:spacing w:after="0" w:line="240" w:lineRule="auto"/>
              <w:jc w:val="left"/>
            </w:pPr>
            <w:r w:rsidRPr="00A325DC">
              <w:rPr>
                <w:sz w:val="15"/>
              </w:rPr>
              <w:t>Pulse oximetry can miss hypoxaemia more often in Black patients</w:t>
            </w:r>
          </w:p>
        </w:tc>
        <w:tc>
          <w:tcPr>
            <w:tcW w:w="1699" w:type="dxa"/>
            <w:tcMar>
              <w:top w:w="80" w:type="dxa"/>
              <w:left w:w="80" w:type="dxa"/>
              <w:bottom w:w="80" w:type="dxa"/>
              <w:right w:w="80" w:type="dxa"/>
            </w:tcMar>
            <w:vAlign w:val="center"/>
          </w:tcPr>
          <w:p w14:paraId="5447A916" w14:textId="77777777" w:rsidR="00C229FA" w:rsidRPr="00A325DC" w:rsidRDefault="00000000">
            <w:pPr>
              <w:spacing w:after="0" w:line="240" w:lineRule="auto"/>
              <w:jc w:val="left"/>
            </w:pPr>
            <w:r w:rsidRPr="00A325DC">
              <w:rPr>
                <w:sz w:val="15"/>
              </w:rPr>
              <w:t>(Sjoding et al., 2020)</w:t>
            </w:r>
          </w:p>
        </w:tc>
      </w:tr>
      <w:tr w:rsidR="00A325DC" w:rsidRPr="00A325DC" w14:paraId="1418AC23" w14:textId="77777777" w:rsidTr="00A325DC">
        <w:trPr>
          <w:jc w:val="center"/>
        </w:trPr>
        <w:tc>
          <w:tcPr>
            <w:tcW w:w="1468" w:type="dxa"/>
            <w:tcMar>
              <w:top w:w="80" w:type="dxa"/>
              <w:left w:w="80" w:type="dxa"/>
              <w:bottom w:w="80" w:type="dxa"/>
              <w:right w:w="80" w:type="dxa"/>
            </w:tcMar>
            <w:vAlign w:val="center"/>
          </w:tcPr>
          <w:p w14:paraId="018DD3AD" w14:textId="77777777" w:rsidR="00C229FA" w:rsidRPr="00A325DC" w:rsidRDefault="00000000">
            <w:pPr>
              <w:spacing w:after="0" w:line="240" w:lineRule="auto"/>
              <w:jc w:val="left"/>
            </w:pPr>
            <w:r w:rsidRPr="00A325DC">
              <w:rPr>
                <w:sz w:val="15"/>
              </w:rPr>
              <w:t>Model development</w:t>
            </w:r>
          </w:p>
        </w:tc>
        <w:tc>
          <w:tcPr>
            <w:tcW w:w="1756" w:type="dxa"/>
            <w:tcMar>
              <w:top w:w="80" w:type="dxa"/>
              <w:left w:w="80" w:type="dxa"/>
              <w:bottom w:w="80" w:type="dxa"/>
              <w:right w:w="80" w:type="dxa"/>
            </w:tcMar>
            <w:vAlign w:val="center"/>
          </w:tcPr>
          <w:p w14:paraId="38FE357E" w14:textId="77777777" w:rsidR="00C229FA" w:rsidRPr="00A325DC" w:rsidRDefault="00000000">
            <w:pPr>
              <w:spacing w:after="0" w:line="240" w:lineRule="auto"/>
              <w:jc w:val="left"/>
            </w:pPr>
            <w:r w:rsidRPr="00A325DC">
              <w:rPr>
                <w:sz w:val="15"/>
              </w:rPr>
              <w:t>Leakage, duplicated images and repeated-patient dependence</w:t>
            </w:r>
          </w:p>
        </w:tc>
        <w:tc>
          <w:tcPr>
            <w:tcW w:w="1655" w:type="dxa"/>
            <w:tcMar>
              <w:top w:w="80" w:type="dxa"/>
              <w:left w:w="80" w:type="dxa"/>
              <w:bottom w:w="80" w:type="dxa"/>
              <w:right w:w="80" w:type="dxa"/>
            </w:tcMar>
            <w:vAlign w:val="center"/>
          </w:tcPr>
          <w:p w14:paraId="0B56EB9C" w14:textId="77777777" w:rsidR="00C229FA" w:rsidRPr="00A325DC" w:rsidRDefault="00000000">
            <w:pPr>
              <w:spacing w:after="0" w:line="240" w:lineRule="auto"/>
              <w:jc w:val="left"/>
            </w:pPr>
            <w:r w:rsidRPr="00A325DC">
              <w:rPr>
                <w:sz w:val="15"/>
              </w:rPr>
              <w:t>Small datasets can produce inflated performance</w:t>
            </w:r>
          </w:p>
        </w:tc>
        <w:tc>
          <w:tcPr>
            <w:tcW w:w="1699" w:type="dxa"/>
            <w:tcMar>
              <w:top w:w="80" w:type="dxa"/>
              <w:left w:w="80" w:type="dxa"/>
              <w:bottom w:w="80" w:type="dxa"/>
              <w:right w:w="80" w:type="dxa"/>
            </w:tcMar>
            <w:vAlign w:val="center"/>
          </w:tcPr>
          <w:p w14:paraId="20996D88" w14:textId="77777777" w:rsidR="00C229FA" w:rsidRPr="00A325DC" w:rsidRDefault="00000000">
            <w:pPr>
              <w:spacing w:after="0" w:line="240" w:lineRule="auto"/>
              <w:jc w:val="left"/>
            </w:pPr>
            <w:r w:rsidRPr="00A325DC">
              <w:rPr>
                <w:sz w:val="15"/>
              </w:rPr>
              <w:t>Use patient/group-aware splitting, temporal separation and external validation</w:t>
            </w:r>
          </w:p>
        </w:tc>
        <w:tc>
          <w:tcPr>
            <w:tcW w:w="1655" w:type="dxa"/>
            <w:tcMar>
              <w:top w:w="80" w:type="dxa"/>
              <w:left w:w="80" w:type="dxa"/>
              <w:bottom w:w="80" w:type="dxa"/>
              <w:right w:w="80" w:type="dxa"/>
            </w:tcMar>
            <w:vAlign w:val="center"/>
          </w:tcPr>
          <w:p w14:paraId="390BB42D" w14:textId="77777777" w:rsidR="00C229FA" w:rsidRPr="00A325DC" w:rsidRDefault="00000000">
            <w:pPr>
              <w:spacing w:after="0" w:line="240" w:lineRule="auto"/>
              <w:jc w:val="left"/>
            </w:pPr>
            <w:r w:rsidRPr="00A325DC">
              <w:rPr>
                <w:sz w:val="15"/>
              </w:rPr>
              <w:t>Public-image benchmarks demonstrate the need for leakage-safe evaluation</w:t>
            </w:r>
          </w:p>
        </w:tc>
        <w:tc>
          <w:tcPr>
            <w:tcW w:w="1699" w:type="dxa"/>
            <w:tcMar>
              <w:top w:w="80" w:type="dxa"/>
              <w:left w:w="80" w:type="dxa"/>
              <w:bottom w:w="80" w:type="dxa"/>
              <w:right w:w="80" w:type="dxa"/>
            </w:tcMar>
            <w:vAlign w:val="center"/>
          </w:tcPr>
          <w:p w14:paraId="110BFDEA" w14:textId="77777777" w:rsidR="00C229FA" w:rsidRPr="00A325DC" w:rsidRDefault="00000000">
            <w:pPr>
              <w:spacing w:after="0" w:line="240" w:lineRule="auto"/>
              <w:jc w:val="left"/>
            </w:pPr>
            <w:r w:rsidRPr="00A325DC">
              <w:rPr>
                <w:sz w:val="15"/>
              </w:rPr>
              <w:t>(Tasji et al., 2026)</w:t>
            </w:r>
          </w:p>
        </w:tc>
      </w:tr>
      <w:tr w:rsidR="00A325DC" w:rsidRPr="00A325DC" w14:paraId="76FE245D" w14:textId="77777777" w:rsidTr="00A325DC">
        <w:trPr>
          <w:jc w:val="center"/>
        </w:trPr>
        <w:tc>
          <w:tcPr>
            <w:tcW w:w="1468" w:type="dxa"/>
            <w:tcMar>
              <w:top w:w="80" w:type="dxa"/>
              <w:left w:w="80" w:type="dxa"/>
              <w:bottom w:w="80" w:type="dxa"/>
              <w:right w:w="80" w:type="dxa"/>
            </w:tcMar>
            <w:vAlign w:val="center"/>
          </w:tcPr>
          <w:p w14:paraId="1190820D" w14:textId="77777777" w:rsidR="00C229FA" w:rsidRPr="00A325DC" w:rsidRDefault="00000000">
            <w:pPr>
              <w:spacing w:after="0" w:line="240" w:lineRule="auto"/>
              <w:jc w:val="left"/>
            </w:pPr>
            <w:r w:rsidRPr="00A325DC">
              <w:rPr>
                <w:sz w:val="15"/>
              </w:rPr>
              <w:t>Evaluation</w:t>
            </w:r>
          </w:p>
        </w:tc>
        <w:tc>
          <w:tcPr>
            <w:tcW w:w="1756" w:type="dxa"/>
            <w:tcMar>
              <w:top w:w="80" w:type="dxa"/>
              <w:left w:w="80" w:type="dxa"/>
              <w:bottom w:w="80" w:type="dxa"/>
              <w:right w:w="80" w:type="dxa"/>
            </w:tcMar>
            <w:vAlign w:val="center"/>
          </w:tcPr>
          <w:p w14:paraId="6FD9DD33" w14:textId="77777777" w:rsidR="00C229FA" w:rsidRPr="00A325DC" w:rsidRDefault="00000000">
            <w:pPr>
              <w:spacing w:after="0" w:line="240" w:lineRule="auto"/>
              <w:jc w:val="left"/>
            </w:pPr>
            <w:r w:rsidRPr="00A325DC">
              <w:rPr>
                <w:sz w:val="15"/>
              </w:rPr>
              <w:t>Single overall accuracy obscures subgroup failure</w:t>
            </w:r>
          </w:p>
        </w:tc>
        <w:tc>
          <w:tcPr>
            <w:tcW w:w="1655" w:type="dxa"/>
            <w:tcMar>
              <w:top w:w="80" w:type="dxa"/>
              <w:left w:w="80" w:type="dxa"/>
              <w:bottom w:w="80" w:type="dxa"/>
              <w:right w:w="80" w:type="dxa"/>
            </w:tcMar>
            <w:vAlign w:val="center"/>
          </w:tcPr>
          <w:p w14:paraId="1407DB60" w14:textId="77777777" w:rsidR="00C229FA" w:rsidRPr="00A325DC" w:rsidRDefault="00000000">
            <w:pPr>
              <w:spacing w:after="0" w:line="240" w:lineRule="auto"/>
              <w:jc w:val="left"/>
            </w:pPr>
            <w:r w:rsidRPr="00A325DC">
              <w:rPr>
                <w:sz w:val="15"/>
              </w:rPr>
              <w:t>Screening and risk errors have different consequences across groups</w:t>
            </w:r>
          </w:p>
        </w:tc>
        <w:tc>
          <w:tcPr>
            <w:tcW w:w="1699" w:type="dxa"/>
            <w:tcMar>
              <w:top w:w="80" w:type="dxa"/>
              <w:left w:w="80" w:type="dxa"/>
              <w:bottom w:w="80" w:type="dxa"/>
              <w:right w:w="80" w:type="dxa"/>
            </w:tcMar>
            <w:vAlign w:val="center"/>
          </w:tcPr>
          <w:p w14:paraId="0C77B072" w14:textId="77777777" w:rsidR="00C229FA" w:rsidRPr="00A325DC" w:rsidRDefault="00000000">
            <w:pPr>
              <w:spacing w:after="0" w:line="240" w:lineRule="auto"/>
              <w:jc w:val="left"/>
            </w:pPr>
            <w:r w:rsidRPr="00A325DC">
              <w:rPr>
                <w:sz w:val="15"/>
              </w:rPr>
              <w:t>Report calibration, sensitivity, specificity, predictive values and failure rates by clinically relevant subgroup</w:t>
            </w:r>
          </w:p>
        </w:tc>
        <w:tc>
          <w:tcPr>
            <w:tcW w:w="1655" w:type="dxa"/>
            <w:tcMar>
              <w:top w:w="80" w:type="dxa"/>
              <w:left w:w="80" w:type="dxa"/>
              <w:bottom w:w="80" w:type="dxa"/>
              <w:right w:w="80" w:type="dxa"/>
            </w:tcMar>
            <w:vAlign w:val="center"/>
          </w:tcPr>
          <w:p w14:paraId="66B8AC3A" w14:textId="77777777" w:rsidR="00C229FA" w:rsidRPr="00A325DC" w:rsidRDefault="00000000">
            <w:pPr>
              <w:spacing w:after="0" w:line="240" w:lineRule="auto"/>
              <w:jc w:val="left"/>
            </w:pPr>
            <w:r w:rsidRPr="00A325DC">
              <w:rPr>
                <w:sz w:val="15"/>
              </w:rPr>
              <w:t>Fairness requires task-specific performance and outcome criteria</w:t>
            </w:r>
          </w:p>
        </w:tc>
        <w:tc>
          <w:tcPr>
            <w:tcW w:w="1699" w:type="dxa"/>
            <w:tcMar>
              <w:top w:w="80" w:type="dxa"/>
              <w:left w:w="80" w:type="dxa"/>
              <w:bottom w:w="80" w:type="dxa"/>
              <w:right w:w="80" w:type="dxa"/>
            </w:tcMar>
            <w:vAlign w:val="center"/>
          </w:tcPr>
          <w:p w14:paraId="55B40A5B" w14:textId="77777777" w:rsidR="00C229FA" w:rsidRPr="00A325DC" w:rsidRDefault="00000000">
            <w:pPr>
              <w:spacing w:after="0" w:line="240" w:lineRule="auto"/>
              <w:jc w:val="left"/>
            </w:pPr>
            <w:r w:rsidRPr="00A325DC">
              <w:rPr>
                <w:sz w:val="15"/>
              </w:rPr>
              <w:t>(Rajkomar et al., 2018)</w:t>
            </w:r>
          </w:p>
        </w:tc>
      </w:tr>
      <w:tr w:rsidR="00A325DC" w:rsidRPr="00A325DC" w14:paraId="01304292" w14:textId="77777777" w:rsidTr="00A325DC">
        <w:trPr>
          <w:jc w:val="center"/>
        </w:trPr>
        <w:tc>
          <w:tcPr>
            <w:tcW w:w="1468" w:type="dxa"/>
            <w:tcMar>
              <w:top w:w="80" w:type="dxa"/>
              <w:left w:w="80" w:type="dxa"/>
              <w:bottom w:w="80" w:type="dxa"/>
              <w:right w:w="80" w:type="dxa"/>
            </w:tcMar>
            <w:vAlign w:val="center"/>
          </w:tcPr>
          <w:p w14:paraId="0EC605CA" w14:textId="77777777" w:rsidR="00C229FA" w:rsidRPr="00A325DC" w:rsidRDefault="00000000">
            <w:pPr>
              <w:spacing w:after="0" w:line="240" w:lineRule="auto"/>
              <w:jc w:val="left"/>
            </w:pPr>
            <w:r w:rsidRPr="00A325DC">
              <w:rPr>
                <w:sz w:val="15"/>
              </w:rPr>
              <w:t>Clinical integration</w:t>
            </w:r>
          </w:p>
        </w:tc>
        <w:tc>
          <w:tcPr>
            <w:tcW w:w="1756" w:type="dxa"/>
            <w:tcMar>
              <w:top w:w="80" w:type="dxa"/>
              <w:left w:w="80" w:type="dxa"/>
              <w:bottom w:w="80" w:type="dxa"/>
              <w:right w:w="80" w:type="dxa"/>
            </w:tcMar>
            <w:vAlign w:val="center"/>
          </w:tcPr>
          <w:p w14:paraId="5DD8CF8D" w14:textId="77777777" w:rsidR="00C229FA" w:rsidRPr="00A325DC" w:rsidRDefault="00000000">
            <w:pPr>
              <w:spacing w:after="0" w:line="240" w:lineRule="auto"/>
              <w:jc w:val="left"/>
            </w:pPr>
            <w:r w:rsidRPr="00A325DC">
              <w:rPr>
                <w:sz w:val="15"/>
              </w:rPr>
              <w:t>Automation bias or use against patient self-report</w:t>
            </w:r>
          </w:p>
        </w:tc>
        <w:tc>
          <w:tcPr>
            <w:tcW w:w="1655" w:type="dxa"/>
            <w:tcMar>
              <w:top w:w="80" w:type="dxa"/>
              <w:left w:w="80" w:type="dxa"/>
              <w:bottom w:w="80" w:type="dxa"/>
              <w:right w:w="80" w:type="dxa"/>
            </w:tcMar>
            <w:vAlign w:val="center"/>
          </w:tcPr>
          <w:p w14:paraId="619F44C3" w14:textId="77777777" w:rsidR="00C229FA" w:rsidRPr="00A325DC" w:rsidRDefault="00000000">
            <w:pPr>
              <w:spacing w:after="0" w:line="240" w:lineRule="auto"/>
              <w:jc w:val="left"/>
            </w:pPr>
            <w:r w:rsidRPr="00A325DC">
              <w:rPr>
                <w:sz w:val="15"/>
              </w:rPr>
              <w:t>Pain and treatment decisions are vulnerable to stigma and mistrust</w:t>
            </w:r>
          </w:p>
        </w:tc>
        <w:tc>
          <w:tcPr>
            <w:tcW w:w="1699" w:type="dxa"/>
            <w:tcMar>
              <w:top w:w="80" w:type="dxa"/>
              <w:left w:w="80" w:type="dxa"/>
              <w:bottom w:w="80" w:type="dxa"/>
              <w:right w:w="80" w:type="dxa"/>
            </w:tcMar>
            <w:vAlign w:val="center"/>
          </w:tcPr>
          <w:p w14:paraId="361DE64D" w14:textId="77777777" w:rsidR="00C229FA" w:rsidRPr="00A325DC" w:rsidRDefault="00000000">
            <w:pPr>
              <w:spacing w:after="0" w:line="240" w:lineRule="auto"/>
              <w:jc w:val="left"/>
            </w:pPr>
            <w:r w:rsidRPr="00A325DC">
              <w:rPr>
                <w:sz w:val="15"/>
              </w:rPr>
              <w:t>Keep clinicians and patients in the loop; define non-overridable patient-reported outcomes where appropriate</w:t>
            </w:r>
          </w:p>
        </w:tc>
        <w:tc>
          <w:tcPr>
            <w:tcW w:w="1655" w:type="dxa"/>
            <w:tcMar>
              <w:top w:w="80" w:type="dxa"/>
              <w:left w:w="80" w:type="dxa"/>
              <w:bottom w:w="80" w:type="dxa"/>
              <w:right w:w="80" w:type="dxa"/>
            </w:tcMar>
            <w:vAlign w:val="center"/>
          </w:tcPr>
          <w:p w14:paraId="3418DC4F" w14:textId="77777777" w:rsidR="00C229FA" w:rsidRPr="00A325DC" w:rsidRDefault="00000000">
            <w:pPr>
              <w:spacing w:after="0" w:line="240" w:lineRule="auto"/>
              <w:jc w:val="left"/>
            </w:pPr>
            <w:r w:rsidRPr="00A325DC">
              <w:rPr>
                <w:sz w:val="15"/>
              </w:rPr>
              <w:t>Human factors determine safety in real use</w:t>
            </w:r>
          </w:p>
        </w:tc>
        <w:tc>
          <w:tcPr>
            <w:tcW w:w="1699" w:type="dxa"/>
            <w:tcMar>
              <w:top w:w="80" w:type="dxa"/>
              <w:left w:w="80" w:type="dxa"/>
              <w:bottom w:w="80" w:type="dxa"/>
              <w:right w:w="80" w:type="dxa"/>
            </w:tcMar>
            <w:vAlign w:val="center"/>
          </w:tcPr>
          <w:p w14:paraId="38C88F5A" w14:textId="77777777" w:rsidR="00C229FA" w:rsidRPr="00A325DC" w:rsidRDefault="00000000">
            <w:pPr>
              <w:spacing w:after="0" w:line="240" w:lineRule="auto"/>
              <w:jc w:val="left"/>
            </w:pPr>
            <w:r w:rsidRPr="00A325DC">
              <w:rPr>
                <w:sz w:val="15"/>
              </w:rPr>
              <w:t>(Vasey et al., 2022; Wiens et al., 2019)</w:t>
            </w:r>
          </w:p>
        </w:tc>
      </w:tr>
      <w:tr w:rsidR="00A325DC" w:rsidRPr="00A325DC" w14:paraId="057FD5EA" w14:textId="77777777" w:rsidTr="00A325DC">
        <w:trPr>
          <w:jc w:val="center"/>
        </w:trPr>
        <w:tc>
          <w:tcPr>
            <w:tcW w:w="1468" w:type="dxa"/>
            <w:tcMar>
              <w:top w:w="80" w:type="dxa"/>
              <w:left w:w="80" w:type="dxa"/>
              <w:bottom w:w="80" w:type="dxa"/>
              <w:right w:w="80" w:type="dxa"/>
            </w:tcMar>
            <w:vAlign w:val="center"/>
          </w:tcPr>
          <w:p w14:paraId="33768A78" w14:textId="77777777" w:rsidR="00C229FA" w:rsidRPr="00A325DC" w:rsidRDefault="00000000">
            <w:pPr>
              <w:spacing w:after="0" w:line="240" w:lineRule="auto"/>
              <w:jc w:val="left"/>
            </w:pPr>
            <w:r w:rsidRPr="00A325DC">
              <w:rPr>
                <w:sz w:val="15"/>
              </w:rPr>
              <w:t>Reporting</w:t>
            </w:r>
          </w:p>
        </w:tc>
        <w:tc>
          <w:tcPr>
            <w:tcW w:w="1756" w:type="dxa"/>
            <w:tcMar>
              <w:top w:w="80" w:type="dxa"/>
              <w:left w:w="80" w:type="dxa"/>
              <w:bottom w:w="80" w:type="dxa"/>
              <w:right w:w="80" w:type="dxa"/>
            </w:tcMar>
            <w:vAlign w:val="center"/>
          </w:tcPr>
          <w:p w14:paraId="65AAF69C" w14:textId="77777777" w:rsidR="00C229FA" w:rsidRPr="00A325DC" w:rsidRDefault="00000000">
            <w:pPr>
              <w:spacing w:after="0" w:line="240" w:lineRule="auto"/>
              <w:jc w:val="left"/>
            </w:pPr>
            <w:r w:rsidRPr="00A325DC">
              <w:rPr>
                <w:sz w:val="15"/>
              </w:rPr>
              <w:t>Insufficient description prevents appraisal or replication</w:t>
            </w:r>
          </w:p>
        </w:tc>
        <w:tc>
          <w:tcPr>
            <w:tcW w:w="1655" w:type="dxa"/>
            <w:tcMar>
              <w:top w:w="80" w:type="dxa"/>
              <w:left w:w="80" w:type="dxa"/>
              <w:bottom w:w="80" w:type="dxa"/>
              <w:right w:w="80" w:type="dxa"/>
            </w:tcMar>
            <w:vAlign w:val="center"/>
          </w:tcPr>
          <w:p w14:paraId="6AC39BEB" w14:textId="77777777" w:rsidR="00C229FA" w:rsidRPr="00A325DC" w:rsidRDefault="00000000">
            <w:pPr>
              <w:spacing w:after="0" w:line="240" w:lineRule="auto"/>
              <w:jc w:val="left"/>
            </w:pPr>
            <w:r w:rsidRPr="00A325DC">
              <w:rPr>
                <w:sz w:val="15"/>
              </w:rPr>
              <w:t>Many SCD AI studies remain proof-of-concept</w:t>
            </w:r>
          </w:p>
        </w:tc>
        <w:tc>
          <w:tcPr>
            <w:tcW w:w="1699" w:type="dxa"/>
            <w:tcMar>
              <w:top w:w="80" w:type="dxa"/>
              <w:left w:w="80" w:type="dxa"/>
              <w:bottom w:w="80" w:type="dxa"/>
              <w:right w:w="80" w:type="dxa"/>
            </w:tcMar>
            <w:vAlign w:val="center"/>
          </w:tcPr>
          <w:p w14:paraId="6D41756A" w14:textId="77777777" w:rsidR="00C229FA" w:rsidRPr="00A325DC" w:rsidRDefault="00000000">
            <w:pPr>
              <w:spacing w:after="0" w:line="240" w:lineRule="auto"/>
              <w:jc w:val="left"/>
            </w:pPr>
            <w:r w:rsidRPr="00A325DC">
              <w:rPr>
                <w:sz w:val="15"/>
              </w:rPr>
              <w:t>Use TRIPOD+AI, DECIDE-AI and AI trial extensions as appropriate</w:t>
            </w:r>
          </w:p>
        </w:tc>
        <w:tc>
          <w:tcPr>
            <w:tcW w:w="1655" w:type="dxa"/>
            <w:tcMar>
              <w:top w:w="80" w:type="dxa"/>
              <w:left w:w="80" w:type="dxa"/>
              <w:bottom w:w="80" w:type="dxa"/>
              <w:right w:w="80" w:type="dxa"/>
            </w:tcMar>
            <w:vAlign w:val="center"/>
          </w:tcPr>
          <w:p w14:paraId="034244B2" w14:textId="77777777" w:rsidR="00C229FA" w:rsidRPr="00A325DC" w:rsidRDefault="00000000">
            <w:pPr>
              <w:spacing w:after="0" w:line="240" w:lineRule="auto"/>
              <w:jc w:val="left"/>
            </w:pPr>
            <w:r w:rsidRPr="00A325DC">
              <w:rPr>
                <w:sz w:val="15"/>
              </w:rPr>
              <w:t>Transparent reporting is prerequisite to trustworthy validation</w:t>
            </w:r>
          </w:p>
        </w:tc>
        <w:tc>
          <w:tcPr>
            <w:tcW w:w="1699" w:type="dxa"/>
            <w:tcMar>
              <w:top w:w="80" w:type="dxa"/>
              <w:left w:w="80" w:type="dxa"/>
              <w:bottom w:w="80" w:type="dxa"/>
              <w:right w:w="80" w:type="dxa"/>
            </w:tcMar>
            <w:vAlign w:val="center"/>
          </w:tcPr>
          <w:p w14:paraId="20520468" w14:textId="77777777" w:rsidR="00C229FA" w:rsidRPr="00A325DC" w:rsidRDefault="00000000">
            <w:pPr>
              <w:spacing w:after="0" w:line="240" w:lineRule="auto"/>
              <w:jc w:val="left"/>
            </w:pPr>
            <w:r w:rsidRPr="00A325DC">
              <w:rPr>
                <w:sz w:val="15"/>
              </w:rPr>
              <w:t>(Collins et al., 2024; Cruz Rivera et al., 2020; Liu et al., 2020; Vasey et al., 2022)</w:t>
            </w:r>
          </w:p>
        </w:tc>
      </w:tr>
      <w:tr w:rsidR="00A325DC" w:rsidRPr="00A325DC" w14:paraId="7CDF7CAD" w14:textId="77777777" w:rsidTr="00A325DC">
        <w:trPr>
          <w:jc w:val="center"/>
        </w:trPr>
        <w:tc>
          <w:tcPr>
            <w:tcW w:w="1468" w:type="dxa"/>
            <w:tcMar>
              <w:top w:w="80" w:type="dxa"/>
              <w:left w:w="80" w:type="dxa"/>
              <w:bottom w:w="80" w:type="dxa"/>
              <w:right w:w="80" w:type="dxa"/>
            </w:tcMar>
            <w:vAlign w:val="center"/>
          </w:tcPr>
          <w:p w14:paraId="143E2B1B" w14:textId="77777777" w:rsidR="00C229FA" w:rsidRPr="00A325DC" w:rsidRDefault="00000000">
            <w:pPr>
              <w:spacing w:after="0" w:line="240" w:lineRule="auto"/>
              <w:jc w:val="left"/>
            </w:pPr>
            <w:r w:rsidRPr="00A325DC">
              <w:rPr>
                <w:sz w:val="15"/>
              </w:rPr>
              <w:lastRenderedPageBreak/>
              <w:t>Post-deployment</w:t>
            </w:r>
          </w:p>
        </w:tc>
        <w:tc>
          <w:tcPr>
            <w:tcW w:w="1756" w:type="dxa"/>
            <w:tcMar>
              <w:top w:w="80" w:type="dxa"/>
              <w:left w:w="80" w:type="dxa"/>
              <w:bottom w:w="80" w:type="dxa"/>
              <w:right w:w="80" w:type="dxa"/>
            </w:tcMar>
            <w:vAlign w:val="center"/>
          </w:tcPr>
          <w:p w14:paraId="30086E05" w14:textId="77777777" w:rsidR="00C229FA" w:rsidRPr="00A325DC" w:rsidRDefault="00000000">
            <w:pPr>
              <w:spacing w:after="0" w:line="240" w:lineRule="auto"/>
              <w:jc w:val="left"/>
            </w:pPr>
            <w:r w:rsidRPr="00A325DC">
              <w:rPr>
                <w:sz w:val="15"/>
              </w:rPr>
              <w:t>Model drift as treatment and care pathways change</w:t>
            </w:r>
          </w:p>
        </w:tc>
        <w:tc>
          <w:tcPr>
            <w:tcW w:w="1655" w:type="dxa"/>
            <w:tcMar>
              <w:top w:w="80" w:type="dxa"/>
              <w:left w:w="80" w:type="dxa"/>
              <w:bottom w:w="80" w:type="dxa"/>
              <w:right w:w="80" w:type="dxa"/>
            </w:tcMar>
            <w:vAlign w:val="center"/>
          </w:tcPr>
          <w:p w14:paraId="4E718D08" w14:textId="77777777" w:rsidR="00C229FA" w:rsidRPr="00A325DC" w:rsidRDefault="00000000">
            <w:pPr>
              <w:spacing w:after="0" w:line="240" w:lineRule="auto"/>
              <w:jc w:val="left"/>
            </w:pPr>
            <w:r w:rsidRPr="00A325DC">
              <w:rPr>
                <w:sz w:val="15"/>
              </w:rPr>
              <w:t>Disease-modifying and curative options are evolving rapidly</w:t>
            </w:r>
          </w:p>
        </w:tc>
        <w:tc>
          <w:tcPr>
            <w:tcW w:w="1699" w:type="dxa"/>
            <w:tcMar>
              <w:top w:w="80" w:type="dxa"/>
              <w:left w:w="80" w:type="dxa"/>
              <w:bottom w:w="80" w:type="dxa"/>
              <w:right w:w="80" w:type="dxa"/>
            </w:tcMar>
            <w:vAlign w:val="center"/>
          </w:tcPr>
          <w:p w14:paraId="753C563A" w14:textId="77777777" w:rsidR="00C229FA" w:rsidRPr="00A325DC" w:rsidRDefault="00000000">
            <w:pPr>
              <w:spacing w:after="0" w:line="240" w:lineRule="auto"/>
              <w:jc w:val="left"/>
            </w:pPr>
            <w:r w:rsidRPr="00A325DC">
              <w:rPr>
                <w:sz w:val="15"/>
              </w:rPr>
              <w:t>Continuous calibration, subgroup monitoring, audit trails and revalidation</w:t>
            </w:r>
          </w:p>
        </w:tc>
        <w:tc>
          <w:tcPr>
            <w:tcW w:w="1655" w:type="dxa"/>
            <w:tcMar>
              <w:top w:w="80" w:type="dxa"/>
              <w:left w:w="80" w:type="dxa"/>
              <w:bottom w:w="80" w:type="dxa"/>
              <w:right w:w="80" w:type="dxa"/>
            </w:tcMar>
            <w:vAlign w:val="center"/>
          </w:tcPr>
          <w:p w14:paraId="26C4E59C" w14:textId="77777777" w:rsidR="00C229FA" w:rsidRPr="00A325DC" w:rsidRDefault="00000000">
            <w:pPr>
              <w:spacing w:after="0" w:line="240" w:lineRule="auto"/>
              <w:jc w:val="left"/>
            </w:pPr>
            <w:r w:rsidRPr="00A325DC">
              <w:rPr>
                <w:sz w:val="15"/>
              </w:rPr>
              <w:t>Clinical ML performance can degrade after deployment</w:t>
            </w:r>
          </w:p>
        </w:tc>
        <w:tc>
          <w:tcPr>
            <w:tcW w:w="1699" w:type="dxa"/>
            <w:tcMar>
              <w:top w:w="80" w:type="dxa"/>
              <w:left w:w="80" w:type="dxa"/>
              <w:bottom w:w="80" w:type="dxa"/>
              <w:right w:w="80" w:type="dxa"/>
            </w:tcMar>
            <w:vAlign w:val="center"/>
          </w:tcPr>
          <w:p w14:paraId="6AA952EF" w14:textId="77777777" w:rsidR="00C229FA" w:rsidRPr="00A325DC" w:rsidRDefault="00000000">
            <w:pPr>
              <w:spacing w:after="0" w:line="240" w:lineRule="auto"/>
              <w:jc w:val="left"/>
            </w:pPr>
            <w:r w:rsidRPr="00A325DC">
              <w:rPr>
                <w:sz w:val="15"/>
              </w:rPr>
              <w:t>(Wiens et al., 2019)</w:t>
            </w:r>
          </w:p>
        </w:tc>
      </w:tr>
    </w:tbl>
    <w:p w14:paraId="24BF0198" w14:textId="77777777" w:rsidR="00C229FA" w:rsidRPr="00A325DC" w:rsidRDefault="00000000">
      <w:pPr>
        <w:spacing w:before="60" w:after="160" w:line="240" w:lineRule="auto"/>
      </w:pPr>
      <w:r w:rsidRPr="00A325DC">
        <w:rPr>
          <w:i/>
          <w:sz w:val="16"/>
        </w:rPr>
        <w:t>Note. AI = artificial intelligence; SCD = sickle cell disease; TRIPOD+AI = Transparent Reporting of a multivariable prediction model for Individual Prognosis Or Diagnosis plus artificial intelligence.</w:t>
      </w:r>
    </w:p>
    <w:p w14:paraId="4EACEABA" w14:textId="77777777" w:rsidR="00C229FA" w:rsidRPr="00A325DC" w:rsidRDefault="00000000">
      <w:pPr>
        <w:pStyle w:val="Heading1"/>
        <w:rPr>
          <w:color w:val="auto"/>
        </w:rPr>
      </w:pPr>
      <w:r w:rsidRPr="00A325DC">
        <w:rPr>
          <w:color w:val="auto"/>
        </w:rPr>
        <w:t>9. Evidence Maturity and Translational Readiness</w:t>
      </w:r>
    </w:p>
    <w:p w14:paraId="5AB5B87C" w14:textId="77777777" w:rsidR="00C229FA" w:rsidRPr="00A325DC" w:rsidRDefault="00000000">
      <w:r w:rsidRPr="00A325DC">
        <w:t>The evidence for AI in SCD is best understood as a series of uneven maturity levels rather than a single rapidly advancing field. Image-based screening has the largest number of proof-of-concept studies and some patient-level validation, but high accuracy is frequently obtained on narrow datasets. The clinically strongest examples are those that embed AI in a complete diagnostic workflow, such as smartphone microscopy tested on unique patients, automated interpretation of haemoglobin-separation patterns, or low-cost techniques compared directly with HPLC (de Haan et al., 2020; Sani et al., 2024; Shrestha et al., 2025). Even here, there is little evidence that AI-enabled screening programmes improve linkage to care, treatment initiation or long-term outcomes.</w:t>
      </w:r>
    </w:p>
    <w:p w14:paraId="087361DD" w14:textId="77777777" w:rsidR="00C229FA" w:rsidRPr="00A325DC" w:rsidRDefault="00000000">
      <w:r w:rsidRPr="00A325DC">
        <w:t>Risk prediction is biologically richer but methodologically less mature. Physiological models using PPG, vital signs and wearable data are attractive because they reflect dynamic processes relevant to vaso-occlusion, yet most studies are small and often estimate pain state rather than predict an event sufficiently early to prevent it (Ji et al., 2021; Stojancic et al., 2023; Vuong et al., 2023). EHR models for organ failure, kidney decline, readmission and mortality use larger clinical feature sets and sometimes external validation, but the endpoints vary from biological deterioration to healthcare utilisation (Güntürkün et al., 2021; Mohammed et al., 2020; Patel et al., 2021; Sachdev et al., 2021). Translation requires clearer matching between prediction horizon, intervention and benefit.</w:t>
      </w:r>
    </w:p>
    <w:p w14:paraId="4D7E1594" w14:textId="77777777" w:rsidR="00C229FA" w:rsidRPr="00A325DC" w:rsidRDefault="00000000">
      <w:r w:rsidRPr="00A325DC">
        <w:t>Personalised treatment is the least mature domain if AI is defined strictly as an algorithm that changes therapy. Hydroxyurea pharmacokinetic individualisation demonstrates a credible mechanistic precision strategy, but its success should not be credited to AI (Dong et al., 2016; Quinn et al., 2021). HCT outcome modelling is an important emerging exception. The larger SPRIGHT registry model demonstrates that treatment-specific predictions can achieve moderate-to-good discrimination and report calibration across several outcomes, but clinical decision impact remains to be shown (Chandrasekar et al., 2025). Curative gene and cell therapies increase the demand for individualised benefit-risk assessment, yet AI evidence is currently aspirational rather than established.</w:t>
      </w:r>
    </w:p>
    <w:p w14:paraId="790EB4BD" w14:textId="77777777" w:rsidR="00C229FA" w:rsidRPr="00A325DC" w:rsidRDefault="00000000">
      <w:r w:rsidRPr="00A325DC">
        <w:t>Physiological phenotyping and multimodal integration are scientifically promising because they could bridge the gap between diagnosis and treatment. Red-cell dynamics, quantitative phase imaging, genomics and metabolomics provide complementary descriptions of disease state (Ansong-Ansongton &amp; Adamson, 2024; Darrin et al., 2023; Dembélé et al., 2020; Kirkham et al., 2023). Their maturity is constrained by small sample sizes, specialised measurements and lack of longitudinal outcome validation. These modalities should therefore be developed as mechanistic biomarkers first and as AI features second.</w:t>
      </w:r>
    </w:p>
    <w:p w14:paraId="4438BF08" w14:textId="77777777" w:rsidR="00C229FA" w:rsidRPr="00A325DC" w:rsidRDefault="00000000">
      <w:r w:rsidRPr="00A325DC">
        <w:t>The overall translational bottleneck is not model capacity. Contemporary algorithms can fit most of the available SCD datasets. The bottleneck is trustworthy evidence: independent patients, representative populations, temporally valid labels, appropriate comparators, calibration, explicit uncertainty, prospective decision impact and implementation in health systems where SCD burden is highest. Progress should therefore be judged by movement from retrospective performance towards demonstrable patient benefit, not by increasingly complex architectures.</w:t>
      </w:r>
    </w:p>
    <w:p w14:paraId="50055FDC" w14:textId="77777777" w:rsidR="00C229FA" w:rsidRPr="00A325DC" w:rsidRDefault="00000000">
      <w:pPr>
        <w:pStyle w:val="Heading1"/>
        <w:rPr>
          <w:color w:val="auto"/>
        </w:rPr>
      </w:pPr>
      <w:r w:rsidRPr="00A325DC">
        <w:rPr>
          <w:color w:val="auto"/>
        </w:rPr>
        <w:lastRenderedPageBreak/>
        <w:t>10. Future Directions</w:t>
      </w:r>
    </w:p>
    <w:p w14:paraId="793B5F79" w14:textId="77777777" w:rsidR="00C229FA" w:rsidRPr="00A325DC" w:rsidRDefault="00000000">
      <w:r w:rsidRPr="00A325DC">
        <w:t>The immediate priority is prospective, multicentre validation of clinically defined use cases. Diagnostic studies should recruit consecutive patients from the intended screening population, preserve patient-level separation and compare AI-assisted workflows with established reference standards. For morphology and low-cost microscopy, this means deliberate inclusion of HbSS, HbSC, sickle beta-thalassaemia, trait states, transfused patients and common mimics. Outcomes should include uninterpretable or abstained tests, time to result, referral completion and confirmatory diagnosis rather than accuracy alone. Studies in high-burden African and Indian settings should be designed and governed locally, because transportability cannot be established by retrospective re-analysis of images collected elsewhere.</w:t>
      </w:r>
    </w:p>
    <w:p w14:paraId="75CA9C04" w14:textId="77777777" w:rsidR="00C229FA" w:rsidRPr="00A325DC" w:rsidRDefault="00000000">
      <w:r w:rsidRPr="00A325DC">
        <w:t>For VOC prediction, research should move from concurrent pain estimation to pre-specified forecasting. A useful study would enrol patients longitudinally during stable periods, collect wearable physiology and patient-reported data, and define prediction windows that precede clinically meaningful escalation by several hours or days. Evaluation should be patient-separated and should report sensitivity, positive predictive value, calibration, time-to-warning and false-alert burden. The comparator should include the patient's own symptom recognition and simple physiological thresholds. A randomised or stepped-wedge implementation study would then be needed to determine whether alerts reduce severe VOC, emergency visits or time to analgesia without increasing anxiety or unnecessary treatment.</w:t>
      </w:r>
    </w:p>
    <w:p w14:paraId="78D0376A" w14:textId="77777777" w:rsidR="00C229FA" w:rsidRPr="00A325DC" w:rsidRDefault="00000000">
      <w:r w:rsidRPr="00A325DC">
        <w:t>A second priority is physiology-aware multimodal modelling. Instead of combining all available variables, models should be organised around latent domains such as erythrocyte rheology, haemolysis, vascular instability, inflammation and organ reserve. Red-cell deformability or quantitative phase measurements could provide mechanistic anchors, while genomics could contribute validated modifiers and wearables could capture rapid fluctuations. Longitudinal studies should test whether these latent states are reproducible, change appropriately with effective therapy and improve prediction beyond routine clinical variables. This design would convert interpretability from a post-hoc visualisation exercise into a testable biological model.</w:t>
      </w:r>
    </w:p>
    <w:p w14:paraId="66EAE859" w14:textId="77777777" w:rsidR="00C229FA" w:rsidRPr="00A325DC" w:rsidRDefault="00000000">
      <w:r w:rsidRPr="00A325DC">
        <w:t>Treatment individualisation should focus first on questions with measurable intermediate targets and established therapies. Hydroxyurea is an ideal test bed for hybrid pharmacometric-ML research because dose, exposure, HbF response, toxicity and adherence can all be measured. Prospective studies could compare standard escalation, PK-guided dosing and hybrid adaptive approaches on time to target exposure, HbF distribution, safety, adherence and VOC outcomes. The aim should not be to demonstrate that ML can predict historical dose, but to show that a model improves treatment efficiency or patient outcomes beyond transparent pharmacokinetic rules.</w:t>
      </w:r>
    </w:p>
    <w:p w14:paraId="5CE08E80" w14:textId="77777777" w:rsidR="00C229FA" w:rsidRPr="00A325DC" w:rsidRDefault="00000000">
      <w:r w:rsidRPr="00A325DC">
        <w:t>For transplantation and curative-intent therapy, research should prioritise contemporary external validation and shared-decision impact. Registry models such as SPRIGHT should be evaluated in recent independent cohorts, with explicit recalibration as conditioning regimens and supportive care change. Prediction intervals and outcome-specific uncertainty should be displayed to patients and clinicians. Studies should assess comprehension, decisional conflict and whether model use changes treatment choice in ways consistent with patient values. Longer-term comparative data will be required before AI can credibly estimate counterfactual outcomes across transplantation, gene therapy and non-curative disease modification.</w:t>
      </w:r>
    </w:p>
    <w:p w14:paraId="2DC79B1E" w14:textId="77777777" w:rsidR="00C229FA" w:rsidRPr="00A325DC" w:rsidRDefault="00000000">
      <w:r w:rsidRPr="00A325DC">
        <w:t xml:space="preserve">Equity auditing should become a mandatory component of SCD AI development. Every model should specify which population it is intended to serve and test performance across genotype, age, sex, pregnancy where relevant, skin-pigmentation-related measurement strata, geography and care setting. For EHR outcomes, developers should assess whether predictors are proxies for healthcare access or socioeconomic position. Fairness analysis should include calibration and clinical utility, not only parity in accuracy. Where subgroup </w:t>
      </w:r>
      <w:r w:rsidRPr="00A325DC">
        <w:lastRenderedPageBreak/>
        <w:t>sample sizes are too small for reliable estimation, the appropriate response is to collect more data or restrict the intended use, not to claim fairness from inconclusive tests.</w:t>
      </w:r>
    </w:p>
    <w:p w14:paraId="5D96A6D6" w14:textId="77777777" w:rsidR="00C229FA" w:rsidRPr="00A325DC" w:rsidRDefault="00000000">
      <w:r w:rsidRPr="00A325DC">
        <w:t>Data infrastructure should favour interoperable, minimal and clinically meaningful variables. Large specialist centres can support multimodal models, but high-burden settings may benefit more from a common SCD dataset that combines genotype, key laboratory variables, treatment exposure, major complications and a small number of validated physiological signals. Standard phenotype definitions would also improve genetic and molecular research, addressing the harmonisation problems documented in the genetic-modifier literature. Shared data dictionaries and reference-standard protocols would enable multi-site validation without requiring every site to adopt the same EHR platform.</w:t>
      </w:r>
    </w:p>
    <w:p w14:paraId="778B50E1" w14:textId="77777777" w:rsidR="00C229FA" w:rsidRPr="00A325DC" w:rsidRDefault="00000000">
      <w:r w:rsidRPr="00A325DC">
        <w:t>Methodological standards need to be matched to the development stage. Prediction studies should follow TRIPOD+AI principles, including transparent handling of missing data, sample size, validation, calibration and intended use (Collins et al., 2024). Early clinical evaluations should address human factors and workflow as recommended by DECIDE-AI (Vasey et al., 2022), while interventional trials and protocols should incorporate CONSORT-AI and SPIRIT-AI extensions where appropriate (Cruz Rivera et al., 2020; Liu et al., 2020). SCD-specific reporting should add patient-level data separation, genotype distribution, transfusion status, hydroxyurea exposure and care setting because each can alter feature distributions and outcomes.</w:t>
      </w:r>
    </w:p>
    <w:p w14:paraId="36AAD295" w14:textId="77777777" w:rsidR="00C229FA" w:rsidRPr="00A325DC" w:rsidRDefault="00000000">
      <w:r w:rsidRPr="00A325DC">
        <w:t>Longer-term research should aim for adaptive precision systems that learn from each patient while remaining anchored to physiology and population evidence. Such systems might combine stable genomic modifiers, red-cell functional phenotypes, organ-risk trajectories and daily physiological deviations, then update uncertainty as new information arrives. The technical challenge is substantial, but the greater challenge is evaluative: the system must demonstrate that it changes decisions safely and improves outcomes. A model that predicts more accurately without improving care should not be considered a successful precision intervention.</w:t>
      </w:r>
    </w:p>
    <w:p w14:paraId="525D67EF" w14:textId="77777777" w:rsidR="00C229FA" w:rsidRPr="00A325DC" w:rsidRDefault="00000000">
      <w:pPr>
        <w:pStyle w:val="Heading1"/>
        <w:rPr>
          <w:color w:val="auto"/>
        </w:rPr>
      </w:pPr>
      <w:r w:rsidRPr="00A325DC">
        <w:rPr>
          <w:color w:val="auto"/>
        </w:rPr>
        <w:t>11. Conclusions</w:t>
      </w:r>
    </w:p>
    <w:p w14:paraId="64691270" w14:textId="77777777" w:rsidR="00C229FA" w:rsidRPr="00A325DC" w:rsidRDefault="00000000">
      <w:r w:rsidRPr="00A325DC">
        <w:t>Artificial intelligence has credible but uneven potential to support precision care in sickle cell disease. The most mature applications are automated screening and image-based phenotyping, particularly when AI is embedded in a complete diagnostic workflow and validated at the patient level. Nevertheless, strong internal classification performance cannot replace confirmatory haemoglobin analysis, representative external validation or demonstration that screening improves linkage to effective care. Blood-smear morphology is a useful signal, not a complete disease definition.</w:t>
      </w:r>
    </w:p>
    <w:p w14:paraId="2DF551FE" w14:textId="77777777" w:rsidR="00C229FA" w:rsidRPr="00A325DC" w:rsidRDefault="00000000">
      <w:r w:rsidRPr="00A325DC">
        <w:t>Risk prediction is moving closer to SCD physiology through wearable vascular signals, vital-sign time series and multiorgan clinical data. These approaches are scientifically promising because they can represent dynamic processes rather than static labels, but most studies remain small, retrospective or single-centre. The critical distinction is between estimating a current state and forecasting a future event early enough to alter management. Prediction horizons, calibration, false-alert burden and prospective clinical utility therefore matter more than headline accuracy.</w:t>
      </w:r>
    </w:p>
    <w:p w14:paraId="3757480D" w14:textId="77777777" w:rsidR="00C229FA" w:rsidRPr="00A325DC" w:rsidRDefault="00000000">
      <w:r w:rsidRPr="00A325DC">
        <w:t>Personalised treatment is the least established AI domain. Pharmacokinetic-guided hydroxyurea dosing demonstrates how mechanistic knowledge, measurable exposure and biological response can support genuine individualisation. AI should extend this model of precision rather than substitute correlation for mechanism. Emerging transplant-risk tools show that SCD-specific, multi-outcome prediction is becoming feasible, but external validation, uncertainty communication and prospective effects on shared decisions are still required. For curative gene and cell therapies, AI remains an opportunity rather than a demonstrated standard of care.</w:t>
      </w:r>
    </w:p>
    <w:p w14:paraId="2A73FF34" w14:textId="77777777" w:rsidR="00C229FA" w:rsidRPr="00A325DC" w:rsidRDefault="00000000">
      <w:r w:rsidRPr="00A325DC">
        <w:t xml:space="preserve">A physiologically informed approach provides the most coherent route forward. It links models to erythrocyte rheology, haemolysis, vascular instability, inflammation and organ reserve; uses genomics and omics selectively </w:t>
      </w:r>
      <w:r w:rsidRPr="00A325DC">
        <w:lastRenderedPageBreak/>
        <w:t>rather than indiscriminately; and treats healthcare utilisation as a contextual signal rather than a direct measure of biology. Equitable implementation is integral to this scientific validity. Models must work in the populations and settings that bear the greatest disease burden, account for sensor and label bias, and be designed around feasible clinical actions. The field will advance most meaningfully when progress is measured by prospective, equitable patient benefit rather than by algorithmic complexity.</w:t>
      </w:r>
    </w:p>
    <w:p w14:paraId="3F12379F" w14:textId="77777777" w:rsidR="00C229FA" w:rsidRPr="00A325DC" w:rsidRDefault="00000000">
      <w:pPr>
        <w:pStyle w:val="Heading1"/>
        <w:rPr>
          <w:color w:val="auto"/>
        </w:rPr>
      </w:pPr>
      <w:r w:rsidRPr="00A325DC">
        <w:rPr>
          <w:color w:val="auto"/>
        </w:rPr>
        <w:t>12. Limitations</w:t>
      </w:r>
    </w:p>
    <w:p w14:paraId="38EC9E69" w14:textId="77777777" w:rsidR="00C229FA" w:rsidRPr="00A325DC" w:rsidRDefault="00000000">
      <w:r w:rsidRPr="00A325DC">
        <w:t>This critical narrative review is intrinsically susceptible to selection and interpretive bias despite an explicit search strategy, structured appraisal and bidirectional reference checking. It was not designed as an exhaustive systematic review or meta-analysis, and no formal risk-of-bias score was assigned to individual studies. The literature itself is heterogeneous in populations, units of analysis, definitions of pain and vaso-occlusive events, prediction horizons, validation strategies and performance metrics, which limits direct comparison.</w:t>
      </w:r>
    </w:p>
    <w:p w14:paraId="6885FF34" w14:textId="77777777" w:rsidR="00C229FA" w:rsidRDefault="00000000">
      <w:r w:rsidRPr="00A325DC">
        <w:t>The review relied on accessible scholarly sources and English-language publications. Some subscription-only full texts could not be examined beyond reliable bibliographic and abstract-level information, and regional evidence may remain under-represented despite supplementary searching. Rapid development of AI means that models, reporting standards and clinical treatment options continue to change. Most importantly, the SCD AI evidence base remains dominated by retrospective or proof-of-concept studies, so conclusions about clinical effectiveness, long-term safety and generalisability necessarily remain more tentative than conclusions about technical feasibility.</w:t>
      </w:r>
    </w:p>
    <w:p w14:paraId="5356FE41" w14:textId="77777777" w:rsidR="004047B1" w:rsidRDefault="004047B1"/>
    <w:p w14:paraId="51C41A43" w14:textId="77777777" w:rsidR="004047B1" w:rsidRDefault="004047B1" w:rsidP="004047B1">
      <w:pPr>
        <w:spacing w:after="0" w:line="240" w:lineRule="auto"/>
        <w:rPr>
          <w:rFonts w:cs="Times New Roman"/>
          <w:b/>
        </w:rPr>
      </w:pPr>
      <w:r w:rsidRPr="000839CE">
        <w:rPr>
          <w:rFonts w:cs="Times New Roman"/>
          <w:b/>
        </w:rPr>
        <w:t>Declaration of AI Use</w:t>
      </w:r>
    </w:p>
    <w:p w14:paraId="6B306C81" w14:textId="77777777" w:rsidR="004047B1" w:rsidRDefault="004047B1" w:rsidP="004047B1">
      <w:pPr>
        <w:spacing w:after="0" w:line="240" w:lineRule="auto"/>
        <w:rPr>
          <w:rFonts w:cs="Times New Roman"/>
          <w:b/>
        </w:rPr>
      </w:pPr>
    </w:p>
    <w:p w14:paraId="3BBF8DD8" w14:textId="77777777" w:rsidR="004047B1" w:rsidRDefault="004047B1" w:rsidP="004047B1">
      <w:pPr>
        <w:spacing w:after="0" w:line="240" w:lineRule="auto"/>
        <w:rPr>
          <w:rFonts w:cs="Times New Roman"/>
          <w:b/>
        </w:rPr>
      </w:pPr>
    </w:p>
    <w:p w14:paraId="3EB17069" w14:textId="77777777" w:rsidR="004047B1" w:rsidRDefault="004047B1" w:rsidP="004047B1">
      <w:pPr>
        <w:spacing w:after="0" w:line="240" w:lineRule="auto"/>
        <w:rPr>
          <w:rFonts w:cs="Times New Roman"/>
          <w:b/>
        </w:rPr>
      </w:pPr>
    </w:p>
    <w:p w14:paraId="383236EC" w14:textId="77777777" w:rsidR="004047B1" w:rsidRPr="002D08AC" w:rsidRDefault="004047B1" w:rsidP="004047B1">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76DFE5C" w14:textId="77777777" w:rsidR="004047B1" w:rsidRPr="00A325DC" w:rsidRDefault="004047B1"/>
    <w:p w14:paraId="779C5EA8" w14:textId="77777777" w:rsidR="00C229FA" w:rsidRPr="00A325DC" w:rsidRDefault="00000000">
      <w:pPr>
        <w:pStyle w:val="Heading1"/>
        <w:rPr>
          <w:color w:val="auto"/>
        </w:rPr>
      </w:pPr>
      <w:r w:rsidRPr="00A325DC">
        <w:rPr>
          <w:color w:val="auto"/>
        </w:rPr>
        <w:t>References</w:t>
      </w:r>
    </w:p>
    <w:p w14:paraId="44E83B08" w14:textId="77777777" w:rsidR="00C229FA" w:rsidRPr="00A325DC" w:rsidRDefault="00000000">
      <w:pPr>
        <w:pStyle w:val="Reference"/>
      </w:pPr>
      <w:r w:rsidRPr="00A325DC">
        <w:t xml:space="preserve">Abdelgader Adam, N. E., Ahmed Omer, O. K., Ahamed, F., Mansoor, M. E. M., Hassan, S. M. A., Abdalla, A. K. M., &amp; Osman, S. M. A. (2026). Evaluating the diagnostic performance of AI and machine learning in sickle cell disease detection: A systematic review. </w:t>
      </w:r>
      <w:r w:rsidRPr="00A325DC">
        <w:rPr>
          <w:i/>
        </w:rPr>
        <w:t>Cureus, 18</w:t>
      </w:r>
      <w:r w:rsidRPr="00A325DC">
        <w:t xml:space="preserve">(5), e109880. </w:t>
      </w:r>
      <w:hyperlink r:id="rId8">
        <w:r w:rsidR="00C229FA" w:rsidRPr="00A325DC">
          <w:rPr>
            <w:u w:val="single"/>
          </w:rPr>
          <w:t>https://doi.org/10.7759/cureus.109880</w:t>
        </w:r>
      </w:hyperlink>
    </w:p>
    <w:p w14:paraId="1C2D803E" w14:textId="77777777" w:rsidR="00C229FA" w:rsidRPr="00A325DC" w:rsidRDefault="00000000">
      <w:pPr>
        <w:pStyle w:val="Reference"/>
      </w:pPr>
      <w:r w:rsidRPr="00A325DC">
        <w:t xml:space="preserve">Ansong-Ansongton, Y. O. N., &amp; Adamson, T. D. (2024). Computing Sickle Erythrocyte Health Index on quantitative phase imaging and machine learning. </w:t>
      </w:r>
      <w:r w:rsidRPr="00A325DC">
        <w:rPr>
          <w:i/>
        </w:rPr>
        <w:t>Experimental Hematology, 131</w:t>
      </w:r>
      <w:r w:rsidRPr="00A325DC">
        <w:t xml:space="preserve">, 104166. </w:t>
      </w:r>
      <w:hyperlink r:id="rId9">
        <w:r w:rsidR="00C229FA" w:rsidRPr="00A325DC">
          <w:rPr>
            <w:u w:val="single"/>
          </w:rPr>
          <w:t>https://doi.org/10.1016/j.exphem.2024.104166</w:t>
        </w:r>
      </w:hyperlink>
    </w:p>
    <w:p w14:paraId="189D984D" w14:textId="77777777" w:rsidR="00C229FA" w:rsidRPr="00A325DC" w:rsidRDefault="00000000">
      <w:pPr>
        <w:pStyle w:val="Reference"/>
      </w:pPr>
      <w:r w:rsidRPr="00A325DC">
        <w:t xml:space="preserve">Baethge, C., Goldbeck-Wood, S., &amp; Mertens, S. (2019). SANRA—a scale for the quality assessment of narrative review articles. </w:t>
      </w:r>
      <w:r w:rsidRPr="00A325DC">
        <w:rPr>
          <w:i/>
        </w:rPr>
        <w:t>Research Integrity and Peer Review, 4</w:t>
      </w:r>
      <w:r w:rsidRPr="00A325DC">
        <w:t xml:space="preserve">, 5. </w:t>
      </w:r>
      <w:hyperlink r:id="rId10">
        <w:r w:rsidR="00C229FA" w:rsidRPr="00A325DC">
          <w:rPr>
            <w:u w:val="single"/>
          </w:rPr>
          <w:t>https://doi.org/10.1186/s41073-019-0064-8</w:t>
        </w:r>
      </w:hyperlink>
    </w:p>
    <w:p w14:paraId="70E88A47" w14:textId="77777777" w:rsidR="00C229FA" w:rsidRPr="00A325DC" w:rsidRDefault="00000000">
      <w:pPr>
        <w:pStyle w:val="Reference"/>
      </w:pPr>
      <w:r w:rsidRPr="00A325DC">
        <w:t xml:space="preserve">Basu, S., Singh, G., Agarwal, R., &amp; Srivastava, V. (2025). Development of 3D intelligent quantitative phase microscope for sickle cells screening. </w:t>
      </w:r>
      <w:r w:rsidRPr="00A325DC">
        <w:rPr>
          <w:i/>
        </w:rPr>
        <w:t>Journal of Biophotonics, 18</w:t>
      </w:r>
      <w:r w:rsidRPr="00A325DC">
        <w:t xml:space="preserve">(7), e202400512. </w:t>
      </w:r>
      <w:hyperlink r:id="rId11">
        <w:r w:rsidR="00C229FA" w:rsidRPr="00A325DC">
          <w:rPr>
            <w:u w:val="single"/>
          </w:rPr>
          <w:t>https://doi.org/10.1002/jbio.202400512</w:t>
        </w:r>
      </w:hyperlink>
    </w:p>
    <w:p w14:paraId="240DAA80" w14:textId="77777777" w:rsidR="00C229FA" w:rsidRPr="00A325DC" w:rsidRDefault="00000000">
      <w:pPr>
        <w:pStyle w:val="Reference"/>
      </w:pPr>
      <w:r w:rsidRPr="00A325DC">
        <w:t xml:space="preserve">Brandow, A. M., &amp; Liem, R. I. (2022). Advances in the diagnosis and treatment of sickle cell disease. </w:t>
      </w:r>
      <w:r w:rsidRPr="00A325DC">
        <w:rPr>
          <w:i/>
        </w:rPr>
        <w:t>Journal of Hematology &amp; Oncology, 15</w:t>
      </w:r>
      <w:r w:rsidRPr="00A325DC">
        <w:t xml:space="preserve">(1), 20. </w:t>
      </w:r>
      <w:hyperlink r:id="rId12">
        <w:r w:rsidR="00C229FA" w:rsidRPr="00A325DC">
          <w:rPr>
            <w:u w:val="single"/>
          </w:rPr>
          <w:t>https://doi.org/10.1186/s13045-022-01237-z</w:t>
        </w:r>
      </w:hyperlink>
    </w:p>
    <w:p w14:paraId="3B52A8C6" w14:textId="77777777" w:rsidR="00C229FA" w:rsidRPr="00A325DC" w:rsidRDefault="00000000">
      <w:pPr>
        <w:pStyle w:val="Reference"/>
      </w:pPr>
      <w:r w:rsidRPr="00A325DC">
        <w:t xml:space="preserve">Chandrasekar, R. S., Kane, M., &amp; Krishnamurti, L. (2025). Machine-learning predictive tool for the individualized prediction of outcomes of hematopoietic cell transplantation for sickle cell disease: Registry-based study. </w:t>
      </w:r>
      <w:r w:rsidRPr="00A325DC">
        <w:rPr>
          <w:i/>
        </w:rPr>
        <w:t>JMIR AI, 4</w:t>
      </w:r>
      <w:r w:rsidRPr="00A325DC">
        <w:t xml:space="preserve">, e64519. </w:t>
      </w:r>
      <w:hyperlink r:id="rId13">
        <w:r w:rsidR="00C229FA" w:rsidRPr="00A325DC">
          <w:rPr>
            <w:u w:val="single"/>
          </w:rPr>
          <w:t>https://doi.org/10.2196/64519</w:t>
        </w:r>
      </w:hyperlink>
    </w:p>
    <w:p w14:paraId="6D217736" w14:textId="77777777" w:rsidR="00C229FA" w:rsidRPr="00A325DC" w:rsidRDefault="00000000">
      <w:pPr>
        <w:pStyle w:val="Reference"/>
      </w:pPr>
      <w:r w:rsidRPr="00A325DC">
        <w:lastRenderedPageBreak/>
        <w:t xml:space="preserve">Christensen, F., Kılıç, D. K., Fuglkjær, A. D., Petersen, J., El-Galaly, T. C., Glenthøj, A., Helby, J., &amp; Nielsen, I. E. (2025). Machine learning-based detection of HbS and HbC carriers in the UK general population. </w:t>
      </w:r>
      <w:r w:rsidRPr="00A325DC">
        <w:rPr>
          <w:i/>
        </w:rPr>
        <w:t>EJHaem, 6</w:t>
      </w:r>
      <w:r w:rsidRPr="00A325DC">
        <w:t xml:space="preserve">(6), e70170. </w:t>
      </w:r>
      <w:hyperlink r:id="rId14">
        <w:r w:rsidR="00C229FA" w:rsidRPr="00A325DC">
          <w:rPr>
            <w:u w:val="single"/>
          </w:rPr>
          <w:t>https://doi.org/10.1002/jha2.70170</w:t>
        </w:r>
      </w:hyperlink>
    </w:p>
    <w:p w14:paraId="37E7572B" w14:textId="77777777" w:rsidR="00C229FA" w:rsidRPr="00A325DC" w:rsidRDefault="00000000">
      <w:pPr>
        <w:pStyle w:val="Reference"/>
      </w:pPr>
      <w:r w:rsidRPr="00A325DC">
        <w:t xml:space="preserve">Collins, G. S., Moons, K. G. M., Dhiman, P., Riley, R. D., Beam, A. L., Van Calster, B., Ghassemi, M., Liu, X., Reitsma, J. B., van Smeden, M., Boulesteix, A.-L., Camaradou, J. C., Celi, L. A., Denaxas, S., Denniston, A. K., Glocker, B., Golub, R. M., Harvey, H., Heinze, G., … Logullo, P. (2024). TRIPOD+AI statement: Updated guidance for reporting clinical prediction models that use regression or machine learning methods. </w:t>
      </w:r>
      <w:r w:rsidRPr="00A325DC">
        <w:rPr>
          <w:i/>
        </w:rPr>
        <w:t>BMJ, 385</w:t>
      </w:r>
      <w:r w:rsidRPr="00A325DC">
        <w:t xml:space="preserve">, e078378. </w:t>
      </w:r>
      <w:hyperlink r:id="rId15">
        <w:r w:rsidR="00C229FA" w:rsidRPr="00A325DC">
          <w:rPr>
            <w:u w:val="single"/>
          </w:rPr>
          <w:t>https://doi.org/10.1136/bmj-2023-078378</w:t>
        </w:r>
      </w:hyperlink>
    </w:p>
    <w:p w14:paraId="4107CC89" w14:textId="77777777" w:rsidR="00C229FA" w:rsidRPr="00A325DC" w:rsidRDefault="00000000">
      <w:pPr>
        <w:pStyle w:val="Reference"/>
      </w:pPr>
      <w:r w:rsidRPr="00A325DC">
        <w:t xml:space="preserve">Cruz Rivera, S., Liu, X., Chan, A.-W., Denniston, A. K., Calvert, M. J., &amp; SPIRIT-AI and CONSORT-AI Working Group. (2020). Guidelines for clinical trial protocols for interventions involving artificial intelligence: The SPIRIT-AI extension. </w:t>
      </w:r>
      <w:r w:rsidRPr="00A325DC">
        <w:rPr>
          <w:i/>
        </w:rPr>
        <w:t>Nature Medicine, 26</w:t>
      </w:r>
      <w:r w:rsidRPr="00A325DC">
        <w:t xml:space="preserve">(9), 1351–1363. </w:t>
      </w:r>
      <w:hyperlink r:id="rId16">
        <w:r w:rsidR="00C229FA" w:rsidRPr="00A325DC">
          <w:rPr>
            <w:u w:val="single"/>
          </w:rPr>
          <w:t>https://doi.org/10.1038/s41591-020-1037-7</w:t>
        </w:r>
      </w:hyperlink>
    </w:p>
    <w:p w14:paraId="633E7B49" w14:textId="77777777" w:rsidR="00C229FA" w:rsidRPr="00A325DC" w:rsidRDefault="00000000">
      <w:pPr>
        <w:pStyle w:val="Reference"/>
      </w:pPr>
      <w:r w:rsidRPr="00A325DC">
        <w:t xml:space="preserve">Darrin, M., Samudre, A., Sahun, M., Atwell, S., Badens, C., Charrier, A., Helfer, E., Viallat, A., Cohen-Addad, V., &amp; Giffard-Roisin, S. (2023). Classification of red cell dynamics with convolutional and recurrent neural networks: A sickle cell disease case study. </w:t>
      </w:r>
      <w:r w:rsidRPr="00A325DC">
        <w:rPr>
          <w:i/>
        </w:rPr>
        <w:t>Scientific Reports, 13</w:t>
      </w:r>
      <w:r w:rsidRPr="00A325DC">
        <w:t xml:space="preserve">(1), 745. </w:t>
      </w:r>
      <w:hyperlink r:id="rId17">
        <w:r w:rsidR="00C229FA" w:rsidRPr="00A325DC">
          <w:rPr>
            <w:u w:val="single"/>
          </w:rPr>
          <w:t>https://doi.org/10.1038/s41598-023-27718-w</w:t>
        </w:r>
      </w:hyperlink>
    </w:p>
    <w:p w14:paraId="6F0C7F5A" w14:textId="77777777" w:rsidR="00C229FA" w:rsidRPr="00A325DC" w:rsidRDefault="00000000">
      <w:pPr>
        <w:pStyle w:val="Reference"/>
      </w:pPr>
      <w:r w:rsidRPr="00A325DC">
        <w:t xml:space="preserve">de Haan, K., Ceylan Koydemir, H., Rivenson, Y., Tseng, D., Van Dyne, E., Bakic, L., Karinca, D., Liang, K., Ilango, M., Gumustekin, E., &amp; Ozcan, A. (2020). Automated screening of sickle cells using a smartphone-based microscope and deep learning. </w:t>
      </w:r>
      <w:r w:rsidRPr="00A325DC">
        <w:rPr>
          <w:i/>
        </w:rPr>
        <w:t>npj Digital Medicine, 3</w:t>
      </w:r>
      <w:r w:rsidRPr="00A325DC">
        <w:t xml:space="preserve">, 76. </w:t>
      </w:r>
      <w:hyperlink r:id="rId18">
        <w:r w:rsidR="00C229FA" w:rsidRPr="00A325DC">
          <w:rPr>
            <w:u w:val="single"/>
          </w:rPr>
          <w:t>https://doi.org/10.1038/s41746-020-0282-y</w:t>
        </w:r>
      </w:hyperlink>
    </w:p>
    <w:p w14:paraId="4D7E85BF" w14:textId="77777777" w:rsidR="00C229FA" w:rsidRPr="00A325DC" w:rsidRDefault="00000000">
      <w:pPr>
        <w:pStyle w:val="Reference"/>
      </w:pPr>
      <w:r w:rsidRPr="00A325DC">
        <w:t xml:space="preserve">Dembélé, K. C., Veyrat-Durebex, C., Guindo, A., Chupin, S., Tessier, L., Goïta, Y., Baraïka, M. A. G., Diallo, M., Touré, B. A., Homedan, C., Mirebeau-Prunier, D., Simard, G., Diallo, D., Cissé, B. M., Reynier, P., &amp; Chao de la Barca, J. M. (2020). Sickle cell disease: Metabolomic profiles of vaso-occlusive crisis in plasma and erythrocytes. </w:t>
      </w:r>
      <w:r w:rsidRPr="00A325DC">
        <w:rPr>
          <w:i/>
        </w:rPr>
        <w:t>Journal of Clinical Medicine, 9</w:t>
      </w:r>
      <w:r w:rsidRPr="00A325DC">
        <w:t xml:space="preserve">(4), 1092. </w:t>
      </w:r>
      <w:hyperlink r:id="rId19">
        <w:r w:rsidR="00C229FA" w:rsidRPr="00A325DC">
          <w:rPr>
            <w:u w:val="single"/>
          </w:rPr>
          <w:t>https://doi.org/10.3390/jcm9041092</w:t>
        </w:r>
      </w:hyperlink>
    </w:p>
    <w:p w14:paraId="09DDD984" w14:textId="77777777" w:rsidR="00C229FA" w:rsidRPr="00A325DC" w:rsidRDefault="00000000">
      <w:pPr>
        <w:pStyle w:val="Reference"/>
      </w:pPr>
      <w:r w:rsidRPr="00A325DC">
        <w:t xml:space="preserve">Dong, M., McGann, P. T., Mizuno, T., Ware, R. E., &amp; Vinks, A. A. (2016). Development of a pharmacokinetic-guided dose individualization strategy for hydroxyurea treatment in children with sickle cell anaemia. </w:t>
      </w:r>
      <w:r w:rsidRPr="00A325DC">
        <w:rPr>
          <w:i/>
        </w:rPr>
        <w:t>British Journal of Clinical Pharmacology, 81</w:t>
      </w:r>
      <w:r w:rsidRPr="00A325DC">
        <w:t xml:space="preserve">(4), 742–752. </w:t>
      </w:r>
      <w:hyperlink r:id="rId20">
        <w:r w:rsidR="00C229FA" w:rsidRPr="00A325DC">
          <w:rPr>
            <w:u w:val="single"/>
          </w:rPr>
          <w:t>https://doi.org/10.1111/bcp.12851</w:t>
        </w:r>
      </w:hyperlink>
    </w:p>
    <w:p w14:paraId="1EEE4A5D" w14:textId="77777777" w:rsidR="00C229FA" w:rsidRPr="00A325DC" w:rsidRDefault="00000000">
      <w:pPr>
        <w:pStyle w:val="Reference"/>
      </w:pPr>
      <w:r w:rsidRPr="00A325DC">
        <w:t xml:space="preserve">Elsabagh, A. A., Elhadary, M., Elsayed, B., Elshoeibi, A. M., Ferih, K., Kaddoura, R., Alkindi, S., Alshurafa, A., Alrasheed, M., Alzayed, A., Al-Abdulmalek, A., Altooq, J. A., &amp; Yassin, M. (2023). Artificial intelligence in sickle disease. </w:t>
      </w:r>
      <w:r w:rsidRPr="00A325DC">
        <w:rPr>
          <w:i/>
        </w:rPr>
        <w:t>Blood Reviews, 61</w:t>
      </w:r>
      <w:r w:rsidRPr="00A325DC">
        <w:t xml:space="preserve">, 101102. </w:t>
      </w:r>
      <w:hyperlink r:id="rId21">
        <w:r w:rsidR="00C229FA" w:rsidRPr="00A325DC">
          <w:rPr>
            <w:u w:val="single"/>
          </w:rPr>
          <w:t>https://doi.org/10.1016/j.blre.2023.101102</w:t>
        </w:r>
      </w:hyperlink>
    </w:p>
    <w:p w14:paraId="36A7881C" w14:textId="77777777" w:rsidR="00C229FA" w:rsidRPr="00A325DC" w:rsidRDefault="00000000">
      <w:pPr>
        <w:pStyle w:val="Reference"/>
      </w:pPr>
      <w:r w:rsidRPr="00A325DC">
        <w:t xml:space="preserve">GBD 2021 Sickle Cell Disease Collaborators. (2023). Global, regional, and national prevalence and mortality burden of sickle cell disease, 2000–2021: A systematic analysis from the Global Burden of Disease Study 2021. </w:t>
      </w:r>
      <w:r w:rsidRPr="00A325DC">
        <w:rPr>
          <w:i/>
        </w:rPr>
        <w:t>The Lancet Haematology, 10</w:t>
      </w:r>
      <w:r w:rsidRPr="00A325DC">
        <w:t xml:space="preserve">(8), e585–e599. </w:t>
      </w:r>
      <w:hyperlink r:id="rId22">
        <w:r w:rsidR="00C229FA" w:rsidRPr="00A325DC">
          <w:rPr>
            <w:u w:val="single"/>
          </w:rPr>
          <w:t>https://doi.org/10.1016/S2352-3026(23)00118-7</w:t>
        </w:r>
      </w:hyperlink>
    </w:p>
    <w:p w14:paraId="541D6819" w14:textId="77777777" w:rsidR="00C229FA" w:rsidRPr="00A325DC" w:rsidRDefault="00000000">
      <w:pPr>
        <w:pStyle w:val="Reference"/>
      </w:pPr>
      <w:r w:rsidRPr="00A325DC">
        <w:t xml:space="preserve">Güntürkün, F., Chen, D., Akbilgic, O., Davis, R. L., Karabayir, I., Strome, M., Dai, Y., Saraf, S. L., &amp; Ataga, K. I. (2021). Using machine learning to predict rapid decline of kidney function in sickle cell anemia. </w:t>
      </w:r>
      <w:r w:rsidRPr="00A325DC">
        <w:rPr>
          <w:i/>
        </w:rPr>
        <w:t>EJHaem, 2</w:t>
      </w:r>
      <w:r w:rsidRPr="00A325DC">
        <w:t xml:space="preserve">(2), 257–260. </w:t>
      </w:r>
      <w:hyperlink r:id="rId23">
        <w:r w:rsidR="00C229FA" w:rsidRPr="00A325DC">
          <w:rPr>
            <w:u w:val="single"/>
          </w:rPr>
          <w:t>https://doi.org/10.1002/jha2.168</w:t>
        </w:r>
      </w:hyperlink>
    </w:p>
    <w:p w14:paraId="072F5D54" w14:textId="77777777" w:rsidR="00C229FA" w:rsidRPr="00A325DC" w:rsidRDefault="00000000">
      <w:pPr>
        <w:pStyle w:val="Reference"/>
      </w:pPr>
      <w:r w:rsidRPr="00A325DC">
        <w:t xml:space="preserve">Jennifer, S. S., Shamim, M. H., Reza, A. W., &amp; Siddique, N. (2023). Sickle cell disease classification using deep learning. </w:t>
      </w:r>
      <w:r w:rsidRPr="00A325DC">
        <w:rPr>
          <w:i/>
        </w:rPr>
        <w:t>Heliyon, 9</w:t>
      </w:r>
      <w:r w:rsidRPr="00A325DC">
        <w:t xml:space="preserve">(11), e22203. </w:t>
      </w:r>
      <w:hyperlink r:id="rId24">
        <w:r w:rsidR="00C229FA" w:rsidRPr="00A325DC">
          <w:rPr>
            <w:u w:val="single"/>
          </w:rPr>
          <w:t>https://doi.org/10.1016/j.heliyon.2023.e22203</w:t>
        </w:r>
      </w:hyperlink>
    </w:p>
    <w:p w14:paraId="3F1C159D" w14:textId="77777777" w:rsidR="00C229FA" w:rsidRPr="00A325DC" w:rsidRDefault="00000000">
      <w:pPr>
        <w:pStyle w:val="Reference"/>
      </w:pPr>
      <w:r w:rsidRPr="00A325DC">
        <w:t xml:space="preserve">Ji, Y., Chalacheva, P., Rosen, C. L., DeBaun, M. R., Coates, T. D., &amp; Khoo, M. C. K. (2021). Identifying elevated risk for future pain crises in sickle-cell disease using photoplethysmogram patterns measured during sleep: A machine learning approach. </w:t>
      </w:r>
      <w:r w:rsidRPr="00A325DC">
        <w:rPr>
          <w:i/>
        </w:rPr>
        <w:t>Frontiers in Digital Health, 3</w:t>
      </w:r>
      <w:r w:rsidRPr="00A325DC">
        <w:t xml:space="preserve">, 714741. </w:t>
      </w:r>
      <w:hyperlink r:id="rId25">
        <w:r w:rsidR="00C229FA" w:rsidRPr="00A325DC">
          <w:rPr>
            <w:u w:val="single"/>
          </w:rPr>
          <w:t>https://doi.org/10.3389/fdgth.2021.714741</w:t>
        </w:r>
      </w:hyperlink>
    </w:p>
    <w:p w14:paraId="3376076C" w14:textId="77777777" w:rsidR="00C229FA" w:rsidRPr="00A325DC" w:rsidRDefault="00000000">
      <w:pPr>
        <w:pStyle w:val="Reference"/>
      </w:pPr>
      <w:r w:rsidRPr="00A325DC">
        <w:t xml:space="preserve">John, C. C., Opoka, R. O., Latham, T. S., Hume, H. A., Nabaggala, C., Kasirye, P., Ndugwa, C. M., Lane, A., &amp; Ware, R. E. (2020). Hydroxyurea dose escalation for sickle cell anemia in sub-Saharan Africa. </w:t>
      </w:r>
      <w:r w:rsidRPr="00A325DC">
        <w:rPr>
          <w:i/>
        </w:rPr>
        <w:t>The New England Journal of Medicine, 382</w:t>
      </w:r>
      <w:r w:rsidRPr="00A325DC">
        <w:t xml:space="preserve">(26), 2524–2533. </w:t>
      </w:r>
      <w:hyperlink r:id="rId26">
        <w:r w:rsidR="00C229FA" w:rsidRPr="00A325DC">
          <w:rPr>
            <w:u w:val="single"/>
          </w:rPr>
          <w:t>https://doi.org/10.1056/NEJMoa2000146</w:t>
        </w:r>
      </w:hyperlink>
    </w:p>
    <w:p w14:paraId="5207767A" w14:textId="77777777" w:rsidR="00C229FA" w:rsidRPr="00A325DC" w:rsidRDefault="00000000">
      <w:pPr>
        <w:pStyle w:val="Reference"/>
      </w:pPr>
      <w:r w:rsidRPr="00A325DC">
        <w:t xml:space="preserve">Kato, G. J., Piel, F. B., Reid, C. D., Gaston, M. H., Ohene-Frempong, K., Krishnamurti, L., Smith, W. R., Panepinto, J. A., Weatherall, D. J., Costa, F. F., &amp; Vichinsky, E. P. (2018). Sickle cell disease. </w:t>
      </w:r>
      <w:r w:rsidRPr="00A325DC">
        <w:rPr>
          <w:i/>
        </w:rPr>
        <w:t>Nature Reviews Disease Primers, 4</w:t>
      </w:r>
      <w:r w:rsidRPr="00A325DC">
        <w:t xml:space="preserve">, 18010. </w:t>
      </w:r>
      <w:hyperlink r:id="rId27">
        <w:r w:rsidR="00C229FA" w:rsidRPr="00A325DC">
          <w:rPr>
            <w:u w:val="single"/>
          </w:rPr>
          <w:t>https://doi.org/10.1038/nrdp.2018.10</w:t>
        </w:r>
      </w:hyperlink>
    </w:p>
    <w:p w14:paraId="035901A9" w14:textId="77777777" w:rsidR="00C229FA" w:rsidRPr="00A325DC" w:rsidRDefault="00000000">
      <w:pPr>
        <w:pStyle w:val="Reference"/>
      </w:pPr>
      <w:r w:rsidRPr="00A325DC">
        <w:t xml:space="preserve">Kirkham, J. K., Estepp, J. H., Weiss, M. J., &amp; Rashkin, S. R. (2023). Genetic variation and sickle cell disease severity: A systematic review and meta-analysis. </w:t>
      </w:r>
      <w:r w:rsidRPr="00A325DC">
        <w:rPr>
          <w:i/>
        </w:rPr>
        <w:t>JAMA Network Open, 6</w:t>
      </w:r>
      <w:r w:rsidRPr="00A325DC">
        <w:t xml:space="preserve">(10), e2337484. </w:t>
      </w:r>
      <w:hyperlink r:id="rId28">
        <w:r w:rsidR="00C229FA" w:rsidRPr="00A325DC">
          <w:rPr>
            <w:u w:val="single"/>
          </w:rPr>
          <w:t>https://doi.org/10.1001/jamanetworkopen.2023.37484</w:t>
        </w:r>
      </w:hyperlink>
    </w:p>
    <w:p w14:paraId="08A173FC" w14:textId="77777777" w:rsidR="00C229FA" w:rsidRPr="00A325DC" w:rsidRDefault="00000000">
      <w:pPr>
        <w:pStyle w:val="Reference"/>
      </w:pPr>
      <w:r w:rsidRPr="00A325DC">
        <w:t xml:space="preserve">Li, H., Sachdev, V., Tian, X., Nguyen, M.-L., Hsieh, M., Fitzhugh, C., Limerick, E., Coles, W., Asomaning, N., Conrey, A., Wu, C. O., &amp; Thein, S. L. (2025). A machine learning-based workflow for predicting transplant outcomes in patients with sickle cell disease. </w:t>
      </w:r>
      <w:r w:rsidRPr="00A325DC">
        <w:rPr>
          <w:i/>
        </w:rPr>
        <w:t>British Journal of Haematology, 206</w:t>
      </w:r>
      <w:r w:rsidRPr="00A325DC">
        <w:t xml:space="preserve">(3), 919–923. </w:t>
      </w:r>
      <w:hyperlink r:id="rId29">
        <w:r w:rsidR="00C229FA" w:rsidRPr="00A325DC">
          <w:rPr>
            <w:u w:val="single"/>
          </w:rPr>
          <w:t>https://doi.org/10.1111/bjh.19842</w:t>
        </w:r>
      </w:hyperlink>
    </w:p>
    <w:p w14:paraId="34EB37E1" w14:textId="77777777" w:rsidR="00C229FA" w:rsidRPr="00A325DC" w:rsidRDefault="00000000">
      <w:pPr>
        <w:pStyle w:val="Reference"/>
      </w:pPr>
      <w:r w:rsidRPr="00A325DC">
        <w:lastRenderedPageBreak/>
        <w:t xml:space="preserve">Liu, X., Cruz Rivera, S., Moher, D., Calvert, M. J., Denniston, A. K., &amp; SPIRIT-AI and CONSORT-AI Working Group. (2020). Reporting guidelines for clinical trial reports for interventions involving artificial intelligence: The CONSORT-AI extension. </w:t>
      </w:r>
      <w:r w:rsidRPr="00A325DC">
        <w:rPr>
          <w:i/>
        </w:rPr>
        <w:t>Nature Medicine, 26</w:t>
      </w:r>
      <w:r w:rsidRPr="00A325DC">
        <w:t xml:space="preserve">(9), 1364–1374. </w:t>
      </w:r>
      <w:hyperlink r:id="rId30">
        <w:r w:rsidR="00C229FA" w:rsidRPr="00A325DC">
          <w:rPr>
            <w:u w:val="single"/>
          </w:rPr>
          <w:t>https://doi.org/10.1038/s41591-020-1034-x</w:t>
        </w:r>
      </w:hyperlink>
    </w:p>
    <w:p w14:paraId="3ECB8875" w14:textId="77777777" w:rsidR="00C229FA" w:rsidRPr="00A325DC" w:rsidRDefault="00000000">
      <w:pPr>
        <w:pStyle w:val="Reference"/>
      </w:pPr>
      <w:r w:rsidRPr="00A325DC">
        <w:t xml:space="preserve">Machado, T. F., Barros Neto, F. C., Gonçalves, M. S., Barbosa, C. G., &amp; Barreto, M. E. (2024). Exploring machine learning algorithms in sickle cell disease patient data: A systematic review. </w:t>
      </w:r>
      <w:r w:rsidRPr="00A325DC">
        <w:rPr>
          <w:i/>
        </w:rPr>
        <w:t>PLOS ONE, 19</w:t>
      </w:r>
      <w:r w:rsidRPr="00A325DC">
        <w:t xml:space="preserve">(11), e0313315. </w:t>
      </w:r>
      <w:hyperlink r:id="rId31">
        <w:r w:rsidR="00C229FA" w:rsidRPr="00A325DC">
          <w:rPr>
            <w:u w:val="single"/>
          </w:rPr>
          <w:t>https://doi.org/10.1371/journal.pone.0313315</w:t>
        </w:r>
      </w:hyperlink>
    </w:p>
    <w:p w14:paraId="213EC28D" w14:textId="77777777" w:rsidR="00C229FA" w:rsidRPr="00A325DC" w:rsidRDefault="00000000">
      <w:pPr>
        <w:pStyle w:val="Reference"/>
      </w:pPr>
      <w:r w:rsidRPr="00A325DC">
        <w:t xml:space="preserve">Mohammed, A., Podila, P. S. B., Davis, R. L., Ataga, K. I., Hankins, J. S., &amp; Kamaleswaran, R. (2020). Using machine learning to predict early onset acute organ failure in critically ill intensive care unit patients with sickle cell disease: Retrospective study. </w:t>
      </w:r>
      <w:r w:rsidRPr="00A325DC">
        <w:rPr>
          <w:i/>
        </w:rPr>
        <w:t>Journal of Medical Internet Research, 22</w:t>
      </w:r>
      <w:r w:rsidRPr="00A325DC">
        <w:t xml:space="preserve">(5), e14693. </w:t>
      </w:r>
      <w:hyperlink r:id="rId32">
        <w:r w:rsidR="00C229FA" w:rsidRPr="00A325DC">
          <w:rPr>
            <w:u w:val="single"/>
          </w:rPr>
          <w:t>https://doi.org/10.2196/14693</w:t>
        </w:r>
      </w:hyperlink>
    </w:p>
    <w:p w14:paraId="7FBA7116" w14:textId="77777777" w:rsidR="00C229FA" w:rsidRPr="00A325DC" w:rsidRDefault="00000000">
      <w:pPr>
        <w:pStyle w:val="Reference"/>
      </w:pPr>
      <w:r w:rsidRPr="00A325DC">
        <w:t xml:space="preserve">Obermeyer, Z., Powers, B., Vogeli, C., &amp; Mullainathan, S. (2019). Dissecting racial bias in an algorithm used to manage the health of populations. </w:t>
      </w:r>
      <w:r w:rsidRPr="00A325DC">
        <w:rPr>
          <w:i/>
        </w:rPr>
        <w:t>Science, 366</w:t>
      </w:r>
      <w:r w:rsidRPr="00A325DC">
        <w:t xml:space="preserve">(6464), 447–453. </w:t>
      </w:r>
      <w:hyperlink r:id="rId33">
        <w:r w:rsidR="00C229FA" w:rsidRPr="00A325DC">
          <w:rPr>
            <w:u w:val="single"/>
          </w:rPr>
          <w:t>https://doi.org/10.1126/science.aax2342</w:t>
        </w:r>
      </w:hyperlink>
    </w:p>
    <w:p w14:paraId="2E915F57" w14:textId="77777777" w:rsidR="00C229FA" w:rsidRPr="00A325DC" w:rsidRDefault="00000000">
      <w:pPr>
        <w:pStyle w:val="Reference"/>
      </w:pPr>
      <w:r w:rsidRPr="00A325DC">
        <w:t xml:space="preserve">Padhee, S., Nave, G. K., Jr., Banerjee, T., Abrams, D. M., &amp; Shah, N. (2022). Improving pain assessment using vital signs and pain medication for patients with sickle cell disease: Retrospective study. </w:t>
      </w:r>
      <w:r w:rsidRPr="00A325DC">
        <w:rPr>
          <w:i/>
        </w:rPr>
        <w:t>JMIR Formative Research, 6</w:t>
      </w:r>
      <w:r w:rsidRPr="00A325DC">
        <w:t xml:space="preserve">(6), e36998. </w:t>
      </w:r>
      <w:hyperlink r:id="rId34">
        <w:r w:rsidR="00C229FA" w:rsidRPr="00A325DC">
          <w:rPr>
            <w:u w:val="single"/>
          </w:rPr>
          <w:t>https://doi.org/10.2196/36998</w:t>
        </w:r>
      </w:hyperlink>
    </w:p>
    <w:p w14:paraId="1A035A4F" w14:textId="77777777" w:rsidR="00C229FA" w:rsidRPr="00A325DC" w:rsidRDefault="00000000">
      <w:pPr>
        <w:pStyle w:val="Reference"/>
      </w:pPr>
      <w:r w:rsidRPr="00A325DC">
        <w:t xml:space="preserve">Padrão, E. M. H., Bustos, B., Mahesh, A., Fonseca, G. H. H., &amp; Taniguchi, L. U. (2022). Phenotypes of sickle cell intensive care admissions: An unsupervised machine learning approach in a single-center retrospective cohort. </w:t>
      </w:r>
      <w:r w:rsidRPr="00A325DC">
        <w:rPr>
          <w:i/>
        </w:rPr>
        <w:t>Annals of Hematology, 101</w:t>
      </w:r>
      <w:r w:rsidRPr="00A325DC">
        <w:t xml:space="preserve">(9), 1951–1957. </w:t>
      </w:r>
      <w:hyperlink r:id="rId35">
        <w:r w:rsidR="00C229FA" w:rsidRPr="00A325DC">
          <w:rPr>
            <w:u w:val="single"/>
          </w:rPr>
          <w:t>https://doi.org/10.1007/s00277-022-04918-4</w:t>
        </w:r>
      </w:hyperlink>
    </w:p>
    <w:p w14:paraId="0DAC4A0A" w14:textId="77777777" w:rsidR="00C229FA" w:rsidRPr="00A325DC" w:rsidRDefault="00000000">
      <w:pPr>
        <w:pStyle w:val="Reference"/>
      </w:pPr>
      <w:r w:rsidRPr="00A325DC">
        <w:t xml:space="preserve">Patel, A., Gan, K., Li, A. A., Weiss, J., Nouraie, M., Tayur, S., &amp; Novelli, E. M. (2021). Machine-learning algorithms for predicting hospital re-admissions in sickle cell disease. </w:t>
      </w:r>
      <w:r w:rsidRPr="00A325DC">
        <w:rPr>
          <w:i/>
        </w:rPr>
        <w:t>British Journal of Haematology, 192</w:t>
      </w:r>
      <w:r w:rsidRPr="00A325DC">
        <w:t xml:space="preserve">(1), 158–170. </w:t>
      </w:r>
      <w:hyperlink r:id="rId36">
        <w:r w:rsidR="00C229FA" w:rsidRPr="00A325DC">
          <w:rPr>
            <w:u w:val="single"/>
          </w:rPr>
          <w:t>https://doi.org/10.1111/bjh.17107</w:t>
        </w:r>
      </w:hyperlink>
    </w:p>
    <w:p w14:paraId="25A12419" w14:textId="77777777" w:rsidR="00C229FA" w:rsidRPr="00A325DC" w:rsidRDefault="00000000">
      <w:pPr>
        <w:pStyle w:val="Reference"/>
      </w:pPr>
      <w:r w:rsidRPr="00A325DC">
        <w:t xml:space="preserve">Patel, J., Muralikrishna, H., Chadaga, K., Thalengala, A., &amp; Sampathila, N. (2026). Sickle cell disease detection in low-resource conditions using transfer-learning and contrastive-learning coupled with XAI. </w:t>
      </w:r>
      <w:r w:rsidRPr="00A325DC">
        <w:rPr>
          <w:i/>
        </w:rPr>
        <w:t>Scientific Reports, 16</w:t>
      </w:r>
      <w:r w:rsidRPr="00A325DC">
        <w:t xml:space="preserve">(1), 6104. </w:t>
      </w:r>
      <w:hyperlink r:id="rId37">
        <w:r w:rsidR="00C229FA" w:rsidRPr="00A325DC">
          <w:rPr>
            <w:u w:val="single"/>
          </w:rPr>
          <w:t>https://doi.org/10.1038/s41598-026-35831-9</w:t>
        </w:r>
      </w:hyperlink>
    </w:p>
    <w:p w14:paraId="31F28AFB" w14:textId="77777777" w:rsidR="00C229FA" w:rsidRPr="00A325DC" w:rsidRDefault="00000000">
      <w:pPr>
        <w:pStyle w:val="Reference"/>
      </w:pPr>
      <w:r w:rsidRPr="00A325DC">
        <w:t xml:space="preserve">Petrović, N., Moyà-Alcover, G., Jaume-I-Capó, A., &amp; González-Hidalgo, M. (2020). Sickle-cell disease diagnosis support selecting the most appropriate machine learning method: Towards a general and interpretable approach for cell morphology analysis from microscopy images. </w:t>
      </w:r>
      <w:r w:rsidRPr="00A325DC">
        <w:rPr>
          <w:i/>
        </w:rPr>
        <w:t>Computers in Biology and Medicine, 126</w:t>
      </w:r>
      <w:r w:rsidRPr="00A325DC">
        <w:t xml:space="preserve">, 104027. </w:t>
      </w:r>
      <w:hyperlink r:id="rId38">
        <w:r w:rsidR="00C229FA" w:rsidRPr="00A325DC">
          <w:rPr>
            <w:u w:val="single"/>
          </w:rPr>
          <w:t>https://doi.org/10.1016/j.compbiomed.2020.104027</w:t>
        </w:r>
      </w:hyperlink>
    </w:p>
    <w:p w14:paraId="40CA85FE" w14:textId="77777777" w:rsidR="00C229FA" w:rsidRPr="00A325DC" w:rsidRDefault="00000000">
      <w:pPr>
        <w:pStyle w:val="Reference"/>
      </w:pPr>
      <w:r w:rsidRPr="00A325DC">
        <w:t xml:space="preserve">Piel, F. B., Steinberg, M. H., &amp; Rees, D. C. (2017). Sickle cell disease. </w:t>
      </w:r>
      <w:r w:rsidRPr="00A325DC">
        <w:rPr>
          <w:i/>
        </w:rPr>
        <w:t>The New England Journal of Medicine, 376</w:t>
      </w:r>
      <w:r w:rsidRPr="00A325DC">
        <w:t xml:space="preserve">(16), 1561–1573. </w:t>
      </w:r>
      <w:hyperlink r:id="rId39">
        <w:r w:rsidR="00C229FA" w:rsidRPr="00A325DC">
          <w:rPr>
            <w:u w:val="single"/>
          </w:rPr>
          <w:t>https://doi.org/10.1056/NEJMra1510865</w:t>
        </w:r>
      </w:hyperlink>
    </w:p>
    <w:p w14:paraId="34832DB4" w14:textId="77777777" w:rsidR="00C229FA" w:rsidRPr="00A325DC" w:rsidRDefault="00000000">
      <w:pPr>
        <w:pStyle w:val="Reference"/>
      </w:pPr>
      <w:r w:rsidRPr="00A325DC">
        <w:t xml:space="preserve">Quinn, C. T., Niss, O., Dong, M., Pfeiffer, A., Korpik, J., Reynaud, M., Bonar, H., Kalfa, T. A., Smart, L. R., Malik, P., Ware, R. E., Vinks, A. A., &amp; McGann, P. T. (2021). Early initiation of hydroxyurea (hydroxycarbamide) using individualised, pharmacokinetics-guided dosing can produce sustained and nearly pancellular expression of fetal haemoglobin in children with sickle cell anaemia. </w:t>
      </w:r>
      <w:r w:rsidRPr="00A325DC">
        <w:rPr>
          <w:i/>
        </w:rPr>
        <w:t>British Journal of Haematology, 194</w:t>
      </w:r>
      <w:r w:rsidRPr="00A325DC">
        <w:t xml:space="preserve">(3), 617–625. </w:t>
      </w:r>
      <w:hyperlink r:id="rId40">
        <w:r w:rsidR="00C229FA" w:rsidRPr="00A325DC">
          <w:rPr>
            <w:u w:val="single"/>
          </w:rPr>
          <w:t>https://doi.org/10.1111/bjh.17663</w:t>
        </w:r>
      </w:hyperlink>
    </w:p>
    <w:p w14:paraId="277D105C" w14:textId="77777777" w:rsidR="00C229FA" w:rsidRPr="00A325DC" w:rsidRDefault="00000000">
      <w:pPr>
        <w:pStyle w:val="Reference"/>
      </w:pPr>
      <w:r w:rsidRPr="00A325DC">
        <w:t xml:space="preserve">Rajkomar, A., Hardt, M., Howell, M. D., Corrado, G., &amp; Chin, M. H. (2018). Ensuring fairness in machine learning to advance health equity. </w:t>
      </w:r>
      <w:r w:rsidRPr="00A325DC">
        <w:rPr>
          <w:i/>
        </w:rPr>
        <w:t>Annals of Internal Medicine, 169</w:t>
      </w:r>
      <w:r w:rsidRPr="00A325DC">
        <w:t xml:space="preserve">(12), 866–872. </w:t>
      </w:r>
      <w:hyperlink r:id="rId41">
        <w:r w:rsidR="00C229FA" w:rsidRPr="00A325DC">
          <w:rPr>
            <w:u w:val="single"/>
          </w:rPr>
          <w:t>https://doi.org/10.7326/M18-1990</w:t>
        </w:r>
      </w:hyperlink>
    </w:p>
    <w:p w14:paraId="03E95538" w14:textId="77777777" w:rsidR="00C229FA" w:rsidRPr="00A325DC" w:rsidRDefault="00000000">
      <w:pPr>
        <w:pStyle w:val="Reference"/>
      </w:pPr>
      <w:r w:rsidRPr="00A325DC">
        <w:t xml:space="preserve">Sachdev, V., Tian, X., Gu, Y., Nichols, J., Sidenko, S., Li, W., Beri, A., Layne, W. A., Allen, D., Wu, C. O., &amp; Thein, S. L. (2021). A phenotypic risk score for predicting mortality in sickle cell disease. </w:t>
      </w:r>
      <w:r w:rsidRPr="00A325DC">
        <w:rPr>
          <w:i/>
        </w:rPr>
        <w:t>British Journal of Haematology, 192</w:t>
      </w:r>
      <w:r w:rsidRPr="00A325DC">
        <w:t xml:space="preserve">(5), 932–941. </w:t>
      </w:r>
      <w:hyperlink r:id="rId42">
        <w:r w:rsidR="00C229FA" w:rsidRPr="00A325DC">
          <w:rPr>
            <w:u w:val="single"/>
          </w:rPr>
          <w:t>https://doi.org/10.1111/bjh.17342</w:t>
        </w:r>
      </w:hyperlink>
    </w:p>
    <w:p w14:paraId="2976F6E0" w14:textId="77777777" w:rsidR="00C229FA" w:rsidRPr="00A325DC" w:rsidRDefault="00000000">
      <w:pPr>
        <w:pStyle w:val="Reference"/>
      </w:pPr>
      <w:r w:rsidRPr="00A325DC">
        <w:t xml:space="preserve">Sani, A., Tian, Y., Shah, S., Khan, M. I., Abdurrahman, H. R., Zha, G., Zhang, Q., Liu, W., Abdullahi, I. L., Wang, Y., &amp; Cao, C. (2024). Deep learning ResNet34 model-assisted diagnosis of sickle cell disease via microcolumn isoelectric focusing. </w:t>
      </w:r>
      <w:r w:rsidRPr="00A325DC">
        <w:rPr>
          <w:i/>
        </w:rPr>
        <w:t>Analytical Methods, 16</w:t>
      </w:r>
      <w:r w:rsidRPr="00A325DC">
        <w:t xml:space="preserve">(38), 6517–6528. </w:t>
      </w:r>
      <w:hyperlink r:id="rId43">
        <w:r w:rsidR="00C229FA" w:rsidRPr="00A325DC">
          <w:rPr>
            <w:u w:val="single"/>
          </w:rPr>
          <w:t>https://doi.org/10.1039/d4ay01005a</w:t>
        </w:r>
      </w:hyperlink>
    </w:p>
    <w:p w14:paraId="53E9A553" w14:textId="77777777" w:rsidR="00C229FA" w:rsidRPr="00A325DC" w:rsidRDefault="00000000">
      <w:pPr>
        <w:pStyle w:val="Reference"/>
      </w:pPr>
      <w:r w:rsidRPr="00A325DC">
        <w:t xml:space="preserve">Shrestha, P., Lohse, H., Bhatla, C., McCartney, H., Alzaki, A., Sandhu, N., Oli, P. K., Chaudhary, S., Amid, A., Onell, R., Au, N., Merkeley, H., Kapoor, V., Pande, R., &amp; Stoeber, B. (2025). Evaluation of low-cost techniques to detect sickle cell disease and β-thalassemia: An open-label, international, multicentre study. </w:t>
      </w:r>
      <w:r w:rsidRPr="00A325DC">
        <w:rPr>
          <w:i/>
        </w:rPr>
        <w:t>The Lancet Regional Health – Southeast Asia, 35</w:t>
      </w:r>
      <w:r w:rsidRPr="00A325DC">
        <w:t xml:space="preserve">, 100571. </w:t>
      </w:r>
      <w:hyperlink r:id="rId44">
        <w:r w:rsidR="00C229FA" w:rsidRPr="00A325DC">
          <w:rPr>
            <w:u w:val="single"/>
          </w:rPr>
          <w:t>https://doi.org/10.1016/j.lansea.2025.100571</w:t>
        </w:r>
      </w:hyperlink>
    </w:p>
    <w:p w14:paraId="45783299" w14:textId="77777777" w:rsidR="00C229FA" w:rsidRPr="00A325DC" w:rsidRDefault="00000000">
      <w:pPr>
        <w:pStyle w:val="Reference"/>
      </w:pPr>
      <w:r w:rsidRPr="00A325DC">
        <w:t xml:space="preserve">Sjoding, M. W., Dickson, R. P., Iwashyna, T. J., Gay, S. E., &amp; Valley, T. S. (2020). Racial bias in pulse oximetry measurement. </w:t>
      </w:r>
      <w:r w:rsidRPr="00A325DC">
        <w:rPr>
          <w:i/>
        </w:rPr>
        <w:t>The New England Journal of Medicine, 383</w:t>
      </w:r>
      <w:r w:rsidRPr="00A325DC">
        <w:t xml:space="preserve">(25), 2477–2478. </w:t>
      </w:r>
      <w:hyperlink r:id="rId45">
        <w:r w:rsidR="00C229FA" w:rsidRPr="00A325DC">
          <w:rPr>
            <w:u w:val="single"/>
          </w:rPr>
          <w:t>https://doi.org/10.1056/NEJMc2029240</w:t>
        </w:r>
      </w:hyperlink>
    </w:p>
    <w:p w14:paraId="2F3A026E" w14:textId="77777777" w:rsidR="00C229FA" w:rsidRPr="00A325DC" w:rsidRDefault="00000000">
      <w:pPr>
        <w:pStyle w:val="Reference"/>
      </w:pPr>
      <w:r w:rsidRPr="00A325DC">
        <w:t xml:space="preserve">Stojancic, R. S., Subramaniam, A., Vuong, C., Utkarsh, K., Golbasi, N., Fernandez, O., &amp; Shah, N. (2023). Predicting pain in people with sickle cell disease in the day hospital using the commercial wearable Apple Watch: Feasibility study. </w:t>
      </w:r>
      <w:r w:rsidRPr="00A325DC">
        <w:rPr>
          <w:i/>
        </w:rPr>
        <w:t>JMIR Formative Research, 7</w:t>
      </w:r>
      <w:r w:rsidRPr="00A325DC">
        <w:t xml:space="preserve">, e45355. </w:t>
      </w:r>
      <w:hyperlink r:id="rId46">
        <w:r w:rsidR="00C229FA" w:rsidRPr="00A325DC">
          <w:rPr>
            <w:u w:val="single"/>
          </w:rPr>
          <w:t>https://doi.org/10.2196/45355</w:t>
        </w:r>
      </w:hyperlink>
    </w:p>
    <w:p w14:paraId="5F7C108C" w14:textId="77777777" w:rsidR="00C229FA" w:rsidRPr="00A325DC" w:rsidRDefault="00000000">
      <w:pPr>
        <w:pStyle w:val="Reference"/>
      </w:pPr>
      <w:r w:rsidRPr="00A325DC">
        <w:lastRenderedPageBreak/>
        <w:t xml:space="preserve">Sundd, P., Gladwin, M. T., &amp; Novelli, E. M. (2019). Pathophysiology of sickle cell disease. </w:t>
      </w:r>
      <w:r w:rsidRPr="00A325DC">
        <w:rPr>
          <w:i/>
        </w:rPr>
        <w:t>Annual Review of Pathology: Mechanisms of Disease, 14</w:t>
      </w:r>
      <w:r w:rsidRPr="00A325DC">
        <w:t xml:space="preserve">, 263–292. </w:t>
      </w:r>
      <w:hyperlink r:id="rId47">
        <w:r w:rsidR="00C229FA" w:rsidRPr="00A325DC">
          <w:rPr>
            <w:u w:val="single"/>
          </w:rPr>
          <w:t>https://doi.org/10.1146/annurev-pathmechdis-012418-012838</w:t>
        </w:r>
      </w:hyperlink>
    </w:p>
    <w:p w14:paraId="3593BBDA" w14:textId="77777777" w:rsidR="00C229FA" w:rsidRPr="00A325DC" w:rsidRDefault="00000000">
      <w:pPr>
        <w:pStyle w:val="Reference"/>
      </w:pPr>
      <w:r w:rsidRPr="00A325DC">
        <w:t xml:space="preserve">Tasji, L., Alghamdi, H. S., &amp; Almalaise Al-Ghamdi, A. S. (2026). Toward AI-assisted sickle cell screening: A controlled comparison of CNN, transformer, and hybrid architectures using public blood-smear images. </w:t>
      </w:r>
      <w:r w:rsidRPr="00A325DC">
        <w:rPr>
          <w:i/>
        </w:rPr>
        <w:t>Diagnostics, 16</w:t>
      </w:r>
      <w:r w:rsidRPr="00A325DC">
        <w:t xml:space="preserve">(3), 414. </w:t>
      </w:r>
      <w:hyperlink r:id="rId48">
        <w:r w:rsidR="00C229FA" w:rsidRPr="00A325DC">
          <w:rPr>
            <w:u w:val="single"/>
          </w:rPr>
          <w:t>https://doi.org/10.3390/diagnostics16030414</w:t>
        </w:r>
      </w:hyperlink>
    </w:p>
    <w:p w14:paraId="7F9A70BC" w14:textId="77777777" w:rsidR="00C229FA" w:rsidRPr="00A325DC" w:rsidRDefault="00000000">
      <w:pPr>
        <w:pStyle w:val="Reference"/>
      </w:pPr>
      <w:r w:rsidRPr="00A325DC">
        <w:t xml:space="preserve">Vasey, B., Nagendran, M., Campbell, B., Clifton, D. A., Collins, G. S., Denaxas, S., Denniston, A. K., Faes, L., Geerts, B., Ibrahim, M., Liu, X., Mateen, B. A., Mathur, P., McCradden, M. D., Morgan, L., Ordish, J., Rogers, C., Saria, S., Ting, D. S. W., … Lee, A. Y. (2022). Reporting guideline for the early-stage clinical evaluation of decision support systems driven by artificial intelligence: DECIDE-AI. </w:t>
      </w:r>
      <w:r w:rsidRPr="00A325DC">
        <w:rPr>
          <w:i/>
        </w:rPr>
        <w:t>Nature Medicine, 28</w:t>
      </w:r>
      <w:r w:rsidRPr="00A325DC">
        <w:t xml:space="preserve">(5), 924–933. </w:t>
      </w:r>
      <w:hyperlink r:id="rId49">
        <w:r w:rsidR="00C229FA" w:rsidRPr="00A325DC">
          <w:rPr>
            <w:u w:val="single"/>
          </w:rPr>
          <w:t>https://doi.org/10.1038/s41591-022-01772-9</w:t>
        </w:r>
      </w:hyperlink>
    </w:p>
    <w:p w14:paraId="62E3D4A1" w14:textId="77777777" w:rsidR="00C229FA" w:rsidRPr="00A325DC" w:rsidRDefault="00000000">
      <w:pPr>
        <w:pStyle w:val="Reference"/>
      </w:pPr>
      <w:r w:rsidRPr="00A325DC">
        <w:t xml:space="preserve">Vuong, C., Utkarsh, K., Stojancic, R., Subramaniam, A., Fernandez, O., Banerjee, T., Abrams, D. M., Fijnvandraat, K., &amp; Shah, N. (2023). Use of consumer wearables to monitor and predict pain in patients with sickle cell disease. </w:t>
      </w:r>
      <w:r w:rsidRPr="00A325DC">
        <w:rPr>
          <w:i/>
        </w:rPr>
        <w:t>Frontiers in Digital Health, 5</w:t>
      </w:r>
      <w:r w:rsidRPr="00A325DC">
        <w:t xml:space="preserve">, 1285207. </w:t>
      </w:r>
      <w:hyperlink r:id="rId50">
        <w:r w:rsidR="00C229FA" w:rsidRPr="00A325DC">
          <w:rPr>
            <w:u w:val="single"/>
          </w:rPr>
          <w:t>https://doi.org/10.3389/fdgth.2023.1285207</w:t>
        </w:r>
      </w:hyperlink>
    </w:p>
    <w:p w14:paraId="596119E6" w14:textId="77777777" w:rsidR="00C229FA" w:rsidRPr="00A325DC" w:rsidRDefault="00000000">
      <w:pPr>
        <w:pStyle w:val="Reference"/>
      </w:pPr>
      <w:r w:rsidRPr="00A325DC">
        <w:t xml:space="preserve">Ware, R. E., de Montalembert, M., Tshilolo, L., &amp; Abboud, M. R. (2017). Sickle cell disease. </w:t>
      </w:r>
      <w:r w:rsidRPr="00A325DC">
        <w:rPr>
          <w:i/>
        </w:rPr>
        <w:t>The Lancet, 390</w:t>
      </w:r>
      <w:r w:rsidRPr="00A325DC">
        <w:t xml:space="preserve">(10091), 311–323. </w:t>
      </w:r>
      <w:hyperlink r:id="rId51">
        <w:r w:rsidR="00C229FA" w:rsidRPr="00A325DC">
          <w:rPr>
            <w:u w:val="single"/>
          </w:rPr>
          <w:t>https://doi.org/10.1016/S0140-6736(17)30193-9</w:t>
        </w:r>
      </w:hyperlink>
    </w:p>
    <w:p w14:paraId="7D2B7E98" w14:textId="77777777" w:rsidR="00C229FA" w:rsidRPr="00A325DC" w:rsidRDefault="00000000">
      <w:pPr>
        <w:pStyle w:val="Reference"/>
      </w:pPr>
      <w:r w:rsidRPr="00A325DC">
        <w:t xml:space="preserve">Wiens, J., Saria, S., Sendak, M., Ghassemi, M., Liu, V. X., Doshi-Velez, F., Jung, K., Heller, K., Kale, D., Saeed, M., Ossorio, P. N., Thadaney-Israni, S., &amp; Goldenberg, A. (2019). Do no harm: A roadmap for responsible machine learning for health care. </w:t>
      </w:r>
      <w:r w:rsidRPr="00A325DC">
        <w:rPr>
          <w:i/>
        </w:rPr>
        <w:t>Nature Medicine, 25</w:t>
      </w:r>
      <w:r w:rsidRPr="00A325DC">
        <w:t xml:space="preserve">(9), 1337–1340. </w:t>
      </w:r>
      <w:hyperlink r:id="rId52">
        <w:r w:rsidR="00C229FA" w:rsidRPr="00A325DC">
          <w:rPr>
            <w:u w:val="single"/>
          </w:rPr>
          <w:t>https://doi.org/10.1038/s41591-019-0548-6</w:t>
        </w:r>
      </w:hyperlink>
    </w:p>
    <w:p w14:paraId="08A47898" w14:textId="77777777" w:rsidR="00C229FA" w:rsidRPr="00A325DC" w:rsidRDefault="00000000">
      <w:pPr>
        <w:pStyle w:val="Reference"/>
      </w:pPr>
      <w:r w:rsidRPr="00A325DC">
        <w:t xml:space="preserve">Yu, E. A., Zacharias, H. U., Kelly, S., &amp; Vichinsky, E. (2024). Improving healthspan among people with sickle cell disease: Leveraging precision health in an era of treatments with curative intent. </w:t>
      </w:r>
      <w:r w:rsidRPr="00A325DC">
        <w:rPr>
          <w:i/>
        </w:rPr>
        <w:t>American Journal of Hematology, 99</w:t>
      </w:r>
      <w:r w:rsidRPr="00A325DC">
        <w:t xml:space="preserve">(8), 1456–1458. </w:t>
      </w:r>
      <w:hyperlink r:id="rId53">
        <w:r w:rsidR="00C229FA" w:rsidRPr="00A325DC">
          <w:rPr>
            <w:u w:val="single"/>
          </w:rPr>
          <w:t>https://doi.org/10.1002/ajh.27371</w:t>
        </w:r>
      </w:hyperlink>
    </w:p>
    <w:sectPr w:rsidR="00C229FA" w:rsidRPr="00A325DC" w:rsidSect="00034616">
      <w:headerReference w:type="even" r:id="rId54"/>
      <w:headerReference w:type="default" r:id="rId55"/>
      <w:footerReference w:type="even" r:id="rId56"/>
      <w:footerReference w:type="default" r:id="rId57"/>
      <w:headerReference w:type="first" r:id="rId58"/>
      <w:footerReference w:type="first" r:id="rId59"/>
      <w:pgSz w:w="12240" w:h="15840"/>
      <w:pgMar w:top="1080" w:right="1152" w:bottom="1080" w:left="1152"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92362" w14:textId="77777777" w:rsidR="00302190" w:rsidRDefault="00302190">
      <w:pPr>
        <w:spacing w:after="0" w:line="240" w:lineRule="auto"/>
      </w:pPr>
      <w:r>
        <w:separator/>
      </w:r>
    </w:p>
  </w:endnote>
  <w:endnote w:type="continuationSeparator" w:id="0">
    <w:p w14:paraId="3C35DF72" w14:textId="77777777" w:rsidR="00302190" w:rsidRDefault="00302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875E6" w14:textId="77777777" w:rsidR="00BF4AC1" w:rsidRDefault="00BF4A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CB50E" w14:textId="77777777" w:rsidR="00C229FA" w:rsidRDefault="00000000">
    <w:pPr>
      <w:pStyle w:val="Footer"/>
      <w:jc w:val="center"/>
    </w:pPr>
    <w:r>
      <w:rPr>
        <w:color w:val="5A5A5A"/>
        <w:sz w:val="18"/>
      </w:rPr>
      <w:t xml:space="preserve">Page </w:t>
    </w:r>
    <w:r>
      <w:rPr>
        <w:color w:val="5A5A5A"/>
        <w:sz w:val="18"/>
      </w:rPr>
      <w:fldChar w:fldCharType="begin"/>
    </w:r>
    <w:r>
      <w:rPr>
        <w:color w:val="5A5A5A"/>
        <w:sz w:val="18"/>
      </w:rPr>
      <w:instrText xml:space="preserve"> PAGE </w:instrText>
    </w:r>
    <w:r>
      <w:rPr>
        <w:color w:val="5A5A5A"/>
        <w:sz w:val="18"/>
      </w:rPr>
      <w:fldChar w:fldCharType="separate"/>
    </w:r>
    <w:r w:rsidR="00A325DC">
      <w:rPr>
        <w:noProof/>
        <w:color w:val="5A5A5A"/>
        <w:sz w:val="18"/>
      </w:rPr>
      <w:t>1</w:t>
    </w:r>
    <w:r>
      <w:rPr>
        <w:color w:val="5A5A5A"/>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BE0E" w14:textId="77777777" w:rsidR="00BF4AC1" w:rsidRDefault="00BF4A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F020A" w14:textId="77777777" w:rsidR="00302190" w:rsidRDefault="00302190">
      <w:pPr>
        <w:spacing w:after="0" w:line="240" w:lineRule="auto"/>
      </w:pPr>
      <w:r>
        <w:separator/>
      </w:r>
    </w:p>
  </w:footnote>
  <w:footnote w:type="continuationSeparator" w:id="0">
    <w:p w14:paraId="7E80B018" w14:textId="77777777" w:rsidR="00302190" w:rsidRDefault="00302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E73CC" w14:textId="7E2B4C39" w:rsidR="00BF4AC1" w:rsidRDefault="00BF4AC1">
    <w:pPr>
      <w:pStyle w:val="Header"/>
    </w:pPr>
    <w:r>
      <w:rPr>
        <w:noProof/>
      </w:rPr>
      <w:pict w14:anchorId="0BF62D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76860" o:spid="_x0000_s1026" type="#_x0000_t136" style="position:absolute;left:0;text-align:left;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186E" w14:textId="10134295" w:rsidR="00BF4AC1" w:rsidRDefault="00BF4AC1">
    <w:pPr>
      <w:pStyle w:val="Header"/>
    </w:pPr>
    <w:r>
      <w:rPr>
        <w:noProof/>
      </w:rPr>
      <w:pict w14:anchorId="4D3547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76861" o:spid="_x0000_s1027" type="#_x0000_t136" style="position:absolute;left:0;text-align:left;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1B13" w14:textId="62288E32" w:rsidR="00BF4AC1" w:rsidRDefault="00BF4AC1">
    <w:pPr>
      <w:pStyle w:val="Header"/>
    </w:pPr>
    <w:r>
      <w:rPr>
        <w:noProof/>
      </w:rPr>
      <w:pict w14:anchorId="7CA507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76859" o:spid="_x0000_s1025" type="#_x0000_t136" style="position:absolute;left:0;text-align:left;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8633144">
    <w:abstractNumId w:val="8"/>
  </w:num>
  <w:num w:numId="2" w16cid:durableId="379478387">
    <w:abstractNumId w:val="6"/>
  </w:num>
  <w:num w:numId="3" w16cid:durableId="274556302">
    <w:abstractNumId w:val="5"/>
  </w:num>
  <w:num w:numId="4" w16cid:durableId="2119061312">
    <w:abstractNumId w:val="4"/>
  </w:num>
  <w:num w:numId="5" w16cid:durableId="1142698467">
    <w:abstractNumId w:val="7"/>
  </w:num>
  <w:num w:numId="6" w16cid:durableId="219051597">
    <w:abstractNumId w:val="3"/>
  </w:num>
  <w:num w:numId="7" w16cid:durableId="1045257988">
    <w:abstractNumId w:val="2"/>
  </w:num>
  <w:num w:numId="8" w16cid:durableId="1031492358">
    <w:abstractNumId w:val="1"/>
  </w:num>
  <w:num w:numId="9" w16cid:durableId="1940288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1602"/>
    <w:rsid w:val="00034616"/>
    <w:rsid w:val="0006063C"/>
    <w:rsid w:val="0015074B"/>
    <w:rsid w:val="0029639D"/>
    <w:rsid w:val="002D770E"/>
    <w:rsid w:val="002E3379"/>
    <w:rsid w:val="00302190"/>
    <w:rsid w:val="00326F90"/>
    <w:rsid w:val="004047B1"/>
    <w:rsid w:val="00916415"/>
    <w:rsid w:val="00A325DC"/>
    <w:rsid w:val="00AA1D8D"/>
    <w:rsid w:val="00B47730"/>
    <w:rsid w:val="00BF4AC1"/>
    <w:rsid w:val="00C229FA"/>
    <w:rsid w:val="00CB0664"/>
    <w:rsid w:val="00D059D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381710"/>
  <w14:defaultImageDpi w14:val="300"/>
  <w15:docId w15:val="{E16B6FEA-E2DB-4A78-9B87-A4B7EC911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8" w:lineRule="auto"/>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160" w:line="240" w:lineRule="auto"/>
      <w:outlineLvl w:val="0"/>
    </w:pPr>
    <w:rPr>
      <w:rFonts w:asciiTheme="majorHAnsi" w:eastAsiaTheme="majorEastAsia" w:hAnsiTheme="majorHAnsi" w:cstheme="majorBidi"/>
      <w:b/>
      <w:bCs/>
      <w:color w:val="1F3864"/>
      <w:sz w:val="26"/>
      <w:szCs w:val="28"/>
    </w:rPr>
  </w:style>
  <w:style w:type="paragraph" w:styleId="Heading2">
    <w:name w:val="heading 2"/>
    <w:basedOn w:val="Normal"/>
    <w:next w:val="Normal"/>
    <w:link w:val="Heading2Char"/>
    <w:uiPriority w:val="9"/>
    <w:unhideWhenUsed/>
    <w:qFormat/>
    <w:rsid w:val="00FC693F"/>
    <w:pPr>
      <w:keepNext/>
      <w:keepLines/>
      <w:spacing w:before="200" w:after="100" w:line="240" w:lineRule="auto"/>
      <w:outlineLvl w:val="1"/>
    </w:pPr>
    <w:rPr>
      <w:rFonts w:asciiTheme="majorHAnsi" w:eastAsiaTheme="majorEastAsia" w:hAnsiTheme="majorHAnsi" w:cstheme="majorBidi"/>
      <w:b/>
      <w:bCs/>
      <w:color w:val="2E5496"/>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jc w:val="center"/>
    </w:pPr>
    <w:rPr>
      <w:rFonts w:asciiTheme="majorHAnsi" w:eastAsiaTheme="majorEastAsia" w:hAnsiTheme="majorHAnsi" w:cstheme="majorBidi"/>
      <w:b/>
      <w:color w:val="1F3864"/>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after="100" w:line="240" w:lineRule="auto"/>
      <w:ind w:left="461" w:hanging="461"/>
    </w:pPr>
    <w:rPr>
      <w:rFonts w:ascii="Times New Roman" w:hAnsi="Times New Roman"/>
      <w:sz w:val="20"/>
    </w:rPr>
  </w:style>
  <w:style w:type="paragraph" w:customStyle="1" w:styleId="AbstractBody">
    <w:name w:val="AbstractBody"/>
    <w:pPr>
      <w:spacing w:after="140" w:line="269" w:lineRule="auto"/>
      <w:jc w:val="both"/>
    </w:pPr>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196/64519" TargetMode="External"/><Relationship Id="rId18" Type="http://schemas.openxmlformats.org/officeDocument/2006/relationships/hyperlink" Target="https://doi.org/10.1038/s41746-020-0282-y" TargetMode="External"/><Relationship Id="rId26" Type="http://schemas.openxmlformats.org/officeDocument/2006/relationships/hyperlink" Target="https://doi.org/10.1056/NEJMoa2000146" TargetMode="External"/><Relationship Id="rId39" Type="http://schemas.openxmlformats.org/officeDocument/2006/relationships/hyperlink" Target="https://doi.org/10.1056/NEJMra1510865" TargetMode="External"/><Relationship Id="rId21" Type="http://schemas.openxmlformats.org/officeDocument/2006/relationships/hyperlink" Target="https://doi.org/10.1016/j.blre.2023.101102" TargetMode="External"/><Relationship Id="rId34" Type="http://schemas.openxmlformats.org/officeDocument/2006/relationships/hyperlink" Target="https://doi.org/10.2196/36998" TargetMode="External"/><Relationship Id="rId42" Type="http://schemas.openxmlformats.org/officeDocument/2006/relationships/hyperlink" Target="https://doi.org/10.1111/bjh.17342" TargetMode="External"/><Relationship Id="rId47" Type="http://schemas.openxmlformats.org/officeDocument/2006/relationships/hyperlink" Target="https://doi.org/10.1146/annurev-pathmechdis-012418-012838" TargetMode="External"/><Relationship Id="rId50" Type="http://schemas.openxmlformats.org/officeDocument/2006/relationships/hyperlink" Target="https://doi.org/10.3389/fdgth.2023.1285207" TargetMode="External"/><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38/s41591-020-1037-7" TargetMode="External"/><Relationship Id="rId29" Type="http://schemas.openxmlformats.org/officeDocument/2006/relationships/hyperlink" Target="https://doi.org/10.1111/bjh.19842" TargetMode="External"/><Relationship Id="rId11" Type="http://schemas.openxmlformats.org/officeDocument/2006/relationships/hyperlink" Target="https://doi.org/10.1002/jbio.202400512" TargetMode="External"/><Relationship Id="rId24" Type="http://schemas.openxmlformats.org/officeDocument/2006/relationships/hyperlink" Target="https://doi.org/10.1016/j.heliyon.2023.e22203" TargetMode="External"/><Relationship Id="rId32" Type="http://schemas.openxmlformats.org/officeDocument/2006/relationships/hyperlink" Target="https://doi.org/10.2196/14693" TargetMode="External"/><Relationship Id="rId37" Type="http://schemas.openxmlformats.org/officeDocument/2006/relationships/hyperlink" Target="https://doi.org/10.1038/s41598-026-35831-9" TargetMode="External"/><Relationship Id="rId40" Type="http://schemas.openxmlformats.org/officeDocument/2006/relationships/hyperlink" Target="https://doi.org/10.1111/bjh.17663" TargetMode="External"/><Relationship Id="rId45" Type="http://schemas.openxmlformats.org/officeDocument/2006/relationships/hyperlink" Target="https://doi.org/10.1056/NEJMc2029240" TargetMode="External"/><Relationship Id="rId53" Type="http://schemas.openxmlformats.org/officeDocument/2006/relationships/hyperlink" Target="https://doi.org/10.1002/ajh.27371" TargetMode="External"/><Relationship Id="rId58"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doi.org/10.3390/jcm9041092" TargetMode="External"/><Relationship Id="rId14" Type="http://schemas.openxmlformats.org/officeDocument/2006/relationships/hyperlink" Target="https://doi.org/10.1002/jha2.70170" TargetMode="External"/><Relationship Id="rId22" Type="http://schemas.openxmlformats.org/officeDocument/2006/relationships/hyperlink" Target="https://doi.org/10.1016/S2352-3026(23)00118-7" TargetMode="External"/><Relationship Id="rId27" Type="http://schemas.openxmlformats.org/officeDocument/2006/relationships/hyperlink" Target="https://doi.org/10.1038/nrdp.2018.10" TargetMode="External"/><Relationship Id="rId30" Type="http://schemas.openxmlformats.org/officeDocument/2006/relationships/hyperlink" Target="https://doi.org/10.1038/s41591-020-1034-x" TargetMode="External"/><Relationship Id="rId35" Type="http://schemas.openxmlformats.org/officeDocument/2006/relationships/hyperlink" Target="https://doi.org/10.1007/s00277-022-04918-4" TargetMode="External"/><Relationship Id="rId43" Type="http://schemas.openxmlformats.org/officeDocument/2006/relationships/hyperlink" Target="https://doi.org/10.1039/d4ay01005a" TargetMode="External"/><Relationship Id="rId48" Type="http://schemas.openxmlformats.org/officeDocument/2006/relationships/hyperlink" Target="https://doi.org/10.3390/diagnostics16030414" TargetMode="External"/><Relationship Id="rId56" Type="http://schemas.openxmlformats.org/officeDocument/2006/relationships/footer" Target="footer1.xml"/><Relationship Id="rId8" Type="http://schemas.openxmlformats.org/officeDocument/2006/relationships/hyperlink" Target="https://doi.org/10.7759/cureus.109880" TargetMode="External"/><Relationship Id="rId51" Type="http://schemas.openxmlformats.org/officeDocument/2006/relationships/hyperlink" Target="https://doi.org/10.1016/S0140-6736(17)30193-9" TargetMode="External"/><Relationship Id="rId3" Type="http://schemas.openxmlformats.org/officeDocument/2006/relationships/styles" Target="styles.xml"/><Relationship Id="rId12" Type="http://schemas.openxmlformats.org/officeDocument/2006/relationships/hyperlink" Target="https://doi.org/10.1186/s13045-022-01237-z" TargetMode="External"/><Relationship Id="rId17" Type="http://schemas.openxmlformats.org/officeDocument/2006/relationships/hyperlink" Target="https://doi.org/10.1038/s41598-023-27718-w" TargetMode="External"/><Relationship Id="rId25" Type="http://schemas.openxmlformats.org/officeDocument/2006/relationships/hyperlink" Target="https://doi.org/10.3389/fdgth.2021.714741" TargetMode="External"/><Relationship Id="rId33" Type="http://schemas.openxmlformats.org/officeDocument/2006/relationships/hyperlink" Target="https://doi.org/10.1126/science.aax2342" TargetMode="External"/><Relationship Id="rId38" Type="http://schemas.openxmlformats.org/officeDocument/2006/relationships/hyperlink" Target="https://doi.org/10.1016/j.compbiomed.2020.104027" TargetMode="External"/><Relationship Id="rId46" Type="http://schemas.openxmlformats.org/officeDocument/2006/relationships/hyperlink" Target="https://doi.org/10.2196/45355" TargetMode="External"/><Relationship Id="rId59" Type="http://schemas.openxmlformats.org/officeDocument/2006/relationships/footer" Target="footer3.xml"/><Relationship Id="rId20" Type="http://schemas.openxmlformats.org/officeDocument/2006/relationships/hyperlink" Target="https://doi.org/10.1111/bcp.12851" TargetMode="External"/><Relationship Id="rId41" Type="http://schemas.openxmlformats.org/officeDocument/2006/relationships/hyperlink" Target="https://doi.org/10.7326/M18-1990"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36/bmj-2023-078378" TargetMode="External"/><Relationship Id="rId23" Type="http://schemas.openxmlformats.org/officeDocument/2006/relationships/hyperlink" Target="https://doi.org/10.1002/jha2.168" TargetMode="External"/><Relationship Id="rId28" Type="http://schemas.openxmlformats.org/officeDocument/2006/relationships/hyperlink" Target="https://doi.org/10.1001/jamanetworkopen.2023.37484" TargetMode="External"/><Relationship Id="rId36" Type="http://schemas.openxmlformats.org/officeDocument/2006/relationships/hyperlink" Target="https://doi.org/10.1111/bjh.17107" TargetMode="External"/><Relationship Id="rId49" Type="http://schemas.openxmlformats.org/officeDocument/2006/relationships/hyperlink" Target="https://doi.org/10.1038/s41591-022-01772-9" TargetMode="External"/><Relationship Id="rId57" Type="http://schemas.openxmlformats.org/officeDocument/2006/relationships/footer" Target="footer2.xml"/><Relationship Id="rId10" Type="http://schemas.openxmlformats.org/officeDocument/2006/relationships/hyperlink" Target="https://doi.org/10.1186/s41073-019-0064-8" TargetMode="External"/><Relationship Id="rId31" Type="http://schemas.openxmlformats.org/officeDocument/2006/relationships/hyperlink" Target="https://doi.org/10.1371/journal.pone.0313315" TargetMode="External"/><Relationship Id="rId44" Type="http://schemas.openxmlformats.org/officeDocument/2006/relationships/hyperlink" Target="https://doi.org/10.1016/j.lansea.2025.100571" TargetMode="External"/><Relationship Id="rId52" Type="http://schemas.openxmlformats.org/officeDocument/2006/relationships/hyperlink" Target="https://doi.org/10.1038/s41591-019-0548-6"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16/j.exphem.2024.104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16595</Words>
  <Characters>94595</Characters>
  <Application>Microsoft Office Word</Application>
  <DocSecurity>0</DocSecurity>
  <Lines>788</Lines>
  <Paragraphs>221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Intelligence for Physiologically Informed Precision Care in Sickle Cell Disease</dc:title>
  <dc:subject>Critical narrative review</dc:subject>
  <dc:creator/>
  <cp:keywords>sickle cell disease; artificial intelligence; machine learning; precision medicine; health equity</cp:keywords>
  <dc:description>generated by python-docx</dc:description>
  <cp:lastModifiedBy>SDI 1084</cp:lastModifiedBy>
  <cp:revision>4</cp:revision>
  <dcterms:created xsi:type="dcterms:W3CDTF">2013-12-23T23:15:00Z</dcterms:created>
  <dcterms:modified xsi:type="dcterms:W3CDTF">2026-08-28T11:51:00Z</dcterms:modified>
  <cp:category/>
</cp:coreProperties>
</file>