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DB045" w14:textId="77777777" w:rsidR="00754C9A" w:rsidRPr="005C2B64" w:rsidRDefault="00754C9A" w:rsidP="00441B6F">
      <w:pPr>
        <w:pStyle w:val="Title"/>
        <w:spacing w:after="0"/>
        <w:jc w:val="both"/>
        <w:rPr>
          <w:rFonts w:ascii="Arial" w:hAnsi="Arial" w:cs="Arial"/>
        </w:rPr>
      </w:pPr>
    </w:p>
    <w:p w14:paraId="47EFFDC4" w14:textId="77777777" w:rsidR="00503904" w:rsidRPr="00054A5F" w:rsidRDefault="00503904" w:rsidP="00503904">
      <w:pPr>
        <w:rPr>
          <w:rFonts w:ascii="Arial" w:hAnsi="Arial" w:cs="Arial"/>
          <w:b/>
          <w:bCs/>
          <w:sz w:val="32"/>
          <w:szCs w:val="32"/>
        </w:rPr>
      </w:pPr>
      <w:bookmarkStart w:id="0" w:name="_Hlk220681199"/>
      <w:r w:rsidRPr="00054A5F">
        <w:rPr>
          <w:rFonts w:ascii="Arial" w:hAnsi="Arial" w:cs="Arial"/>
          <w:b/>
          <w:bCs/>
          <w:sz w:val="32"/>
          <w:szCs w:val="32"/>
        </w:rPr>
        <w:t>Teacher-Perceived Determinants of Learning Retention Among Junior High School Students: Basis for an Enhancement Program</w:t>
      </w:r>
    </w:p>
    <w:bookmarkEnd w:id="0"/>
    <w:p w14:paraId="5CE7129B" w14:textId="77777777" w:rsidR="00A258C3" w:rsidRPr="00054A5F" w:rsidRDefault="00A258C3" w:rsidP="00441B6F">
      <w:pPr>
        <w:pStyle w:val="Author"/>
        <w:spacing w:line="240" w:lineRule="auto"/>
        <w:jc w:val="both"/>
        <w:rPr>
          <w:rFonts w:ascii="Arial" w:hAnsi="Arial" w:cs="Arial"/>
          <w:sz w:val="36"/>
        </w:rPr>
      </w:pPr>
    </w:p>
    <w:p w14:paraId="7312AB80" w14:textId="77777777" w:rsidR="002C57D2" w:rsidRPr="00054A5F" w:rsidRDefault="002C57D2" w:rsidP="00441B6F">
      <w:pPr>
        <w:pStyle w:val="Affiliation"/>
        <w:spacing w:after="0" w:line="240" w:lineRule="auto"/>
        <w:jc w:val="both"/>
        <w:rPr>
          <w:rFonts w:ascii="Arial" w:hAnsi="Arial" w:cs="Arial"/>
        </w:rPr>
      </w:pPr>
    </w:p>
    <w:p w14:paraId="2E4A3726" w14:textId="77777777" w:rsidR="00B01FCD" w:rsidRPr="00054A5F" w:rsidRDefault="003A217D" w:rsidP="00441B6F">
      <w:pPr>
        <w:pStyle w:val="Copyright"/>
        <w:spacing w:after="0" w:line="240" w:lineRule="auto"/>
        <w:jc w:val="both"/>
        <w:rPr>
          <w:rFonts w:ascii="Arial" w:hAnsi="Arial" w:cs="Arial"/>
        </w:rPr>
        <w:sectPr w:rsidR="00B01FCD" w:rsidRPr="00054A5F" w:rsidSect="009179E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054A5F">
        <w:rPr>
          <w:rFonts w:ascii="Arial" w:hAnsi="Arial" w:cs="Arial"/>
          <w:noProof/>
        </w:rPr>
        <mc:AlternateContent>
          <mc:Choice Requires="wps">
            <w:drawing>
              <wp:inline distT="0" distB="0" distL="0" distR="0" wp14:anchorId="6BC57229" wp14:editId="10B98882">
                <wp:extent cx="5303520" cy="635"/>
                <wp:effectExtent l="13335" t="17780" r="17145" b="1079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F85F84F"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FB3A86" w:rsidRPr="00054A5F">
        <w:rPr>
          <w:rFonts w:ascii="Arial" w:hAnsi="Arial" w:cs="Arial"/>
        </w:rPr>
        <w:t>.</w:t>
      </w:r>
    </w:p>
    <w:p w14:paraId="70328B23" w14:textId="77777777" w:rsidR="00790ADA" w:rsidRPr="00054A5F" w:rsidRDefault="00B01FCD" w:rsidP="00441B6F">
      <w:pPr>
        <w:pStyle w:val="AbstHead"/>
        <w:spacing w:after="0"/>
        <w:jc w:val="both"/>
        <w:rPr>
          <w:rFonts w:ascii="Arial" w:hAnsi="Arial" w:cs="Arial"/>
        </w:rPr>
      </w:pPr>
      <w:r w:rsidRPr="00054A5F">
        <w:rPr>
          <w:rFonts w:ascii="Arial" w:hAnsi="Arial" w:cs="Arial"/>
        </w:rPr>
        <w:t>ABSTRACT</w:t>
      </w:r>
      <w:r w:rsidR="0066510A" w:rsidRPr="00054A5F">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054A5F" w14:paraId="7C4250BA" w14:textId="77777777" w:rsidTr="001E44FE">
        <w:tc>
          <w:tcPr>
            <w:tcW w:w="9576" w:type="dxa"/>
            <w:shd w:val="clear" w:color="auto" w:fill="F2F2F2"/>
          </w:tcPr>
          <w:p w14:paraId="5E10B1DA" w14:textId="77777777" w:rsidR="00503904" w:rsidRPr="00054A5F" w:rsidRDefault="00503904" w:rsidP="00503904">
            <w:pPr>
              <w:jc w:val="both"/>
              <w:rPr>
                <w:rFonts w:ascii="Arial" w:hAnsi="Arial" w:cs="Arial"/>
                <w:color w:val="1F1F1F"/>
                <w:lang w:eastAsia="en-PH"/>
              </w:rPr>
            </w:pPr>
            <w:r w:rsidRPr="00054A5F">
              <w:rPr>
                <w:rFonts w:ascii="Arial" w:hAnsi="Arial" w:cs="Arial"/>
                <w:color w:val="1F1F1F"/>
                <w:lang w:eastAsia="en-PH"/>
              </w:rPr>
              <w:t xml:space="preserve">This study investigated the pedagogical and student-related determinants affecting learning retention among Junior High School students, culminating in the development of the </w:t>
            </w:r>
            <w:r w:rsidRPr="00054A5F">
              <w:rPr>
                <w:rFonts w:ascii="Arial" w:hAnsi="Arial" w:cs="Arial"/>
                <w:color w:val="1F1F1F"/>
                <w:bdr w:val="none" w:sz="0" w:space="0" w:color="auto" w:frame="1"/>
                <w:lang w:eastAsia="en-PH"/>
              </w:rPr>
              <w:t>Learning Retention Enhancement Program (LREP)</w:t>
            </w:r>
            <w:r w:rsidRPr="00054A5F">
              <w:rPr>
                <w:rFonts w:ascii="Arial" w:hAnsi="Arial" w:cs="Arial"/>
                <w:color w:val="1F1F1F"/>
                <w:lang w:eastAsia="en-PH"/>
              </w:rPr>
              <w:t xml:space="preserve">. Utilizing a mixed methods research design, data were gathered from a predominantly female, early-career teaching force. Findings revealed that while teachers "Often" employ pedagogical strategies like formative assessments and oral questioning, there is a significant underutilization of interactive digital tools and gamification. On the student dimension, a critical gap was identified: despite possessing high intrinsic motivation and prior knowledge, students struggle with independent study habits and fragile attention spans, leading to inconsistent learning retention (Mean = 3.23). Statistical analysis via the </w:t>
            </w:r>
            <w:r w:rsidRPr="00054A5F">
              <w:rPr>
                <w:rFonts w:ascii="Arial" w:hAnsi="Arial" w:cs="Arial"/>
                <w:color w:val="1F1F1F"/>
                <w:bdr w:val="none" w:sz="0" w:space="0" w:color="auto" w:frame="1"/>
                <w:lang w:eastAsia="en-PH"/>
              </w:rPr>
              <w:t>Kruskal-</w:t>
            </w:r>
            <w:proofErr w:type="gramStart"/>
            <w:r w:rsidRPr="00054A5F">
              <w:rPr>
                <w:rFonts w:ascii="Arial" w:hAnsi="Arial" w:cs="Arial"/>
                <w:color w:val="1F1F1F"/>
                <w:bdr w:val="none" w:sz="0" w:space="0" w:color="auto" w:frame="1"/>
                <w:lang w:eastAsia="en-PH"/>
              </w:rPr>
              <w:t>Wallis</w:t>
            </w:r>
            <w:proofErr w:type="gramEnd"/>
            <w:r w:rsidRPr="00054A5F">
              <w:rPr>
                <w:rFonts w:ascii="Arial" w:hAnsi="Arial" w:cs="Arial"/>
                <w:color w:val="1F1F1F"/>
                <w:bdr w:val="none" w:sz="0" w:space="0" w:color="auto" w:frame="1"/>
                <w:lang w:eastAsia="en-PH"/>
              </w:rPr>
              <w:t xml:space="preserve"> test</w:t>
            </w:r>
            <w:r w:rsidRPr="00054A5F">
              <w:rPr>
                <w:rFonts w:ascii="Arial" w:hAnsi="Arial" w:cs="Arial"/>
                <w:color w:val="1F1F1F"/>
                <w:lang w:eastAsia="en-PH"/>
              </w:rPr>
              <w:t xml:space="preserve"> confirmed that these challenges are universal across all teacher demographics, regardless of age, experience, or specialization (</w:t>
            </w:r>
            <w:r w:rsidRPr="00054A5F">
              <w:rPr>
                <w:rFonts w:ascii="Arial" w:hAnsi="Arial" w:cs="Arial"/>
                <w:color w:val="1F1F1F"/>
                <w:bdr w:val="none" w:sz="0" w:space="0" w:color="auto" w:frame="1"/>
                <w:lang w:eastAsia="en-PH"/>
              </w:rPr>
              <w:t>p &gt; .05</w:t>
            </w:r>
            <w:r w:rsidRPr="00054A5F">
              <w:rPr>
                <w:rFonts w:ascii="Arial" w:hAnsi="Arial" w:cs="Arial"/>
                <w:color w:val="1F1F1F"/>
                <w:lang w:eastAsia="en-PH"/>
              </w:rPr>
              <w:t xml:space="preserve">). Environmental factors, including large class sizes and resource scarcity, further hinder cognitive encoding. To address these gaps, the </w:t>
            </w:r>
            <w:r w:rsidRPr="00054A5F">
              <w:rPr>
                <w:rFonts w:ascii="Arial" w:hAnsi="Arial" w:cs="Arial"/>
                <w:color w:val="1F1F1F"/>
                <w:bdr w:val="none" w:sz="0" w:space="0" w:color="auto" w:frame="1"/>
                <w:lang w:eastAsia="en-PH"/>
              </w:rPr>
              <w:t>LREP</w:t>
            </w:r>
            <w:r w:rsidRPr="00054A5F">
              <w:rPr>
                <w:rFonts w:ascii="Arial" w:hAnsi="Arial" w:cs="Arial"/>
                <w:color w:val="1F1F1F"/>
                <w:lang w:eastAsia="en-PH"/>
              </w:rPr>
              <w:t xml:space="preserve"> was designed to institutionalize active retrieval practices, "chunked" instructional delivery, and metacognitive bootcamps. The study concludes that fostering student autonomy through spaced repetition and standardized faculty interventions is essential for transitioning learners from rote memorization to long-term functional mastery.</w:t>
            </w:r>
          </w:p>
          <w:p w14:paraId="4183E704" w14:textId="77777777" w:rsidR="00505F06" w:rsidRPr="00054A5F" w:rsidRDefault="00505F06" w:rsidP="00441B6F">
            <w:pPr>
              <w:pStyle w:val="Body"/>
              <w:spacing w:after="0"/>
              <w:rPr>
                <w:rFonts w:ascii="Arial" w:eastAsia="Calibri" w:hAnsi="Arial" w:cs="Arial"/>
                <w:szCs w:val="22"/>
              </w:rPr>
            </w:pPr>
          </w:p>
        </w:tc>
      </w:tr>
    </w:tbl>
    <w:p w14:paraId="171FEC54" w14:textId="77777777" w:rsidR="00636EB2" w:rsidRPr="00054A5F" w:rsidRDefault="00636EB2" w:rsidP="00441B6F">
      <w:pPr>
        <w:pStyle w:val="Body"/>
        <w:spacing w:after="0"/>
        <w:rPr>
          <w:rFonts w:ascii="Arial" w:hAnsi="Arial" w:cs="Arial"/>
          <w:i/>
        </w:rPr>
      </w:pPr>
    </w:p>
    <w:p w14:paraId="3EBA16A0" w14:textId="77777777" w:rsidR="00A24E7E" w:rsidRPr="00054A5F" w:rsidRDefault="00A24E7E" w:rsidP="00441B6F">
      <w:pPr>
        <w:pStyle w:val="Body"/>
        <w:spacing w:after="0"/>
        <w:rPr>
          <w:rFonts w:ascii="Arial" w:hAnsi="Arial" w:cs="Arial"/>
          <w:i/>
        </w:rPr>
      </w:pPr>
      <w:r w:rsidRPr="00054A5F">
        <w:rPr>
          <w:rFonts w:ascii="Arial" w:hAnsi="Arial" w:cs="Arial"/>
          <w:i/>
        </w:rPr>
        <w:t xml:space="preserve">Keywords: </w:t>
      </w:r>
      <w:r w:rsidR="00503904" w:rsidRPr="00054A5F">
        <w:rPr>
          <w:rFonts w:ascii="Arial" w:hAnsi="Arial" w:cs="Arial"/>
          <w:color w:val="1F1F1F"/>
          <w:bdr w:val="none" w:sz="0" w:space="0" w:color="auto" w:frame="1"/>
          <w:lang w:eastAsia="en-PH"/>
        </w:rPr>
        <w:t>Learning Retention, Pedagogical Determinants, Knowledge Recall, Metacognition, Junior High School Education, Active Retrieval, Instructional Multimedia, Learning Retention Enhancement Program (LREP)</w:t>
      </w:r>
    </w:p>
    <w:p w14:paraId="0402D63D" w14:textId="77777777" w:rsidR="00790ADA" w:rsidRPr="00054A5F" w:rsidRDefault="00790ADA" w:rsidP="00441B6F">
      <w:pPr>
        <w:pStyle w:val="Body"/>
        <w:spacing w:after="0"/>
        <w:rPr>
          <w:rFonts w:ascii="Arial" w:hAnsi="Arial" w:cs="Arial"/>
          <w:i/>
        </w:rPr>
      </w:pPr>
    </w:p>
    <w:p w14:paraId="7BE19B07" w14:textId="77777777" w:rsidR="0024282C" w:rsidRPr="00054A5F" w:rsidRDefault="0024282C" w:rsidP="00441B6F">
      <w:pPr>
        <w:pStyle w:val="Body"/>
        <w:spacing w:after="0"/>
        <w:rPr>
          <w:rFonts w:ascii="Arial" w:hAnsi="Arial" w:cs="Arial"/>
          <w:i/>
          <w:sz w:val="18"/>
        </w:rPr>
      </w:pPr>
    </w:p>
    <w:p w14:paraId="19055694" w14:textId="77777777" w:rsidR="00505F06" w:rsidRPr="00054A5F" w:rsidRDefault="00505F06" w:rsidP="00441B6F">
      <w:pPr>
        <w:pStyle w:val="Body"/>
        <w:spacing w:after="0"/>
        <w:rPr>
          <w:rFonts w:ascii="Arial" w:hAnsi="Arial" w:cs="Arial"/>
          <w:i/>
        </w:rPr>
      </w:pPr>
    </w:p>
    <w:p w14:paraId="7CD72921" w14:textId="77777777" w:rsidR="007F7B32" w:rsidRPr="00054A5F" w:rsidRDefault="00902823" w:rsidP="00441B6F">
      <w:pPr>
        <w:pStyle w:val="AbstHead"/>
        <w:spacing w:after="0"/>
        <w:jc w:val="both"/>
        <w:rPr>
          <w:rFonts w:ascii="Arial" w:hAnsi="Arial" w:cs="Arial"/>
        </w:rPr>
      </w:pPr>
      <w:r w:rsidRPr="00054A5F">
        <w:rPr>
          <w:rFonts w:ascii="Arial" w:hAnsi="Arial" w:cs="Arial"/>
        </w:rPr>
        <w:t xml:space="preserve">1. </w:t>
      </w:r>
      <w:r w:rsidR="00B01FCD" w:rsidRPr="00054A5F">
        <w:rPr>
          <w:rFonts w:ascii="Arial" w:hAnsi="Arial" w:cs="Arial"/>
        </w:rPr>
        <w:t>INTRODUCTION</w:t>
      </w:r>
      <w:r w:rsidR="007F7B32" w:rsidRPr="00054A5F">
        <w:rPr>
          <w:rFonts w:ascii="Arial" w:hAnsi="Arial" w:cs="Arial"/>
        </w:rPr>
        <w:t xml:space="preserve"> </w:t>
      </w:r>
    </w:p>
    <w:p w14:paraId="6551CE1F" w14:textId="77777777" w:rsidR="00790ADA" w:rsidRPr="00054A5F" w:rsidRDefault="00790ADA" w:rsidP="00441B6F">
      <w:pPr>
        <w:pStyle w:val="AbstHead"/>
        <w:spacing w:after="0"/>
        <w:jc w:val="both"/>
        <w:rPr>
          <w:rFonts w:ascii="Arial" w:hAnsi="Arial" w:cs="Arial"/>
        </w:rPr>
      </w:pPr>
    </w:p>
    <w:p w14:paraId="0E5D7446" w14:textId="77777777" w:rsidR="00503904" w:rsidRPr="00054A5F" w:rsidRDefault="00503904" w:rsidP="005C2B64">
      <w:pPr>
        <w:pStyle w:val="MDPI21heading1"/>
        <w:spacing w:before="0" w:after="0" w:line="240" w:lineRule="auto"/>
        <w:ind w:left="0"/>
        <w:rPr>
          <w:rFonts w:ascii="Arial" w:hAnsi="Arial" w:cs="Arial"/>
          <w:b w:val="0"/>
          <w:bCs/>
          <w:szCs w:val="20"/>
          <w:lang w:eastAsia="en-PH"/>
        </w:rPr>
      </w:pPr>
      <w:r w:rsidRPr="00054A5F">
        <w:rPr>
          <w:rFonts w:ascii="Arial" w:hAnsi="Arial" w:cs="Arial"/>
          <w:b w:val="0"/>
          <w:bCs/>
          <w:szCs w:val="20"/>
          <w:lang w:eastAsia="en-PH"/>
        </w:rPr>
        <w:t>The ability of students to retain learning is crucial to their academic success, particularly at the junior high school level where foundational knowledge is often established for future educational pursuits. Learning retention refers to the ability of students to maintain knowledge over time, which is significantly influenced by various determinants including teaching strategies, student engagement, and environmental factors. The researcher of this study aims to identify specific factors that foster or hinder learning retention among junior high school students.</w:t>
      </w:r>
    </w:p>
    <w:p w14:paraId="32426252" w14:textId="77777777" w:rsidR="00503904" w:rsidRPr="00054A5F" w:rsidRDefault="00503904" w:rsidP="005C2B64">
      <w:pPr>
        <w:pStyle w:val="MDPI21heading1"/>
        <w:spacing w:before="0" w:after="0" w:line="240" w:lineRule="auto"/>
        <w:ind w:left="0"/>
        <w:rPr>
          <w:rFonts w:ascii="Arial" w:hAnsi="Arial" w:cs="Arial"/>
          <w:b w:val="0"/>
          <w:bCs/>
          <w:szCs w:val="20"/>
          <w:lang w:eastAsia="en-PH"/>
        </w:rPr>
      </w:pPr>
      <w:r w:rsidRPr="00054A5F">
        <w:rPr>
          <w:rFonts w:ascii="Arial" w:hAnsi="Arial" w:cs="Arial"/>
          <w:b w:val="0"/>
          <w:bCs/>
          <w:szCs w:val="20"/>
          <w:lang w:eastAsia="en-PH"/>
        </w:rPr>
        <w:t xml:space="preserve">Numerous studies have touched upon diverse aspects of teaching and learning that impact retention. For instance, </w:t>
      </w:r>
      <w:proofErr w:type="spellStart"/>
      <w:r w:rsidRPr="00054A5F">
        <w:rPr>
          <w:rFonts w:ascii="Arial" w:hAnsi="Arial" w:cs="Arial"/>
          <w:b w:val="0"/>
          <w:bCs/>
          <w:szCs w:val="20"/>
          <w:lang w:eastAsia="en-PH"/>
        </w:rPr>
        <w:t>Widiyawati</w:t>
      </w:r>
      <w:proofErr w:type="spellEnd"/>
      <w:r w:rsidRPr="00054A5F">
        <w:rPr>
          <w:rFonts w:ascii="Arial" w:hAnsi="Arial" w:cs="Arial"/>
          <w:b w:val="0"/>
          <w:bCs/>
          <w:szCs w:val="20"/>
          <w:lang w:eastAsia="en-PH"/>
        </w:rPr>
        <w:t xml:space="preserve"> et al. emphasize that 21st-century education approaches that integrate Higher Order Thinking Skills (HOTS) and digital literacy are increasingly relevant as they directly affect students' learning retention [33]. Moreover, the involvement of parents has also been indicated as a critical determinant, with findings by </w:t>
      </w:r>
      <w:proofErr w:type="spellStart"/>
      <w:r w:rsidRPr="00054A5F">
        <w:rPr>
          <w:rFonts w:ascii="Arial" w:hAnsi="Arial" w:cs="Arial"/>
          <w:b w:val="0"/>
          <w:bCs/>
          <w:szCs w:val="20"/>
          <w:lang w:eastAsia="en-PH"/>
        </w:rPr>
        <w:t>Lasut</w:t>
      </w:r>
      <w:proofErr w:type="spellEnd"/>
      <w:r w:rsidRPr="00054A5F">
        <w:rPr>
          <w:rFonts w:ascii="Arial" w:hAnsi="Arial" w:cs="Arial"/>
          <w:b w:val="0"/>
          <w:bCs/>
          <w:szCs w:val="20"/>
          <w:lang w:eastAsia="en-PH"/>
        </w:rPr>
        <w:t xml:space="preserve"> and </w:t>
      </w:r>
      <w:proofErr w:type="spellStart"/>
      <w:r w:rsidRPr="00054A5F">
        <w:rPr>
          <w:rFonts w:ascii="Arial" w:hAnsi="Arial" w:cs="Arial"/>
          <w:b w:val="0"/>
          <w:bCs/>
          <w:szCs w:val="20"/>
          <w:lang w:eastAsia="en-PH"/>
        </w:rPr>
        <w:t>Maramis</w:t>
      </w:r>
      <w:proofErr w:type="spellEnd"/>
      <w:r w:rsidRPr="00054A5F">
        <w:rPr>
          <w:rFonts w:ascii="Arial" w:hAnsi="Arial" w:cs="Arial"/>
          <w:b w:val="0"/>
          <w:bCs/>
          <w:szCs w:val="20"/>
          <w:lang w:eastAsia="en-PH"/>
        </w:rPr>
        <w:t xml:space="preserve"> demonstrating a significant link between parental involvement during learning activities and student outcomes [21]. Furthermore, the educational materials and instructional strategies </w:t>
      </w:r>
      <w:r w:rsidRPr="00054A5F">
        <w:rPr>
          <w:rFonts w:ascii="Arial" w:hAnsi="Arial" w:cs="Arial"/>
          <w:b w:val="0"/>
          <w:bCs/>
          <w:szCs w:val="20"/>
          <w:lang w:eastAsia="en-PH"/>
        </w:rPr>
        <w:lastRenderedPageBreak/>
        <w:t>employed by teachers—such as brain-based learning—are pivotal for enhancing students' retention capabilities, as evidenced by research showing the effectiveness of such models [17].</w:t>
      </w:r>
    </w:p>
    <w:p w14:paraId="37C2A2CE" w14:textId="77777777" w:rsidR="005C2B64" w:rsidRPr="00054A5F" w:rsidRDefault="005C2B64" w:rsidP="005C2B64">
      <w:pPr>
        <w:pStyle w:val="MDPI21heading1"/>
        <w:spacing w:before="0" w:after="0" w:line="240" w:lineRule="auto"/>
        <w:ind w:left="0"/>
        <w:rPr>
          <w:rFonts w:ascii="Arial" w:hAnsi="Arial" w:cs="Arial"/>
          <w:b w:val="0"/>
          <w:bCs/>
          <w:szCs w:val="20"/>
          <w:lang w:eastAsia="en-PH"/>
        </w:rPr>
      </w:pPr>
    </w:p>
    <w:p w14:paraId="40EC8976" w14:textId="77777777" w:rsidR="00503904" w:rsidRPr="00054A5F" w:rsidRDefault="00503904" w:rsidP="005C2B64">
      <w:pPr>
        <w:pStyle w:val="MDPI21heading1"/>
        <w:spacing w:before="0" w:after="0" w:line="240" w:lineRule="auto"/>
        <w:ind w:left="0"/>
        <w:rPr>
          <w:rFonts w:ascii="Arial" w:hAnsi="Arial" w:cs="Arial"/>
          <w:b w:val="0"/>
          <w:bCs/>
          <w:szCs w:val="20"/>
          <w:lang w:eastAsia="en-PH"/>
        </w:rPr>
      </w:pPr>
      <w:r w:rsidRPr="00054A5F">
        <w:rPr>
          <w:rFonts w:ascii="Arial" w:hAnsi="Arial" w:cs="Arial"/>
          <w:b w:val="0"/>
          <w:bCs/>
          <w:szCs w:val="20"/>
          <w:lang w:eastAsia="en-PH"/>
        </w:rPr>
        <w:t>Despite the abundance of research addressing various components of the educational process, a significant research gap exists regarding the specific determinants of learning retention as perceived and identified by teachers. Thus, a qualitative exploration centered on teachers' insights can provide a deeper understanding of the factors influencing their students' ability to retain learned information. Such perspectives are essential, particularly as they draw on real-world experiences and observations directly related to their students' learning contexts.</w:t>
      </w:r>
    </w:p>
    <w:p w14:paraId="4D62386D" w14:textId="77777777" w:rsidR="005C2B64" w:rsidRPr="00054A5F" w:rsidRDefault="005C2B64" w:rsidP="005C2B64">
      <w:pPr>
        <w:pStyle w:val="MDPI21heading1"/>
        <w:spacing w:before="0" w:after="0" w:line="240" w:lineRule="auto"/>
        <w:ind w:left="0"/>
        <w:rPr>
          <w:rFonts w:ascii="Arial" w:hAnsi="Arial" w:cs="Arial"/>
          <w:b w:val="0"/>
          <w:bCs/>
          <w:szCs w:val="20"/>
          <w:lang w:eastAsia="en-PH"/>
        </w:rPr>
      </w:pPr>
    </w:p>
    <w:p w14:paraId="4C1B8F27" w14:textId="77777777" w:rsidR="00503904" w:rsidRPr="00054A5F" w:rsidRDefault="00503904" w:rsidP="005C2B64">
      <w:pPr>
        <w:pStyle w:val="MDPI21heading1"/>
        <w:spacing w:before="0" w:after="0" w:line="240" w:lineRule="auto"/>
        <w:ind w:left="0"/>
        <w:rPr>
          <w:rFonts w:ascii="Arial" w:hAnsi="Arial" w:cs="Arial"/>
          <w:b w:val="0"/>
          <w:bCs/>
          <w:szCs w:val="20"/>
          <w:lang w:eastAsia="en-PH"/>
        </w:rPr>
      </w:pPr>
      <w:r w:rsidRPr="00054A5F">
        <w:rPr>
          <w:rFonts w:ascii="Arial" w:hAnsi="Arial" w:cs="Arial"/>
          <w:b w:val="0"/>
          <w:bCs/>
          <w:szCs w:val="20"/>
          <w:lang w:eastAsia="en-PH"/>
        </w:rPr>
        <w:t>Furthermore, the timeliness of this study is underscored by the current educational landscape's evolution, characterized by shifts toward student-centered teaching methodologies which demand a reevaluation of traditional pedagogical practices. These changes reflect a growing recognition of the need to align teaching strategies with students' learning preferences and environments [26]. By delving into teacher-identified determinants, this research seeks to illuminate practical implications for instructional design that can subsequently result in improved student retention and learning outcomes.</w:t>
      </w:r>
    </w:p>
    <w:p w14:paraId="584FB80A" w14:textId="77777777" w:rsidR="005C2B64" w:rsidRPr="00054A5F" w:rsidRDefault="005C2B64" w:rsidP="005C2B64">
      <w:pPr>
        <w:pStyle w:val="MDPI21heading1"/>
        <w:spacing w:before="0" w:after="0" w:line="240" w:lineRule="auto"/>
        <w:ind w:left="0"/>
        <w:rPr>
          <w:rFonts w:ascii="Arial" w:hAnsi="Arial" w:cs="Arial"/>
          <w:b w:val="0"/>
          <w:bCs/>
          <w:szCs w:val="20"/>
          <w:lang w:eastAsia="en-PH"/>
        </w:rPr>
      </w:pPr>
    </w:p>
    <w:p w14:paraId="05542E8E" w14:textId="77777777" w:rsidR="00503904" w:rsidRPr="00054A5F" w:rsidRDefault="00503904" w:rsidP="005C2B64">
      <w:pPr>
        <w:pStyle w:val="MDPI21heading1"/>
        <w:spacing w:before="0" w:after="0" w:line="240" w:lineRule="auto"/>
        <w:ind w:left="0"/>
        <w:rPr>
          <w:rFonts w:ascii="Arial" w:hAnsi="Arial" w:cs="Arial"/>
          <w:b w:val="0"/>
          <w:bCs/>
          <w:sz w:val="16"/>
          <w:szCs w:val="14"/>
        </w:rPr>
      </w:pPr>
      <w:r w:rsidRPr="00054A5F">
        <w:rPr>
          <w:rFonts w:ascii="Arial" w:hAnsi="Arial" w:cs="Arial"/>
          <w:b w:val="0"/>
          <w:bCs/>
          <w:szCs w:val="20"/>
          <w:lang w:eastAsia="en-PH"/>
        </w:rPr>
        <w:t xml:space="preserve">The context for this study is Bartolome and Manuela </w:t>
      </w:r>
      <w:proofErr w:type="spellStart"/>
      <w:r w:rsidRPr="00054A5F">
        <w:rPr>
          <w:rFonts w:ascii="Arial" w:hAnsi="Arial" w:cs="Arial"/>
          <w:b w:val="0"/>
          <w:bCs/>
          <w:szCs w:val="20"/>
          <w:lang w:eastAsia="en-PH"/>
        </w:rPr>
        <w:t>Pañares</w:t>
      </w:r>
      <w:proofErr w:type="spellEnd"/>
      <w:r w:rsidRPr="00054A5F">
        <w:rPr>
          <w:rFonts w:ascii="Arial" w:hAnsi="Arial" w:cs="Arial"/>
          <w:b w:val="0"/>
          <w:bCs/>
          <w:szCs w:val="20"/>
          <w:lang w:eastAsia="en-PH"/>
        </w:rPr>
        <w:t xml:space="preserve"> Memorial National High School, located at </w:t>
      </w:r>
      <w:proofErr w:type="spellStart"/>
      <w:r w:rsidRPr="00054A5F">
        <w:rPr>
          <w:rFonts w:ascii="Arial" w:hAnsi="Arial" w:cs="Arial"/>
          <w:b w:val="0"/>
          <w:bCs/>
          <w:szCs w:val="20"/>
          <w:lang w:eastAsia="en-PH"/>
        </w:rPr>
        <w:t>Poblacion</w:t>
      </w:r>
      <w:proofErr w:type="spellEnd"/>
      <w:r w:rsidRPr="00054A5F">
        <w:rPr>
          <w:rFonts w:ascii="Arial" w:hAnsi="Arial" w:cs="Arial"/>
          <w:b w:val="0"/>
          <w:bCs/>
          <w:szCs w:val="20"/>
          <w:lang w:eastAsia="en-PH"/>
        </w:rPr>
        <w:t>, Barili, Cebu. As an institution catering to diverse student populations, it presents a representative microcosm of junior high school education in the Philippines. Thus, an Action Plan is proposed to implement strategies derived from the findings of this study in order to enhance learning retention among students.</w:t>
      </w:r>
    </w:p>
    <w:p w14:paraId="098AA5AD" w14:textId="77777777" w:rsidR="00790ADA" w:rsidRPr="00054A5F" w:rsidRDefault="00790ADA" w:rsidP="00441B6F">
      <w:pPr>
        <w:pStyle w:val="Body"/>
        <w:spacing w:after="0"/>
        <w:rPr>
          <w:rFonts w:ascii="Arial" w:hAnsi="Arial" w:cs="Arial"/>
        </w:rPr>
      </w:pPr>
    </w:p>
    <w:p w14:paraId="27029825" w14:textId="77777777" w:rsidR="00790ADA" w:rsidRPr="00054A5F" w:rsidRDefault="00902823" w:rsidP="00441B6F">
      <w:pPr>
        <w:pStyle w:val="AbstHead"/>
        <w:spacing w:after="0"/>
        <w:jc w:val="both"/>
        <w:rPr>
          <w:rFonts w:ascii="Arial" w:hAnsi="Arial" w:cs="Arial"/>
        </w:rPr>
      </w:pPr>
      <w:r w:rsidRPr="00054A5F">
        <w:rPr>
          <w:rFonts w:ascii="Arial" w:hAnsi="Arial" w:cs="Arial"/>
        </w:rPr>
        <w:t xml:space="preserve">2. </w:t>
      </w:r>
      <w:r w:rsidR="00503904" w:rsidRPr="00054A5F">
        <w:rPr>
          <w:rFonts w:ascii="Arial" w:hAnsi="Arial" w:cs="Arial"/>
        </w:rPr>
        <w:t xml:space="preserve">Research </w:t>
      </w:r>
      <w:r w:rsidR="006B57D0" w:rsidRPr="00054A5F">
        <w:rPr>
          <w:rFonts w:ascii="Arial" w:hAnsi="Arial" w:cs="Arial"/>
        </w:rPr>
        <w:t>methodology</w:t>
      </w:r>
      <w:r w:rsidR="007F7B32" w:rsidRPr="00054A5F">
        <w:rPr>
          <w:rFonts w:ascii="Arial" w:hAnsi="Arial" w:cs="Arial"/>
        </w:rPr>
        <w:t xml:space="preserve"> </w:t>
      </w:r>
    </w:p>
    <w:p w14:paraId="2993830F" w14:textId="77777777" w:rsidR="00503904" w:rsidRPr="00054A5F" w:rsidRDefault="00503904" w:rsidP="00503904">
      <w:pPr>
        <w:pStyle w:val="MDPI21heading1"/>
        <w:spacing w:before="0" w:after="0" w:line="240" w:lineRule="auto"/>
        <w:ind w:left="0"/>
        <w:rPr>
          <w:rFonts w:ascii="Arial" w:hAnsi="Arial" w:cs="Arial"/>
          <w:szCs w:val="18"/>
        </w:rPr>
      </w:pPr>
      <w:r w:rsidRPr="00054A5F">
        <w:rPr>
          <w:rFonts w:ascii="Arial" w:hAnsi="Arial" w:cs="Arial"/>
          <w:szCs w:val="18"/>
        </w:rPr>
        <w:t>2.1. Research Design</w:t>
      </w:r>
    </w:p>
    <w:p w14:paraId="1B179218" w14:textId="77777777" w:rsidR="009A7909" w:rsidRPr="00054A5F" w:rsidRDefault="009A7909" w:rsidP="00503904">
      <w:pPr>
        <w:pStyle w:val="MDPI21heading1"/>
        <w:spacing w:before="0" w:after="0" w:line="240" w:lineRule="auto"/>
        <w:ind w:left="0"/>
        <w:rPr>
          <w:rFonts w:ascii="Arial" w:hAnsi="Arial" w:cs="Arial"/>
          <w:szCs w:val="18"/>
        </w:rPr>
      </w:pPr>
    </w:p>
    <w:p w14:paraId="724C6CAC" w14:textId="77777777" w:rsidR="00503904" w:rsidRPr="00054A5F" w:rsidRDefault="00503904" w:rsidP="005C2B64">
      <w:pPr>
        <w:jc w:val="both"/>
        <w:rPr>
          <w:rFonts w:ascii="Arial" w:hAnsi="Arial" w:cs="Arial"/>
          <w:color w:val="1F1F1F"/>
          <w:lang w:eastAsia="en-PH"/>
        </w:rPr>
      </w:pPr>
      <w:r w:rsidRPr="00054A5F">
        <w:rPr>
          <w:rFonts w:ascii="Arial" w:hAnsi="Arial" w:cs="Arial"/>
          <w:color w:val="1F1F1F"/>
          <w:lang w:eastAsia="en-PH"/>
        </w:rPr>
        <w:t xml:space="preserve">To comprehensively examine the pedagogical and student-related determinants affecting learning retention among Junior High School students at Bartolome and Manuela </w:t>
      </w:r>
      <w:proofErr w:type="spellStart"/>
      <w:r w:rsidRPr="00054A5F">
        <w:rPr>
          <w:rFonts w:ascii="Arial" w:hAnsi="Arial" w:cs="Arial"/>
          <w:color w:val="1F1F1F"/>
          <w:lang w:eastAsia="en-PH"/>
        </w:rPr>
        <w:t>Pañares</w:t>
      </w:r>
      <w:proofErr w:type="spellEnd"/>
      <w:r w:rsidRPr="00054A5F">
        <w:rPr>
          <w:rFonts w:ascii="Arial" w:hAnsi="Arial" w:cs="Arial"/>
          <w:color w:val="1F1F1F"/>
          <w:lang w:eastAsia="en-PH"/>
        </w:rPr>
        <w:t xml:space="preserve"> Memorial National High School, this study employs a </w:t>
      </w:r>
      <w:r w:rsidRPr="00054A5F">
        <w:rPr>
          <w:rFonts w:ascii="Arial" w:hAnsi="Arial" w:cs="Arial"/>
          <w:color w:val="1F1F1F"/>
          <w:bdr w:val="none" w:sz="0" w:space="0" w:color="auto" w:frame="1"/>
          <w:lang w:eastAsia="en-PH"/>
        </w:rPr>
        <w:t>mixed method research design</w:t>
      </w:r>
      <w:r w:rsidRPr="00054A5F">
        <w:rPr>
          <w:rFonts w:ascii="Arial" w:hAnsi="Arial" w:cs="Arial"/>
          <w:color w:val="1F1F1F"/>
          <w:lang w:eastAsia="en-PH"/>
        </w:rPr>
        <w:t xml:space="preserve">. This approach is uniquely suited for the study as it seeks to describe the current state of instructional strategies and student behaviors while simultaneously identifying the strength and direction of relationships between these variables. By utilizing a descriptive lens, the researcher can systematically profile the teacher-respondents—including their age, sex, years of experience, educational attainment, and specialization—and quantify the perceived levels of key determinants such as </w:t>
      </w:r>
      <w:r w:rsidRPr="00054A5F">
        <w:rPr>
          <w:rFonts w:ascii="Arial" w:hAnsi="Arial" w:cs="Arial"/>
          <w:color w:val="1F1F1F"/>
          <w:bdr w:val="none" w:sz="0" w:space="0" w:color="auto" w:frame="1"/>
          <w:lang w:eastAsia="en-PH"/>
        </w:rPr>
        <w:t>active learning strategies, instructional multimedia, formative assessments, and differentiated instruction</w:t>
      </w:r>
      <w:r w:rsidRPr="00054A5F">
        <w:rPr>
          <w:rFonts w:ascii="Arial" w:hAnsi="Arial" w:cs="Arial"/>
          <w:color w:val="1F1F1F"/>
          <w:lang w:eastAsia="en-PH"/>
        </w:rPr>
        <w:t>. Furthermore, the correlational aspect allows for a rigorous statistical investigation into whether significant relationships exist between these pedagogical and student-related factors (e.g., prior knowledge, intrinsic motivation, and study habits) and the actual perceived levels of student learning retention.</w:t>
      </w:r>
    </w:p>
    <w:p w14:paraId="78F1E709" w14:textId="77777777" w:rsidR="005C2B64" w:rsidRPr="00054A5F" w:rsidRDefault="005C2B64" w:rsidP="005C2B64">
      <w:pPr>
        <w:jc w:val="both"/>
        <w:rPr>
          <w:rFonts w:ascii="Arial" w:hAnsi="Arial" w:cs="Arial"/>
          <w:color w:val="1F1F1F"/>
          <w:lang w:eastAsia="en-PH"/>
        </w:rPr>
      </w:pPr>
    </w:p>
    <w:p w14:paraId="73393B7A" w14:textId="77777777" w:rsidR="00503904" w:rsidRPr="00054A5F" w:rsidRDefault="00503904" w:rsidP="005C2B64">
      <w:pPr>
        <w:jc w:val="both"/>
        <w:rPr>
          <w:rFonts w:ascii="Arial" w:hAnsi="Arial" w:cs="Arial"/>
          <w:color w:val="1F1F1F"/>
          <w:lang w:eastAsia="en-PH"/>
        </w:rPr>
      </w:pPr>
      <w:r w:rsidRPr="00054A5F">
        <w:rPr>
          <w:rFonts w:ascii="Arial" w:hAnsi="Arial" w:cs="Arial"/>
          <w:color w:val="1F1F1F"/>
          <w:lang w:eastAsia="en-PH"/>
        </w:rPr>
        <w:t xml:space="preserve">The primary instrument for data collection is a </w:t>
      </w:r>
      <w:r w:rsidRPr="00054A5F">
        <w:rPr>
          <w:rFonts w:ascii="Arial" w:hAnsi="Arial" w:cs="Arial"/>
          <w:color w:val="1F1F1F"/>
          <w:bdr w:val="none" w:sz="0" w:space="0" w:color="auto" w:frame="1"/>
          <w:lang w:eastAsia="en-PH"/>
        </w:rPr>
        <w:t>structured survey questionnaire</w:t>
      </w:r>
      <w:r w:rsidRPr="00054A5F">
        <w:rPr>
          <w:rFonts w:ascii="Arial" w:hAnsi="Arial" w:cs="Arial"/>
          <w:color w:val="1F1F1F"/>
          <w:lang w:eastAsia="en-PH"/>
        </w:rPr>
        <w:t xml:space="preserve"> featuring a </w:t>
      </w:r>
      <w:r w:rsidRPr="00054A5F">
        <w:rPr>
          <w:rFonts w:ascii="Arial" w:hAnsi="Arial" w:cs="Arial"/>
          <w:color w:val="1F1F1F"/>
          <w:bdr w:val="none" w:sz="0" w:space="0" w:color="auto" w:frame="1"/>
          <w:lang w:eastAsia="en-PH"/>
        </w:rPr>
        <w:t>5-point Likert scale</w:t>
      </w:r>
      <w:r w:rsidRPr="00054A5F">
        <w:rPr>
          <w:rFonts w:ascii="Arial" w:hAnsi="Arial" w:cs="Arial"/>
          <w:color w:val="1F1F1F"/>
          <w:lang w:eastAsia="en-PH"/>
        </w:rPr>
        <w:t xml:space="preserve">. This allows teacher-respondents to provide nuanced assessments of both instructional efficacy and student-related variables, such as attention span and conceptual understanding. The questionnaire is strategically partitioned into segments aligned with the specific research questions: the first section gathers demographic data, the second evaluates the frequency of teacher-led pedagogical interventions, the third gauges student-related factors as perceived by the educators, and the final sections assess the level of learning retention across recall and skill application. This structured data collection enables the use of </w:t>
      </w:r>
      <w:r w:rsidRPr="00054A5F">
        <w:rPr>
          <w:rFonts w:ascii="Arial" w:hAnsi="Arial" w:cs="Arial"/>
          <w:color w:val="1F1F1F"/>
          <w:bdr w:val="none" w:sz="0" w:space="0" w:color="auto" w:frame="1"/>
          <w:lang w:eastAsia="en-PH"/>
        </w:rPr>
        <w:t>inferential statistics</w:t>
      </w:r>
      <w:r w:rsidRPr="00054A5F">
        <w:rPr>
          <w:rFonts w:ascii="Arial" w:hAnsi="Arial" w:cs="Arial"/>
          <w:color w:val="1F1F1F"/>
          <w:lang w:eastAsia="en-PH"/>
        </w:rPr>
        <w:t xml:space="preserve"> to determine if significant differences in perceptions exist when respondents are grouped by their profile variables.</w:t>
      </w:r>
    </w:p>
    <w:p w14:paraId="75ABB738" w14:textId="77777777" w:rsidR="005C2B64" w:rsidRPr="00054A5F" w:rsidRDefault="005C2B64" w:rsidP="005C2B64">
      <w:pPr>
        <w:jc w:val="both"/>
        <w:rPr>
          <w:rFonts w:ascii="Arial" w:hAnsi="Arial" w:cs="Arial"/>
          <w:color w:val="1F1F1F"/>
          <w:lang w:eastAsia="en-PH"/>
        </w:rPr>
      </w:pPr>
    </w:p>
    <w:p w14:paraId="57A0E1F1" w14:textId="77777777" w:rsidR="00503904" w:rsidRPr="00054A5F" w:rsidRDefault="00503904" w:rsidP="005C2B64">
      <w:pPr>
        <w:jc w:val="both"/>
        <w:rPr>
          <w:rFonts w:ascii="Arial" w:hAnsi="Arial" w:cs="Arial"/>
          <w:color w:val="1F1F1F"/>
          <w:lang w:eastAsia="en-PH"/>
        </w:rPr>
      </w:pPr>
      <w:r w:rsidRPr="00054A5F">
        <w:rPr>
          <w:rFonts w:ascii="Arial" w:hAnsi="Arial" w:cs="Arial"/>
          <w:color w:val="1F1F1F"/>
          <w:lang w:eastAsia="en-PH"/>
        </w:rPr>
        <w:t xml:space="preserve">Ultimately, this methodology serves as the empirical foundation for addressing the practical challenges encountered by teachers in the classroom. By identifying specific hurdles in implementing retention-enhancing strategies, the study transitions from theoretical observation to practical application. The findings derived from this design will provide a factual, data-driven basis for the development of the </w:t>
      </w:r>
      <w:r w:rsidRPr="00054A5F">
        <w:rPr>
          <w:rFonts w:ascii="Arial" w:hAnsi="Arial" w:cs="Arial"/>
          <w:color w:val="1F1F1F"/>
          <w:bdr w:val="none" w:sz="0" w:space="0" w:color="auto" w:frame="1"/>
          <w:lang w:eastAsia="en-PH"/>
        </w:rPr>
        <w:t>Learning Retention Enhancement Program</w:t>
      </w:r>
      <w:r w:rsidRPr="00054A5F">
        <w:rPr>
          <w:rFonts w:ascii="Arial" w:hAnsi="Arial" w:cs="Arial"/>
          <w:color w:val="1F1F1F"/>
          <w:lang w:eastAsia="en-PH"/>
        </w:rPr>
        <w:t>. This proposed action plan is designed to bridge the gap between current classroom practices and optimized academic outcomes, ensuring that the Junior High School curriculum results in long-term knowledge recall and meaningful conceptual understanding.</w:t>
      </w:r>
    </w:p>
    <w:p w14:paraId="5208CB78" w14:textId="77777777" w:rsidR="00503904" w:rsidRPr="00054A5F" w:rsidRDefault="00503904" w:rsidP="00503904">
      <w:pPr>
        <w:rPr>
          <w:rFonts w:ascii="Arial" w:hAnsi="Arial" w:cs="Arial"/>
          <w:color w:val="1F1F1F"/>
          <w:lang w:eastAsia="en-PH"/>
        </w:rPr>
      </w:pPr>
    </w:p>
    <w:p w14:paraId="36728A2B" w14:textId="77777777" w:rsidR="001E51D5" w:rsidRPr="00054A5F" w:rsidRDefault="00503904" w:rsidP="001E51D5">
      <w:pPr>
        <w:rPr>
          <w:rFonts w:ascii="Arial" w:hAnsi="Arial" w:cs="Arial"/>
          <w:b/>
          <w:bCs/>
          <w:color w:val="1F1F1F"/>
          <w:lang w:eastAsia="en-PH"/>
        </w:rPr>
      </w:pPr>
      <w:r w:rsidRPr="00054A5F">
        <w:rPr>
          <w:rFonts w:ascii="Arial" w:hAnsi="Arial" w:cs="Arial"/>
          <w:b/>
          <w:bCs/>
          <w:color w:val="1F1F1F"/>
          <w:lang w:eastAsia="en-PH"/>
        </w:rPr>
        <w:t>2.2. Flow of the Stud</w:t>
      </w:r>
      <w:r w:rsidR="001E51D5" w:rsidRPr="00054A5F">
        <w:rPr>
          <w:rFonts w:ascii="Arial" w:hAnsi="Arial" w:cs="Arial"/>
          <w:b/>
          <w:bCs/>
          <w:color w:val="1F1F1F"/>
          <w:lang w:eastAsia="en-PH"/>
        </w:rPr>
        <w:t>y</w:t>
      </w:r>
    </w:p>
    <w:p w14:paraId="632B69B6" w14:textId="77777777" w:rsidR="001E51D5" w:rsidRPr="00054A5F" w:rsidRDefault="001E51D5" w:rsidP="001E51D5">
      <w:pPr>
        <w:rPr>
          <w:rFonts w:ascii="Arial" w:hAnsi="Arial" w:cs="Arial"/>
          <w:b/>
          <w:bCs/>
          <w:color w:val="1F1F1F"/>
          <w:lang w:eastAsia="en-PH"/>
        </w:rPr>
      </w:pPr>
    </w:p>
    <w:p w14:paraId="13836002" w14:textId="77777777" w:rsidR="00503904" w:rsidRPr="00054A5F" w:rsidRDefault="00503904" w:rsidP="001E51D5">
      <w:pPr>
        <w:jc w:val="both"/>
        <w:rPr>
          <w:rFonts w:ascii="Arial" w:hAnsi="Arial" w:cs="Arial"/>
          <w:b/>
          <w:bCs/>
          <w:color w:val="1F1F1F"/>
          <w:lang w:eastAsia="en-PH"/>
        </w:rPr>
      </w:pPr>
      <w:r w:rsidRPr="00054A5F">
        <w:rPr>
          <w:rFonts w:ascii="Arial" w:hAnsi="Arial" w:cs="Arial"/>
          <w:lang w:eastAsia="en-PH"/>
        </w:rPr>
        <w:t xml:space="preserve">The </w:t>
      </w:r>
      <w:r w:rsidRPr="00054A5F">
        <w:rPr>
          <w:rFonts w:ascii="Arial" w:hAnsi="Arial" w:cs="Arial"/>
          <w:b/>
          <w:bCs/>
          <w:lang w:eastAsia="en-PH"/>
        </w:rPr>
        <w:t>Input</w:t>
      </w:r>
      <w:r w:rsidRPr="00054A5F">
        <w:rPr>
          <w:rFonts w:ascii="Arial" w:hAnsi="Arial" w:cs="Arial"/>
          <w:lang w:eastAsia="en-PH"/>
        </w:rPr>
        <w:t xml:space="preserve"> phase involves gathering comprehensive data regarding the profile of the teacher-respondents, including their age, gender, years of teaching experience, educational attainment, and subject area specialization. Simultaneously, data is collected on the level of teacher-identified pedagogical determinants—such as active learning and instructional multimedia—and the level of student-related determinants, including prior knowledge and motivation, as perceived by the educators. This phase also identifies the specific challenges encountered by teachers in implementing strategies aimed at enhancing long-term learning retention in the classroom. The </w:t>
      </w:r>
      <w:r w:rsidRPr="00054A5F">
        <w:rPr>
          <w:rFonts w:ascii="Arial" w:hAnsi="Arial" w:cs="Arial"/>
          <w:b/>
          <w:bCs/>
          <w:lang w:eastAsia="en-PH"/>
        </w:rPr>
        <w:t>Process</w:t>
      </w:r>
      <w:r w:rsidRPr="00054A5F">
        <w:rPr>
          <w:rFonts w:ascii="Arial" w:hAnsi="Arial" w:cs="Arial"/>
          <w:lang w:eastAsia="en-PH"/>
        </w:rPr>
        <w:t xml:space="preserve"> phase begins with formal administrative procedures, specifically the issuance of a transmittal letter addressed to the Public Schools District Supervisor (PSDS) of Barili to seek permission for data collection. The study then utilizes a descriptive survey design through a modified survey form to collect quantitative data. Once gathered, the information undergoes rigorous data processing using the </w:t>
      </w:r>
      <w:r w:rsidRPr="00054A5F">
        <w:rPr>
          <w:rFonts w:ascii="Arial" w:hAnsi="Arial" w:cs="Arial"/>
          <w:b/>
          <w:bCs/>
          <w:lang w:eastAsia="en-PH"/>
        </w:rPr>
        <w:t>SPSS</w:t>
      </w:r>
      <w:r w:rsidRPr="00054A5F">
        <w:rPr>
          <w:rFonts w:ascii="Arial" w:hAnsi="Arial" w:cs="Arial"/>
          <w:lang w:eastAsia="en-PH"/>
        </w:rPr>
        <w:t xml:space="preserve"> for precise analysis and interpretation. This statistical treatment determines the significant relationship between the identified pedagogical determinants and the perceived level of learning retention among students. The </w:t>
      </w:r>
      <w:r w:rsidRPr="00054A5F">
        <w:rPr>
          <w:rFonts w:ascii="Arial" w:hAnsi="Arial" w:cs="Arial"/>
          <w:b/>
          <w:bCs/>
          <w:lang w:eastAsia="en-PH"/>
        </w:rPr>
        <w:t>Output</w:t>
      </w:r>
      <w:r w:rsidRPr="00054A5F">
        <w:rPr>
          <w:rFonts w:ascii="Arial" w:hAnsi="Arial" w:cs="Arial"/>
          <w:lang w:eastAsia="en-PH"/>
        </w:rPr>
        <w:t xml:space="preserve"> of this study is the development of a strategic </w:t>
      </w:r>
      <w:r w:rsidRPr="00054A5F">
        <w:rPr>
          <w:rFonts w:ascii="Arial" w:hAnsi="Arial" w:cs="Arial"/>
          <w:b/>
          <w:bCs/>
          <w:lang w:eastAsia="en-PH"/>
        </w:rPr>
        <w:t>Retention Enhancement Program</w:t>
      </w:r>
      <w:r w:rsidRPr="00054A5F">
        <w:rPr>
          <w:rFonts w:ascii="Arial" w:hAnsi="Arial" w:cs="Arial"/>
          <w:lang w:eastAsia="en-PH"/>
        </w:rPr>
        <w:t>. This plan is specifically designed based on the synthesized findings to provide educators and administrators with actionable interventions to optimize learning retention and academic outcomes among Junior High School students.</w:t>
      </w:r>
    </w:p>
    <w:p w14:paraId="3206EDFE" w14:textId="77777777" w:rsidR="00A03B96" w:rsidRPr="00054A5F" w:rsidRDefault="00A03B96" w:rsidP="00441B6F">
      <w:pPr>
        <w:pStyle w:val="Body"/>
        <w:spacing w:after="0"/>
        <w:rPr>
          <w:rFonts w:ascii="Arial" w:hAnsi="Arial" w:cs="Arial"/>
        </w:rPr>
      </w:pPr>
    </w:p>
    <w:p w14:paraId="4EE4E4C4" w14:textId="77777777" w:rsidR="001E51D5" w:rsidRPr="00054A5F" w:rsidRDefault="001E51D5" w:rsidP="001E51D5">
      <w:pPr>
        <w:rPr>
          <w:rFonts w:ascii="Arial" w:eastAsia="Calibri" w:hAnsi="Arial" w:cs="Arial"/>
          <w:b/>
          <w:shd w:val="clear" w:color="auto" w:fill="FFFFFF"/>
        </w:rPr>
      </w:pPr>
      <w:r w:rsidRPr="00054A5F">
        <w:rPr>
          <w:rFonts w:ascii="Arial" w:hAnsi="Arial" w:cs="Arial"/>
          <w:b/>
        </w:rPr>
        <w:t xml:space="preserve">2.3. </w:t>
      </w:r>
      <w:r w:rsidRPr="00054A5F">
        <w:rPr>
          <w:rFonts w:ascii="Arial" w:eastAsia="Calibri" w:hAnsi="Arial" w:cs="Arial"/>
          <w:b/>
          <w:shd w:val="clear" w:color="auto" w:fill="FFFFFF"/>
        </w:rPr>
        <w:t>Environment</w:t>
      </w:r>
    </w:p>
    <w:p w14:paraId="3E291596" w14:textId="77777777" w:rsidR="005C2B64" w:rsidRPr="00054A5F" w:rsidRDefault="005C2B64" w:rsidP="005C2B64">
      <w:pPr>
        <w:rPr>
          <w:rFonts w:ascii="Arial" w:eastAsia="Calibri" w:hAnsi="Arial" w:cs="Arial"/>
          <w:b/>
          <w:shd w:val="clear" w:color="auto" w:fill="FFFFFF"/>
        </w:rPr>
      </w:pPr>
    </w:p>
    <w:p w14:paraId="492DE1ED" w14:textId="77777777" w:rsidR="001E51D5" w:rsidRPr="00054A5F" w:rsidRDefault="001E51D5" w:rsidP="005C2B64">
      <w:pPr>
        <w:jc w:val="both"/>
        <w:rPr>
          <w:rFonts w:ascii="Arial" w:eastAsia="Calibri" w:hAnsi="Arial" w:cs="Arial"/>
          <w:b/>
          <w:sz w:val="16"/>
          <w:szCs w:val="16"/>
          <w:shd w:val="clear" w:color="auto" w:fill="FFFFFF"/>
        </w:rPr>
      </w:pPr>
      <w:r w:rsidRPr="00054A5F">
        <w:rPr>
          <w:rFonts w:ascii="Arial" w:hAnsi="Arial" w:cs="Arial"/>
          <w:lang w:eastAsia="en-PH"/>
        </w:rPr>
        <w:t xml:space="preserve">The study was conducted at Bartolome and Manuela </w:t>
      </w:r>
      <w:proofErr w:type="spellStart"/>
      <w:r w:rsidRPr="00054A5F">
        <w:rPr>
          <w:rFonts w:ascii="Arial" w:hAnsi="Arial" w:cs="Arial"/>
          <w:lang w:eastAsia="en-PH"/>
        </w:rPr>
        <w:t>Pañares</w:t>
      </w:r>
      <w:proofErr w:type="spellEnd"/>
      <w:r w:rsidRPr="00054A5F">
        <w:rPr>
          <w:rFonts w:ascii="Arial" w:hAnsi="Arial" w:cs="Arial"/>
          <w:lang w:eastAsia="en-PH"/>
        </w:rPr>
        <w:t xml:space="preserve"> Memorial National high School. The school is categorized as the biggest school in Barili. It has more than 100 teachers. The students are almost four thousand coming from different adjacent barangays near </w:t>
      </w:r>
      <w:proofErr w:type="spellStart"/>
      <w:r w:rsidRPr="00054A5F">
        <w:rPr>
          <w:rFonts w:ascii="Arial" w:hAnsi="Arial" w:cs="Arial"/>
          <w:lang w:eastAsia="en-PH"/>
        </w:rPr>
        <w:t>Poblacion</w:t>
      </w:r>
      <w:proofErr w:type="spellEnd"/>
      <w:r w:rsidRPr="00054A5F">
        <w:rPr>
          <w:rFonts w:ascii="Arial" w:hAnsi="Arial" w:cs="Arial"/>
          <w:lang w:eastAsia="en-PH"/>
        </w:rPr>
        <w:t xml:space="preserve"> including barangay San Rafael, </w:t>
      </w:r>
      <w:proofErr w:type="spellStart"/>
      <w:r w:rsidRPr="00054A5F">
        <w:rPr>
          <w:rFonts w:ascii="Arial" w:hAnsi="Arial" w:cs="Arial"/>
          <w:lang w:eastAsia="en-PH"/>
        </w:rPr>
        <w:t>Japitan</w:t>
      </w:r>
      <w:proofErr w:type="spellEnd"/>
      <w:r w:rsidRPr="00054A5F">
        <w:rPr>
          <w:rFonts w:ascii="Arial" w:hAnsi="Arial" w:cs="Arial"/>
          <w:lang w:eastAsia="en-PH"/>
        </w:rPr>
        <w:t xml:space="preserve">, Sta. Ana, Lopo, Loyo, Maghanoy, </w:t>
      </w:r>
      <w:proofErr w:type="spellStart"/>
      <w:r w:rsidRPr="00054A5F">
        <w:rPr>
          <w:rFonts w:ascii="Arial" w:hAnsi="Arial" w:cs="Arial"/>
          <w:lang w:eastAsia="en-PH"/>
        </w:rPr>
        <w:t>Nabunturan</w:t>
      </w:r>
      <w:proofErr w:type="spellEnd"/>
      <w:r w:rsidRPr="00054A5F">
        <w:rPr>
          <w:rFonts w:ascii="Arial" w:hAnsi="Arial" w:cs="Arial"/>
          <w:lang w:eastAsia="en-PH"/>
        </w:rPr>
        <w:t>.</w:t>
      </w:r>
    </w:p>
    <w:p w14:paraId="0041110D" w14:textId="77777777" w:rsidR="001E51D5" w:rsidRPr="00054A5F" w:rsidRDefault="001E51D5" w:rsidP="00441B6F">
      <w:pPr>
        <w:pStyle w:val="Body"/>
        <w:spacing w:after="0"/>
        <w:rPr>
          <w:rFonts w:ascii="Arial" w:hAnsi="Arial" w:cs="Arial"/>
        </w:rPr>
      </w:pPr>
    </w:p>
    <w:p w14:paraId="5B37CBEE" w14:textId="77777777" w:rsidR="001E51D5" w:rsidRPr="00054A5F" w:rsidRDefault="001E51D5" w:rsidP="001E51D5">
      <w:pPr>
        <w:pStyle w:val="MDPI21heading1"/>
        <w:spacing w:before="0" w:after="0" w:line="240" w:lineRule="auto"/>
        <w:ind w:left="0"/>
        <w:rPr>
          <w:rFonts w:ascii="Arial" w:hAnsi="Arial" w:cs="Arial"/>
          <w:szCs w:val="18"/>
        </w:rPr>
      </w:pPr>
      <w:r w:rsidRPr="00054A5F">
        <w:rPr>
          <w:rFonts w:ascii="Arial" w:hAnsi="Arial" w:cs="Arial"/>
          <w:szCs w:val="18"/>
        </w:rPr>
        <w:t>2.4. Respondents</w:t>
      </w:r>
    </w:p>
    <w:p w14:paraId="069749C0" w14:textId="77777777" w:rsidR="001E51D5" w:rsidRPr="00054A5F" w:rsidRDefault="001E51D5" w:rsidP="001E51D5">
      <w:pPr>
        <w:pStyle w:val="MDPI21heading1"/>
        <w:spacing w:before="0" w:after="0" w:line="240" w:lineRule="auto"/>
        <w:ind w:left="0"/>
        <w:rPr>
          <w:rFonts w:ascii="Arial" w:hAnsi="Arial" w:cs="Arial"/>
          <w:szCs w:val="18"/>
        </w:rPr>
      </w:pPr>
    </w:p>
    <w:p w14:paraId="74F4F5E8" w14:textId="77777777" w:rsidR="001E51D5" w:rsidRPr="00054A5F" w:rsidRDefault="001E51D5" w:rsidP="005C2B64">
      <w:pPr>
        <w:pStyle w:val="MDPI21heading1"/>
        <w:spacing w:before="0" w:after="0" w:line="240" w:lineRule="auto"/>
        <w:ind w:left="0"/>
        <w:rPr>
          <w:rFonts w:ascii="Arial" w:hAnsi="Arial" w:cs="Arial"/>
          <w:b w:val="0"/>
          <w:bCs/>
          <w:color w:val="1F1F1F"/>
          <w:lang w:eastAsia="en-PH"/>
        </w:rPr>
      </w:pPr>
      <w:r w:rsidRPr="00054A5F">
        <w:rPr>
          <w:rFonts w:ascii="Arial" w:hAnsi="Arial" w:cs="Arial"/>
          <w:b w:val="0"/>
          <w:bCs/>
          <w:color w:val="1F1F1F"/>
          <w:lang w:eastAsia="en-PH"/>
        </w:rPr>
        <w:t xml:space="preserve">The primary respondents for this study were the secondary school teachers of Bartolome and Manuela </w:t>
      </w:r>
      <w:proofErr w:type="spellStart"/>
      <w:r w:rsidRPr="00054A5F">
        <w:rPr>
          <w:rFonts w:ascii="Arial" w:hAnsi="Arial" w:cs="Arial"/>
          <w:b w:val="0"/>
          <w:bCs/>
          <w:color w:val="1F1F1F"/>
          <w:lang w:eastAsia="en-PH"/>
        </w:rPr>
        <w:t>Pañares</w:t>
      </w:r>
      <w:proofErr w:type="spellEnd"/>
      <w:r w:rsidRPr="00054A5F">
        <w:rPr>
          <w:rFonts w:ascii="Arial" w:hAnsi="Arial" w:cs="Arial"/>
          <w:b w:val="0"/>
          <w:bCs/>
          <w:color w:val="1F1F1F"/>
          <w:lang w:eastAsia="en-PH"/>
        </w:rPr>
        <w:t xml:space="preserve"> Memorial National High School. To ensure a comprehensive data set that reflects the diverse instructional landscape of the institution, the researcher employed total population sampling, initially targeting the entire faculty of 95 teachers. This sampling technique was chosen to eliminate sampling bias and provide a holistic view of the pedagogical and student-related determinants across all subject specializations and grade levels within the Junior High School department.</w:t>
      </w:r>
    </w:p>
    <w:p w14:paraId="748AB718" w14:textId="77777777" w:rsidR="005C2B64" w:rsidRPr="00054A5F" w:rsidRDefault="005C2B64" w:rsidP="005C2B64">
      <w:pPr>
        <w:pStyle w:val="MDPI21heading1"/>
        <w:spacing w:before="0" w:after="0" w:line="240" w:lineRule="auto"/>
        <w:ind w:left="0"/>
        <w:rPr>
          <w:rFonts w:ascii="Arial" w:hAnsi="Arial" w:cs="Arial"/>
          <w:b w:val="0"/>
          <w:bCs/>
          <w:color w:val="1F1F1F"/>
          <w:lang w:eastAsia="en-PH"/>
        </w:rPr>
      </w:pPr>
    </w:p>
    <w:p w14:paraId="089F10A1" w14:textId="77777777" w:rsidR="001E51D5" w:rsidRPr="00054A5F" w:rsidRDefault="001E51D5" w:rsidP="005C2B64">
      <w:pPr>
        <w:pStyle w:val="MDPI21heading1"/>
        <w:spacing w:before="0" w:after="0" w:line="240" w:lineRule="auto"/>
        <w:ind w:left="0"/>
        <w:rPr>
          <w:rFonts w:ascii="Arial" w:hAnsi="Arial" w:cs="Arial"/>
          <w:b w:val="0"/>
          <w:bCs/>
          <w:color w:val="1F1F1F"/>
          <w:lang w:eastAsia="en-PH"/>
        </w:rPr>
      </w:pPr>
      <w:r w:rsidRPr="00054A5F">
        <w:rPr>
          <w:rFonts w:ascii="Arial" w:hAnsi="Arial" w:cs="Arial"/>
          <w:b w:val="0"/>
          <w:bCs/>
          <w:color w:val="1F1F1F"/>
          <w:lang w:eastAsia="en-PH"/>
        </w:rPr>
        <w:t>Of the total population, 84 teachers voluntarily participated and successfully completed the research instrument via a Google Form questionnaire, representing an 88.42% response rate. This high participation rate provides a robust and representative data set for statistical analysis. It is important to note that the data</w:t>
      </w:r>
      <w:r w:rsidRPr="00054A5F">
        <w:rPr>
          <w:rFonts w:ascii="Arial" w:hAnsi="Arial" w:cs="Arial"/>
          <w:bCs/>
          <w:color w:val="1F1F1F"/>
          <w:lang w:eastAsia="en-PH"/>
        </w:rPr>
        <w:t xml:space="preserve"> </w:t>
      </w:r>
      <w:r w:rsidRPr="00054A5F">
        <w:rPr>
          <w:rFonts w:ascii="Arial" w:hAnsi="Arial" w:cs="Arial"/>
          <w:b w:val="0"/>
          <w:bCs/>
          <w:color w:val="1F1F1F"/>
          <w:lang w:eastAsia="en-PH"/>
        </w:rPr>
        <w:t xml:space="preserve">respondents were not coerced into answering. </w:t>
      </w:r>
      <w:r w:rsidRPr="00054A5F">
        <w:rPr>
          <w:rFonts w:ascii="Arial" w:hAnsi="Arial" w:cs="Arial"/>
          <w:b w:val="0"/>
          <w:bCs/>
          <w:color w:val="1F1F1F"/>
          <w:lang w:eastAsia="en-PH"/>
        </w:rPr>
        <w:lastRenderedPageBreak/>
        <w:t>Every participant was informed of their right to withdraw at any time, ensuring that the gathered data reflects the authentic, unforced professional insights of the teaching staff.</w:t>
      </w:r>
    </w:p>
    <w:p w14:paraId="594D9C2C" w14:textId="77777777" w:rsidR="001E51D5" w:rsidRPr="00054A5F" w:rsidRDefault="001E51D5" w:rsidP="001E51D5">
      <w:pPr>
        <w:rPr>
          <w:rFonts w:ascii="Arial" w:hAnsi="Arial" w:cs="Arial"/>
          <w:color w:val="1F1F1F"/>
          <w:lang w:eastAsia="en-PH"/>
        </w:rPr>
      </w:pPr>
    </w:p>
    <w:p w14:paraId="116D19DB" w14:textId="77777777" w:rsidR="001E51D5" w:rsidRPr="00054A5F" w:rsidRDefault="001E51D5" w:rsidP="001E51D5">
      <w:pPr>
        <w:rPr>
          <w:rFonts w:ascii="Arial" w:hAnsi="Arial" w:cs="Arial"/>
          <w:b/>
          <w:bCs/>
          <w:color w:val="1F1F1F"/>
          <w:sz w:val="24"/>
          <w:szCs w:val="24"/>
          <w:lang w:eastAsia="en-PH"/>
        </w:rPr>
      </w:pPr>
      <w:r w:rsidRPr="00054A5F">
        <w:rPr>
          <w:rFonts w:ascii="Arial" w:hAnsi="Arial" w:cs="Arial"/>
          <w:b/>
          <w:bCs/>
          <w:color w:val="1F1F1F"/>
          <w:lang w:eastAsia="en-PH"/>
        </w:rPr>
        <w:t>Table 1. Distribution of the Respondents</w:t>
      </w:r>
    </w:p>
    <w:tbl>
      <w:tblPr>
        <w:tblW w:w="0" w:type="auto"/>
        <w:tblLook w:val="04A0" w:firstRow="1" w:lastRow="0" w:firstColumn="1" w:lastColumn="0" w:noHBand="0" w:noVBand="1"/>
      </w:tblPr>
      <w:tblGrid>
        <w:gridCol w:w="1484"/>
        <w:gridCol w:w="2250"/>
        <w:gridCol w:w="2461"/>
        <w:gridCol w:w="2013"/>
      </w:tblGrid>
      <w:tr w:rsidR="001E51D5" w:rsidRPr="00054A5F" w14:paraId="7C85AB4D" w14:textId="77777777" w:rsidTr="001E51D5">
        <w:trPr>
          <w:trHeight w:val="240"/>
        </w:trPr>
        <w:tc>
          <w:tcPr>
            <w:tcW w:w="0" w:type="auto"/>
            <w:tcBorders>
              <w:top w:val="single" w:sz="4" w:space="0" w:color="auto"/>
              <w:bottom w:val="single" w:sz="4" w:space="0" w:color="auto"/>
            </w:tcBorders>
            <w:vAlign w:val="center"/>
            <w:hideMark/>
          </w:tcPr>
          <w:p w14:paraId="2185A02E" w14:textId="77777777" w:rsidR="001E51D5" w:rsidRPr="00054A5F" w:rsidRDefault="001E51D5" w:rsidP="001E51D5">
            <w:pPr>
              <w:rPr>
                <w:rFonts w:ascii="Arial" w:hAnsi="Arial" w:cs="Arial"/>
                <w:b/>
                <w:bCs/>
                <w:color w:val="1F1F1F"/>
                <w:lang w:eastAsia="en-PH"/>
              </w:rPr>
            </w:pPr>
            <w:r w:rsidRPr="00054A5F">
              <w:rPr>
                <w:rFonts w:ascii="Arial" w:hAnsi="Arial" w:cs="Arial"/>
                <w:b/>
                <w:bCs/>
                <w:color w:val="1F1F1F"/>
                <w:lang w:eastAsia="en-PH"/>
              </w:rPr>
              <w:t>Respondents</w:t>
            </w:r>
          </w:p>
        </w:tc>
        <w:tc>
          <w:tcPr>
            <w:tcW w:w="0" w:type="auto"/>
            <w:tcBorders>
              <w:top w:val="single" w:sz="4" w:space="0" w:color="auto"/>
              <w:bottom w:val="single" w:sz="4" w:space="0" w:color="auto"/>
            </w:tcBorders>
            <w:vAlign w:val="center"/>
            <w:hideMark/>
          </w:tcPr>
          <w:p w14:paraId="1E5ED257" w14:textId="77777777" w:rsidR="001E51D5" w:rsidRPr="00054A5F" w:rsidRDefault="001E51D5" w:rsidP="001E51D5">
            <w:pPr>
              <w:jc w:val="center"/>
              <w:rPr>
                <w:rFonts w:ascii="Arial" w:hAnsi="Arial" w:cs="Arial"/>
                <w:b/>
                <w:bCs/>
                <w:color w:val="1F1F1F"/>
                <w:lang w:eastAsia="en-PH"/>
              </w:rPr>
            </w:pPr>
            <w:r w:rsidRPr="00054A5F">
              <w:rPr>
                <w:rFonts w:ascii="Arial" w:hAnsi="Arial" w:cs="Arial"/>
                <w:b/>
                <w:bCs/>
                <w:color w:val="1F1F1F"/>
                <w:lang w:eastAsia="en-PH"/>
              </w:rPr>
              <w:t>Target Population (N)</w:t>
            </w:r>
          </w:p>
        </w:tc>
        <w:tc>
          <w:tcPr>
            <w:tcW w:w="0" w:type="auto"/>
            <w:tcBorders>
              <w:top w:val="single" w:sz="4" w:space="0" w:color="auto"/>
              <w:bottom w:val="single" w:sz="4" w:space="0" w:color="auto"/>
            </w:tcBorders>
            <w:vAlign w:val="center"/>
            <w:hideMark/>
          </w:tcPr>
          <w:p w14:paraId="36B80DFA" w14:textId="77777777" w:rsidR="001E51D5" w:rsidRPr="00054A5F" w:rsidRDefault="001E51D5" w:rsidP="001E51D5">
            <w:pPr>
              <w:jc w:val="center"/>
              <w:rPr>
                <w:rFonts w:ascii="Arial" w:hAnsi="Arial" w:cs="Arial"/>
                <w:b/>
                <w:bCs/>
                <w:color w:val="1F1F1F"/>
                <w:lang w:eastAsia="en-PH"/>
              </w:rPr>
            </w:pPr>
            <w:r w:rsidRPr="00054A5F">
              <w:rPr>
                <w:rFonts w:ascii="Arial" w:hAnsi="Arial" w:cs="Arial"/>
                <w:b/>
                <w:bCs/>
                <w:color w:val="1F1F1F"/>
                <w:lang w:eastAsia="en-PH"/>
              </w:rPr>
              <w:t>Actual Respondents (n)</w:t>
            </w:r>
          </w:p>
        </w:tc>
        <w:tc>
          <w:tcPr>
            <w:tcW w:w="2013" w:type="dxa"/>
            <w:tcBorders>
              <w:top w:val="single" w:sz="4" w:space="0" w:color="auto"/>
              <w:bottom w:val="single" w:sz="4" w:space="0" w:color="auto"/>
            </w:tcBorders>
            <w:vAlign w:val="center"/>
            <w:hideMark/>
          </w:tcPr>
          <w:p w14:paraId="4DFCF667" w14:textId="77777777" w:rsidR="001E51D5" w:rsidRPr="00054A5F" w:rsidRDefault="001E51D5" w:rsidP="001E51D5">
            <w:pPr>
              <w:jc w:val="center"/>
              <w:rPr>
                <w:rFonts w:ascii="Arial" w:hAnsi="Arial" w:cs="Arial"/>
                <w:b/>
                <w:bCs/>
                <w:color w:val="1F1F1F"/>
                <w:lang w:eastAsia="en-PH"/>
              </w:rPr>
            </w:pPr>
            <w:r w:rsidRPr="00054A5F">
              <w:rPr>
                <w:rFonts w:ascii="Arial" w:hAnsi="Arial" w:cs="Arial"/>
                <w:b/>
                <w:bCs/>
                <w:color w:val="1F1F1F"/>
                <w:lang w:eastAsia="en-PH"/>
              </w:rPr>
              <w:t>Percentage (%)</w:t>
            </w:r>
          </w:p>
        </w:tc>
      </w:tr>
      <w:tr w:rsidR="001E51D5" w:rsidRPr="00054A5F" w14:paraId="025A620F" w14:textId="77777777" w:rsidTr="001E51D5">
        <w:trPr>
          <w:trHeight w:val="240"/>
        </w:trPr>
        <w:tc>
          <w:tcPr>
            <w:tcW w:w="0" w:type="auto"/>
            <w:tcBorders>
              <w:top w:val="single" w:sz="4" w:space="0" w:color="auto"/>
              <w:bottom w:val="single" w:sz="4" w:space="0" w:color="auto"/>
            </w:tcBorders>
            <w:vAlign w:val="center"/>
            <w:hideMark/>
          </w:tcPr>
          <w:p w14:paraId="2F0999AB" w14:textId="77777777" w:rsidR="001E51D5" w:rsidRPr="00054A5F" w:rsidRDefault="001E51D5" w:rsidP="001E51D5">
            <w:pPr>
              <w:rPr>
                <w:rFonts w:ascii="Arial" w:hAnsi="Arial" w:cs="Arial"/>
                <w:color w:val="1F1F1F"/>
                <w:lang w:eastAsia="en-PH"/>
              </w:rPr>
            </w:pPr>
            <w:r w:rsidRPr="00054A5F">
              <w:rPr>
                <w:rFonts w:ascii="Arial" w:hAnsi="Arial" w:cs="Arial"/>
                <w:color w:val="1F1F1F"/>
                <w:lang w:eastAsia="en-PH"/>
              </w:rPr>
              <w:t>JHS Teachers</w:t>
            </w:r>
          </w:p>
        </w:tc>
        <w:tc>
          <w:tcPr>
            <w:tcW w:w="0" w:type="auto"/>
            <w:tcBorders>
              <w:top w:val="single" w:sz="4" w:space="0" w:color="auto"/>
              <w:bottom w:val="single" w:sz="4" w:space="0" w:color="auto"/>
            </w:tcBorders>
            <w:vAlign w:val="center"/>
            <w:hideMark/>
          </w:tcPr>
          <w:p w14:paraId="1E58EFCB" w14:textId="77777777" w:rsidR="001E51D5" w:rsidRPr="00054A5F" w:rsidRDefault="001E51D5" w:rsidP="001E51D5">
            <w:pPr>
              <w:jc w:val="center"/>
              <w:rPr>
                <w:rFonts w:ascii="Arial" w:hAnsi="Arial" w:cs="Arial"/>
                <w:color w:val="1F1F1F"/>
                <w:lang w:eastAsia="en-PH"/>
              </w:rPr>
            </w:pPr>
            <w:r w:rsidRPr="00054A5F">
              <w:rPr>
                <w:rFonts w:ascii="Arial" w:hAnsi="Arial" w:cs="Arial"/>
                <w:color w:val="1F1F1F"/>
                <w:lang w:eastAsia="en-PH"/>
              </w:rPr>
              <w:t>95</w:t>
            </w:r>
          </w:p>
        </w:tc>
        <w:tc>
          <w:tcPr>
            <w:tcW w:w="0" w:type="auto"/>
            <w:tcBorders>
              <w:top w:val="single" w:sz="4" w:space="0" w:color="auto"/>
              <w:bottom w:val="single" w:sz="4" w:space="0" w:color="auto"/>
            </w:tcBorders>
            <w:vAlign w:val="center"/>
            <w:hideMark/>
          </w:tcPr>
          <w:p w14:paraId="54F3FAD6" w14:textId="77777777" w:rsidR="001E51D5" w:rsidRPr="00054A5F" w:rsidRDefault="001E51D5" w:rsidP="001E51D5">
            <w:pPr>
              <w:jc w:val="center"/>
              <w:rPr>
                <w:rFonts w:ascii="Arial" w:hAnsi="Arial" w:cs="Arial"/>
                <w:color w:val="1F1F1F"/>
                <w:lang w:eastAsia="en-PH"/>
              </w:rPr>
            </w:pPr>
            <w:r w:rsidRPr="00054A5F">
              <w:rPr>
                <w:rFonts w:ascii="Arial" w:hAnsi="Arial" w:cs="Arial"/>
                <w:color w:val="1F1F1F"/>
                <w:lang w:eastAsia="en-PH"/>
              </w:rPr>
              <w:t>84</w:t>
            </w:r>
          </w:p>
        </w:tc>
        <w:tc>
          <w:tcPr>
            <w:tcW w:w="2013" w:type="dxa"/>
            <w:tcBorders>
              <w:top w:val="single" w:sz="4" w:space="0" w:color="auto"/>
              <w:bottom w:val="single" w:sz="4" w:space="0" w:color="auto"/>
            </w:tcBorders>
            <w:vAlign w:val="center"/>
            <w:hideMark/>
          </w:tcPr>
          <w:p w14:paraId="2EEAD782" w14:textId="77777777" w:rsidR="001E51D5" w:rsidRPr="00054A5F" w:rsidRDefault="001E51D5" w:rsidP="001E51D5">
            <w:pPr>
              <w:jc w:val="center"/>
              <w:rPr>
                <w:rFonts w:ascii="Arial" w:hAnsi="Arial" w:cs="Arial"/>
                <w:color w:val="1F1F1F"/>
                <w:lang w:eastAsia="en-PH"/>
              </w:rPr>
            </w:pPr>
            <w:r w:rsidRPr="00054A5F">
              <w:rPr>
                <w:rFonts w:ascii="Arial" w:hAnsi="Arial" w:cs="Arial"/>
                <w:color w:val="1F1F1F"/>
                <w:lang w:eastAsia="en-PH"/>
              </w:rPr>
              <w:t>88.42%</w:t>
            </w:r>
          </w:p>
        </w:tc>
      </w:tr>
      <w:tr w:rsidR="001E51D5" w:rsidRPr="00054A5F" w14:paraId="4DAE4DAC" w14:textId="77777777" w:rsidTr="001E51D5">
        <w:trPr>
          <w:trHeight w:val="240"/>
        </w:trPr>
        <w:tc>
          <w:tcPr>
            <w:tcW w:w="0" w:type="auto"/>
            <w:tcBorders>
              <w:top w:val="single" w:sz="4" w:space="0" w:color="auto"/>
              <w:bottom w:val="single" w:sz="4" w:space="0" w:color="auto"/>
            </w:tcBorders>
            <w:vAlign w:val="center"/>
            <w:hideMark/>
          </w:tcPr>
          <w:p w14:paraId="60708608" w14:textId="77777777" w:rsidR="001E51D5" w:rsidRPr="00054A5F" w:rsidRDefault="001E51D5" w:rsidP="001E51D5">
            <w:pPr>
              <w:rPr>
                <w:rFonts w:ascii="Arial" w:hAnsi="Arial" w:cs="Arial"/>
                <w:b/>
                <w:bCs/>
                <w:color w:val="1F1F1F"/>
                <w:lang w:eastAsia="en-PH"/>
              </w:rPr>
            </w:pPr>
            <w:r w:rsidRPr="00054A5F">
              <w:rPr>
                <w:rFonts w:ascii="Arial" w:hAnsi="Arial" w:cs="Arial"/>
                <w:b/>
                <w:bCs/>
                <w:color w:val="1F1F1F"/>
                <w:lang w:eastAsia="en-PH"/>
              </w:rPr>
              <w:t>Total</w:t>
            </w:r>
          </w:p>
        </w:tc>
        <w:tc>
          <w:tcPr>
            <w:tcW w:w="0" w:type="auto"/>
            <w:tcBorders>
              <w:top w:val="single" w:sz="4" w:space="0" w:color="auto"/>
              <w:bottom w:val="single" w:sz="4" w:space="0" w:color="auto"/>
            </w:tcBorders>
            <w:vAlign w:val="center"/>
            <w:hideMark/>
          </w:tcPr>
          <w:p w14:paraId="57D2BDAB" w14:textId="77777777" w:rsidR="001E51D5" w:rsidRPr="00054A5F" w:rsidRDefault="001E51D5" w:rsidP="001E51D5">
            <w:pPr>
              <w:jc w:val="center"/>
              <w:rPr>
                <w:rFonts w:ascii="Arial" w:hAnsi="Arial" w:cs="Arial"/>
                <w:b/>
                <w:bCs/>
                <w:color w:val="1F1F1F"/>
                <w:lang w:eastAsia="en-PH"/>
              </w:rPr>
            </w:pPr>
            <w:r w:rsidRPr="00054A5F">
              <w:rPr>
                <w:rFonts w:ascii="Arial" w:hAnsi="Arial" w:cs="Arial"/>
                <w:b/>
                <w:bCs/>
                <w:color w:val="1F1F1F"/>
                <w:lang w:eastAsia="en-PH"/>
              </w:rPr>
              <w:t>95</w:t>
            </w:r>
          </w:p>
        </w:tc>
        <w:tc>
          <w:tcPr>
            <w:tcW w:w="0" w:type="auto"/>
            <w:tcBorders>
              <w:top w:val="single" w:sz="4" w:space="0" w:color="auto"/>
              <w:bottom w:val="single" w:sz="4" w:space="0" w:color="auto"/>
            </w:tcBorders>
            <w:vAlign w:val="center"/>
            <w:hideMark/>
          </w:tcPr>
          <w:p w14:paraId="4AC33504" w14:textId="77777777" w:rsidR="001E51D5" w:rsidRPr="00054A5F" w:rsidRDefault="001E51D5" w:rsidP="001E51D5">
            <w:pPr>
              <w:jc w:val="center"/>
              <w:rPr>
                <w:rFonts w:ascii="Arial" w:hAnsi="Arial" w:cs="Arial"/>
                <w:b/>
                <w:bCs/>
                <w:color w:val="1F1F1F"/>
                <w:lang w:eastAsia="en-PH"/>
              </w:rPr>
            </w:pPr>
            <w:r w:rsidRPr="00054A5F">
              <w:rPr>
                <w:rFonts w:ascii="Arial" w:hAnsi="Arial" w:cs="Arial"/>
                <w:b/>
                <w:bCs/>
                <w:color w:val="1F1F1F"/>
                <w:lang w:eastAsia="en-PH"/>
              </w:rPr>
              <w:t>84</w:t>
            </w:r>
          </w:p>
        </w:tc>
        <w:tc>
          <w:tcPr>
            <w:tcW w:w="2013" w:type="dxa"/>
            <w:tcBorders>
              <w:top w:val="single" w:sz="4" w:space="0" w:color="auto"/>
              <w:bottom w:val="single" w:sz="4" w:space="0" w:color="auto"/>
            </w:tcBorders>
            <w:vAlign w:val="center"/>
            <w:hideMark/>
          </w:tcPr>
          <w:p w14:paraId="3DD5C9DF" w14:textId="77777777" w:rsidR="001E51D5" w:rsidRPr="00054A5F" w:rsidRDefault="001E51D5" w:rsidP="001E51D5">
            <w:pPr>
              <w:jc w:val="center"/>
              <w:rPr>
                <w:rFonts w:ascii="Arial" w:hAnsi="Arial" w:cs="Arial"/>
                <w:b/>
                <w:bCs/>
                <w:color w:val="1F1F1F"/>
                <w:lang w:eastAsia="en-PH"/>
              </w:rPr>
            </w:pPr>
            <w:r w:rsidRPr="00054A5F">
              <w:rPr>
                <w:rFonts w:ascii="Arial" w:hAnsi="Arial" w:cs="Arial"/>
                <w:b/>
                <w:bCs/>
                <w:color w:val="1F1F1F"/>
                <w:lang w:eastAsia="en-PH"/>
              </w:rPr>
              <w:t>88.42%</w:t>
            </w:r>
          </w:p>
        </w:tc>
      </w:tr>
    </w:tbl>
    <w:p w14:paraId="32E69B46" w14:textId="77777777" w:rsidR="001E51D5" w:rsidRPr="00054A5F" w:rsidRDefault="001E51D5" w:rsidP="001E51D5">
      <w:pPr>
        <w:pStyle w:val="Body"/>
        <w:spacing w:after="0"/>
        <w:rPr>
          <w:rFonts w:ascii="Arial" w:hAnsi="Arial" w:cs="Arial"/>
        </w:rPr>
      </w:pPr>
    </w:p>
    <w:p w14:paraId="53DF9376" w14:textId="77777777" w:rsidR="001E51D5" w:rsidRPr="00054A5F" w:rsidRDefault="001E51D5" w:rsidP="001E51D5">
      <w:pPr>
        <w:rPr>
          <w:rFonts w:ascii="Arial" w:hAnsi="Arial" w:cs="Arial"/>
          <w:b/>
          <w:bCs/>
          <w:color w:val="1F1F1F"/>
          <w:lang w:eastAsia="en-PH"/>
        </w:rPr>
      </w:pPr>
      <w:r w:rsidRPr="00054A5F">
        <w:rPr>
          <w:rFonts w:ascii="Arial" w:hAnsi="Arial" w:cs="Arial"/>
          <w:b/>
          <w:bCs/>
          <w:color w:val="1F1F1F"/>
          <w:lang w:eastAsia="en-PH"/>
        </w:rPr>
        <w:t>2.5 Instruments</w:t>
      </w:r>
    </w:p>
    <w:p w14:paraId="4328F733" w14:textId="77777777" w:rsidR="00A44D52" w:rsidRPr="00054A5F" w:rsidRDefault="00A44D52" w:rsidP="00A44D52">
      <w:pPr>
        <w:jc w:val="both"/>
        <w:rPr>
          <w:rFonts w:ascii="Arial" w:hAnsi="Arial" w:cs="Arial"/>
          <w:b/>
          <w:bCs/>
          <w:color w:val="1F1F1F"/>
          <w:lang w:eastAsia="en-PH"/>
        </w:rPr>
      </w:pPr>
    </w:p>
    <w:p w14:paraId="15A0377F" w14:textId="77777777" w:rsidR="001E51D5" w:rsidRPr="00054A5F" w:rsidRDefault="001E51D5" w:rsidP="00A44D52">
      <w:pPr>
        <w:jc w:val="both"/>
        <w:rPr>
          <w:rFonts w:ascii="Arial" w:hAnsi="Arial" w:cs="Arial"/>
          <w:color w:val="1F1F1F"/>
          <w:lang w:eastAsia="en-PH"/>
        </w:rPr>
      </w:pPr>
      <w:r w:rsidRPr="00054A5F">
        <w:rPr>
          <w:rFonts w:ascii="Arial" w:hAnsi="Arial" w:cs="Arial"/>
          <w:color w:val="1F1F1F"/>
          <w:lang w:eastAsia="en-PH"/>
        </w:rPr>
        <w:t xml:space="preserve">The instrument used in this study is a </w:t>
      </w:r>
      <w:r w:rsidRPr="00054A5F">
        <w:rPr>
          <w:rFonts w:ascii="Arial" w:hAnsi="Arial" w:cs="Arial"/>
          <w:color w:val="1F1F1F"/>
          <w:bdr w:val="none" w:sz="0" w:space="0" w:color="auto" w:frame="1"/>
          <w:lang w:eastAsia="en-PH"/>
        </w:rPr>
        <w:t>researcher-developed questionnaire</w:t>
      </w:r>
      <w:r w:rsidRPr="00054A5F">
        <w:rPr>
          <w:rFonts w:ascii="Arial" w:hAnsi="Arial" w:cs="Arial"/>
          <w:color w:val="1F1F1F"/>
          <w:lang w:eastAsia="en-PH"/>
        </w:rPr>
        <w:t xml:space="preserve">, designed with the </w:t>
      </w:r>
      <w:r w:rsidRPr="00054A5F">
        <w:rPr>
          <w:rFonts w:ascii="Arial" w:hAnsi="Arial" w:cs="Arial"/>
          <w:color w:val="1F1F1F"/>
          <w:bdr w:val="none" w:sz="0" w:space="0" w:color="auto" w:frame="1"/>
          <w:lang w:eastAsia="en-PH"/>
        </w:rPr>
        <w:t>assistance of Artificial Intelligence</w:t>
      </w:r>
      <w:r w:rsidRPr="00054A5F">
        <w:rPr>
          <w:rFonts w:ascii="Arial" w:hAnsi="Arial" w:cs="Arial"/>
          <w:color w:val="1F1F1F"/>
          <w:lang w:eastAsia="en-PH"/>
        </w:rPr>
        <w:t xml:space="preserve"> to ensure comprehensive coverage of the research objectives. Prior to data gathering, the instrument underwent rigorous </w:t>
      </w:r>
      <w:r w:rsidRPr="00054A5F">
        <w:rPr>
          <w:rFonts w:ascii="Arial" w:hAnsi="Arial" w:cs="Arial"/>
          <w:color w:val="1F1F1F"/>
          <w:bdr w:val="none" w:sz="0" w:space="0" w:color="auto" w:frame="1"/>
          <w:lang w:eastAsia="en-PH"/>
        </w:rPr>
        <w:t>content and language validation</w:t>
      </w:r>
      <w:r w:rsidRPr="00054A5F">
        <w:rPr>
          <w:rFonts w:ascii="Arial" w:hAnsi="Arial" w:cs="Arial"/>
          <w:color w:val="1F1F1F"/>
          <w:lang w:eastAsia="en-PH"/>
        </w:rPr>
        <w:t xml:space="preserve"> by a panel of experts and was subjected to a </w:t>
      </w:r>
      <w:r w:rsidRPr="00054A5F">
        <w:rPr>
          <w:rFonts w:ascii="Arial" w:hAnsi="Arial" w:cs="Arial"/>
          <w:color w:val="1F1F1F"/>
          <w:bdr w:val="none" w:sz="0" w:space="0" w:color="auto" w:frame="1"/>
          <w:lang w:eastAsia="en-PH"/>
        </w:rPr>
        <w:t>pilot test</w:t>
      </w:r>
      <w:r w:rsidRPr="00054A5F">
        <w:rPr>
          <w:rFonts w:ascii="Arial" w:hAnsi="Arial" w:cs="Arial"/>
          <w:color w:val="1F1F1F"/>
          <w:lang w:eastAsia="en-PH"/>
        </w:rPr>
        <w:t xml:space="preserve"> to ensure its clarity and suitability for the respondents. The reliability statistics from this pilot test reveal an </w:t>
      </w:r>
      <w:r w:rsidRPr="00054A5F">
        <w:rPr>
          <w:rFonts w:ascii="Arial" w:hAnsi="Arial" w:cs="Arial"/>
          <w:color w:val="1F1F1F"/>
          <w:bdr w:val="none" w:sz="0" w:space="0" w:color="auto" w:frame="1"/>
          <w:lang w:eastAsia="en-PH"/>
        </w:rPr>
        <w:t>excellent level of internal consistency</w:t>
      </w:r>
      <w:r w:rsidRPr="00054A5F">
        <w:rPr>
          <w:rFonts w:ascii="Arial" w:hAnsi="Arial" w:cs="Arial"/>
          <w:color w:val="1F1F1F"/>
          <w:lang w:eastAsia="en-PH"/>
        </w:rPr>
        <w:t xml:space="preserve"> across all 55 items. The </w:t>
      </w:r>
      <w:r w:rsidRPr="00054A5F">
        <w:rPr>
          <w:rFonts w:ascii="Arial" w:hAnsi="Arial" w:cs="Arial"/>
          <w:color w:val="1F1F1F"/>
          <w:bdr w:val="none" w:sz="0" w:space="0" w:color="auto" w:frame="1"/>
          <w:lang w:eastAsia="en-PH"/>
        </w:rPr>
        <w:t>overall Cronbach’s Alpha of 0.971</w:t>
      </w:r>
      <w:r w:rsidRPr="00054A5F">
        <w:rPr>
          <w:rFonts w:ascii="Arial" w:hAnsi="Arial" w:cs="Arial"/>
          <w:color w:val="1F1F1F"/>
          <w:lang w:eastAsia="en-PH"/>
        </w:rPr>
        <w:t xml:space="preserve"> indicates strong reliability, with individual domains—Pedagogical Determinants (0.898), Student-Related Determinants (0.950), and Learning Retention (0.944)—all demonstrating high stability. Structurally, the questionnaire was meticulously organized into five distinct sections to address the Statement of the Problem. </w:t>
      </w:r>
      <w:r w:rsidRPr="00054A5F">
        <w:rPr>
          <w:rFonts w:ascii="Arial" w:hAnsi="Arial" w:cs="Arial"/>
          <w:color w:val="1F1F1F"/>
          <w:bdr w:val="none" w:sz="0" w:space="0" w:color="auto" w:frame="1"/>
          <w:lang w:eastAsia="en-PH"/>
        </w:rPr>
        <w:t>Part I</w:t>
      </w:r>
      <w:r w:rsidRPr="00054A5F">
        <w:rPr>
          <w:rFonts w:ascii="Arial" w:hAnsi="Arial" w:cs="Arial"/>
          <w:color w:val="1F1F1F"/>
          <w:lang w:eastAsia="en-PH"/>
        </w:rPr>
        <w:t xml:space="preserve"> gathered the demographic profile of the teacher-respondents, including age, sex, years of teaching experience, educational attainment, and subject specialization. </w:t>
      </w:r>
      <w:r w:rsidRPr="00054A5F">
        <w:rPr>
          <w:rFonts w:ascii="Arial" w:hAnsi="Arial" w:cs="Arial"/>
          <w:color w:val="1F1F1F"/>
          <w:bdr w:val="none" w:sz="0" w:space="0" w:color="auto" w:frame="1"/>
          <w:lang w:eastAsia="en-PH"/>
        </w:rPr>
        <w:t>Part II</w:t>
      </w:r>
      <w:r w:rsidRPr="00054A5F">
        <w:rPr>
          <w:rFonts w:ascii="Arial" w:hAnsi="Arial" w:cs="Arial"/>
          <w:color w:val="1F1F1F"/>
          <w:lang w:eastAsia="en-PH"/>
        </w:rPr>
        <w:t xml:space="preserve"> measured the level of pedagogical determinants, specifically focusing on active learning strategies, instructional multimedia, formative assessments, and differentiated instruction. </w:t>
      </w:r>
      <w:r w:rsidRPr="00054A5F">
        <w:rPr>
          <w:rFonts w:ascii="Arial" w:hAnsi="Arial" w:cs="Arial"/>
          <w:color w:val="1F1F1F"/>
          <w:bdr w:val="none" w:sz="0" w:space="0" w:color="auto" w:frame="1"/>
          <w:lang w:eastAsia="en-PH"/>
        </w:rPr>
        <w:t>Part III</w:t>
      </w:r>
      <w:r w:rsidRPr="00054A5F">
        <w:rPr>
          <w:rFonts w:ascii="Arial" w:hAnsi="Arial" w:cs="Arial"/>
          <w:color w:val="1F1F1F"/>
          <w:lang w:eastAsia="en-PH"/>
        </w:rPr>
        <w:t xml:space="preserve"> shifted the focus to student-related determinants as perceived by teachers, evaluating prior knowledge, intrinsic motivation, study habits, and attention span. </w:t>
      </w:r>
      <w:r w:rsidRPr="00054A5F">
        <w:rPr>
          <w:rFonts w:ascii="Arial" w:hAnsi="Arial" w:cs="Arial"/>
          <w:color w:val="1F1F1F"/>
          <w:bdr w:val="none" w:sz="0" w:space="0" w:color="auto" w:frame="1"/>
          <w:lang w:eastAsia="en-PH"/>
        </w:rPr>
        <w:t>Part IV</w:t>
      </w:r>
      <w:r w:rsidRPr="00054A5F">
        <w:rPr>
          <w:rFonts w:ascii="Arial" w:hAnsi="Arial" w:cs="Arial"/>
          <w:color w:val="1F1F1F"/>
          <w:lang w:eastAsia="en-PH"/>
        </w:rPr>
        <w:t xml:space="preserve"> assessed the dependent variable, student learning retention, through knowledge recall, conceptual understanding, and the application of skills. Finally, </w:t>
      </w:r>
      <w:r w:rsidRPr="00054A5F">
        <w:rPr>
          <w:rFonts w:ascii="Arial" w:hAnsi="Arial" w:cs="Arial"/>
          <w:color w:val="1F1F1F"/>
          <w:bdr w:val="none" w:sz="0" w:space="0" w:color="auto" w:frame="1"/>
          <w:lang w:eastAsia="en-PH"/>
        </w:rPr>
        <w:t>Part V</w:t>
      </w:r>
      <w:r w:rsidRPr="00054A5F">
        <w:rPr>
          <w:rFonts w:ascii="Arial" w:hAnsi="Arial" w:cs="Arial"/>
          <w:color w:val="1F1F1F"/>
          <w:lang w:eastAsia="en-PH"/>
        </w:rPr>
        <w:t xml:space="preserve"> utilized a checklist and open-ended format to identify the challenges teachers encountered in implementing retention-enhancing strategies. To ensure precision, the instrument employed a </w:t>
      </w:r>
      <w:r w:rsidRPr="00054A5F">
        <w:rPr>
          <w:rFonts w:ascii="Arial" w:hAnsi="Arial" w:cs="Arial"/>
          <w:color w:val="1F1F1F"/>
          <w:bdr w:val="none" w:sz="0" w:space="0" w:color="auto" w:frame="1"/>
          <w:lang w:eastAsia="en-PH"/>
        </w:rPr>
        <w:t>5-point Likert scale</w:t>
      </w:r>
      <w:r w:rsidRPr="00054A5F">
        <w:rPr>
          <w:rFonts w:ascii="Arial" w:hAnsi="Arial" w:cs="Arial"/>
          <w:color w:val="1F1F1F"/>
          <w:lang w:eastAsia="en-PH"/>
        </w:rPr>
        <w:t xml:space="preserve">, providing the empirical basis for the proposed </w:t>
      </w:r>
      <w:r w:rsidRPr="00054A5F">
        <w:rPr>
          <w:rFonts w:ascii="Arial" w:hAnsi="Arial" w:cs="Arial"/>
          <w:color w:val="1F1F1F"/>
          <w:bdr w:val="none" w:sz="0" w:space="0" w:color="auto" w:frame="1"/>
          <w:lang w:eastAsia="en-PH"/>
        </w:rPr>
        <w:t>Learning Retention Enhancement Program</w:t>
      </w:r>
      <w:r w:rsidRPr="00054A5F">
        <w:rPr>
          <w:rFonts w:ascii="Arial" w:hAnsi="Arial" w:cs="Arial"/>
          <w:color w:val="1F1F1F"/>
          <w:lang w:eastAsia="en-PH"/>
        </w:rPr>
        <w:t xml:space="preserve"> at Bartolome and Manuela </w:t>
      </w:r>
      <w:proofErr w:type="spellStart"/>
      <w:r w:rsidRPr="00054A5F">
        <w:rPr>
          <w:rFonts w:ascii="Arial" w:hAnsi="Arial" w:cs="Arial"/>
          <w:color w:val="1F1F1F"/>
          <w:lang w:eastAsia="en-PH"/>
        </w:rPr>
        <w:t>Pañares</w:t>
      </w:r>
      <w:proofErr w:type="spellEnd"/>
      <w:r w:rsidRPr="00054A5F">
        <w:rPr>
          <w:rFonts w:ascii="Arial" w:hAnsi="Arial" w:cs="Arial"/>
          <w:color w:val="1F1F1F"/>
          <w:lang w:eastAsia="en-PH"/>
        </w:rPr>
        <w:t xml:space="preserve"> Memorial National High School.</w:t>
      </w:r>
    </w:p>
    <w:p w14:paraId="3E7DC00E" w14:textId="77777777" w:rsidR="001E51D5" w:rsidRPr="00054A5F" w:rsidRDefault="001E51D5" w:rsidP="001E51D5">
      <w:pPr>
        <w:rPr>
          <w:rFonts w:ascii="Arial" w:hAnsi="Arial" w:cs="Arial"/>
          <w:i/>
          <w:iCs/>
          <w:color w:val="1F1F1F"/>
          <w:lang w:eastAsia="en-PH"/>
        </w:rPr>
      </w:pPr>
    </w:p>
    <w:p w14:paraId="793DA669" w14:textId="77777777" w:rsidR="001E51D5" w:rsidRPr="00054A5F" w:rsidRDefault="001E51D5" w:rsidP="001E51D5">
      <w:pPr>
        <w:rPr>
          <w:rFonts w:ascii="Arial" w:hAnsi="Arial" w:cs="Arial"/>
          <w:b/>
          <w:bCs/>
          <w:color w:val="1F1F1F"/>
          <w:lang w:eastAsia="en-PH"/>
        </w:rPr>
      </w:pPr>
      <w:r w:rsidRPr="00054A5F">
        <w:rPr>
          <w:rFonts w:ascii="Arial" w:hAnsi="Arial" w:cs="Arial"/>
          <w:b/>
          <w:bCs/>
          <w:color w:val="1F1F1F"/>
          <w:lang w:eastAsia="en-PH"/>
        </w:rPr>
        <w:t>2.6. Data Gathering Procedure</w:t>
      </w:r>
    </w:p>
    <w:p w14:paraId="4D25F55E" w14:textId="77777777" w:rsidR="00A44D52" w:rsidRPr="00054A5F" w:rsidRDefault="00A44D52" w:rsidP="00A44D52">
      <w:pPr>
        <w:jc w:val="both"/>
        <w:rPr>
          <w:rFonts w:ascii="Arial" w:hAnsi="Arial" w:cs="Arial"/>
          <w:b/>
          <w:bCs/>
          <w:color w:val="1F1F1F"/>
          <w:lang w:eastAsia="en-PH"/>
        </w:rPr>
      </w:pPr>
    </w:p>
    <w:p w14:paraId="4442EE4A" w14:textId="77777777" w:rsidR="001E51D5" w:rsidRPr="00054A5F" w:rsidRDefault="001E51D5" w:rsidP="00A44D52">
      <w:pPr>
        <w:jc w:val="both"/>
        <w:rPr>
          <w:rFonts w:ascii="Arial" w:hAnsi="Arial" w:cs="Arial"/>
          <w:lang w:eastAsia="en-PH"/>
        </w:rPr>
      </w:pPr>
      <w:r w:rsidRPr="00054A5F">
        <w:rPr>
          <w:rFonts w:ascii="Arial" w:hAnsi="Arial" w:cs="Arial"/>
          <w:lang w:eastAsia="en-PH"/>
        </w:rPr>
        <w:t xml:space="preserve">To initiate the data collection process, the researcher secured formal permission through a letter addressed to the School Principal of Bartolome and Manuela </w:t>
      </w:r>
      <w:proofErr w:type="spellStart"/>
      <w:r w:rsidRPr="00054A5F">
        <w:rPr>
          <w:rFonts w:ascii="Arial" w:hAnsi="Arial" w:cs="Arial"/>
          <w:lang w:eastAsia="en-PH"/>
        </w:rPr>
        <w:t>Pañares</w:t>
      </w:r>
      <w:proofErr w:type="spellEnd"/>
      <w:r w:rsidRPr="00054A5F">
        <w:rPr>
          <w:rFonts w:ascii="Arial" w:hAnsi="Arial" w:cs="Arial"/>
          <w:lang w:eastAsia="en-PH"/>
        </w:rPr>
        <w:t xml:space="preserve"> Memorial National High School. Upon receiving approval, the researcher coordinated with the department heads to identify the teacher-respondents and scheduled the distribution of the questionnaires. The survey was administered primarily through a digital platform via Google Forms to ensure a streamlined collection process, while the researcher remained available to provide necessary clarifications on the instrument's components. The data gathering was conducted during the designated period for research activities in the school calendar. Participants were given ample time to reflect on their observations and complete the forms, which ensured the accuracy and reliability of both the qualitative and quantitative data. Once the questionnaires were retrieved, the data were meticulously checked for completeness, then tallied, tabulated, and subjected to rigorous statistical analysis. This analysis specifically examined the relationships between pedagogical determinants, student-related factors, and perceived retention levels, providing the empirical foundation for the proposed Learning Retention Enhancement Program.</w:t>
      </w:r>
    </w:p>
    <w:p w14:paraId="56BC703D" w14:textId="77777777" w:rsidR="001E51D5" w:rsidRPr="00054A5F" w:rsidRDefault="001E51D5" w:rsidP="001E51D5">
      <w:pPr>
        <w:rPr>
          <w:rFonts w:ascii="Arial" w:hAnsi="Arial" w:cs="Arial"/>
          <w:lang w:eastAsia="en-PH"/>
        </w:rPr>
      </w:pPr>
    </w:p>
    <w:p w14:paraId="162AA875" w14:textId="77777777" w:rsidR="001E51D5" w:rsidRPr="00054A5F" w:rsidRDefault="001E51D5" w:rsidP="001E51D5">
      <w:pPr>
        <w:rPr>
          <w:rFonts w:ascii="Arial" w:hAnsi="Arial" w:cs="Arial"/>
          <w:b/>
          <w:bCs/>
          <w:lang w:eastAsia="en-PH"/>
        </w:rPr>
      </w:pPr>
      <w:r w:rsidRPr="00054A5F">
        <w:rPr>
          <w:rFonts w:ascii="Arial" w:hAnsi="Arial" w:cs="Arial"/>
          <w:b/>
          <w:bCs/>
          <w:lang w:eastAsia="en-PH"/>
        </w:rPr>
        <w:t>2.7. Statistical Treatment</w:t>
      </w:r>
    </w:p>
    <w:p w14:paraId="7D8D513D" w14:textId="77777777" w:rsidR="001E51D5" w:rsidRPr="00054A5F" w:rsidRDefault="001E51D5" w:rsidP="001E51D5">
      <w:pPr>
        <w:rPr>
          <w:rFonts w:ascii="Arial" w:hAnsi="Arial" w:cs="Arial"/>
          <w:b/>
          <w:bCs/>
          <w:lang w:eastAsia="en-PH"/>
        </w:rPr>
      </w:pPr>
    </w:p>
    <w:p w14:paraId="31728EF7" w14:textId="77777777" w:rsidR="00A44D52" w:rsidRPr="00054A5F" w:rsidRDefault="00A44D52" w:rsidP="00A44D52">
      <w:pPr>
        <w:jc w:val="both"/>
      </w:pPr>
      <w:r w:rsidRPr="00054A5F">
        <w:lastRenderedPageBreak/>
        <w:t xml:space="preserve">To ensure the systematic analysis and interpretation of the gathered data, several statistical tools were employed. Frequency and percentage were used to summarize the demographic profile of the teacher-respondents—including age, sex, years of teaching experience, educational attainment, and subject specialization—to address the first research objective. Weighted mean and standard deviation were utilized to determine the levels of teacher-identified pedagogical determinants, student-related factors, and perceived student learning retention, with the mean categorizing variables based on a Likert scale and the standard deviation measuring response dispersion. To examine the significant relationships between the identified determinants and learning retention, the Spearman Rank-Order Correlation Coefficient (Spearman’s Rho) was applied as a non-parametric test to measure the strength and direction of associations among ordinal variables. Furthermore, the Kruskal-Wallis H-Test was conducted to identify whether significant differences existed in the perceived determinants when grouping respondents by profile variables such as years of experience or educational attainment. For qualitative data obtained from open-ended responses regarding instructional challenges, thematic analysis was applied through coding and categorizing recurring themes and obstacles. Finally, all quantitative calculations were processed using statistical software to ensure precision and reliability, forming the empirical foundation for the proposed Learning Retention Enhancement Program. </w:t>
      </w:r>
    </w:p>
    <w:p w14:paraId="12E372AC" w14:textId="77777777" w:rsidR="00A44D52" w:rsidRPr="00054A5F" w:rsidRDefault="00A44D52" w:rsidP="001E51D5">
      <w:pPr>
        <w:rPr>
          <w:rFonts w:ascii="Arial" w:hAnsi="Arial" w:cs="Arial"/>
          <w:b/>
          <w:bCs/>
          <w:lang w:eastAsia="en-PH"/>
        </w:rPr>
      </w:pPr>
    </w:p>
    <w:p w14:paraId="3AB2FB43" w14:textId="77777777" w:rsidR="001E51D5" w:rsidRPr="00054A5F" w:rsidRDefault="001E51D5" w:rsidP="001E51D5">
      <w:pPr>
        <w:rPr>
          <w:rFonts w:ascii="Arial" w:hAnsi="Arial" w:cs="Arial"/>
          <w:b/>
          <w:bCs/>
          <w:lang w:eastAsia="en-PH"/>
        </w:rPr>
      </w:pPr>
      <w:r w:rsidRPr="00054A5F">
        <w:rPr>
          <w:rFonts w:ascii="Arial" w:hAnsi="Arial" w:cs="Arial"/>
          <w:b/>
          <w:bCs/>
          <w:lang w:eastAsia="en-PH"/>
        </w:rPr>
        <w:t>2.8. Scoring Procedure</w:t>
      </w:r>
    </w:p>
    <w:p w14:paraId="7F5E1DD1" w14:textId="77777777" w:rsidR="001E51D5" w:rsidRPr="00054A5F" w:rsidRDefault="001E51D5" w:rsidP="001E51D5">
      <w:pPr>
        <w:rPr>
          <w:rFonts w:ascii="Arial" w:hAnsi="Arial" w:cs="Arial"/>
          <w:b/>
          <w:bCs/>
          <w:lang w:eastAsia="en-PH"/>
        </w:rPr>
      </w:pPr>
    </w:p>
    <w:p w14:paraId="58AACB04" w14:textId="77777777" w:rsidR="001E51D5" w:rsidRPr="00054A5F" w:rsidRDefault="001E51D5" w:rsidP="00A44D52">
      <w:pPr>
        <w:rPr>
          <w:rFonts w:ascii="Arial" w:hAnsi="Arial" w:cs="Arial"/>
          <w:i/>
          <w:iCs/>
          <w:sz w:val="16"/>
          <w:szCs w:val="16"/>
          <w:lang w:eastAsia="en-PH"/>
        </w:rPr>
      </w:pPr>
      <w:r w:rsidRPr="00054A5F">
        <w:rPr>
          <w:rFonts w:ascii="Arial" w:hAnsi="Arial" w:cs="Arial"/>
          <w:lang w:eastAsia="en-PH"/>
        </w:rPr>
        <w:t>A five-point Likert scale was used to interpret the weighted mean of the responses regarding the level of pedagogical and student-related determinants affecting learning retention. The following mean ranges were used for the interpretation of the data:</w:t>
      </w:r>
    </w:p>
    <w:p w14:paraId="2B3B4E77" w14:textId="77777777" w:rsidR="001E51D5" w:rsidRPr="00054A5F" w:rsidRDefault="001E51D5" w:rsidP="001E51D5">
      <w:pPr>
        <w:rPr>
          <w:rFonts w:ascii="Arial" w:hAnsi="Arial" w:cs="Arial"/>
          <w:i/>
          <w:iCs/>
          <w:color w:val="1F1F1F"/>
          <w:sz w:val="12"/>
          <w:szCs w:val="12"/>
          <w:lang w:eastAsia="en-PH"/>
        </w:rPr>
      </w:pPr>
    </w:p>
    <w:p w14:paraId="1D3E084B" w14:textId="77777777" w:rsidR="001E51D5" w:rsidRPr="00054A5F" w:rsidRDefault="001E51D5" w:rsidP="001E51D5">
      <w:pPr>
        <w:rPr>
          <w:rFonts w:ascii="Arial" w:hAnsi="Arial" w:cs="Arial"/>
        </w:rPr>
      </w:pPr>
      <w:r w:rsidRPr="00054A5F">
        <w:rPr>
          <w:rFonts w:ascii="Arial" w:hAnsi="Arial" w:cs="Arial"/>
          <w:b/>
          <w:bCs/>
          <w:lang w:eastAsia="en-PH"/>
        </w:rPr>
        <w:t xml:space="preserve">Table 2. </w:t>
      </w:r>
      <w:r w:rsidRPr="00054A5F">
        <w:rPr>
          <w:rFonts w:ascii="Arial" w:hAnsi="Arial" w:cs="Arial"/>
          <w:b/>
          <w:bCs/>
        </w:rPr>
        <w:t>Mean Range Interpretation and Descriptive Rating for Learning Retention Determinants</w:t>
      </w:r>
    </w:p>
    <w:tbl>
      <w:tblPr>
        <w:tblW w:w="8190" w:type="dxa"/>
        <w:tblLook w:val="04A0" w:firstRow="1" w:lastRow="0" w:firstColumn="1" w:lastColumn="0" w:noHBand="0" w:noVBand="1"/>
      </w:tblPr>
      <w:tblGrid>
        <w:gridCol w:w="2430"/>
        <w:gridCol w:w="2520"/>
        <w:gridCol w:w="3240"/>
      </w:tblGrid>
      <w:tr w:rsidR="001E51D5" w:rsidRPr="00054A5F" w14:paraId="6C44DD42" w14:textId="77777777" w:rsidTr="00A44D52">
        <w:trPr>
          <w:trHeight w:val="319"/>
        </w:trPr>
        <w:tc>
          <w:tcPr>
            <w:tcW w:w="2430" w:type="dxa"/>
            <w:tcBorders>
              <w:top w:val="single" w:sz="4" w:space="0" w:color="auto"/>
              <w:bottom w:val="single" w:sz="4" w:space="0" w:color="auto"/>
            </w:tcBorders>
            <w:vAlign w:val="bottom"/>
            <w:hideMark/>
          </w:tcPr>
          <w:p w14:paraId="6FD0EFA6"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Mean Range</w:t>
            </w:r>
          </w:p>
        </w:tc>
        <w:tc>
          <w:tcPr>
            <w:tcW w:w="2520" w:type="dxa"/>
            <w:tcBorders>
              <w:top w:val="single" w:sz="4" w:space="0" w:color="auto"/>
              <w:bottom w:val="single" w:sz="4" w:space="0" w:color="auto"/>
            </w:tcBorders>
          </w:tcPr>
          <w:p w14:paraId="3D869B4E"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Verbal Interpretation</w:t>
            </w:r>
          </w:p>
        </w:tc>
        <w:tc>
          <w:tcPr>
            <w:tcW w:w="3240" w:type="dxa"/>
            <w:tcBorders>
              <w:top w:val="single" w:sz="4" w:space="0" w:color="auto"/>
              <w:bottom w:val="single" w:sz="4" w:space="0" w:color="auto"/>
            </w:tcBorders>
            <w:vAlign w:val="bottom"/>
            <w:hideMark/>
          </w:tcPr>
          <w:p w14:paraId="7000DDAB"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Verbal Description</w:t>
            </w:r>
          </w:p>
        </w:tc>
      </w:tr>
      <w:tr w:rsidR="001E51D5" w:rsidRPr="00054A5F" w14:paraId="240EC859" w14:textId="77777777" w:rsidTr="00A44D52">
        <w:trPr>
          <w:trHeight w:val="216"/>
        </w:trPr>
        <w:tc>
          <w:tcPr>
            <w:tcW w:w="2430" w:type="dxa"/>
            <w:tcBorders>
              <w:top w:val="single" w:sz="4" w:space="0" w:color="auto"/>
            </w:tcBorders>
            <w:vAlign w:val="bottom"/>
            <w:hideMark/>
          </w:tcPr>
          <w:p w14:paraId="28E91BCC" w14:textId="77777777" w:rsidR="001E51D5" w:rsidRPr="00054A5F" w:rsidRDefault="001E51D5" w:rsidP="001E51D5">
            <w:pPr>
              <w:jc w:val="center"/>
              <w:rPr>
                <w:rFonts w:ascii="Arial" w:hAnsi="Arial" w:cs="Arial"/>
                <w:lang w:eastAsia="en-PH"/>
              </w:rPr>
            </w:pPr>
            <w:r w:rsidRPr="00054A5F">
              <w:rPr>
                <w:rFonts w:ascii="Arial" w:hAnsi="Arial" w:cs="Arial"/>
                <w:lang w:eastAsia="en-PH"/>
              </w:rPr>
              <w:t>4.21 – 5.00</w:t>
            </w:r>
          </w:p>
        </w:tc>
        <w:tc>
          <w:tcPr>
            <w:tcW w:w="2520" w:type="dxa"/>
            <w:tcBorders>
              <w:top w:val="single" w:sz="4" w:space="0" w:color="auto"/>
            </w:tcBorders>
          </w:tcPr>
          <w:p w14:paraId="11DC2D77" w14:textId="77777777" w:rsidR="001E51D5" w:rsidRPr="00054A5F" w:rsidRDefault="001E51D5" w:rsidP="001E51D5">
            <w:pPr>
              <w:jc w:val="center"/>
              <w:rPr>
                <w:rFonts w:ascii="Arial" w:hAnsi="Arial" w:cs="Arial"/>
                <w:lang w:eastAsia="en-PH"/>
              </w:rPr>
            </w:pPr>
            <w:r w:rsidRPr="00054A5F">
              <w:rPr>
                <w:rFonts w:ascii="Arial" w:hAnsi="Arial" w:cs="Arial"/>
                <w:lang w:eastAsia="en-PH"/>
              </w:rPr>
              <w:t>Always</w:t>
            </w:r>
          </w:p>
        </w:tc>
        <w:tc>
          <w:tcPr>
            <w:tcW w:w="3240" w:type="dxa"/>
            <w:tcBorders>
              <w:top w:val="single" w:sz="4" w:space="0" w:color="auto"/>
            </w:tcBorders>
            <w:vAlign w:val="bottom"/>
            <w:hideMark/>
          </w:tcPr>
          <w:p w14:paraId="46C8E53A" w14:textId="77777777" w:rsidR="001E51D5" w:rsidRPr="00054A5F" w:rsidRDefault="001E51D5" w:rsidP="001E51D5">
            <w:pPr>
              <w:jc w:val="center"/>
              <w:rPr>
                <w:rFonts w:ascii="Arial" w:hAnsi="Arial" w:cs="Arial"/>
                <w:lang w:eastAsia="en-PH"/>
              </w:rPr>
            </w:pPr>
            <w:r w:rsidRPr="00054A5F">
              <w:rPr>
                <w:rFonts w:ascii="Arial" w:hAnsi="Arial" w:cs="Arial"/>
                <w:lang w:eastAsia="en-PH"/>
              </w:rPr>
              <w:t>Strongly Agree</w:t>
            </w:r>
          </w:p>
        </w:tc>
      </w:tr>
      <w:tr w:rsidR="001E51D5" w:rsidRPr="00054A5F" w14:paraId="13E21E2D" w14:textId="77777777" w:rsidTr="00A44D52">
        <w:trPr>
          <w:trHeight w:val="216"/>
        </w:trPr>
        <w:tc>
          <w:tcPr>
            <w:tcW w:w="2430" w:type="dxa"/>
            <w:vAlign w:val="bottom"/>
            <w:hideMark/>
          </w:tcPr>
          <w:p w14:paraId="6628D5D9" w14:textId="77777777" w:rsidR="001E51D5" w:rsidRPr="00054A5F" w:rsidRDefault="001E51D5" w:rsidP="001E51D5">
            <w:pPr>
              <w:jc w:val="center"/>
              <w:rPr>
                <w:rFonts w:ascii="Arial" w:hAnsi="Arial" w:cs="Arial"/>
                <w:lang w:eastAsia="en-PH"/>
              </w:rPr>
            </w:pPr>
            <w:r w:rsidRPr="00054A5F">
              <w:rPr>
                <w:rFonts w:ascii="Arial" w:hAnsi="Arial" w:cs="Arial"/>
                <w:lang w:eastAsia="en-PH"/>
              </w:rPr>
              <w:t>3.41 – 4.20</w:t>
            </w:r>
          </w:p>
        </w:tc>
        <w:tc>
          <w:tcPr>
            <w:tcW w:w="2520" w:type="dxa"/>
          </w:tcPr>
          <w:p w14:paraId="47A0C5AA" w14:textId="77777777" w:rsidR="001E51D5" w:rsidRPr="00054A5F" w:rsidRDefault="001E51D5" w:rsidP="001E51D5">
            <w:pPr>
              <w:jc w:val="center"/>
              <w:rPr>
                <w:rFonts w:ascii="Arial" w:hAnsi="Arial" w:cs="Arial"/>
                <w:lang w:eastAsia="en-PH"/>
              </w:rPr>
            </w:pPr>
            <w:r w:rsidRPr="00054A5F">
              <w:rPr>
                <w:rFonts w:ascii="Arial" w:hAnsi="Arial" w:cs="Arial"/>
                <w:lang w:eastAsia="en-PH"/>
              </w:rPr>
              <w:t>Often</w:t>
            </w:r>
          </w:p>
        </w:tc>
        <w:tc>
          <w:tcPr>
            <w:tcW w:w="3240" w:type="dxa"/>
            <w:vAlign w:val="bottom"/>
            <w:hideMark/>
          </w:tcPr>
          <w:p w14:paraId="7DCBF0CF" w14:textId="77777777" w:rsidR="001E51D5" w:rsidRPr="00054A5F" w:rsidRDefault="001E51D5" w:rsidP="001E51D5">
            <w:pPr>
              <w:jc w:val="center"/>
              <w:rPr>
                <w:rFonts w:ascii="Arial" w:hAnsi="Arial" w:cs="Arial"/>
                <w:lang w:eastAsia="en-PH"/>
              </w:rPr>
            </w:pPr>
            <w:r w:rsidRPr="00054A5F">
              <w:rPr>
                <w:rFonts w:ascii="Arial" w:hAnsi="Arial" w:cs="Arial"/>
                <w:lang w:eastAsia="en-PH"/>
              </w:rPr>
              <w:t>Agree</w:t>
            </w:r>
          </w:p>
        </w:tc>
      </w:tr>
      <w:tr w:rsidR="001E51D5" w:rsidRPr="00054A5F" w14:paraId="6465DC9A" w14:textId="77777777" w:rsidTr="00A44D52">
        <w:trPr>
          <w:trHeight w:val="216"/>
        </w:trPr>
        <w:tc>
          <w:tcPr>
            <w:tcW w:w="2430" w:type="dxa"/>
            <w:vAlign w:val="bottom"/>
            <w:hideMark/>
          </w:tcPr>
          <w:p w14:paraId="64AC6A41" w14:textId="77777777" w:rsidR="001E51D5" w:rsidRPr="00054A5F" w:rsidRDefault="001E51D5" w:rsidP="001E51D5">
            <w:pPr>
              <w:jc w:val="center"/>
              <w:rPr>
                <w:rFonts w:ascii="Arial" w:hAnsi="Arial" w:cs="Arial"/>
                <w:lang w:eastAsia="en-PH"/>
              </w:rPr>
            </w:pPr>
            <w:r w:rsidRPr="00054A5F">
              <w:rPr>
                <w:rFonts w:ascii="Arial" w:hAnsi="Arial" w:cs="Arial"/>
                <w:lang w:eastAsia="en-PH"/>
              </w:rPr>
              <w:t>2.61 – 3.40</w:t>
            </w:r>
          </w:p>
        </w:tc>
        <w:tc>
          <w:tcPr>
            <w:tcW w:w="2520" w:type="dxa"/>
          </w:tcPr>
          <w:p w14:paraId="45752B83" w14:textId="77777777" w:rsidR="001E51D5" w:rsidRPr="00054A5F" w:rsidRDefault="001E51D5" w:rsidP="001E51D5">
            <w:pPr>
              <w:jc w:val="center"/>
              <w:rPr>
                <w:rFonts w:ascii="Arial" w:hAnsi="Arial" w:cs="Arial"/>
                <w:lang w:eastAsia="en-PH"/>
              </w:rPr>
            </w:pPr>
            <w:r w:rsidRPr="00054A5F">
              <w:rPr>
                <w:rFonts w:ascii="Arial" w:hAnsi="Arial" w:cs="Arial"/>
                <w:lang w:eastAsia="en-PH"/>
              </w:rPr>
              <w:t>Sometimes</w:t>
            </w:r>
          </w:p>
        </w:tc>
        <w:tc>
          <w:tcPr>
            <w:tcW w:w="3240" w:type="dxa"/>
            <w:vAlign w:val="bottom"/>
            <w:hideMark/>
          </w:tcPr>
          <w:p w14:paraId="3B1309A5" w14:textId="77777777" w:rsidR="001E51D5" w:rsidRPr="00054A5F" w:rsidRDefault="001E51D5" w:rsidP="001E51D5">
            <w:pPr>
              <w:jc w:val="center"/>
              <w:rPr>
                <w:rFonts w:ascii="Arial" w:hAnsi="Arial" w:cs="Arial"/>
                <w:lang w:eastAsia="en-PH"/>
              </w:rPr>
            </w:pPr>
            <w:r w:rsidRPr="00054A5F">
              <w:rPr>
                <w:rFonts w:ascii="Arial" w:hAnsi="Arial" w:cs="Arial"/>
                <w:lang w:eastAsia="en-PH"/>
              </w:rPr>
              <w:t xml:space="preserve">Neither Agree </w:t>
            </w:r>
            <w:proofErr w:type="gramStart"/>
            <w:r w:rsidRPr="00054A5F">
              <w:rPr>
                <w:rFonts w:ascii="Arial" w:hAnsi="Arial" w:cs="Arial"/>
                <w:lang w:eastAsia="en-PH"/>
              </w:rPr>
              <w:t>Nor</w:t>
            </w:r>
            <w:proofErr w:type="gramEnd"/>
            <w:r w:rsidRPr="00054A5F">
              <w:rPr>
                <w:rFonts w:ascii="Arial" w:hAnsi="Arial" w:cs="Arial"/>
                <w:lang w:eastAsia="en-PH"/>
              </w:rPr>
              <w:t xml:space="preserve"> Disagree</w:t>
            </w:r>
          </w:p>
        </w:tc>
      </w:tr>
      <w:tr w:rsidR="001E51D5" w:rsidRPr="00054A5F" w14:paraId="20BDA9E0" w14:textId="77777777" w:rsidTr="00A44D52">
        <w:trPr>
          <w:trHeight w:val="216"/>
        </w:trPr>
        <w:tc>
          <w:tcPr>
            <w:tcW w:w="2430" w:type="dxa"/>
            <w:vAlign w:val="bottom"/>
            <w:hideMark/>
          </w:tcPr>
          <w:p w14:paraId="32CCDBBC" w14:textId="77777777" w:rsidR="001E51D5" w:rsidRPr="00054A5F" w:rsidRDefault="001E51D5" w:rsidP="001E51D5">
            <w:pPr>
              <w:jc w:val="center"/>
              <w:rPr>
                <w:rFonts w:ascii="Arial" w:hAnsi="Arial" w:cs="Arial"/>
                <w:lang w:eastAsia="en-PH"/>
              </w:rPr>
            </w:pPr>
            <w:r w:rsidRPr="00054A5F">
              <w:rPr>
                <w:rFonts w:ascii="Arial" w:hAnsi="Arial" w:cs="Arial"/>
                <w:lang w:eastAsia="en-PH"/>
              </w:rPr>
              <w:t>1.81 – 2.60</w:t>
            </w:r>
          </w:p>
        </w:tc>
        <w:tc>
          <w:tcPr>
            <w:tcW w:w="2520" w:type="dxa"/>
          </w:tcPr>
          <w:p w14:paraId="78168253" w14:textId="77777777" w:rsidR="001E51D5" w:rsidRPr="00054A5F" w:rsidRDefault="001E51D5" w:rsidP="001E51D5">
            <w:pPr>
              <w:jc w:val="center"/>
              <w:rPr>
                <w:rFonts w:ascii="Arial" w:hAnsi="Arial" w:cs="Arial"/>
                <w:lang w:eastAsia="en-PH"/>
              </w:rPr>
            </w:pPr>
            <w:r w:rsidRPr="00054A5F">
              <w:rPr>
                <w:rFonts w:ascii="Arial" w:hAnsi="Arial" w:cs="Arial"/>
                <w:lang w:eastAsia="en-PH"/>
              </w:rPr>
              <w:t>Rarely</w:t>
            </w:r>
          </w:p>
        </w:tc>
        <w:tc>
          <w:tcPr>
            <w:tcW w:w="3240" w:type="dxa"/>
            <w:vAlign w:val="bottom"/>
            <w:hideMark/>
          </w:tcPr>
          <w:p w14:paraId="1292B1DA" w14:textId="77777777" w:rsidR="001E51D5" w:rsidRPr="00054A5F" w:rsidRDefault="001E51D5" w:rsidP="001E51D5">
            <w:pPr>
              <w:jc w:val="center"/>
              <w:rPr>
                <w:rFonts w:ascii="Arial" w:hAnsi="Arial" w:cs="Arial"/>
                <w:lang w:eastAsia="en-PH"/>
              </w:rPr>
            </w:pPr>
            <w:r w:rsidRPr="00054A5F">
              <w:rPr>
                <w:rFonts w:ascii="Arial" w:hAnsi="Arial" w:cs="Arial"/>
                <w:lang w:eastAsia="en-PH"/>
              </w:rPr>
              <w:t>Disagree</w:t>
            </w:r>
          </w:p>
        </w:tc>
      </w:tr>
      <w:tr w:rsidR="001E51D5" w:rsidRPr="00054A5F" w14:paraId="77AB7943" w14:textId="77777777" w:rsidTr="00A44D52">
        <w:trPr>
          <w:trHeight w:val="216"/>
        </w:trPr>
        <w:tc>
          <w:tcPr>
            <w:tcW w:w="2430" w:type="dxa"/>
            <w:tcBorders>
              <w:bottom w:val="single" w:sz="4" w:space="0" w:color="auto"/>
            </w:tcBorders>
            <w:vAlign w:val="bottom"/>
            <w:hideMark/>
          </w:tcPr>
          <w:p w14:paraId="272ABA43" w14:textId="77777777" w:rsidR="001E51D5" w:rsidRPr="00054A5F" w:rsidRDefault="001E51D5" w:rsidP="001E51D5">
            <w:pPr>
              <w:jc w:val="center"/>
              <w:rPr>
                <w:rFonts w:ascii="Arial" w:hAnsi="Arial" w:cs="Arial"/>
                <w:lang w:eastAsia="en-PH"/>
              </w:rPr>
            </w:pPr>
            <w:r w:rsidRPr="00054A5F">
              <w:rPr>
                <w:rFonts w:ascii="Arial" w:hAnsi="Arial" w:cs="Arial"/>
                <w:lang w:eastAsia="en-PH"/>
              </w:rPr>
              <w:t>1.00 – 1.80</w:t>
            </w:r>
          </w:p>
        </w:tc>
        <w:tc>
          <w:tcPr>
            <w:tcW w:w="2520" w:type="dxa"/>
            <w:tcBorders>
              <w:bottom w:val="single" w:sz="4" w:space="0" w:color="auto"/>
            </w:tcBorders>
          </w:tcPr>
          <w:p w14:paraId="2D38658C" w14:textId="77777777" w:rsidR="001E51D5" w:rsidRPr="00054A5F" w:rsidRDefault="001E51D5" w:rsidP="001E51D5">
            <w:pPr>
              <w:jc w:val="center"/>
              <w:rPr>
                <w:rFonts w:ascii="Arial" w:hAnsi="Arial" w:cs="Arial"/>
                <w:lang w:eastAsia="en-PH"/>
              </w:rPr>
            </w:pPr>
            <w:r w:rsidRPr="00054A5F">
              <w:rPr>
                <w:rFonts w:ascii="Arial" w:hAnsi="Arial" w:cs="Arial"/>
                <w:lang w:eastAsia="en-PH"/>
              </w:rPr>
              <w:t>Never</w:t>
            </w:r>
          </w:p>
        </w:tc>
        <w:tc>
          <w:tcPr>
            <w:tcW w:w="3240" w:type="dxa"/>
            <w:tcBorders>
              <w:bottom w:val="single" w:sz="4" w:space="0" w:color="auto"/>
            </w:tcBorders>
            <w:vAlign w:val="bottom"/>
            <w:hideMark/>
          </w:tcPr>
          <w:p w14:paraId="679C7117" w14:textId="77777777" w:rsidR="001E51D5" w:rsidRPr="00054A5F" w:rsidRDefault="001E51D5" w:rsidP="001E51D5">
            <w:pPr>
              <w:jc w:val="center"/>
              <w:rPr>
                <w:rFonts w:ascii="Arial" w:hAnsi="Arial" w:cs="Arial"/>
                <w:lang w:eastAsia="en-PH"/>
              </w:rPr>
            </w:pPr>
            <w:r w:rsidRPr="00054A5F">
              <w:rPr>
                <w:rFonts w:ascii="Arial" w:hAnsi="Arial" w:cs="Arial"/>
                <w:lang w:eastAsia="en-PH"/>
              </w:rPr>
              <w:t>Strongly Disagree</w:t>
            </w:r>
          </w:p>
        </w:tc>
      </w:tr>
    </w:tbl>
    <w:p w14:paraId="0857ED7D" w14:textId="77777777" w:rsidR="001E51D5" w:rsidRPr="00054A5F" w:rsidRDefault="001E51D5" w:rsidP="001E51D5">
      <w:pPr>
        <w:pStyle w:val="Body"/>
        <w:spacing w:after="0"/>
        <w:rPr>
          <w:rFonts w:ascii="Arial" w:hAnsi="Arial" w:cs="Arial"/>
        </w:rPr>
      </w:pPr>
    </w:p>
    <w:p w14:paraId="303E887D" w14:textId="77777777" w:rsidR="00790ADA" w:rsidRPr="00054A5F" w:rsidRDefault="00790ADA" w:rsidP="00441B6F">
      <w:pPr>
        <w:pStyle w:val="Body"/>
        <w:spacing w:after="0"/>
        <w:rPr>
          <w:rFonts w:ascii="Arial" w:hAnsi="Arial" w:cs="Arial"/>
        </w:rPr>
      </w:pPr>
    </w:p>
    <w:p w14:paraId="6A06E01A" w14:textId="77777777" w:rsidR="00902823" w:rsidRPr="00054A5F" w:rsidRDefault="00000F8F" w:rsidP="00441B6F">
      <w:pPr>
        <w:pStyle w:val="Head1"/>
        <w:spacing w:after="0"/>
        <w:jc w:val="both"/>
        <w:rPr>
          <w:rFonts w:ascii="Arial" w:hAnsi="Arial" w:cs="Arial"/>
        </w:rPr>
      </w:pPr>
      <w:r w:rsidRPr="00054A5F">
        <w:rPr>
          <w:rFonts w:ascii="Arial" w:hAnsi="Arial" w:cs="Arial"/>
        </w:rPr>
        <w:t>3</w:t>
      </w:r>
      <w:r w:rsidR="00902823" w:rsidRPr="00054A5F">
        <w:rPr>
          <w:rFonts w:ascii="Arial" w:hAnsi="Arial" w:cs="Arial"/>
        </w:rPr>
        <w:t xml:space="preserve">. </w:t>
      </w:r>
      <w:r w:rsidRPr="00054A5F">
        <w:rPr>
          <w:rFonts w:ascii="Arial" w:hAnsi="Arial" w:cs="Arial"/>
        </w:rPr>
        <w:t>results and discussion</w:t>
      </w:r>
    </w:p>
    <w:p w14:paraId="24D0243B" w14:textId="77777777" w:rsidR="00790ADA" w:rsidRPr="00054A5F" w:rsidRDefault="00790ADA" w:rsidP="00441B6F">
      <w:pPr>
        <w:pStyle w:val="Head1"/>
        <w:spacing w:after="0"/>
        <w:jc w:val="both"/>
        <w:rPr>
          <w:rFonts w:ascii="Arial" w:hAnsi="Arial" w:cs="Arial"/>
        </w:rPr>
      </w:pPr>
    </w:p>
    <w:p w14:paraId="600ABCA7" w14:textId="77777777" w:rsidR="001E51D5" w:rsidRPr="00054A5F" w:rsidRDefault="001E51D5" w:rsidP="001E51D5">
      <w:pPr>
        <w:shd w:val="clear" w:color="auto" w:fill="FFFFFF"/>
        <w:rPr>
          <w:rFonts w:ascii="Arial" w:hAnsi="Arial" w:cs="Arial"/>
          <w:b/>
          <w:color w:val="1F1F1F"/>
          <w:sz w:val="24"/>
          <w:szCs w:val="24"/>
        </w:rPr>
      </w:pPr>
      <w:r w:rsidRPr="00054A5F">
        <w:rPr>
          <w:rFonts w:ascii="Arial" w:hAnsi="Arial" w:cs="Arial"/>
          <w:b/>
          <w:color w:val="1F1F1F"/>
        </w:rPr>
        <w:t>3.1. Profile of Respondents</w:t>
      </w:r>
    </w:p>
    <w:p w14:paraId="16F44EFA" w14:textId="77777777" w:rsidR="001E51D5" w:rsidRPr="00054A5F" w:rsidRDefault="001E51D5" w:rsidP="001E51D5">
      <w:pPr>
        <w:shd w:val="clear" w:color="auto" w:fill="FFFFFF"/>
        <w:rPr>
          <w:rFonts w:ascii="Arial" w:hAnsi="Arial" w:cs="Arial"/>
          <w:bCs/>
          <w:color w:val="1F1F1F"/>
        </w:rPr>
      </w:pPr>
      <w:r w:rsidRPr="00054A5F">
        <w:rPr>
          <w:rFonts w:ascii="Arial" w:hAnsi="Arial" w:cs="Arial"/>
          <w:bCs/>
          <w:color w:val="1F1F1F"/>
        </w:rPr>
        <w:t>3.1.1. Age Profile of Respondents</w:t>
      </w:r>
    </w:p>
    <w:p w14:paraId="35868D69" w14:textId="77777777" w:rsidR="00A44D52" w:rsidRPr="00054A5F" w:rsidRDefault="00A44D52" w:rsidP="00A44D52">
      <w:pPr>
        <w:shd w:val="clear" w:color="auto" w:fill="FFFFFF"/>
        <w:rPr>
          <w:rFonts w:ascii="Arial" w:hAnsi="Arial" w:cs="Arial"/>
          <w:lang w:eastAsia="en-PH"/>
        </w:rPr>
      </w:pPr>
    </w:p>
    <w:p w14:paraId="05EBBEA7" w14:textId="77777777" w:rsidR="001E51D5" w:rsidRPr="00054A5F" w:rsidRDefault="001E51D5" w:rsidP="00A44D52">
      <w:pPr>
        <w:shd w:val="clear" w:color="auto" w:fill="FFFFFF"/>
        <w:jc w:val="both"/>
        <w:rPr>
          <w:rFonts w:ascii="Arial" w:hAnsi="Arial" w:cs="Arial"/>
          <w:lang w:eastAsia="en-PH"/>
        </w:rPr>
      </w:pPr>
      <w:r w:rsidRPr="00054A5F">
        <w:rPr>
          <w:rFonts w:ascii="Arial" w:hAnsi="Arial" w:cs="Arial"/>
          <w:lang w:eastAsia="en-PH"/>
        </w:rPr>
        <w:t>The demographic landscape of the teaching personnel provides critical context for understanding the pedagogical environment of the institution. Age, in particular, often correlates with years of service, classroom management styles, and the adoption of various instructional strategies.</w:t>
      </w:r>
    </w:p>
    <w:p w14:paraId="3FFDC769" w14:textId="77777777" w:rsidR="001E51D5" w:rsidRPr="00054A5F" w:rsidRDefault="001E51D5" w:rsidP="001E51D5">
      <w:pPr>
        <w:ind w:left="2040" w:firstLine="510"/>
        <w:rPr>
          <w:rFonts w:ascii="Arial" w:hAnsi="Arial" w:cs="Arial"/>
          <w:b/>
          <w:lang w:eastAsia="en-PH"/>
        </w:rPr>
      </w:pPr>
    </w:p>
    <w:p w14:paraId="05D7F093" w14:textId="77777777" w:rsidR="00A44D52" w:rsidRPr="00054A5F" w:rsidRDefault="00A44D52" w:rsidP="001E51D5">
      <w:pPr>
        <w:ind w:left="2040" w:firstLine="510"/>
        <w:rPr>
          <w:rFonts w:ascii="Arial" w:hAnsi="Arial" w:cs="Arial"/>
          <w:b/>
          <w:lang w:eastAsia="en-PH"/>
        </w:rPr>
      </w:pPr>
    </w:p>
    <w:p w14:paraId="4834DA52" w14:textId="77777777" w:rsidR="00A44D52" w:rsidRPr="00054A5F" w:rsidRDefault="00A44D52" w:rsidP="001E51D5">
      <w:pPr>
        <w:ind w:left="2040" w:firstLine="510"/>
        <w:rPr>
          <w:rFonts w:ascii="Arial" w:hAnsi="Arial" w:cs="Arial"/>
          <w:b/>
          <w:lang w:eastAsia="en-PH"/>
        </w:rPr>
      </w:pPr>
    </w:p>
    <w:p w14:paraId="2EA847FE" w14:textId="77777777" w:rsidR="001E51D5" w:rsidRPr="00054A5F" w:rsidRDefault="001E51D5" w:rsidP="001E51D5">
      <w:pPr>
        <w:rPr>
          <w:rFonts w:ascii="Arial" w:hAnsi="Arial" w:cs="Arial"/>
          <w:b/>
          <w:sz w:val="24"/>
          <w:szCs w:val="24"/>
          <w:lang w:eastAsia="en-PH"/>
        </w:rPr>
      </w:pPr>
      <w:r w:rsidRPr="00054A5F">
        <w:rPr>
          <w:rFonts w:ascii="Arial" w:hAnsi="Arial" w:cs="Arial"/>
          <w:b/>
          <w:lang w:eastAsia="en-PH"/>
        </w:rPr>
        <w:t>Table 3. Age Profile of the Teachers</w:t>
      </w:r>
    </w:p>
    <w:tbl>
      <w:tblPr>
        <w:tblW w:w="8163" w:type="dxa"/>
        <w:tblLook w:val="04A0" w:firstRow="1" w:lastRow="0" w:firstColumn="1" w:lastColumn="0" w:noHBand="0" w:noVBand="1"/>
      </w:tblPr>
      <w:tblGrid>
        <w:gridCol w:w="3889"/>
        <w:gridCol w:w="2080"/>
        <w:gridCol w:w="2194"/>
      </w:tblGrid>
      <w:tr w:rsidR="001E51D5" w:rsidRPr="00054A5F" w14:paraId="587CE0FB" w14:textId="77777777" w:rsidTr="001E51D5">
        <w:trPr>
          <w:trHeight w:val="211"/>
        </w:trPr>
        <w:tc>
          <w:tcPr>
            <w:tcW w:w="0" w:type="auto"/>
            <w:tcBorders>
              <w:top w:val="single" w:sz="4" w:space="0" w:color="auto"/>
              <w:bottom w:val="single" w:sz="4" w:space="0" w:color="auto"/>
            </w:tcBorders>
            <w:vAlign w:val="bottom"/>
            <w:hideMark/>
          </w:tcPr>
          <w:p w14:paraId="08DEAAB3" w14:textId="77777777" w:rsidR="001E51D5" w:rsidRPr="00054A5F" w:rsidRDefault="001E51D5" w:rsidP="001E51D5">
            <w:pPr>
              <w:jc w:val="center"/>
              <w:rPr>
                <w:rFonts w:ascii="Arial" w:hAnsi="Arial" w:cs="Arial"/>
                <w:b/>
                <w:szCs w:val="24"/>
                <w:lang w:eastAsia="en-PH"/>
              </w:rPr>
            </w:pPr>
            <w:r w:rsidRPr="00054A5F">
              <w:rPr>
                <w:rFonts w:ascii="Arial" w:hAnsi="Arial" w:cs="Arial"/>
                <w:b/>
                <w:szCs w:val="24"/>
                <w:lang w:eastAsia="en-PH"/>
              </w:rPr>
              <w:t>Age</w:t>
            </w:r>
          </w:p>
        </w:tc>
        <w:tc>
          <w:tcPr>
            <w:tcW w:w="0" w:type="auto"/>
            <w:tcBorders>
              <w:top w:val="single" w:sz="4" w:space="0" w:color="auto"/>
              <w:bottom w:val="single" w:sz="4" w:space="0" w:color="auto"/>
            </w:tcBorders>
            <w:vAlign w:val="bottom"/>
            <w:hideMark/>
          </w:tcPr>
          <w:p w14:paraId="61475D2E" w14:textId="77777777" w:rsidR="001E51D5" w:rsidRPr="00054A5F" w:rsidRDefault="001E51D5" w:rsidP="001E51D5">
            <w:pPr>
              <w:jc w:val="center"/>
              <w:rPr>
                <w:rFonts w:ascii="Arial" w:hAnsi="Arial" w:cs="Arial"/>
                <w:b/>
                <w:szCs w:val="24"/>
                <w:lang w:eastAsia="en-PH"/>
              </w:rPr>
            </w:pPr>
            <w:r w:rsidRPr="00054A5F">
              <w:rPr>
                <w:rFonts w:ascii="Arial" w:hAnsi="Arial" w:cs="Arial"/>
                <w:b/>
                <w:szCs w:val="24"/>
                <w:lang w:eastAsia="en-PH"/>
              </w:rPr>
              <w:t>Frequency</w:t>
            </w:r>
          </w:p>
        </w:tc>
        <w:tc>
          <w:tcPr>
            <w:tcW w:w="0" w:type="auto"/>
            <w:tcBorders>
              <w:top w:val="single" w:sz="4" w:space="0" w:color="auto"/>
              <w:bottom w:val="single" w:sz="4" w:space="0" w:color="auto"/>
            </w:tcBorders>
            <w:vAlign w:val="bottom"/>
            <w:hideMark/>
          </w:tcPr>
          <w:p w14:paraId="09CEAAD8" w14:textId="77777777" w:rsidR="001E51D5" w:rsidRPr="00054A5F" w:rsidRDefault="001E51D5" w:rsidP="001E51D5">
            <w:pPr>
              <w:jc w:val="center"/>
              <w:rPr>
                <w:rFonts w:ascii="Arial" w:hAnsi="Arial" w:cs="Arial"/>
                <w:b/>
                <w:szCs w:val="24"/>
                <w:lang w:eastAsia="en-PH"/>
              </w:rPr>
            </w:pPr>
            <w:r w:rsidRPr="00054A5F">
              <w:rPr>
                <w:rFonts w:ascii="Arial" w:hAnsi="Arial" w:cs="Arial"/>
                <w:b/>
                <w:szCs w:val="24"/>
                <w:lang w:eastAsia="en-PH"/>
              </w:rPr>
              <w:t>Percentage</w:t>
            </w:r>
          </w:p>
        </w:tc>
      </w:tr>
      <w:tr w:rsidR="001E51D5" w:rsidRPr="00054A5F" w14:paraId="40161779" w14:textId="77777777" w:rsidTr="001E51D5">
        <w:trPr>
          <w:trHeight w:val="211"/>
        </w:trPr>
        <w:tc>
          <w:tcPr>
            <w:tcW w:w="0" w:type="auto"/>
            <w:tcBorders>
              <w:top w:val="single" w:sz="4" w:space="0" w:color="auto"/>
            </w:tcBorders>
            <w:noWrap/>
            <w:hideMark/>
          </w:tcPr>
          <w:p w14:paraId="49CFE615"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20–30 years old</w:t>
            </w:r>
          </w:p>
        </w:tc>
        <w:tc>
          <w:tcPr>
            <w:tcW w:w="0" w:type="auto"/>
            <w:tcBorders>
              <w:top w:val="single" w:sz="4" w:space="0" w:color="auto"/>
            </w:tcBorders>
            <w:noWrap/>
            <w:vAlign w:val="center"/>
            <w:hideMark/>
          </w:tcPr>
          <w:p w14:paraId="47BA98DB"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26</w:t>
            </w:r>
          </w:p>
        </w:tc>
        <w:tc>
          <w:tcPr>
            <w:tcW w:w="0" w:type="auto"/>
            <w:tcBorders>
              <w:top w:val="single" w:sz="4" w:space="0" w:color="auto"/>
            </w:tcBorders>
            <w:noWrap/>
            <w:vAlign w:val="center"/>
            <w:hideMark/>
          </w:tcPr>
          <w:p w14:paraId="5C86F29B"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31.00</w:t>
            </w:r>
          </w:p>
        </w:tc>
      </w:tr>
      <w:tr w:rsidR="001E51D5" w:rsidRPr="00054A5F" w14:paraId="73A67070" w14:textId="77777777" w:rsidTr="001E51D5">
        <w:trPr>
          <w:trHeight w:val="211"/>
        </w:trPr>
        <w:tc>
          <w:tcPr>
            <w:tcW w:w="0" w:type="auto"/>
            <w:noWrap/>
            <w:hideMark/>
          </w:tcPr>
          <w:p w14:paraId="2A8F5DC4"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31–40 years old</w:t>
            </w:r>
          </w:p>
        </w:tc>
        <w:tc>
          <w:tcPr>
            <w:tcW w:w="0" w:type="auto"/>
            <w:noWrap/>
            <w:vAlign w:val="center"/>
            <w:hideMark/>
          </w:tcPr>
          <w:p w14:paraId="590CF5C1"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23</w:t>
            </w:r>
          </w:p>
        </w:tc>
        <w:tc>
          <w:tcPr>
            <w:tcW w:w="0" w:type="auto"/>
            <w:noWrap/>
            <w:vAlign w:val="center"/>
            <w:hideMark/>
          </w:tcPr>
          <w:p w14:paraId="613CC6E0"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27.40</w:t>
            </w:r>
          </w:p>
        </w:tc>
      </w:tr>
      <w:tr w:rsidR="001E51D5" w:rsidRPr="00054A5F" w14:paraId="6A2D11FD" w14:textId="77777777" w:rsidTr="001E51D5">
        <w:trPr>
          <w:trHeight w:val="211"/>
        </w:trPr>
        <w:tc>
          <w:tcPr>
            <w:tcW w:w="0" w:type="auto"/>
            <w:noWrap/>
            <w:hideMark/>
          </w:tcPr>
          <w:p w14:paraId="53347C8F"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41–50 years old</w:t>
            </w:r>
          </w:p>
        </w:tc>
        <w:tc>
          <w:tcPr>
            <w:tcW w:w="0" w:type="auto"/>
            <w:noWrap/>
            <w:vAlign w:val="center"/>
            <w:hideMark/>
          </w:tcPr>
          <w:p w14:paraId="1F9B6E2A"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28</w:t>
            </w:r>
          </w:p>
        </w:tc>
        <w:tc>
          <w:tcPr>
            <w:tcW w:w="0" w:type="auto"/>
            <w:noWrap/>
            <w:vAlign w:val="center"/>
            <w:hideMark/>
          </w:tcPr>
          <w:p w14:paraId="28DE1089"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33.30</w:t>
            </w:r>
          </w:p>
        </w:tc>
      </w:tr>
      <w:tr w:rsidR="001E51D5" w:rsidRPr="00054A5F" w14:paraId="328C8D58" w14:textId="77777777" w:rsidTr="001E51D5">
        <w:trPr>
          <w:trHeight w:val="211"/>
        </w:trPr>
        <w:tc>
          <w:tcPr>
            <w:tcW w:w="0" w:type="auto"/>
            <w:tcBorders>
              <w:bottom w:val="single" w:sz="4" w:space="0" w:color="auto"/>
            </w:tcBorders>
            <w:noWrap/>
            <w:hideMark/>
          </w:tcPr>
          <w:p w14:paraId="5E17F5EB"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51 years old and above</w:t>
            </w:r>
          </w:p>
        </w:tc>
        <w:tc>
          <w:tcPr>
            <w:tcW w:w="0" w:type="auto"/>
            <w:tcBorders>
              <w:bottom w:val="single" w:sz="4" w:space="0" w:color="auto"/>
            </w:tcBorders>
            <w:noWrap/>
            <w:vAlign w:val="center"/>
            <w:hideMark/>
          </w:tcPr>
          <w:p w14:paraId="58421E7F"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7</w:t>
            </w:r>
          </w:p>
        </w:tc>
        <w:tc>
          <w:tcPr>
            <w:tcW w:w="0" w:type="auto"/>
            <w:tcBorders>
              <w:bottom w:val="single" w:sz="4" w:space="0" w:color="auto"/>
            </w:tcBorders>
            <w:noWrap/>
            <w:vAlign w:val="center"/>
            <w:hideMark/>
          </w:tcPr>
          <w:p w14:paraId="7B98DE14" w14:textId="77777777" w:rsidR="001E51D5" w:rsidRPr="00054A5F" w:rsidRDefault="001E51D5" w:rsidP="001E51D5">
            <w:pPr>
              <w:jc w:val="center"/>
              <w:rPr>
                <w:rFonts w:ascii="Arial" w:hAnsi="Arial" w:cs="Arial"/>
                <w:bCs/>
                <w:szCs w:val="24"/>
                <w:lang w:eastAsia="en-PH"/>
              </w:rPr>
            </w:pPr>
            <w:r w:rsidRPr="00054A5F">
              <w:rPr>
                <w:rFonts w:ascii="Arial" w:hAnsi="Arial" w:cs="Arial"/>
                <w:bCs/>
                <w:szCs w:val="24"/>
                <w:lang w:eastAsia="en-PH"/>
              </w:rPr>
              <w:t>8.30</w:t>
            </w:r>
          </w:p>
        </w:tc>
      </w:tr>
      <w:tr w:rsidR="001E51D5" w:rsidRPr="00054A5F" w14:paraId="53B81920" w14:textId="77777777" w:rsidTr="001E51D5">
        <w:trPr>
          <w:trHeight w:val="211"/>
        </w:trPr>
        <w:tc>
          <w:tcPr>
            <w:tcW w:w="0" w:type="auto"/>
            <w:tcBorders>
              <w:top w:val="single" w:sz="4" w:space="0" w:color="auto"/>
              <w:bottom w:val="single" w:sz="4" w:space="0" w:color="auto"/>
            </w:tcBorders>
            <w:hideMark/>
          </w:tcPr>
          <w:p w14:paraId="551727FC" w14:textId="77777777" w:rsidR="001E51D5" w:rsidRPr="00054A5F" w:rsidRDefault="001E51D5" w:rsidP="001E51D5">
            <w:pPr>
              <w:jc w:val="center"/>
              <w:rPr>
                <w:rFonts w:ascii="Arial" w:hAnsi="Arial" w:cs="Arial"/>
                <w:b/>
                <w:szCs w:val="24"/>
                <w:lang w:eastAsia="en-PH"/>
              </w:rPr>
            </w:pPr>
            <w:r w:rsidRPr="00054A5F">
              <w:rPr>
                <w:rFonts w:ascii="Arial" w:hAnsi="Arial" w:cs="Arial"/>
                <w:b/>
                <w:szCs w:val="24"/>
                <w:lang w:eastAsia="en-PH"/>
              </w:rPr>
              <w:lastRenderedPageBreak/>
              <w:t>Total</w:t>
            </w:r>
          </w:p>
        </w:tc>
        <w:tc>
          <w:tcPr>
            <w:tcW w:w="0" w:type="auto"/>
            <w:tcBorders>
              <w:top w:val="single" w:sz="4" w:space="0" w:color="auto"/>
              <w:bottom w:val="single" w:sz="4" w:space="0" w:color="auto"/>
            </w:tcBorders>
            <w:noWrap/>
            <w:vAlign w:val="center"/>
            <w:hideMark/>
          </w:tcPr>
          <w:p w14:paraId="7465BF2B" w14:textId="77777777" w:rsidR="001E51D5" w:rsidRPr="00054A5F" w:rsidRDefault="001E51D5" w:rsidP="001E51D5">
            <w:pPr>
              <w:jc w:val="center"/>
              <w:rPr>
                <w:rFonts w:ascii="Arial" w:hAnsi="Arial" w:cs="Arial"/>
                <w:b/>
                <w:szCs w:val="24"/>
                <w:lang w:eastAsia="en-PH"/>
              </w:rPr>
            </w:pPr>
            <w:r w:rsidRPr="00054A5F">
              <w:rPr>
                <w:rFonts w:ascii="Arial" w:hAnsi="Arial" w:cs="Arial"/>
                <w:b/>
                <w:szCs w:val="24"/>
                <w:lang w:eastAsia="en-PH"/>
              </w:rPr>
              <w:t>84</w:t>
            </w:r>
          </w:p>
        </w:tc>
        <w:tc>
          <w:tcPr>
            <w:tcW w:w="0" w:type="auto"/>
            <w:tcBorders>
              <w:top w:val="single" w:sz="4" w:space="0" w:color="auto"/>
              <w:bottom w:val="single" w:sz="4" w:space="0" w:color="auto"/>
            </w:tcBorders>
            <w:noWrap/>
            <w:vAlign w:val="center"/>
            <w:hideMark/>
          </w:tcPr>
          <w:p w14:paraId="7E63BF8A" w14:textId="77777777" w:rsidR="001E51D5" w:rsidRPr="00054A5F" w:rsidRDefault="001E51D5" w:rsidP="001E51D5">
            <w:pPr>
              <w:jc w:val="center"/>
              <w:rPr>
                <w:rFonts w:ascii="Arial" w:hAnsi="Arial" w:cs="Arial"/>
                <w:b/>
                <w:szCs w:val="24"/>
                <w:lang w:eastAsia="en-PH"/>
              </w:rPr>
            </w:pPr>
            <w:r w:rsidRPr="00054A5F">
              <w:rPr>
                <w:rFonts w:ascii="Arial" w:hAnsi="Arial" w:cs="Arial"/>
                <w:b/>
                <w:szCs w:val="24"/>
                <w:lang w:eastAsia="en-PH"/>
              </w:rPr>
              <w:t>100.00</w:t>
            </w:r>
          </w:p>
        </w:tc>
      </w:tr>
    </w:tbl>
    <w:p w14:paraId="58A8D48A" w14:textId="77777777" w:rsidR="00A44D52" w:rsidRPr="00054A5F" w:rsidRDefault="00A44D52" w:rsidP="00A44D52">
      <w:pPr>
        <w:jc w:val="both"/>
        <w:rPr>
          <w:rFonts w:ascii="Arial" w:hAnsi="Arial" w:cs="Arial"/>
          <w:bCs/>
          <w:color w:val="1F1F1F"/>
          <w:bdr w:val="none" w:sz="0" w:space="0" w:color="auto" w:frame="1"/>
          <w:lang w:eastAsia="en-PH"/>
        </w:rPr>
      </w:pPr>
    </w:p>
    <w:p w14:paraId="5FEE8BE5"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bdr w:val="none" w:sz="0" w:space="0" w:color="auto" w:frame="1"/>
          <w:lang w:eastAsia="en-PH"/>
        </w:rPr>
        <w:t>Table 3</w:t>
      </w:r>
      <w:r w:rsidRPr="00054A5F">
        <w:rPr>
          <w:rFonts w:ascii="Arial" w:hAnsi="Arial" w:cs="Arial"/>
          <w:bCs/>
          <w:color w:val="1F1F1F"/>
          <w:lang w:eastAsia="en-PH"/>
        </w:rPr>
        <w:t xml:space="preserve"> shows the distribution of the 84 teacher-respondents according to their age. The data reveals that the largest group of teachers falls within the </w:t>
      </w:r>
      <w:r w:rsidRPr="00054A5F">
        <w:rPr>
          <w:rFonts w:ascii="Arial" w:hAnsi="Arial" w:cs="Arial"/>
          <w:bCs/>
          <w:color w:val="1F1F1F"/>
          <w:bdr w:val="none" w:sz="0" w:space="0" w:color="auto" w:frame="1"/>
          <w:lang w:eastAsia="en-PH"/>
        </w:rPr>
        <w:t>41–50 years old</w:t>
      </w:r>
      <w:r w:rsidRPr="00054A5F">
        <w:rPr>
          <w:rFonts w:ascii="Arial" w:hAnsi="Arial" w:cs="Arial"/>
          <w:bCs/>
          <w:color w:val="1F1F1F"/>
          <w:lang w:eastAsia="en-PH"/>
        </w:rPr>
        <w:t xml:space="preserve"> bracket, representing </w:t>
      </w:r>
      <w:r w:rsidRPr="00054A5F">
        <w:rPr>
          <w:rFonts w:ascii="Arial" w:hAnsi="Arial" w:cs="Arial"/>
          <w:bCs/>
          <w:color w:val="1F1F1F"/>
          <w:bdr w:val="none" w:sz="0" w:space="0" w:color="auto" w:frame="1"/>
          <w:lang w:eastAsia="en-PH"/>
        </w:rPr>
        <w:t>33.30%</w:t>
      </w:r>
      <w:r w:rsidRPr="00054A5F">
        <w:rPr>
          <w:rFonts w:ascii="Arial" w:hAnsi="Arial" w:cs="Arial"/>
          <w:bCs/>
          <w:color w:val="1F1F1F"/>
          <w:lang w:eastAsia="en-PH"/>
        </w:rPr>
        <w:t xml:space="preserve"> (28) of the total population. This is followed closely by the </w:t>
      </w:r>
      <w:r w:rsidRPr="00054A5F">
        <w:rPr>
          <w:rFonts w:ascii="Arial" w:hAnsi="Arial" w:cs="Arial"/>
          <w:bCs/>
          <w:color w:val="1F1F1F"/>
          <w:bdr w:val="none" w:sz="0" w:space="0" w:color="auto" w:frame="1"/>
          <w:lang w:eastAsia="en-PH"/>
        </w:rPr>
        <w:t>20–30 years old</w:t>
      </w:r>
      <w:r w:rsidRPr="00054A5F">
        <w:rPr>
          <w:rFonts w:ascii="Arial" w:hAnsi="Arial" w:cs="Arial"/>
          <w:bCs/>
          <w:color w:val="1F1F1F"/>
          <w:lang w:eastAsia="en-PH"/>
        </w:rPr>
        <w:t xml:space="preserve"> group at </w:t>
      </w:r>
      <w:r w:rsidRPr="00054A5F">
        <w:rPr>
          <w:rFonts w:ascii="Arial" w:hAnsi="Arial" w:cs="Arial"/>
          <w:bCs/>
          <w:color w:val="1F1F1F"/>
          <w:bdr w:val="none" w:sz="0" w:space="0" w:color="auto" w:frame="1"/>
          <w:lang w:eastAsia="en-PH"/>
        </w:rPr>
        <w:t>31.00%</w:t>
      </w:r>
      <w:r w:rsidRPr="00054A5F">
        <w:rPr>
          <w:rFonts w:ascii="Arial" w:hAnsi="Arial" w:cs="Arial"/>
          <w:bCs/>
          <w:color w:val="1F1F1F"/>
          <w:lang w:eastAsia="en-PH"/>
        </w:rPr>
        <w:t xml:space="preserve"> (26) and the </w:t>
      </w:r>
      <w:r w:rsidRPr="00054A5F">
        <w:rPr>
          <w:rFonts w:ascii="Arial" w:hAnsi="Arial" w:cs="Arial"/>
          <w:bCs/>
          <w:color w:val="1F1F1F"/>
          <w:bdr w:val="none" w:sz="0" w:space="0" w:color="auto" w:frame="1"/>
          <w:lang w:eastAsia="en-PH"/>
        </w:rPr>
        <w:t>31–40 years old</w:t>
      </w:r>
      <w:r w:rsidRPr="00054A5F">
        <w:rPr>
          <w:rFonts w:ascii="Arial" w:hAnsi="Arial" w:cs="Arial"/>
          <w:bCs/>
          <w:color w:val="1F1F1F"/>
          <w:lang w:eastAsia="en-PH"/>
        </w:rPr>
        <w:t xml:space="preserve"> group at </w:t>
      </w:r>
      <w:r w:rsidRPr="00054A5F">
        <w:rPr>
          <w:rFonts w:ascii="Arial" w:hAnsi="Arial" w:cs="Arial"/>
          <w:bCs/>
          <w:color w:val="1F1F1F"/>
          <w:bdr w:val="none" w:sz="0" w:space="0" w:color="auto" w:frame="1"/>
          <w:lang w:eastAsia="en-PH"/>
        </w:rPr>
        <w:t>27.40%</w:t>
      </w:r>
      <w:r w:rsidRPr="00054A5F">
        <w:rPr>
          <w:rFonts w:ascii="Arial" w:hAnsi="Arial" w:cs="Arial"/>
          <w:bCs/>
          <w:color w:val="1F1F1F"/>
          <w:lang w:eastAsia="en-PH"/>
        </w:rPr>
        <w:t xml:space="preserve"> (23). Conversely, the smallest segment consists of teachers aged </w:t>
      </w:r>
      <w:r w:rsidRPr="00054A5F">
        <w:rPr>
          <w:rFonts w:ascii="Arial" w:hAnsi="Arial" w:cs="Arial"/>
          <w:bCs/>
          <w:color w:val="1F1F1F"/>
          <w:bdr w:val="none" w:sz="0" w:space="0" w:color="auto" w:frame="1"/>
          <w:lang w:eastAsia="en-PH"/>
        </w:rPr>
        <w:t>51 years old and above</w:t>
      </w:r>
      <w:r w:rsidRPr="00054A5F">
        <w:rPr>
          <w:rFonts w:ascii="Arial" w:hAnsi="Arial" w:cs="Arial"/>
          <w:bCs/>
          <w:color w:val="1F1F1F"/>
          <w:lang w:eastAsia="en-PH"/>
        </w:rPr>
        <w:t xml:space="preserve">, making up only </w:t>
      </w:r>
      <w:r w:rsidRPr="00054A5F">
        <w:rPr>
          <w:rFonts w:ascii="Arial" w:hAnsi="Arial" w:cs="Arial"/>
          <w:bCs/>
          <w:color w:val="1F1F1F"/>
          <w:bdr w:val="none" w:sz="0" w:space="0" w:color="auto" w:frame="1"/>
          <w:lang w:eastAsia="en-PH"/>
        </w:rPr>
        <w:t>8.30%</w:t>
      </w:r>
      <w:r w:rsidRPr="00054A5F">
        <w:rPr>
          <w:rFonts w:ascii="Arial" w:hAnsi="Arial" w:cs="Arial"/>
          <w:bCs/>
          <w:color w:val="1F1F1F"/>
          <w:lang w:eastAsia="en-PH"/>
        </w:rPr>
        <w:t xml:space="preserve"> (7) of the respondents.</w:t>
      </w:r>
    </w:p>
    <w:p w14:paraId="5D79C142" w14:textId="77777777" w:rsidR="00A44D52" w:rsidRPr="00054A5F" w:rsidRDefault="00A44D52" w:rsidP="00A44D52">
      <w:pPr>
        <w:jc w:val="both"/>
        <w:rPr>
          <w:rFonts w:ascii="Arial" w:hAnsi="Arial" w:cs="Arial"/>
          <w:bCs/>
          <w:color w:val="1F1F1F"/>
          <w:bdr w:val="none" w:sz="0" w:space="0" w:color="auto" w:frame="1"/>
          <w:lang w:eastAsia="en-PH"/>
        </w:rPr>
      </w:pPr>
    </w:p>
    <w:p w14:paraId="22F7DE7D"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bdr w:val="none" w:sz="0" w:space="0" w:color="auto" w:frame="1"/>
          <w:lang w:eastAsia="en-PH"/>
        </w:rPr>
        <w:t>It implies</w:t>
      </w:r>
      <w:r w:rsidRPr="00054A5F">
        <w:rPr>
          <w:rFonts w:ascii="Arial" w:hAnsi="Arial" w:cs="Arial"/>
          <w:bCs/>
          <w:color w:val="1F1F1F"/>
          <w:lang w:eastAsia="en-PH"/>
        </w:rPr>
        <w:t xml:space="preserve"> that the teaching force in this study is characterized by a strong balance between </w:t>
      </w:r>
      <w:r w:rsidRPr="00054A5F">
        <w:rPr>
          <w:rFonts w:ascii="Arial" w:hAnsi="Arial" w:cs="Arial"/>
          <w:bCs/>
          <w:color w:val="1F1F1F"/>
          <w:bdr w:val="none" w:sz="0" w:space="0" w:color="auto" w:frame="1"/>
          <w:lang w:eastAsia="en-PH"/>
        </w:rPr>
        <w:t>seasoned veterans and energetic new professionals</w:t>
      </w:r>
      <w:r w:rsidRPr="00054A5F">
        <w:rPr>
          <w:rFonts w:ascii="Arial" w:hAnsi="Arial" w:cs="Arial"/>
          <w:bCs/>
          <w:color w:val="1F1F1F"/>
          <w:lang w:eastAsia="en-PH"/>
        </w:rPr>
        <w:t>. The high concentration of teachers in the 41–50 age range suggests a significant level of pedagogical experience and stability within the Junior High School, which is crucial for identifying long-term determinants of learning retention.</w:t>
      </w:r>
    </w:p>
    <w:p w14:paraId="1A1F2F43" w14:textId="77777777" w:rsidR="00A44D52" w:rsidRPr="00054A5F" w:rsidRDefault="00A44D52" w:rsidP="00A44D52">
      <w:pPr>
        <w:jc w:val="both"/>
        <w:rPr>
          <w:rFonts w:ascii="Arial" w:hAnsi="Arial" w:cs="Arial"/>
          <w:bCs/>
          <w:color w:val="1F1F1F"/>
          <w:lang w:eastAsia="en-PH"/>
        </w:rPr>
      </w:pPr>
    </w:p>
    <w:p w14:paraId="3964EC9D"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Simultaneously, the substantial presence of younger teachers (20–30 years old) indicates that the "Learning Retention Enhancement Program" may benefit from a blend of </w:t>
      </w:r>
      <w:r w:rsidRPr="00054A5F">
        <w:rPr>
          <w:rFonts w:ascii="Arial" w:hAnsi="Arial" w:cs="Arial"/>
          <w:bCs/>
          <w:color w:val="1F1F1F"/>
          <w:bdr w:val="none" w:sz="0" w:space="0" w:color="auto" w:frame="1"/>
          <w:lang w:eastAsia="en-PH"/>
        </w:rPr>
        <w:t>traditional, tried-and-true instructional methods</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modern, tech-savvy approaches</w:t>
      </w:r>
      <w:r w:rsidRPr="00054A5F">
        <w:rPr>
          <w:rFonts w:ascii="Arial" w:hAnsi="Arial" w:cs="Arial"/>
          <w:bCs/>
          <w:color w:val="1F1F1F"/>
          <w:lang w:eastAsia="en-PH"/>
        </w:rPr>
        <w:t xml:space="preserve"> brought in by the newer generation. This demographic diversity provides a holistic perspective on student retention, as it captures insights from both those who have witnessed educational shifts over decades and those currently attuned to the latest learning trends.</w:t>
      </w:r>
    </w:p>
    <w:p w14:paraId="6FD6239D" w14:textId="77777777" w:rsidR="00A44D52" w:rsidRPr="00054A5F" w:rsidRDefault="00A44D52" w:rsidP="00A44D52">
      <w:pPr>
        <w:jc w:val="both"/>
        <w:rPr>
          <w:rFonts w:ascii="Arial" w:hAnsi="Arial" w:cs="Arial"/>
          <w:lang w:eastAsia="en-PH"/>
        </w:rPr>
      </w:pPr>
    </w:p>
    <w:p w14:paraId="05214369"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teacher age distribution and its implications for balancing pedagogical experience with innovations in learning environments. The observed concentration of teachers in the 41–50 age range suggests substantial classroom expertise that can anchor retention-focused strategies, while the sizable 20–30 cohort points to openness to modern instructional practices that may enhance learners’ engagement and retention outcomes. Together, these demographics support a blended approach in the Learning Retention Enhancement Program, leveraging both traditional pedagogies and technology-enabled methods to optimize junior high student learning retention. Further, recognizing age-related perspectives can inform targeted professional development to harmonize long-term instructional stability with adaptive, evidence-based interventions in retention frameworks.</w:t>
      </w:r>
    </w:p>
    <w:p w14:paraId="6823D2E8" w14:textId="77777777" w:rsidR="001E51D5" w:rsidRPr="00054A5F" w:rsidRDefault="001E51D5" w:rsidP="001E51D5">
      <w:pPr>
        <w:ind w:firstLine="720"/>
        <w:rPr>
          <w:rFonts w:ascii="Arial" w:hAnsi="Arial" w:cs="Arial"/>
          <w:lang w:eastAsia="en-PH"/>
        </w:rPr>
      </w:pPr>
    </w:p>
    <w:p w14:paraId="415EFE39" w14:textId="77777777" w:rsidR="001E51D5" w:rsidRPr="00054A5F" w:rsidRDefault="001E51D5" w:rsidP="001E51D5">
      <w:pPr>
        <w:rPr>
          <w:rFonts w:ascii="Arial" w:hAnsi="Arial" w:cs="Arial"/>
          <w:b/>
          <w:lang w:eastAsia="en-PH"/>
        </w:rPr>
      </w:pPr>
      <w:r w:rsidRPr="00054A5F">
        <w:rPr>
          <w:rFonts w:ascii="Arial" w:hAnsi="Arial" w:cs="Arial"/>
          <w:b/>
          <w:lang w:eastAsia="en-PH"/>
        </w:rPr>
        <w:t>3.1.2. Gender Profile of Respondents</w:t>
      </w:r>
    </w:p>
    <w:p w14:paraId="744BB8C8" w14:textId="77777777" w:rsidR="001E51D5" w:rsidRPr="00054A5F" w:rsidRDefault="001E51D5" w:rsidP="001E51D5">
      <w:pPr>
        <w:rPr>
          <w:rFonts w:ascii="Arial" w:hAnsi="Arial" w:cs="Arial"/>
          <w:b/>
          <w:lang w:eastAsia="en-PH"/>
        </w:rPr>
      </w:pPr>
    </w:p>
    <w:p w14:paraId="17FCB5F6" w14:textId="77777777" w:rsidR="001E51D5" w:rsidRPr="00054A5F" w:rsidRDefault="001E51D5" w:rsidP="00A44D52">
      <w:pPr>
        <w:rPr>
          <w:rFonts w:ascii="Arial" w:hAnsi="Arial" w:cs="Arial"/>
          <w:lang w:eastAsia="en-PH"/>
        </w:rPr>
      </w:pPr>
      <w:r w:rsidRPr="00054A5F">
        <w:rPr>
          <w:rFonts w:ascii="Arial" w:hAnsi="Arial" w:cs="Arial"/>
          <w:lang w:eastAsia="en-PH"/>
        </w:rPr>
        <w:t>Table 4 presents the demographic profile of the teacher-respondents in terms of gender. The data provides a baseline understanding of the workforce's composition, which is essential for contextualizing the pedagogical perspectives gathered in this study.</w:t>
      </w:r>
    </w:p>
    <w:p w14:paraId="54DD6805" w14:textId="77777777" w:rsidR="001E51D5" w:rsidRPr="00054A5F" w:rsidRDefault="001E51D5" w:rsidP="001E51D5">
      <w:pPr>
        <w:rPr>
          <w:rFonts w:ascii="Arial" w:hAnsi="Arial" w:cs="Arial"/>
          <w:b/>
          <w:bCs/>
          <w:sz w:val="16"/>
          <w:szCs w:val="16"/>
          <w:lang w:eastAsia="en-PH"/>
        </w:rPr>
      </w:pPr>
    </w:p>
    <w:p w14:paraId="4CEC76DC" w14:textId="77777777" w:rsidR="001E51D5" w:rsidRPr="00054A5F" w:rsidRDefault="001E51D5" w:rsidP="001E51D5">
      <w:pPr>
        <w:rPr>
          <w:rFonts w:ascii="Arial" w:hAnsi="Arial" w:cs="Arial"/>
          <w:b/>
          <w:bCs/>
          <w:lang w:eastAsia="en-PH"/>
        </w:rPr>
      </w:pPr>
      <w:r w:rsidRPr="00054A5F">
        <w:rPr>
          <w:rFonts w:ascii="Arial" w:hAnsi="Arial" w:cs="Arial"/>
          <w:b/>
          <w:bCs/>
          <w:lang w:eastAsia="en-PH"/>
        </w:rPr>
        <w:t>Table 4. Gender Profile of the Teachers</w:t>
      </w:r>
    </w:p>
    <w:tbl>
      <w:tblPr>
        <w:tblW w:w="8273" w:type="dxa"/>
        <w:jc w:val="center"/>
        <w:tblLayout w:type="fixed"/>
        <w:tblLook w:val="04A0" w:firstRow="1" w:lastRow="0" w:firstColumn="1" w:lastColumn="0" w:noHBand="0" w:noVBand="1"/>
      </w:tblPr>
      <w:tblGrid>
        <w:gridCol w:w="1673"/>
        <w:gridCol w:w="3300"/>
        <w:gridCol w:w="3300"/>
      </w:tblGrid>
      <w:tr w:rsidR="001E51D5" w:rsidRPr="00054A5F" w14:paraId="2568B648" w14:textId="77777777" w:rsidTr="001E51D5">
        <w:trPr>
          <w:trHeight w:val="257"/>
          <w:jc w:val="center"/>
        </w:trPr>
        <w:tc>
          <w:tcPr>
            <w:tcW w:w="1673" w:type="dxa"/>
            <w:tcBorders>
              <w:top w:val="single" w:sz="4" w:space="0" w:color="auto"/>
              <w:bottom w:val="single" w:sz="4" w:space="0" w:color="auto"/>
            </w:tcBorders>
            <w:vAlign w:val="bottom"/>
            <w:hideMark/>
          </w:tcPr>
          <w:p w14:paraId="2698B71B" w14:textId="77777777" w:rsidR="001E51D5" w:rsidRPr="00054A5F" w:rsidRDefault="001E51D5" w:rsidP="001E51D5">
            <w:pPr>
              <w:jc w:val="center"/>
              <w:rPr>
                <w:rFonts w:ascii="Arial" w:hAnsi="Arial" w:cs="Arial"/>
                <w:b/>
                <w:lang w:eastAsia="en-PH"/>
              </w:rPr>
            </w:pPr>
            <w:r w:rsidRPr="00054A5F">
              <w:rPr>
                <w:rFonts w:ascii="Arial" w:hAnsi="Arial" w:cs="Arial"/>
                <w:b/>
                <w:lang w:eastAsia="en-PH"/>
              </w:rPr>
              <w:t>Gender</w:t>
            </w:r>
          </w:p>
        </w:tc>
        <w:tc>
          <w:tcPr>
            <w:tcW w:w="3300" w:type="dxa"/>
            <w:tcBorders>
              <w:top w:val="single" w:sz="4" w:space="0" w:color="auto"/>
              <w:bottom w:val="single" w:sz="4" w:space="0" w:color="auto"/>
            </w:tcBorders>
            <w:vAlign w:val="bottom"/>
            <w:hideMark/>
          </w:tcPr>
          <w:p w14:paraId="4BB550D6" w14:textId="77777777" w:rsidR="001E51D5" w:rsidRPr="00054A5F" w:rsidRDefault="001E51D5" w:rsidP="001E51D5">
            <w:pPr>
              <w:jc w:val="center"/>
              <w:rPr>
                <w:rFonts w:ascii="Arial" w:hAnsi="Arial" w:cs="Arial"/>
                <w:b/>
                <w:lang w:eastAsia="en-PH"/>
              </w:rPr>
            </w:pPr>
            <w:r w:rsidRPr="00054A5F">
              <w:rPr>
                <w:rFonts w:ascii="Arial" w:hAnsi="Arial" w:cs="Arial"/>
                <w:b/>
                <w:lang w:eastAsia="en-PH"/>
              </w:rPr>
              <w:t>Frequency</w:t>
            </w:r>
          </w:p>
        </w:tc>
        <w:tc>
          <w:tcPr>
            <w:tcW w:w="3300" w:type="dxa"/>
            <w:tcBorders>
              <w:top w:val="single" w:sz="4" w:space="0" w:color="auto"/>
              <w:bottom w:val="single" w:sz="4" w:space="0" w:color="auto"/>
            </w:tcBorders>
            <w:vAlign w:val="bottom"/>
            <w:hideMark/>
          </w:tcPr>
          <w:p w14:paraId="05EB0D45" w14:textId="77777777" w:rsidR="001E51D5" w:rsidRPr="00054A5F" w:rsidRDefault="001E51D5" w:rsidP="001E51D5">
            <w:pPr>
              <w:jc w:val="center"/>
              <w:rPr>
                <w:rFonts w:ascii="Arial" w:hAnsi="Arial" w:cs="Arial"/>
                <w:b/>
                <w:lang w:eastAsia="en-PH"/>
              </w:rPr>
            </w:pPr>
            <w:r w:rsidRPr="00054A5F">
              <w:rPr>
                <w:rFonts w:ascii="Arial" w:hAnsi="Arial" w:cs="Arial"/>
                <w:b/>
                <w:lang w:eastAsia="en-PH"/>
              </w:rPr>
              <w:t>Percentage</w:t>
            </w:r>
          </w:p>
        </w:tc>
      </w:tr>
      <w:tr w:rsidR="001E51D5" w:rsidRPr="00054A5F" w14:paraId="7B33F7DD" w14:textId="77777777" w:rsidTr="001E51D5">
        <w:trPr>
          <w:trHeight w:val="77"/>
          <w:jc w:val="center"/>
        </w:trPr>
        <w:tc>
          <w:tcPr>
            <w:tcW w:w="1673" w:type="dxa"/>
            <w:tcBorders>
              <w:top w:val="single" w:sz="4" w:space="0" w:color="auto"/>
            </w:tcBorders>
            <w:noWrap/>
            <w:hideMark/>
          </w:tcPr>
          <w:p w14:paraId="3D25B40F" w14:textId="77777777" w:rsidR="001E51D5" w:rsidRPr="00054A5F" w:rsidRDefault="001E51D5" w:rsidP="001E51D5">
            <w:pPr>
              <w:jc w:val="center"/>
              <w:rPr>
                <w:rFonts w:ascii="Arial" w:hAnsi="Arial" w:cs="Arial"/>
                <w:bCs/>
                <w:lang w:eastAsia="en-PH"/>
              </w:rPr>
            </w:pPr>
            <w:r w:rsidRPr="00054A5F">
              <w:rPr>
                <w:rFonts w:ascii="Arial" w:hAnsi="Arial" w:cs="Arial"/>
                <w:bCs/>
                <w:lang w:eastAsia="en-PH"/>
              </w:rPr>
              <w:t>Female</w:t>
            </w:r>
          </w:p>
        </w:tc>
        <w:tc>
          <w:tcPr>
            <w:tcW w:w="3300" w:type="dxa"/>
            <w:tcBorders>
              <w:top w:val="single" w:sz="4" w:space="0" w:color="auto"/>
            </w:tcBorders>
            <w:noWrap/>
            <w:vAlign w:val="center"/>
            <w:hideMark/>
          </w:tcPr>
          <w:p w14:paraId="6A797D5C" w14:textId="77777777" w:rsidR="001E51D5" w:rsidRPr="00054A5F" w:rsidRDefault="001E51D5" w:rsidP="001E51D5">
            <w:pPr>
              <w:jc w:val="center"/>
              <w:rPr>
                <w:rFonts w:ascii="Arial" w:hAnsi="Arial" w:cs="Arial"/>
                <w:bCs/>
                <w:lang w:eastAsia="en-PH"/>
              </w:rPr>
            </w:pPr>
            <w:r w:rsidRPr="00054A5F">
              <w:rPr>
                <w:rFonts w:ascii="Arial" w:hAnsi="Arial" w:cs="Arial"/>
                <w:bCs/>
                <w:lang w:eastAsia="en-PH"/>
              </w:rPr>
              <w:t>69</w:t>
            </w:r>
          </w:p>
        </w:tc>
        <w:tc>
          <w:tcPr>
            <w:tcW w:w="3300" w:type="dxa"/>
            <w:tcBorders>
              <w:top w:val="single" w:sz="4" w:space="0" w:color="auto"/>
            </w:tcBorders>
            <w:noWrap/>
            <w:vAlign w:val="center"/>
            <w:hideMark/>
          </w:tcPr>
          <w:p w14:paraId="51CB316D" w14:textId="77777777" w:rsidR="001E51D5" w:rsidRPr="00054A5F" w:rsidRDefault="001E51D5" w:rsidP="001E51D5">
            <w:pPr>
              <w:jc w:val="center"/>
              <w:rPr>
                <w:rFonts w:ascii="Arial" w:hAnsi="Arial" w:cs="Arial"/>
                <w:bCs/>
                <w:lang w:eastAsia="en-PH"/>
              </w:rPr>
            </w:pPr>
            <w:r w:rsidRPr="00054A5F">
              <w:rPr>
                <w:rFonts w:ascii="Arial" w:hAnsi="Arial" w:cs="Arial"/>
                <w:bCs/>
                <w:lang w:eastAsia="en-PH"/>
              </w:rPr>
              <w:t>82.10</w:t>
            </w:r>
          </w:p>
        </w:tc>
      </w:tr>
      <w:tr w:rsidR="001E51D5" w:rsidRPr="00054A5F" w14:paraId="40498E84" w14:textId="77777777" w:rsidTr="001E51D5">
        <w:trPr>
          <w:trHeight w:val="257"/>
          <w:jc w:val="center"/>
        </w:trPr>
        <w:tc>
          <w:tcPr>
            <w:tcW w:w="1673" w:type="dxa"/>
            <w:tcBorders>
              <w:bottom w:val="single" w:sz="4" w:space="0" w:color="auto"/>
            </w:tcBorders>
            <w:noWrap/>
            <w:hideMark/>
          </w:tcPr>
          <w:p w14:paraId="13B8CE40" w14:textId="77777777" w:rsidR="001E51D5" w:rsidRPr="00054A5F" w:rsidRDefault="001E51D5" w:rsidP="001E51D5">
            <w:pPr>
              <w:jc w:val="center"/>
              <w:rPr>
                <w:rFonts w:ascii="Arial" w:hAnsi="Arial" w:cs="Arial"/>
                <w:bCs/>
                <w:lang w:eastAsia="en-PH"/>
              </w:rPr>
            </w:pPr>
            <w:r w:rsidRPr="00054A5F">
              <w:rPr>
                <w:rFonts w:ascii="Arial" w:hAnsi="Arial" w:cs="Arial"/>
                <w:bCs/>
                <w:lang w:eastAsia="en-PH"/>
              </w:rPr>
              <w:t>Male</w:t>
            </w:r>
          </w:p>
        </w:tc>
        <w:tc>
          <w:tcPr>
            <w:tcW w:w="3300" w:type="dxa"/>
            <w:tcBorders>
              <w:bottom w:val="single" w:sz="4" w:space="0" w:color="auto"/>
            </w:tcBorders>
            <w:noWrap/>
            <w:vAlign w:val="center"/>
            <w:hideMark/>
          </w:tcPr>
          <w:p w14:paraId="33CD358F" w14:textId="77777777" w:rsidR="001E51D5" w:rsidRPr="00054A5F" w:rsidRDefault="001E51D5" w:rsidP="001E51D5">
            <w:pPr>
              <w:jc w:val="center"/>
              <w:rPr>
                <w:rFonts w:ascii="Arial" w:hAnsi="Arial" w:cs="Arial"/>
                <w:bCs/>
                <w:lang w:eastAsia="en-PH"/>
              </w:rPr>
            </w:pPr>
            <w:r w:rsidRPr="00054A5F">
              <w:rPr>
                <w:rFonts w:ascii="Arial" w:hAnsi="Arial" w:cs="Arial"/>
                <w:bCs/>
                <w:lang w:eastAsia="en-PH"/>
              </w:rPr>
              <w:t>15</w:t>
            </w:r>
          </w:p>
        </w:tc>
        <w:tc>
          <w:tcPr>
            <w:tcW w:w="3300" w:type="dxa"/>
            <w:tcBorders>
              <w:bottom w:val="single" w:sz="4" w:space="0" w:color="auto"/>
            </w:tcBorders>
            <w:noWrap/>
            <w:vAlign w:val="center"/>
            <w:hideMark/>
          </w:tcPr>
          <w:p w14:paraId="628C6D4A" w14:textId="77777777" w:rsidR="001E51D5" w:rsidRPr="00054A5F" w:rsidRDefault="001E51D5" w:rsidP="001E51D5">
            <w:pPr>
              <w:jc w:val="center"/>
              <w:rPr>
                <w:rFonts w:ascii="Arial" w:hAnsi="Arial" w:cs="Arial"/>
                <w:bCs/>
                <w:lang w:eastAsia="en-PH"/>
              </w:rPr>
            </w:pPr>
            <w:r w:rsidRPr="00054A5F">
              <w:rPr>
                <w:rFonts w:ascii="Arial" w:hAnsi="Arial" w:cs="Arial"/>
                <w:bCs/>
                <w:lang w:eastAsia="en-PH"/>
              </w:rPr>
              <w:t>17.90</w:t>
            </w:r>
          </w:p>
        </w:tc>
      </w:tr>
      <w:tr w:rsidR="001E51D5" w:rsidRPr="00054A5F" w14:paraId="469D0559" w14:textId="77777777" w:rsidTr="001E51D5">
        <w:trPr>
          <w:trHeight w:val="257"/>
          <w:jc w:val="center"/>
        </w:trPr>
        <w:tc>
          <w:tcPr>
            <w:tcW w:w="1673" w:type="dxa"/>
            <w:tcBorders>
              <w:top w:val="single" w:sz="4" w:space="0" w:color="auto"/>
              <w:bottom w:val="single" w:sz="4" w:space="0" w:color="auto"/>
            </w:tcBorders>
            <w:hideMark/>
          </w:tcPr>
          <w:p w14:paraId="60ED479A" w14:textId="77777777" w:rsidR="001E51D5" w:rsidRPr="00054A5F" w:rsidRDefault="001E51D5" w:rsidP="001E51D5">
            <w:pPr>
              <w:jc w:val="center"/>
              <w:rPr>
                <w:rFonts w:ascii="Arial" w:hAnsi="Arial" w:cs="Arial"/>
                <w:b/>
                <w:lang w:eastAsia="en-PH"/>
              </w:rPr>
            </w:pPr>
            <w:r w:rsidRPr="00054A5F">
              <w:rPr>
                <w:rFonts w:ascii="Arial" w:hAnsi="Arial" w:cs="Arial"/>
                <w:b/>
                <w:lang w:eastAsia="en-PH"/>
              </w:rPr>
              <w:t>Total</w:t>
            </w:r>
          </w:p>
        </w:tc>
        <w:tc>
          <w:tcPr>
            <w:tcW w:w="3300" w:type="dxa"/>
            <w:tcBorders>
              <w:top w:val="single" w:sz="4" w:space="0" w:color="auto"/>
              <w:bottom w:val="single" w:sz="4" w:space="0" w:color="auto"/>
            </w:tcBorders>
            <w:noWrap/>
            <w:vAlign w:val="center"/>
            <w:hideMark/>
          </w:tcPr>
          <w:p w14:paraId="09E0BD22" w14:textId="77777777" w:rsidR="001E51D5" w:rsidRPr="00054A5F" w:rsidRDefault="001E51D5" w:rsidP="001E51D5">
            <w:pPr>
              <w:jc w:val="center"/>
              <w:rPr>
                <w:rFonts w:ascii="Arial" w:hAnsi="Arial" w:cs="Arial"/>
                <w:b/>
                <w:lang w:eastAsia="en-PH"/>
              </w:rPr>
            </w:pPr>
            <w:r w:rsidRPr="00054A5F">
              <w:rPr>
                <w:rFonts w:ascii="Arial" w:hAnsi="Arial" w:cs="Arial"/>
                <w:b/>
                <w:lang w:eastAsia="en-PH"/>
              </w:rPr>
              <w:t>84</w:t>
            </w:r>
          </w:p>
        </w:tc>
        <w:tc>
          <w:tcPr>
            <w:tcW w:w="3300" w:type="dxa"/>
            <w:tcBorders>
              <w:top w:val="single" w:sz="4" w:space="0" w:color="auto"/>
              <w:bottom w:val="single" w:sz="4" w:space="0" w:color="auto"/>
            </w:tcBorders>
            <w:noWrap/>
            <w:vAlign w:val="center"/>
            <w:hideMark/>
          </w:tcPr>
          <w:p w14:paraId="0DC48132" w14:textId="77777777" w:rsidR="001E51D5" w:rsidRPr="00054A5F" w:rsidRDefault="001E51D5" w:rsidP="001E51D5">
            <w:pPr>
              <w:jc w:val="center"/>
              <w:rPr>
                <w:rFonts w:ascii="Arial" w:hAnsi="Arial" w:cs="Arial"/>
                <w:b/>
                <w:lang w:eastAsia="en-PH"/>
              </w:rPr>
            </w:pPr>
            <w:r w:rsidRPr="00054A5F">
              <w:rPr>
                <w:rFonts w:ascii="Arial" w:hAnsi="Arial" w:cs="Arial"/>
                <w:b/>
                <w:lang w:eastAsia="en-PH"/>
              </w:rPr>
              <w:t>100.00</w:t>
            </w:r>
          </w:p>
        </w:tc>
      </w:tr>
    </w:tbl>
    <w:p w14:paraId="10E30B4A" w14:textId="77777777" w:rsidR="001E51D5" w:rsidRPr="00054A5F" w:rsidRDefault="001E51D5" w:rsidP="001E51D5">
      <w:pPr>
        <w:shd w:val="clear" w:color="auto" w:fill="FFFFFF"/>
        <w:ind w:left="3060"/>
        <w:rPr>
          <w:rFonts w:ascii="Arial" w:hAnsi="Arial" w:cs="Arial"/>
          <w:bCs/>
          <w:color w:val="1F1F1F"/>
          <w:sz w:val="16"/>
          <w:szCs w:val="16"/>
        </w:rPr>
      </w:pPr>
    </w:p>
    <w:p w14:paraId="7134D532"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4 shows the distribution of the teacher-respondents according to their gender. Out of the 84 participants, a significant majority are </w:t>
      </w:r>
      <w:r w:rsidRPr="00054A5F">
        <w:rPr>
          <w:rFonts w:ascii="Arial" w:hAnsi="Arial" w:cs="Arial"/>
          <w:bCs/>
          <w:color w:val="1F1F1F"/>
          <w:bdr w:val="none" w:sz="0" w:space="0" w:color="auto" w:frame="1"/>
          <w:lang w:eastAsia="en-PH"/>
        </w:rPr>
        <w:t>female</w:t>
      </w:r>
      <w:r w:rsidRPr="00054A5F">
        <w:rPr>
          <w:rFonts w:ascii="Arial" w:hAnsi="Arial" w:cs="Arial"/>
          <w:bCs/>
          <w:color w:val="1F1F1F"/>
          <w:lang w:eastAsia="en-PH"/>
        </w:rPr>
        <w:t xml:space="preserve">, comprising </w:t>
      </w:r>
      <w:r w:rsidRPr="00054A5F">
        <w:rPr>
          <w:rFonts w:ascii="Arial" w:hAnsi="Arial" w:cs="Arial"/>
          <w:bCs/>
          <w:color w:val="1F1F1F"/>
          <w:bdr w:val="none" w:sz="0" w:space="0" w:color="auto" w:frame="1"/>
          <w:lang w:eastAsia="en-PH"/>
        </w:rPr>
        <w:t>82.1%</w:t>
      </w:r>
      <w:r w:rsidRPr="00054A5F">
        <w:rPr>
          <w:rFonts w:ascii="Arial" w:hAnsi="Arial" w:cs="Arial"/>
          <w:bCs/>
          <w:color w:val="1F1F1F"/>
          <w:lang w:eastAsia="en-PH"/>
        </w:rPr>
        <w:t xml:space="preserve"> (69 teachers) of the sample. In contrast, </w:t>
      </w:r>
      <w:r w:rsidRPr="00054A5F">
        <w:rPr>
          <w:rFonts w:ascii="Arial" w:hAnsi="Arial" w:cs="Arial"/>
          <w:bCs/>
          <w:color w:val="1F1F1F"/>
          <w:bdr w:val="none" w:sz="0" w:space="0" w:color="auto" w:frame="1"/>
          <w:lang w:eastAsia="en-PH"/>
        </w:rPr>
        <w:t>male</w:t>
      </w:r>
      <w:r w:rsidRPr="00054A5F">
        <w:rPr>
          <w:rFonts w:ascii="Arial" w:hAnsi="Arial" w:cs="Arial"/>
          <w:bCs/>
          <w:color w:val="1F1F1F"/>
          <w:lang w:eastAsia="en-PH"/>
        </w:rPr>
        <w:t xml:space="preserve"> teachers represent only </w:t>
      </w:r>
      <w:r w:rsidRPr="00054A5F">
        <w:rPr>
          <w:rFonts w:ascii="Arial" w:hAnsi="Arial" w:cs="Arial"/>
          <w:bCs/>
          <w:color w:val="1F1F1F"/>
          <w:bdr w:val="none" w:sz="0" w:space="0" w:color="auto" w:frame="1"/>
          <w:lang w:eastAsia="en-PH"/>
        </w:rPr>
        <w:t>17.9%</w:t>
      </w:r>
      <w:r w:rsidRPr="00054A5F">
        <w:rPr>
          <w:rFonts w:ascii="Arial" w:hAnsi="Arial" w:cs="Arial"/>
          <w:bCs/>
          <w:color w:val="1F1F1F"/>
          <w:lang w:eastAsia="en-PH"/>
        </w:rPr>
        <w:t xml:space="preserve"> (15 teachers) of the total population.</w:t>
      </w:r>
    </w:p>
    <w:p w14:paraId="12E3CBAA" w14:textId="77777777" w:rsidR="00A44D52" w:rsidRPr="00054A5F" w:rsidRDefault="00A44D52" w:rsidP="00A44D52">
      <w:pPr>
        <w:jc w:val="both"/>
        <w:rPr>
          <w:rFonts w:ascii="Arial" w:hAnsi="Arial" w:cs="Arial"/>
          <w:bCs/>
          <w:color w:val="1F1F1F"/>
          <w:lang w:eastAsia="en-PH"/>
        </w:rPr>
      </w:pPr>
    </w:p>
    <w:p w14:paraId="4808ECD5"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the teaching force in the Junior High School level for this specific study is predominantly female-dominated. This demographic trend is consistent with the broader landscape of the Department of Education, where teaching often attracts more women than </w:t>
      </w:r>
      <w:r w:rsidRPr="00054A5F">
        <w:rPr>
          <w:rFonts w:ascii="Arial" w:hAnsi="Arial" w:cs="Arial"/>
          <w:bCs/>
          <w:color w:val="1F1F1F"/>
          <w:lang w:eastAsia="en-PH"/>
        </w:rPr>
        <w:lastRenderedPageBreak/>
        <w:t>men. In the context of "Teacher-Perceived Determinants of Learning Retention," this suggests that the data gathered primarily reflects the pedagogical perspectives, classroom management styles, and nurturing approaches often associated with female educators. This gender distribution provides a foundational understanding that the proposed "Learning Retention Enhancement Program" will be implemented and evaluated by a workforce that is largely female, which may influence the choice of instructional strategies and interpersonal interventions used to improve student memory and academic performance.</w:t>
      </w:r>
    </w:p>
    <w:p w14:paraId="19728A70" w14:textId="77777777" w:rsidR="00A44D52" w:rsidRPr="00054A5F" w:rsidRDefault="00A44D52" w:rsidP="00A44D52">
      <w:pPr>
        <w:jc w:val="both"/>
        <w:rPr>
          <w:rFonts w:ascii="Arial" w:hAnsi="Arial" w:cs="Arial"/>
          <w:lang w:eastAsia="en-PH"/>
        </w:rPr>
      </w:pPr>
    </w:p>
    <w:p w14:paraId="5A35A31B"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gendered influences on instructional practice and learning outcomes in junior high settings, where a female-dominated teaching workforce can shape classroom management, relational dynamics, and pedagogical choices that affect student learning retention. The observed 82.1% female teachers in the sample are consistent with broader education literature noting higher female representation among teachers, which can influence instructional strategies and perceived determinants of retention among students. Accordingly, a Learning Retention Enhancement Program implemented by a predominantly female workforce may emphasize collaborative, nurturing, and relational approaches, while also needing to consider potential gendered expectations in student engagement and memory processes. These findings support constructing replication-by-design implications for program efficacy across gender-dominated teaching contexts and suggest further investigation into how gender composition interacts with instructional interventions to optimize memory retention and academic achievement.</w:t>
      </w:r>
    </w:p>
    <w:p w14:paraId="56BF3A65" w14:textId="77777777" w:rsidR="001E51D5" w:rsidRPr="00054A5F" w:rsidRDefault="001E51D5" w:rsidP="001E51D5">
      <w:pPr>
        <w:jc w:val="both"/>
        <w:outlineLvl w:val="2"/>
        <w:rPr>
          <w:rFonts w:ascii="Arial" w:hAnsi="Arial" w:cs="Arial"/>
          <w:lang w:eastAsia="en-PH"/>
        </w:rPr>
      </w:pPr>
    </w:p>
    <w:p w14:paraId="01300AA3" w14:textId="77777777" w:rsidR="001E51D5" w:rsidRPr="00054A5F" w:rsidRDefault="001E51D5" w:rsidP="001E51D5">
      <w:pPr>
        <w:jc w:val="both"/>
        <w:outlineLvl w:val="2"/>
        <w:rPr>
          <w:rFonts w:ascii="Arial" w:hAnsi="Arial" w:cs="Arial"/>
          <w:b/>
          <w:lang w:eastAsia="en-PH"/>
        </w:rPr>
      </w:pPr>
      <w:r w:rsidRPr="00054A5F">
        <w:rPr>
          <w:rFonts w:ascii="Arial" w:hAnsi="Arial" w:cs="Arial"/>
          <w:b/>
          <w:lang w:eastAsia="en-PH"/>
        </w:rPr>
        <w:t>3.1.3. Years of Teaching Experience</w:t>
      </w:r>
    </w:p>
    <w:p w14:paraId="2B14CFCE" w14:textId="77777777" w:rsidR="00A44D52" w:rsidRPr="00054A5F" w:rsidRDefault="00A44D52" w:rsidP="00A44D52">
      <w:pPr>
        <w:jc w:val="both"/>
        <w:outlineLvl w:val="2"/>
        <w:rPr>
          <w:rFonts w:ascii="Arial" w:hAnsi="Arial" w:cs="Arial"/>
          <w:b/>
          <w:lang w:eastAsia="en-PH"/>
        </w:rPr>
      </w:pPr>
    </w:p>
    <w:p w14:paraId="5874DB57" w14:textId="77777777" w:rsidR="001E51D5" w:rsidRPr="00054A5F" w:rsidRDefault="001E51D5" w:rsidP="00A44D52">
      <w:pPr>
        <w:jc w:val="both"/>
        <w:outlineLvl w:val="2"/>
        <w:rPr>
          <w:rFonts w:ascii="Arial" w:hAnsi="Arial" w:cs="Arial"/>
          <w:lang w:eastAsia="en-PH"/>
        </w:rPr>
      </w:pPr>
      <w:r w:rsidRPr="00054A5F">
        <w:rPr>
          <w:rFonts w:ascii="Arial" w:hAnsi="Arial" w:cs="Arial"/>
          <w:lang w:eastAsia="en-PH"/>
        </w:rPr>
        <w:t>This demographic factor is crucial in understanding the professional background of the participants, as teaching experience often shapes the pedagogical approaches and classroom management strategies used to influence student learning retention. The data reflects a diverse workforce with varying levels of expertise, ranging from novice instructors to seasoned educators.</w:t>
      </w:r>
    </w:p>
    <w:p w14:paraId="160F8538" w14:textId="77777777" w:rsidR="001E51D5" w:rsidRPr="00054A5F" w:rsidRDefault="001E51D5" w:rsidP="001E51D5">
      <w:pPr>
        <w:ind w:firstLine="720"/>
        <w:outlineLvl w:val="2"/>
        <w:rPr>
          <w:rFonts w:ascii="Arial" w:hAnsi="Arial" w:cs="Arial"/>
          <w:lang w:eastAsia="en-PH"/>
        </w:rPr>
      </w:pPr>
    </w:p>
    <w:p w14:paraId="6C7660A6" w14:textId="77777777" w:rsidR="001E51D5" w:rsidRPr="00054A5F" w:rsidRDefault="001E51D5" w:rsidP="001E51D5">
      <w:pPr>
        <w:rPr>
          <w:rFonts w:ascii="Arial" w:hAnsi="Arial" w:cs="Arial"/>
          <w:b/>
          <w:lang w:eastAsia="en-PH"/>
        </w:rPr>
      </w:pPr>
      <w:r w:rsidRPr="00054A5F">
        <w:rPr>
          <w:rFonts w:ascii="Arial" w:hAnsi="Arial" w:cs="Arial"/>
          <w:b/>
          <w:lang w:eastAsia="en-PH"/>
        </w:rPr>
        <w:t>Table 5. Years of Teaching Experience</w:t>
      </w:r>
    </w:p>
    <w:tbl>
      <w:tblPr>
        <w:tblW w:w="0" w:type="auto"/>
        <w:tblLook w:val="04A0" w:firstRow="1" w:lastRow="0" w:firstColumn="1" w:lastColumn="0" w:noHBand="0" w:noVBand="1"/>
      </w:tblPr>
      <w:tblGrid>
        <w:gridCol w:w="2740"/>
        <w:gridCol w:w="2726"/>
        <w:gridCol w:w="2742"/>
      </w:tblGrid>
      <w:tr w:rsidR="001E51D5" w:rsidRPr="00054A5F" w14:paraId="203716D1" w14:textId="77777777" w:rsidTr="001E51D5">
        <w:tc>
          <w:tcPr>
            <w:tcW w:w="3210" w:type="dxa"/>
            <w:tcBorders>
              <w:top w:val="single" w:sz="4" w:space="0" w:color="auto"/>
              <w:bottom w:val="single" w:sz="4" w:space="0" w:color="auto"/>
            </w:tcBorders>
            <w:vAlign w:val="center"/>
            <w:hideMark/>
          </w:tcPr>
          <w:p w14:paraId="1466C00F" w14:textId="77777777" w:rsidR="001E51D5" w:rsidRPr="00054A5F" w:rsidRDefault="001E51D5" w:rsidP="001E51D5">
            <w:pPr>
              <w:jc w:val="center"/>
              <w:rPr>
                <w:rFonts w:ascii="Arial" w:hAnsi="Arial" w:cs="Arial"/>
                <w:b/>
                <w:color w:val="1F1F1F"/>
                <w:szCs w:val="18"/>
                <w:lang w:eastAsia="en-PH"/>
              </w:rPr>
            </w:pPr>
            <w:r w:rsidRPr="00054A5F">
              <w:rPr>
                <w:rFonts w:ascii="Arial" w:hAnsi="Arial" w:cs="Arial"/>
                <w:b/>
                <w:color w:val="1F1F1F"/>
                <w:szCs w:val="18"/>
                <w:lang w:eastAsia="en-PH"/>
              </w:rPr>
              <w:t>Years of Teaching Experience</w:t>
            </w:r>
          </w:p>
        </w:tc>
        <w:tc>
          <w:tcPr>
            <w:tcW w:w="3210" w:type="dxa"/>
            <w:tcBorders>
              <w:top w:val="single" w:sz="4" w:space="0" w:color="auto"/>
              <w:bottom w:val="single" w:sz="4" w:space="0" w:color="auto"/>
            </w:tcBorders>
            <w:vAlign w:val="center"/>
            <w:hideMark/>
          </w:tcPr>
          <w:p w14:paraId="44E2CDC0" w14:textId="77777777" w:rsidR="001E51D5" w:rsidRPr="00054A5F" w:rsidRDefault="001E51D5" w:rsidP="001E51D5">
            <w:pPr>
              <w:jc w:val="center"/>
              <w:rPr>
                <w:rFonts w:ascii="Arial" w:hAnsi="Arial" w:cs="Arial"/>
                <w:b/>
                <w:color w:val="1F1F1F"/>
                <w:szCs w:val="18"/>
                <w:lang w:eastAsia="en-PH"/>
              </w:rPr>
            </w:pPr>
            <w:r w:rsidRPr="00054A5F">
              <w:rPr>
                <w:rFonts w:ascii="Arial" w:hAnsi="Arial" w:cs="Arial"/>
                <w:b/>
                <w:color w:val="1F1F1F"/>
                <w:szCs w:val="18"/>
                <w:lang w:eastAsia="en-PH"/>
              </w:rPr>
              <w:t>Frequency</w:t>
            </w:r>
          </w:p>
        </w:tc>
        <w:tc>
          <w:tcPr>
            <w:tcW w:w="3210" w:type="dxa"/>
            <w:tcBorders>
              <w:top w:val="single" w:sz="4" w:space="0" w:color="auto"/>
              <w:bottom w:val="single" w:sz="4" w:space="0" w:color="auto"/>
            </w:tcBorders>
            <w:vAlign w:val="center"/>
            <w:hideMark/>
          </w:tcPr>
          <w:p w14:paraId="4BFC1178" w14:textId="77777777" w:rsidR="001E51D5" w:rsidRPr="00054A5F" w:rsidRDefault="001E51D5" w:rsidP="001E51D5">
            <w:pPr>
              <w:jc w:val="center"/>
              <w:rPr>
                <w:rFonts w:ascii="Arial" w:hAnsi="Arial" w:cs="Arial"/>
                <w:b/>
                <w:color w:val="1F1F1F"/>
                <w:szCs w:val="18"/>
                <w:lang w:eastAsia="en-PH"/>
              </w:rPr>
            </w:pPr>
            <w:r w:rsidRPr="00054A5F">
              <w:rPr>
                <w:rFonts w:ascii="Arial" w:hAnsi="Arial" w:cs="Arial"/>
                <w:b/>
                <w:color w:val="1F1F1F"/>
                <w:szCs w:val="18"/>
                <w:lang w:eastAsia="en-PH"/>
              </w:rPr>
              <w:t>Percentage</w:t>
            </w:r>
          </w:p>
        </w:tc>
      </w:tr>
      <w:tr w:rsidR="001E51D5" w:rsidRPr="00054A5F" w14:paraId="077FA88F" w14:textId="77777777" w:rsidTr="001E51D5">
        <w:tc>
          <w:tcPr>
            <w:tcW w:w="3210" w:type="dxa"/>
            <w:tcBorders>
              <w:top w:val="single" w:sz="4" w:space="0" w:color="auto"/>
            </w:tcBorders>
            <w:vAlign w:val="center"/>
            <w:hideMark/>
          </w:tcPr>
          <w:p w14:paraId="7C730AD1"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0–5 years</w:t>
            </w:r>
          </w:p>
        </w:tc>
        <w:tc>
          <w:tcPr>
            <w:tcW w:w="3210" w:type="dxa"/>
            <w:tcBorders>
              <w:top w:val="single" w:sz="4" w:space="0" w:color="auto"/>
            </w:tcBorders>
            <w:vAlign w:val="center"/>
            <w:hideMark/>
          </w:tcPr>
          <w:p w14:paraId="6472EB49"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30</w:t>
            </w:r>
          </w:p>
        </w:tc>
        <w:tc>
          <w:tcPr>
            <w:tcW w:w="3210" w:type="dxa"/>
            <w:tcBorders>
              <w:top w:val="single" w:sz="4" w:space="0" w:color="auto"/>
            </w:tcBorders>
            <w:vAlign w:val="center"/>
            <w:hideMark/>
          </w:tcPr>
          <w:p w14:paraId="27B936FF"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35.70</w:t>
            </w:r>
          </w:p>
        </w:tc>
      </w:tr>
      <w:tr w:rsidR="001E51D5" w:rsidRPr="00054A5F" w14:paraId="0F626027" w14:textId="77777777" w:rsidTr="001E51D5">
        <w:tc>
          <w:tcPr>
            <w:tcW w:w="3210" w:type="dxa"/>
            <w:vAlign w:val="center"/>
            <w:hideMark/>
          </w:tcPr>
          <w:p w14:paraId="47723A35"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6–10 years</w:t>
            </w:r>
          </w:p>
        </w:tc>
        <w:tc>
          <w:tcPr>
            <w:tcW w:w="3210" w:type="dxa"/>
            <w:vAlign w:val="center"/>
            <w:hideMark/>
          </w:tcPr>
          <w:p w14:paraId="042FEF4E"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16</w:t>
            </w:r>
          </w:p>
        </w:tc>
        <w:tc>
          <w:tcPr>
            <w:tcW w:w="3210" w:type="dxa"/>
            <w:vAlign w:val="center"/>
            <w:hideMark/>
          </w:tcPr>
          <w:p w14:paraId="3DFC33F7"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19.00</w:t>
            </w:r>
          </w:p>
        </w:tc>
      </w:tr>
      <w:tr w:rsidR="001E51D5" w:rsidRPr="00054A5F" w14:paraId="4A4D851F" w14:textId="77777777" w:rsidTr="001E51D5">
        <w:tc>
          <w:tcPr>
            <w:tcW w:w="3210" w:type="dxa"/>
            <w:vAlign w:val="center"/>
            <w:hideMark/>
          </w:tcPr>
          <w:p w14:paraId="4C0F6E57"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11–15 years</w:t>
            </w:r>
          </w:p>
        </w:tc>
        <w:tc>
          <w:tcPr>
            <w:tcW w:w="3210" w:type="dxa"/>
            <w:vAlign w:val="center"/>
            <w:hideMark/>
          </w:tcPr>
          <w:p w14:paraId="0708E5F6"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14</w:t>
            </w:r>
          </w:p>
        </w:tc>
        <w:tc>
          <w:tcPr>
            <w:tcW w:w="3210" w:type="dxa"/>
            <w:vAlign w:val="center"/>
            <w:hideMark/>
          </w:tcPr>
          <w:p w14:paraId="7B6AC67C"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16.70</w:t>
            </w:r>
          </w:p>
        </w:tc>
      </w:tr>
      <w:tr w:rsidR="001E51D5" w:rsidRPr="00054A5F" w14:paraId="27203E2D" w14:textId="77777777" w:rsidTr="001E51D5">
        <w:tc>
          <w:tcPr>
            <w:tcW w:w="3210" w:type="dxa"/>
            <w:vAlign w:val="center"/>
            <w:hideMark/>
          </w:tcPr>
          <w:p w14:paraId="1AF8DCB1"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16–20 years</w:t>
            </w:r>
          </w:p>
        </w:tc>
        <w:tc>
          <w:tcPr>
            <w:tcW w:w="3210" w:type="dxa"/>
            <w:vAlign w:val="center"/>
            <w:hideMark/>
          </w:tcPr>
          <w:p w14:paraId="58373164"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8</w:t>
            </w:r>
          </w:p>
        </w:tc>
        <w:tc>
          <w:tcPr>
            <w:tcW w:w="3210" w:type="dxa"/>
            <w:vAlign w:val="center"/>
            <w:hideMark/>
          </w:tcPr>
          <w:p w14:paraId="586EA0EB"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9.50</w:t>
            </w:r>
          </w:p>
        </w:tc>
      </w:tr>
      <w:tr w:rsidR="001E51D5" w:rsidRPr="00054A5F" w14:paraId="51DAC09F" w14:textId="77777777" w:rsidTr="001E51D5">
        <w:tc>
          <w:tcPr>
            <w:tcW w:w="3210" w:type="dxa"/>
            <w:tcBorders>
              <w:bottom w:val="single" w:sz="4" w:space="0" w:color="auto"/>
            </w:tcBorders>
            <w:vAlign w:val="center"/>
            <w:hideMark/>
          </w:tcPr>
          <w:p w14:paraId="1AFDFFEB"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21 years and above</w:t>
            </w:r>
          </w:p>
        </w:tc>
        <w:tc>
          <w:tcPr>
            <w:tcW w:w="3210" w:type="dxa"/>
            <w:tcBorders>
              <w:bottom w:val="single" w:sz="4" w:space="0" w:color="auto"/>
            </w:tcBorders>
            <w:vAlign w:val="center"/>
            <w:hideMark/>
          </w:tcPr>
          <w:p w14:paraId="1D4F9D5C"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16</w:t>
            </w:r>
          </w:p>
        </w:tc>
        <w:tc>
          <w:tcPr>
            <w:tcW w:w="3210" w:type="dxa"/>
            <w:tcBorders>
              <w:bottom w:val="single" w:sz="4" w:space="0" w:color="auto"/>
            </w:tcBorders>
            <w:vAlign w:val="center"/>
            <w:hideMark/>
          </w:tcPr>
          <w:p w14:paraId="125494BD" w14:textId="77777777" w:rsidR="001E51D5" w:rsidRPr="00054A5F" w:rsidRDefault="001E51D5" w:rsidP="001E51D5">
            <w:pPr>
              <w:jc w:val="center"/>
              <w:rPr>
                <w:rFonts w:ascii="Arial" w:hAnsi="Arial" w:cs="Arial"/>
                <w:bCs/>
                <w:color w:val="1F1F1F"/>
                <w:szCs w:val="18"/>
                <w:lang w:eastAsia="en-PH"/>
              </w:rPr>
            </w:pPr>
            <w:r w:rsidRPr="00054A5F">
              <w:rPr>
                <w:rFonts w:ascii="Arial" w:hAnsi="Arial" w:cs="Arial"/>
                <w:bCs/>
                <w:color w:val="1F1F1F"/>
                <w:szCs w:val="18"/>
                <w:lang w:eastAsia="en-PH"/>
              </w:rPr>
              <w:t>19.00</w:t>
            </w:r>
          </w:p>
        </w:tc>
      </w:tr>
      <w:tr w:rsidR="001E51D5" w:rsidRPr="00054A5F" w14:paraId="4F5C927C" w14:textId="77777777" w:rsidTr="001E51D5">
        <w:tc>
          <w:tcPr>
            <w:tcW w:w="3210" w:type="dxa"/>
            <w:tcBorders>
              <w:top w:val="single" w:sz="4" w:space="0" w:color="auto"/>
              <w:bottom w:val="single" w:sz="4" w:space="0" w:color="auto"/>
            </w:tcBorders>
            <w:vAlign w:val="center"/>
            <w:hideMark/>
          </w:tcPr>
          <w:p w14:paraId="501C62CF" w14:textId="77777777" w:rsidR="001E51D5" w:rsidRPr="00054A5F" w:rsidRDefault="001E51D5" w:rsidP="001E51D5">
            <w:pPr>
              <w:jc w:val="center"/>
              <w:rPr>
                <w:rFonts w:ascii="Arial" w:hAnsi="Arial" w:cs="Arial"/>
                <w:b/>
                <w:color w:val="1F1F1F"/>
                <w:szCs w:val="18"/>
                <w:lang w:eastAsia="en-PH"/>
              </w:rPr>
            </w:pPr>
            <w:r w:rsidRPr="00054A5F">
              <w:rPr>
                <w:rFonts w:ascii="Arial" w:hAnsi="Arial" w:cs="Arial"/>
                <w:b/>
                <w:color w:val="1F1F1F"/>
                <w:szCs w:val="18"/>
                <w:lang w:eastAsia="en-PH"/>
              </w:rPr>
              <w:t>Total</w:t>
            </w:r>
          </w:p>
        </w:tc>
        <w:tc>
          <w:tcPr>
            <w:tcW w:w="3210" w:type="dxa"/>
            <w:tcBorders>
              <w:top w:val="single" w:sz="4" w:space="0" w:color="auto"/>
              <w:bottom w:val="single" w:sz="4" w:space="0" w:color="auto"/>
            </w:tcBorders>
            <w:vAlign w:val="center"/>
            <w:hideMark/>
          </w:tcPr>
          <w:p w14:paraId="6C07913D" w14:textId="77777777" w:rsidR="001E51D5" w:rsidRPr="00054A5F" w:rsidRDefault="001E51D5" w:rsidP="001E51D5">
            <w:pPr>
              <w:jc w:val="center"/>
              <w:rPr>
                <w:rFonts w:ascii="Arial" w:hAnsi="Arial" w:cs="Arial"/>
                <w:b/>
                <w:color w:val="1F1F1F"/>
                <w:szCs w:val="18"/>
                <w:lang w:eastAsia="en-PH"/>
              </w:rPr>
            </w:pPr>
            <w:r w:rsidRPr="00054A5F">
              <w:rPr>
                <w:rFonts w:ascii="Arial" w:hAnsi="Arial" w:cs="Arial"/>
                <w:b/>
                <w:color w:val="1F1F1F"/>
                <w:szCs w:val="18"/>
                <w:lang w:eastAsia="en-PH"/>
              </w:rPr>
              <w:t>84</w:t>
            </w:r>
          </w:p>
        </w:tc>
        <w:tc>
          <w:tcPr>
            <w:tcW w:w="3210" w:type="dxa"/>
            <w:tcBorders>
              <w:top w:val="single" w:sz="4" w:space="0" w:color="auto"/>
              <w:bottom w:val="single" w:sz="4" w:space="0" w:color="auto"/>
            </w:tcBorders>
            <w:vAlign w:val="center"/>
            <w:hideMark/>
          </w:tcPr>
          <w:p w14:paraId="795BBC87" w14:textId="77777777" w:rsidR="001E51D5" w:rsidRPr="00054A5F" w:rsidRDefault="001E51D5" w:rsidP="001E51D5">
            <w:pPr>
              <w:jc w:val="center"/>
              <w:rPr>
                <w:rFonts w:ascii="Arial" w:hAnsi="Arial" w:cs="Arial"/>
                <w:b/>
                <w:color w:val="1F1F1F"/>
                <w:szCs w:val="18"/>
                <w:lang w:eastAsia="en-PH"/>
              </w:rPr>
            </w:pPr>
            <w:r w:rsidRPr="00054A5F">
              <w:rPr>
                <w:rFonts w:ascii="Arial" w:hAnsi="Arial" w:cs="Arial"/>
                <w:b/>
                <w:color w:val="1F1F1F"/>
                <w:szCs w:val="18"/>
                <w:lang w:eastAsia="en-PH"/>
              </w:rPr>
              <w:t>100.00</w:t>
            </w:r>
          </w:p>
        </w:tc>
      </w:tr>
    </w:tbl>
    <w:p w14:paraId="2D6C7A3C" w14:textId="77777777" w:rsidR="001E51D5" w:rsidRPr="00054A5F" w:rsidRDefault="001E51D5" w:rsidP="001E51D5">
      <w:pPr>
        <w:outlineLvl w:val="2"/>
        <w:rPr>
          <w:rFonts w:ascii="Arial" w:hAnsi="Arial" w:cs="Arial"/>
          <w:sz w:val="18"/>
          <w:szCs w:val="16"/>
          <w:lang w:eastAsia="en-PH"/>
        </w:rPr>
      </w:pPr>
    </w:p>
    <w:p w14:paraId="359A2BCF" w14:textId="77777777" w:rsidR="001E51D5" w:rsidRPr="00054A5F" w:rsidRDefault="001E51D5" w:rsidP="001E51D5">
      <w:pPr>
        <w:ind w:firstLine="720"/>
        <w:jc w:val="both"/>
        <w:rPr>
          <w:rFonts w:ascii="Arial" w:hAnsi="Arial" w:cs="Arial"/>
          <w:bCs/>
          <w:color w:val="1F1F1F"/>
          <w:lang w:eastAsia="en-PH"/>
        </w:rPr>
      </w:pPr>
      <w:r w:rsidRPr="00054A5F">
        <w:rPr>
          <w:rFonts w:ascii="Arial" w:hAnsi="Arial" w:cs="Arial"/>
          <w:bCs/>
          <w:color w:val="1F1F1F"/>
          <w:lang w:eastAsia="en-PH"/>
        </w:rPr>
        <w:t xml:space="preserve">Table 5 shows the distribution of the respondents based on their years of teaching experience. Out of the 84 teacher-participants, the largest group consists of those with </w:t>
      </w:r>
      <w:r w:rsidRPr="00054A5F">
        <w:rPr>
          <w:rFonts w:ascii="Arial" w:hAnsi="Arial" w:cs="Arial"/>
          <w:bCs/>
          <w:color w:val="1F1F1F"/>
          <w:bdr w:val="none" w:sz="0" w:space="0" w:color="auto" w:frame="1"/>
          <w:lang w:eastAsia="en-PH"/>
        </w:rPr>
        <w:t>0–5 years</w:t>
      </w:r>
      <w:r w:rsidRPr="00054A5F">
        <w:rPr>
          <w:rFonts w:ascii="Arial" w:hAnsi="Arial" w:cs="Arial"/>
          <w:bCs/>
          <w:color w:val="1F1F1F"/>
          <w:lang w:eastAsia="en-PH"/>
        </w:rPr>
        <w:t xml:space="preserve"> of experience, totaling 30 individuals or </w:t>
      </w:r>
      <w:r w:rsidRPr="00054A5F">
        <w:rPr>
          <w:rFonts w:ascii="Arial" w:hAnsi="Arial" w:cs="Arial"/>
          <w:bCs/>
          <w:color w:val="1F1F1F"/>
          <w:bdr w:val="none" w:sz="0" w:space="0" w:color="auto" w:frame="1"/>
          <w:lang w:eastAsia="en-PH"/>
        </w:rPr>
        <w:t>35.70%</w:t>
      </w:r>
      <w:r w:rsidRPr="00054A5F">
        <w:rPr>
          <w:rFonts w:ascii="Arial" w:hAnsi="Arial" w:cs="Arial"/>
          <w:bCs/>
          <w:color w:val="1F1F1F"/>
          <w:lang w:eastAsia="en-PH"/>
        </w:rPr>
        <w:t xml:space="preserve"> of the sample. This is followed by two groups with equal representation: those with </w:t>
      </w:r>
      <w:r w:rsidRPr="00054A5F">
        <w:rPr>
          <w:rFonts w:ascii="Arial" w:hAnsi="Arial" w:cs="Arial"/>
          <w:bCs/>
          <w:color w:val="1F1F1F"/>
          <w:bdr w:val="none" w:sz="0" w:space="0" w:color="auto" w:frame="1"/>
          <w:lang w:eastAsia="en-PH"/>
        </w:rPr>
        <w:t>6–10 years</w:t>
      </w:r>
      <w:r w:rsidRPr="00054A5F">
        <w:rPr>
          <w:rFonts w:ascii="Arial" w:hAnsi="Arial" w:cs="Arial"/>
          <w:bCs/>
          <w:color w:val="1F1F1F"/>
          <w:lang w:eastAsia="en-PH"/>
        </w:rPr>
        <w:t xml:space="preserve"> and those with </w:t>
      </w:r>
      <w:r w:rsidRPr="00054A5F">
        <w:rPr>
          <w:rFonts w:ascii="Arial" w:hAnsi="Arial" w:cs="Arial"/>
          <w:bCs/>
          <w:color w:val="1F1F1F"/>
          <w:bdr w:val="none" w:sz="0" w:space="0" w:color="auto" w:frame="1"/>
          <w:lang w:eastAsia="en-PH"/>
        </w:rPr>
        <w:t>21 years and above</w:t>
      </w:r>
      <w:r w:rsidRPr="00054A5F">
        <w:rPr>
          <w:rFonts w:ascii="Arial" w:hAnsi="Arial" w:cs="Arial"/>
          <w:bCs/>
          <w:color w:val="1F1F1F"/>
          <w:lang w:eastAsia="en-PH"/>
        </w:rPr>
        <w:t>, each comprising 16 respondents (</w:t>
      </w:r>
      <w:r w:rsidRPr="00054A5F">
        <w:rPr>
          <w:rFonts w:ascii="Arial" w:hAnsi="Arial" w:cs="Arial"/>
          <w:bCs/>
          <w:color w:val="1F1F1F"/>
          <w:bdr w:val="none" w:sz="0" w:space="0" w:color="auto" w:frame="1"/>
          <w:lang w:eastAsia="en-PH"/>
        </w:rPr>
        <w:t>19.00%</w:t>
      </w:r>
      <w:r w:rsidRPr="00054A5F">
        <w:rPr>
          <w:rFonts w:ascii="Arial" w:hAnsi="Arial" w:cs="Arial"/>
          <w:bCs/>
          <w:color w:val="1F1F1F"/>
          <w:lang w:eastAsia="en-PH"/>
        </w:rPr>
        <w:t xml:space="preserve">). Teachers with </w:t>
      </w:r>
      <w:r w:rsidRPr="00054A5F">
        <w:rPr>
          <w:rFonts w:ascii="Arial" w:hAnsi="Arial" w:cs="Arial"/>
          <w:bCs/>
          <w:color w:val="1F1F1F"/>
          <w:bdr w:val="none" w:sz="0" w:space="0" w:color="auto" w:frame="1"/>
          <w:lang w:eastAsia="en-PH"/>
        </w:rPr>
        <w:t>11–15 years</w:t>
      </w:r>
      <w:r w:rsidRPr="00054A5F">
        <w:rPr>
          <w:rFonts w:ascii="Arial" w:hAnsi="Arial" w:cs="Arial"/>
          <w:bCs/>
          <w:color w:val="1F1F1F"/>
          <w:lang w:eastAsia="en-PH"/>
        </w:rPr>
        <w:t xml:space="preserve"> of experience account for 14 respondents (</w:t>
      </w:r>
      <w:r w:rsidRPr="00054A5F">
        <w:rPr>
          <w:rFonts w:ascii="Arial" w:hAnsi="Arial" w:cs="Arial"/>
          <w:bCs/>
          <w:color w:val="1F1F1F"/>
          <w:bdr w:val="none" w:sz="0" w:space="0" w:color="auto" w:frame="1"/>
          <w:lang w:eastAsia="en-PH"/>
        </w:rPr>
        <w:t>16.70%</w:t>
      </w:r>
      <w:r w:rsidRPr="00054A5F">
        <w:rPr>
          <w:rFonts w:ascii="Arial" w:hAnsi="Arial" w:cs="Arial"/>
          <w:bCs/>
          <w:color w:val="1F1F1F"/>
          <w:lang w:eastAsia="en-PH"/>
        </w:rPr>
        <w:t xml:space="preserve">), while the smallest group is composed of those with </w:t>
      </w:r>
      <w:r w:rsidRPr="00054A5F">
        <w:rPr>
          <w:rFonts w:ascii="Arial" w:hAnsi="Arial" w:cs="Arial"/>
          <w:bCs/>
          <w:color w:val="1F1F1F"/>
          <w:bdr w:val="none" w:sz="0" w:space="0" w:color="auto" w:frame="1"/>
          <w:lang w:eastAsia="en-PH"/>
        </w:rPr>
        <w:t>16–20 years</w:t>
      </w:r>
      <w:r w:rsidRPr="00054A5F">
        <w:rPr>
          <w:rFonts w:ascii="Arial" w:hAnsi="Arial" w:cs="Arial"/>
          <w:bCs/>
          <w:color w:val="1F1F1F"/>
          <w:lang w:eastAsia="en-PH"/>
        </w:rPr>
        <w:t xml:space="preserve"> of service, representing only 8 individuals or </w:t>
      </w:r>
      <w:r w:rsidRPr="00054A5F">
        <w:rPr>
          <w:rFonts w:ascii="Arial" w:hAnsi="Arial" w:cs="Arial"/>
          <w:bCs/>
          <w:color w:val="1F1F1F"/>
          <w:bdr w:val="none" w:sz="0" w:space="0" w:color="auto" w:frame="1"/>
          <w:lang w:eastAsia="en-PH"/>
        </w:rPr>
        <w:t>9.50%</w:t>
      </w:r>
      <w:r w:rsidRPr="00054A5F">
        <w:rPr>
          <w:rFonts w:ascii="Arial" w:hAnsi="Arial" w:cs="Arial"/>
          <w:bCs/>
          <w:color w:val="1F1F1F"/>
          <w:lang w:eastAsia="en-PH"/>
        </w:rPr>
        <w:t>.</w:t>
      </w:r>
    </w:p>
    <w:p w14:paraId="768F8022" w14:textId="77777777" w:rsidR="001E51D5" w:rsidRPr="00054A5F" w:rsidRDefault="001E51D5" w:rsidP="001E51D5">
      <w:pPr>
        <w:ind w:firstLine="720"/>
        <w:jc w:val="both"/>
        <w:rPr>
          <w:rFonts w:ascii="Arial" w:hAnsi="Arial" w:cs="Arial"/>
          <w:bCs/>
          <w:color w:val="1F1F1F"/>
          <w:lang w:eastAsia="en-PH"/>
        </w:rPr>
      </w:pPr>
      <w:r w:rsidRPr="00054A5F">
        <w:rPr>
          <w:rFonts w:ascii="Arial" w:hAnsi="Arial" w:cs="Arial"/>
          <w:bCs/>
          <w:color w:val="1F1F1F"/>
          <w:lang w:eastAsia="en-PH"/>
        </w:rPr>
        <w:t xml:space="preserve">It implies that the teaching workforce in this study is predominantly composed of early-career educators, suggesting a high level of energy and potential openness to the new strategies involved in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However, the data also reveals a significant "bimodal" distribution, where a substantial portion of the faculty is either very new to the profession or highly veteran (21+ years). This demographic spread suggests that the perceived determinants of learning retention may be influenced by a mix of fresh </w:t>
      </w:r>
      <w:r w:rsidRPr="00054A5F">
        <w:rPr>
          <w:rFonts w:ascii="Arial" w:hAnsi="Arial" w:cs="Arial"/>
          <w:bCs/>
          <w:color w:val="1F1F1F"/>
          <w:lang w:eastAsia="en-PH"/>
        </w:rPr>
        <w:lastRenderedPageBreak/>
        <w:t>pedagogical training from younger teachers and seasoned, experience-based insights from long-serving educators. For the enhancement program to be successful, it must bridge the gap between these groups, leveraging the innovation of the novices and the classroom management wisdom of the experts to ensure junior high school students retain critical information effectively.</w:t>
      </w:r>
    </w:p>
    <w:p w14:paraId="7A3393AE" w14:textId="77777777" w:rsidR="001E51D5" w:rsidRPr="00054A5F" w:rsidRDefault="001E51D5" w:rsidP="001E51D5">
      <w:pPr>
        <w:ind w:firstLine="720"/>
        <w:jc w:val="both"/>
        <w:rPr>
          <w:rFonts w:ascii="Arial" w:hAnsi="Arial" w:cs="Arial"/>
          <w:lang w:eastAsia="en-PH"/>
        </w:rPr>
      </w:pPr>
      <w:r w:rsidRPr="00054A5F">
        <w:rPr>
          <w:rFonts w:ascii="Arial" w:hAnsi="Arial" w:cs="Arial"/>
          <w:lang w:eastAsia="en-PH"/>
        </w:rPr>
        <w:t>This aligns with the study of Mills (2021) and related work on learning retention and adaptive learning environments, which emphasize how early-career and veteran teachers can differently influence retention outcomes and the need to bridge pedagogical approaches across experience levels. These findings resonate with the presented bimodal distribution of teaching experience and its implications for implementing a Learning Retention Enhancement Program (LREP) in junior high settings.</w:t>
      </w:r>
    </w:p>
    <w:p w14:paraId="27B579D1" w14:textId="77777777" w:rsidR="001E51D5" w:rsidRPr="00054A5F" w:rsidRDefault="001E51D5" w:rsidP="001E51D5">
      <w:pPr>
        <w:rPr>
          <w:rFonts w:ascii="Arial" w:hAnsi="Arial" w:cs="Arial"/>
          <w:lang w:eastAsia="en-PH"/>
        </w:rPr>
      </w:pPr>
    </w:p>
    <w:p w14:paraId="780F0749" w14:textId="77777777" w:rsidR="001E51D5" w:rsidRPr="00054A5F" w:rsidRDefault="001E51D5" w:rsidP="001E51D5">
      <w:pPr>
        <w:rPr>
          <w:rFonts w:ascii="Arial" w:hAnsi="Arial" w:cs="Arial"/>
          <w:b/>
        </w:rPr>
      </w:pPr>
      <w:r w:rsidRPr="00054A5F">
        <w:rPr>
          <w:rFonts w:ascii="Arial" w:hAnsi="Arial" w:cs="Arial"/>
          <w:b/>
        </w:rPr>
        <w:t>3.1.4. Educational Attainments of Teachers</w:t>
      </w:r>
    </w:p>
    <w:p w14:paraId="73977CD8" w14:textId="77777777" w:rsidR="001E51D5" w:rsidRPr="00054A5F" w:rsidRDefault="001E51D5" w:rsidP="001E51D5">
      <w:pPr>
        <w:rPr>
          <w:rFonts w:ascii="Arial" w:hAnsi="Arial" w:cs="Arial"/>
          <w:b/>
        </w:rPr>
      </w:pPr>
    </w:p>
    <w:p w14:paraId="159D5817" w14:textId="77777777" w:rsidR="001E51D5" w:rsidRPr="00054A5F" w:rsidRDefault="001E51D5" w:rsidP="001E51D5">
      <w:pPr>
        <w:ind w:firstLine="720"/>
        <w:jc w:val="both"/>
        <w:rPr>
          <w:rFonts w:ascii="Arial" w:hAnsi="Arial" w:cs="Arial"/>
          <w:bCs/>
          <w:color w:val="1F1F1F"/>
          <w:lang w:eastAsia="en-PH"/>
        </w:rPr>
      </w:pPr>
      <w:r w:rsidRPr="00054A5F">
        <w:rPr>
          <w:rFonts w:ascii="Arial" w:hAnsi="Arial" w:cs="Arial"/>
        </w:rPr>
        <w:t>Educational attainment serves as a key indicator of a teacher’s specialized knowledge and their commitment to continuous professional development, which are essential factors in enhancing instructional quality and school leadership.</w:t>
      </w:r>
    </w:p>
    <w:p w14:paraId="50493A4E" w14:textId="77777777" w:rsidR="001E51D5" w:rsidRPr="00054A5F" w:rsidRDefault="001E51D5" w:rsidP="001E51D5">
      <w:pPr>
        <w:rPr>
          <w:rFonts w:ascii="Arial" w:hAnsi="Arial" w:cs="Arial"/>
          <w:sz w:val="16"/>
          <w:szCs w:val="16"/>
          <w:lang w:eastAsia="en-PH"/>
        </w:rPr>
      </w:pPr>
    </w:p>
    <w:p w14:paraId="244E94E9" w14:textId="77777777" w:rsidR="001E51D5" w:rsidRPr="00054A5F" w:rsidRDefault="001E51D5" w:rsidP="001E51D5">
      <w:pPr>
        <w:autoSpaceDE w:val="0"/>
        <w:autoSpaceDN w:val="0"/>
        <w:adjustRightInd w:val="0"/>
        <w:rPr>
          <w:rFonts w:ascii="Arial" w:hAnsi="Arial" w:cs="Arial"/>
          <w:sz w:val="16"/>
          <w:szCs w:val="16"/>
          <w:lang w:eastAsia="en-PH"/>
        </w:rPr>
      </w:pPr>
      <w:r w:rsidRPr="00054A5F">
        <w:rPr>
          <w:rFonts w:ascii="Arial" w:hAnsi="Arial" w:cs="Arial"/>
          <w:b/>
        </w:rPr>
        <w:t>Table 6. Educational Attainment of Teachers</w:t>
      </w:r>
    </w:p>
    <w:tbl>
      <w:tblPr>
        <w:tblW w:w="8271" w:type="dxa"/>
        <w:jc w:val="center"/>
        <w:tblLook w:val="04A0" w:firstRow="1" w:lastRow="0" w:firstColumn="1" w:lastColumn="0" w:noHBand="0" w:noVBand="1"/>
      </w:tblPr>
      <w:tblGrid>
        <w:gridCol w:w="3210"/>
        <w:gridCol w:w="3210"/>
        <w:gridCol w:w="1851"/>
      </w:tblGrid>
      <w:tr w:rsidR="001E51D5" w:rsidRPr="00054A5F" w14:paraId="36864FB8" w14:textId="77777777" w:rsidTr="009A7909">
        <w:trPr>
          <w:trHeight w:val="232"/>
          <w:jc w:val="center"/>
        </w:trPr>
        <w:tc>
          <w:tcPr>
            <w:tcW w:w="3210" w:type="dxa"/>
            <w:tcBorders>
              <w:top w:val="single" w:sz="4" w:space="0" w:color="auto"/>
              <w:bottom w:val="single" w:sz="4" w:space="0" w:color="auto"/>
            </w:tcBorders>
            <w:vAlign w:val="center"/>
            <w:hideMark/>
          </w:tcPr>
          <w:p w14:paraId="75B36890"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Educational Attainment</w:t>
            </w:r>
          </w:p>
        </w:tc>
        <w:tc>
          <w:tcPr>
            <w:tcW w:w="3210" w:type="dxa"/>
            <w:tcBorders>
              <w:top w:val="single" w:sz="4" w:space="0" w:color="auto"/>
              <w:bottom w:val="single" w:sz="4" w:space="0" w:color="auto"/>
            </w:tcBorders>
            <w:vAlign w:val="center"/>
            <w:hideMark/>
          </w:tcPr>
          <w:p w14:paraId="7EBF45CF"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Frequency</w:t>
            </w:r>
          </w:p>
        </w:tc>
        <w:tc>
          <w:tcPr>
            <w:tcW w:w="1851" w:type="dxa"/>
            <w:tcBorders>
              <w:top w:val="single" w:sz="4" w:space="0" w:color="auto"/>
              <w:bottom w:val="single" w:sz="4" w:space="0" w:color="auto"/>
            </w:tcBorders>
            <w:vAlign w:val="center"/>
            <w:hideMark/>
          </w:tcPr>
          <w:p w14:paraId="0AE60CD0"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Percentage</w:t>
            </w:r>
          </w:p>
        </w:tc>
      </w:tr>
      <w:tr w:rsidR="001E51D5" w:rsidRPr="00054A5F" w14:paraId="2153B9B5" w14:textId="77777777" w:rsidTr="009A7909">
        <w:trPr>
          <w:trHeight w:val="175"/>
          <w:jc w:val="center"/>
        </w:trPr>
        <w:tc>
          <w:tcPr>
            <w:tcW w:w="3210" w:type="dxa"/>
            <w:tcBorders>
              <w:top w:val="single" w:sz="4" w:space="0" w:color="auto"/>
            </w:tcBorders>
            <w:vAlign w:val="center"/>
            <w:hideMark/>
          </w:tcPr>
          <w:p w14:paraId="59AD1C9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Bachelor’s Degree</w:t>
            </w:r>
          </w:p>
        </w:tc>
        <w:tc>
          <w:tcPr>
            <w:tcW w:w="3210" w:type="dxa"/>
            <w:tcBorders>
              <w:top w:val="single" w:sz="4" w:space="0" w:color="auto"/>
            </w:tcBorders>
            <w:vAlign w:val="center"/>
            <w:hideMark/>
          </w:tcPr>
          <w:p w14:paraId="612F738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17</w:t>
            </w:r>
          </w:p>
        </w:tc>
        <w:tc>
          <w:tcPr>
            <w:tcW w:w="1851" w:type="dxa"/>
            <w:tcBorders>
              <w:top w:val="single" w:sz="4" w:space="0" w:color="auto"/>
            </w:tcBorders>
            <w:vAlign w:val="center"/>
            <w:hideMark/>
          </w:tcPr>
          <w:p w14:paraId="7470AAC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20.20</w:t>
            </w:r>
          </w:p>
        </w:tc>
      </w:tr>
      <w:tr w:rsidR="001E51D5" w:rsidRPr="00054A5F" w14:paraId="7E34661D" w14:textId="77777777" w:rsidTr="009A7909">
        <w:trPr>
          <w:trHeight w:val="406"/>
          <w:jc w:val="center"/>
        </w:trPr>
        <w:tc>
          <w:tcPr>
            <w:tcW w:w="3210" w:type="dxa"/>
            <w:vAlign w:val="center"/>
            <w:hideMark/>
          </w:tcPr>
          <w:p w14:paraId="2408178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Bachelor’s Degree with units in Master’s Degree</w:t>
            </w:r>
          </w:p>
        </w:tc>
        <w:tc>
          <w:tcPr>
            <w:tcW w:w="3210" w:type="dxa"/>
            <w:vAlign w:val="center"/>
            <w:hideMark/>
          </w:tcPr>
          <w:p w14:paraId="657AF6B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56</w:t>
            </w:r>
          </w:p>
        </w:tc>
        <w:tc>
          <w:tcPr>
            <w:tcW w:w="1851" w:type="dxa"/>
            <w:vAlign w:val="center"/>
            <w:hideMark/>
          </w:tcPr>
          <w:p w14:paraId="3957F3E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66.70</w:t>
            </w:r>
          </w:p>
        </w:tc>
      </w:tr>
      <w:tr w:rsidR="001E51D5" w:rsidRPr="00054A5F" w14:paraId="18674574" w14:textId="77777777" w:rsidTr="009A7909">
        <w:trPr>
          <w:trHeight w:val="232"/>
          <w:jc w:val="center"/>
        </w:trPr>
        <w:tc>
          <w:tcPr>
            <w:tcW w:w="3210" w:type="dxa"/>
            <w:vAlign w:val="center"/>
            <w:hideMark/>
          </w:tcPr>
          <w:p w14:paraId="3B3E632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Master’s Degree graduate</w:t>
            </w:r>
          </w:p>
        </w:tc>
        <w:tc>
          <w:tcPr>
            <w:tcW w:w="3210" w:type="dxa"/>
            <w:vAlign w:val="center"/>
            <w:hideMark/>
          </w:tcPr>
          <w:p w14:paraId="636E389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7</w:t>
            </w:r>
          </w:p>
        </w:tc>
        <w:tc>
          <w:tcPr>
            <w:tcW w:w="1851" w:type="dxa"/>
            <w:vAlign w:val="center"/>
            <w:hideMark/>
          </w:tcPr>
          <w:p w14:paraId="167EC56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8.30</w:t>
            </w:r>
          </w:p>
        </w:tc>
      </w:tr>
      <w:tr w:rsidR="001E51D5" w:rsidRPr="00054A5F" w14:paraId="036741C2" w14:textId="77777777" w:rsidTr="009A7909">
        <w:trPr>
          <w:trHeight w:val="406"/>
          <w:jc w:val="center"/>
        </w:trPr>
        <w:tc>
          <w:tcPr>
            <w:tcW w:w="3210" w:type="dxa"/>
            <w:vAlign w:val="center"/>
            <w:hideMark/>
          </w:tcPr>
          <w:p w14:paraId="4CE0287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Master’s Degree with units in Doctorate Degree</w:t>
            </w:r>
          </w:p>
        </w:tc>
        <w:tc>
          <w:tcPr>
            <w:tcW w:w="3210" w:type="dxa"/>
            <w:vAlign w:val="center"/>
            <w:hideMark/>
          </w:tcPr>
          <w:p w14:paraId="4E7E29D6"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w:t>
            </w:r>
          </w:p>
        </w:tc>
        <w:tc>
          <w:tcPr>
            <w:tcW w:w="1851" w:type="dxa"/>
            <w:vAlign w:val="center"/>
            <w:hideMark/>
          </w:tcPr>
          <w:p w14:paraId="5917DC3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2.40</w:t>
            </w:r>
          </w:p>
        </w:tc>
      </w:tr>
      <w:tr w:rsidR="001E51D5" w:rsidRPr="00054A5F" w14:paraId="45C5FD72" w14:textId="77777777" w:rsidTr="009A7909">
        <w:trPr>
          <w:trHeight w:val="290"/>
          <w:jc w:val="center"/>
        </w:trPr>
        <w:tc>
          <w:tcPr>
            <w:tcW w:w="3210" w:type="dxa"/>
            <w:tcBorders>
              <w:bottom w:val="single" w:sz="4" w:space="0" w:color="auto"/>
            </w:tcBorders>
            <w:vAlign w:val="center"/>
            <w:hideMark/>
          </w:tcPr>
          <w:p w14:paraId="2B526FE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Doctorate Degree graduate</w:t>
            </w:r>
          </w:p>
        </w:tc>
        <w:tc>
          <w:tcPr>
            <w:tcW w:w="3210" w:type="dxa"/>
            <w:tcBorders>
              <w:bottom w:val="single" w:sz="4" w:space="0" w:color="auto"/>
            </w:tcBorders>
            <w:vAlign w:val="center"/>
            <w:hideMark/>
          </w:tcPr>
          <w:p w14:paraId="149C45F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w:t>
            </w:r>
          </w:p>
        </w:tc>
        <w:tc>
          <w:tcPr>
            <w:tcW w:w="1851" w:type="dxa"/>
            <w:tcBorders>
              <w:bottom w:val="single" w:sz="4" w:space="0" w:color="auto"/>
            </w:tcBorders>
            <w:vAlign w:val="center"/>
            <w:hideMark/>
          </w:tcPr>
          <w:p w14:paraId="4A33F18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2.40</w:t>
            </w:r>
          </w:p>
        </w:tc>
      </w:tr>
      <w:tr w:rsidR="001E51D5" w:rsidRPr="00054A5F" w14:paraId="1BD3731F" w14:textId="77777777" w:rsidTr="009A7909">
        <w:trPr>
          <w:trHeight w:val="61"/>
          <w:jc w:val="center"/>
        </w:trPr>
        <w:tc>
          <w:tcPr>
            <w:tcW w:w="3210" w:type="dxa"/>
            <w:tcBorders>
              <w:top w:val="single" w:sz="4" w:space="0" w:color="auto"/>
              <w:bottom w:val="single" w:sz="4" w:space="0" w:color="auto"/>
            </w:tcBorders>
            <w:vAlign w:val="center"/>
            <w:hideMark/>
          </w:tcPr>
          <w:p w14:paraId="5798CEB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Total</w:t>
            </w:r>
          </w:p>
        </w:tc>
        <w:tc>
          <w:tcPr>
            <w:tcW w:w="3210" w:type="dxa"/>
            <w:tcBorders>
              <w:top w:val="single" w:sz="4" w:space="0" w:color="auto"/>
              <w:bottom w:val="single" w:sz="4" w:space="0" w:color="auto"/>
            </w:tcBorders>
            <w:vAlign w:val="center"/>
            <w:hideMark/>
          </w:tcPr>
          <w:p w14:paraId="1C3FF7B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84</w:t>
            </w:r>
          </w:p>
        </w:tc>
        <w:tc>
          <w:tcPr>
            <w:tcW w:w="1851" w:type="dxa"/>
            <w:tcBorders>
              <w:top w:val="single" w:sz="4" w:space="0" w:color="auto"/>
              <w:bottom w:val="single" w:sz="4" w:space="0" w:color="auto"/>
            </w:tcBorders>
            <w:vAlign w:val="center"/>
            <w:hideMark/>
          </w:tcPr>
          <w:p w14:paraId="5D0ECCCB"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100.00</w:t>
            </w:r>
          </w:p>
        </w:tc>
      </w:tr>
    </w:tbl>
    <w:p w14:paraId="19F42AE8" w14:textId="77777777" w:rsidR="00A44D52" w:rsidRPr="00054A5F" w:rsidRDefault="00A44D52" w:rsidP="00A44D52">
      <w:pPr>
        <w:jc w:val="both"/>
        <w:outlineLvl w:val="1"/>
        <w:rPr>
          <w:rFonts w:ascii="Arial" w:hAnsi="Arial" w:cs="Arial"/>
          <w:bCs/>
          <w:color w:val="1F1F1F"/>
          <w:lang w:eastAsia="en-PH"/>
        </w:rPr>
      </w:pPr>
    </w:p>
    <w:p w14:paraId="471EB410" w14:textId="77777777" w:rsidR="001E51D5" w:rsidRPr="00054A5F" w:rsidRDefault="001E51D5" w:rsidP="00A44D52">
      <w:pPr>
        <w:jc w:val="both"/>
        <w:outlineLvl w:val="1"/>
        <w:rPr>
          <w:rFonts w:ascii="Arial" w:hAnsi="Arial" w:cs="Arial"/>
          <w:bCs/>
          <w:color w:val="1F1F1F"/>
          <w:lang w:eastAsia="en-PH"/>
        </w:rPr>
      </w:pPr>
      <w:r w:rsidRPr="00054A5F">
        <w:rPr>
          <w:rFonts w:ascii="Arial" w:hAnsi="Arial" w:cs="Arial"/>
          <w:bCs/>
          <w:color w:val="1F1F1F"/>
          <w:lang w:eastAsia="en-PH"/>
        </w:rPr>
        <w:t xml:space="preserve">Table 6 shows the distribution of the 84 teacher-respondents according to their highest educational attainment. A significant majority of the participants, totaling 56 individuals or </w:t>
      </w:r>
      <w:r w:rsidRPr="00054A5F">
        <w:rPr>
          <w:rFonts w:ascii="Arial" w:hAnsi="Arial" w:cs="Arial"/>
          <w:bCs/>
          <w:color w:val="1F1F1F"/>
          <w:bdr w:val="none" w:sz="0" w:space="0" w:color="auto" w:frame="1"/>
          <w:lang w:eastAsia="en-PH"/>
        </w:rPr>
        <w:t>66.70%</w:t>
      </w:r>
      <w:r w:rsidRPr="00054A5F">
        <w:rPr>
          <w:rFonts w:ascii="Arial" w:hAnsi="Arial" w:cs="Arial"/>
          <w:bCs/>
          <w:color w:val="1F1F1F"/>
          <w:lang w:eastAsia="en-PH"/>
        </w:rPr>
        <w:t xml:space="preserve">, have completed their Bachelor’s Degree and are currently pursuing or have earned units in a Master’s Degree. This is followed by those who hold only a Bachelor’s Degree, representing </w:t>
      </w:r>
      <w:r w:rsidRPr="00054A5F">
        <w:rPr>
          <w:rFonts w:ascii="Arial" w:hAnsi="Arial" w:cs="Arial"/>
          <w:bCs/>
          <w:color w:val="1F1F1F"/>
          <w:bdr w:val="none" w:sz="0" w:space="0" w:color="auto" w:frame="1"/>
          <w:lang w:eastAsia="en-PH"/>
        </w:rPr>
        <w:t>20.20%</w:t>
      </w:r>
      <w:r w:rsidRPr="00054A5F">
        <w:rPr>
          <w:rFonts w:ascii="Arial" w:hAnsi="Arial" w:cs="Arial"/>
          <w:bCs/>
          <w:color w:val="1F1F1F"/>
          <w:lang w:eastAsia="en-PH"/>
        </w:rPr>
        <w:t xml:space="preserve"> (17 respondents). Meanwhile, a smaller portion of the faculty has reached higher levels of postgraduate study: 7 teachers (</w:t>
      </w:r>
      <w:r w:rsidRPr="00054A5F">
        <w:rPr>
          <w:rFonts w:ascii="Arial" w:hAnsi="Arial" w:cs="Arial"/>
          <w:bCs/>
          <w:color w:val="1F1F1F"/>
          <w:bdr w:val="none" w:sz="0" w:space="0" w:color="auto" w:frame="1"/>
          <w:lang w:eastAsia="en-PH"/>
        </w:rPr>
        <w:t>8.30%</w:t>
      </w:r>
      <w:r w:rsidRPr="00054A5F">
        <w:rPr>
          <w:rFonts w:ascii="Arial" w:hAnsi="Arial" w:cs="Arial"/>
          <w:bCs/>
          <w:color w:val="1F1F1F"/>
          <w:lang w:eastAsia="en-PH"/>
        </w:rPr>
        <w:t xml:space="preserve">) are Master’s Degree graduates, while those with units in a Doctorate Degree and those who have fully completed a Doctorate Degree represent the remaining </w:t>
      </w:r>
      <w:r w:rsidRPr="00054A5F">
        <w:rPr>
          <w:rFonts w:ascii="Arial" w:hAnsi="Arial" w:cs="Arial"/>
          <w:bCs/>
          <w:color w:val="1F1F1F"/>
          <w:bdr w:val="none" w:sz="0" w:space="0" w:color="auto" w:frame="1"/>
          <w:lang w:eastAsia="en-PH"/>
        </w:rPr>
        <w:t>2.40%</w:t>
      </w:r>
      <w:r w:rsidRPr="00054A5F">
        <w:rPr>
          <w:rFonts w:ascii="Arial" w:hAnsi="Arial" w:cs="Arial"/>
          <w:bCs/>
          <w:color w:val="1F1F1F"/>
          <w:lang w:eastAsia="en-PH"/>
        </w:rPr>
        <w:t xml:space="preserve"> each (2 respondents per category).</w:t>
      </w:r>
    </w:p>
    <w:p w14:paraId="7FEEA2F9" w14:textId="77777777" w:rsidR="00A44D52" w:rsidRPr="00054A5F" w:rsidRDefault="00A44D52" w:rsidP="00A44D52">
      <w:pPr>
        <w:jc w:val="both"/>
        <w:outlineLvl w:val="1"/>
        <w:rPr>
          <w:rFonts w:ascii="Arial" w:hAnsi="Arial" w:cs="Arial"/>
          <w:bCs/>
          <w:color w:val="1F1F1F"/>
          <w:lang w:eastAsia="en-PH"/>
        </w:rPr>
      </w:pPr>
    </w:p>
    <w:p w14:paraId="00EF3082" w14:textId="77777777" w:rsidR="001E51D5" w:rsidRPr="00054A5F" w:rsidRDefault="001E51D5" w:rsidP="00A44D52">
      <w:pPr>
        <w:jc w:val="both"/>
        <w:outlineLvl w:val="1"/>
        <w:rPr>
          <w:rFonts w:ascii="Arial" w:hAnsi="Arial" w:cs="Arial"/>
          <w:bCs/>
          <w:color w:val="1F1F1F"/>
          <w:lang w:eastAsia="en-PH"/>
        </w:rPr>
      </w:pPr>
      <w:r w:rsidRPr="00054A5F">
        <w:rPr>
          <w:rFonts w:ascii="Arial" w:hAnsi="Arial" w:cs="Arial"/>
          <w:bCs/>
          <w:color w:val="1F1F1F"/>
          <w:lang w:eastAsia="en-PH"/>
        </w:rPr>
        <w:t>It implies that the teaching faculty involved in the study is largely composed of professionals who are in a transitional phase of their academic and professional development. Since over two-thirds of the teachers are actively pursuing advanced studies (Master's units), there is a clear commitment to pedagogical growth and content mastery. For the "Learning Retention Enhancement Program," this suggests that the teachers likely possess a solid foundational knowledge but are also being exposed to contemporary educational theories and advanced instructional strategies through their graduate coursework. This academic upward mobility is beneficial for the program's success, as teachers with advanced training are generally better equipped to identify complex determinants of student memory and apply diverse, evidence-based interventions to improve long-term learning retention among Junior High School students.</w:t>
      </w:r>
    </w:p>
    <w:p w14:paraId="73249D0D" w14:textId="77777777" w:rsidR="00A44D52" w:rsidRPr="00054A5F" w:rsidRDefault="00A44D52" w:rsidP="00A44D52">
      <w:pPr>
        <w:jc w:val="both"/>
        <w:outlineLvl w:val="1"/>
        <w:rPr>
          <w:rFonts w:ascii="Arial" w:hAnsi="Arial" w:cs="Arial"/>
          <w:lang w:eastAsia="en-PH"/>
        </w:rPr>
      </w:pPr>
    </w:p>
    <w:p w14:paraId="5EA9F3E8" w14:textId="77777777" w:rsidR="001E51D5" w:rsidRPr="00054A5F" w:rsidRDefault="001E51D5" w:rsidP="00A44D52">
      <w:pPr>
        <w:jc w:val="both"/>
        <w:outlineLvl w:val="1"/>
        <w:rPr>
          <w:rFonts w:ascii="Arial" w:hAnsi="Arial" w:cs="Arial"/>
          <w:lang w:eastAsia="en-PH"/>
        </w:rPr>
      </w:pPr>
      <w:r w:rsidRPr="00054A5F">
        <w:rPr>
          <w:rFonts w:ascii="Arial" w:hAnsi="Arial" w:cs="Arial"/>
          <w:lang w:eastAsia="en-PH"/>
        </w:rPr>
        <w:t xml:space="preserve">This aligns with the study of teacher educational attainment and its implications for instructional capacity in professional development programs. The observed concentration of teachers pursuing or having units in a Master’s degree suggests engagement with </w:t>
      </w:r>
      <w:r w:rsidRPr="00054A5F">
        <w:rPr>
          <w:rFonts w:ascii="Arial" w:hAnsi="Arial" w:cs="Arial"/>
          <w:lang w:eastAsia="en-PH"/>
        </w:rPr>
        <w:lastRenderedPageBreak/>
        <w:t>contemporary pedagogical theories and advanced instructional strategies, which can enhance learning retention interventions for Junior High students. This pattern supports the premise that educators in such programs are positioned to apply evidence-based approaches to memory and learning retention, leveraging higher education exposure to improve program outcomes. These claims are consistent with literature emphasizing that advanced training among teachers correlates with enhanced content mastery and the capacity to implement diverse, research-informed strategies to bolster long-term student retention.</w:t>
      </w:r>
    </w:p>
    <w:p w14:paraId="38FEFE26" w14:textId="77777777" w:rsidR="001E51D5" w:rsidRPr="00054A5F" w:rsidRDefault="001E51D5" w:rsidP="009A7909">
      <w:pPr>
        <w:jc w:val="both"/>
        <w:outlineLvl w:val="1"/>
        <w:rPr>
          <w:rFonts w:ascii="Arial" w:hAnsi="Arial" w:cs="Arial"/>
          <w:lang w:eastAsia="en-PH"/>
        </w:rPr>
      </w:pPr>
    </w:p>
    <w:p w14:paraId="2968BCBE" w14:textId="77777777" w:rsidR="001E51D5" w:rsidRPr="00054A5F" w:rsidRDefault="009A7909" w:rsidP="001E51D5">
      <w:pPr>
        <w:outlineLvl w:val="2"/>
        <w:rPr>
          <w:rFonts w:ascii="Arial" w:hAnsi="Arial" w:cs="Arial"/>
          <w:b/>
          <w:lang w:eastAsia="en-PH"/>
        </w:rPr>
      </w:pPr>
      <w:r w:rsidRPr="00054A5F">
        <w:rPr>
          <w:rFonts w:ascii="Arial" w:hAnsi="Arial" w:cs="Arial"/>
          <w:b/>
          <w:lang w:eastAsia="en-PH"/>
        </w:rPr>
        <w:t>3</w:t>
      </w:r>
      <w:r w:rsidR="001E51D5" w:rsidRPr="00054A5F">
        <w:rPr>
          <w:rFonts w:ascii="Arial" w:hAnsi="Arial" w:cs="Arial"/>
          <w:b/>
          <w:lang w:eastAsia="en-PH"/>
        </w:rPr>
        <w:t>.1.5. Subject Area Specialization of Teachers</w:t>
      </w:r>
    </w:p>
    <w:p w14:paraId="321D7CB2" w14:textId="77777777" w:rsidR="00A44D52" w:rsidRPr="00054A5F" w:rsidRDefault="00A44D52" w:rsidP="00A44D52">
      <w:pPr>
        <w:jc w:val="both"/>
        <w:outlineLvl w:val="2"/>
        <w:rPr>
          <w:rFonts w:ascii="Arial" w:hAnsi="Arial" w:cs="Arial"/>
          <w:b/>
          <w:lang w:eastAsia="en-PH"/>
        </w:rPr>
      </w:pPr>
    </w:p>
    <w:p w14:paraId="304590EE" w14:textId="77777777" w:rsidR="001E51D5" w:rsidRPr="00054A5F" w:rsidRDefault="001E51D5" w:rsidP="00A44D52">
      <w:pPr>
        <w:jc w:val="both"/>
        <w:outlineLvl w:val="2"/>
        <w:rPr>
          <w:rFonts w:ascii="Arial" w:hAnsi="Arial" w:cs="Arial"/>
          <w:lang w:eastAsia="en-PH"/>
        </w:rPr>
      </w:pPr>
      <w:r w:rsidRPr="00054A5F">
        <w:rPr>
          <w:rFonts w:ascii="Arial" w:hAnsi="Arial" w:cs="Arial"/>
          <w:lang w:eastAsia="en-PH"/>
        </w:rPr>
        <w:t>The profile of the teacher-respondents in terms of their subject area specialization is a critical component of this study, as it provides a backdrop for understanding their pedagogical perspectives and instructional priorities. A teacher’s specialization often shapes their classroom management style, the types of learning materials they prioritize, and their unique approach to facilitating information recall among students. By identifying the academic fields represented in the sample, the study can better contextualize the findings regarding which factors most significantly influence student learning retention.</w:t>
      </w:r>
    </w:p>
    <w:p w14:paraId="77D5D33F" w14:textId="77777777" w:rsidR="001E51D5" w:rsidRPr="00054A5F" w:rsidRDefault="001E51D5" w:rsidP="001E51D5">
      <w:pPr>
        <w:outlineLvl w:val="1"/>
        <w:rPr>
          <w:rFonts w:ascii="Arial" w:hAnsi="Arial" w:cs="Arial"/>
          <w:lang w:eastAsia="en-PH"/>
        </w:rPr>
      </w:pPr>
    </w:p>
    <w:p w14:paraId="61162174" w14:textId="77777777" w:rsidR="001E51D5" w:rsidRPr="00054A5F" w:rsidRDefault="001E51D5" w:rsidP="001E51D5">
      <w:pPr>
        <w:autoSpaceDE w:val="0"/>
        <w:autoSpaceDN w:val="0"/>
        <w:adjustRightInd w:val="0"/>
        <w:rPr>
          <w:rFonts w:ascii="Arial" w:hAnsi="Arial" w:cs="Arial"/>
          <w:b/>
        </w:rPr>
      </w:pPr>
      <w:r w:rsidRPr="00054A5F">
        <w:rPr>
          <w:rFonts w:ascii="Arial" w:hAnsi="Arial" w:cs="Arial"/>
          <w:b/>
        </w:rPr>
        <w:t>Table 7. Subject Area Specialization of Teachers</w:t>
      </w:r>
    </w:p>
    <w:tbl>
      <w:tblPr>
        <w:tblW w:w="0" w:type="auto"/>
        <w:tblLook w:val="04A0" w:firstRow="1" w:lastRow="0" w:firstColumn="1" w:lastColumn="0" w:noHBand="0" w:noVBand="1"/>
      </w:tblPr>
      <w:tblGrid>
        <w:gridCol w:w="4566"/>
        <w:gridCol w:w="1922"/>
        <w:gridCol w:w="1630"/>
      </w:tblGrid>
      <w:tr w:rsidR="001E51D5" w:rsidRPr="00054A5F" w14:paraId="39F8639A" w14:textId="77777777" w:rsidTr="009A7909">
        <w:tc>
          <w:tcPr>
            <w:tcW w:w="4566" w:type="dxa"/>
            <w:tcBorders>
              <w:top w:val="single" w:sz="4" w:space="0" w:color="auto"/>
              <w:bottom w:val="single" w:sz="4" w:space="0" w:color="auto"/>
            </w:tcBorders>
            <w:vAlign w:val="center"/>
            <w:hideMark/>
          </w:tcPr>
          <w:p w14:paraId="290E4BDD"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Subject Area Specialization</w:t>
            </w:r>
          </w:p>
        </w:tc>
        <w:tc>
          <w:tcPr>
            <w:tcW w:w="1922" w:type="dxa"/>
            <w:tcBorders>
              <w:top w:val="single" w:sz="4" w:space="0" w:color="auto"/>
              <w:bottom w:val="single" w:sz="4" w:space="0" w:color="auto"/>
            </w:tcBorders>
            <w:vAlign w:val="center"/>
            <w:hideMark/>
          </w:tcPr>
          <w:p w14:paraId="24812644"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Frequency</w:t>
            </w:r>
          </w:p>
        </w:tc>
        <w:tc>
          <w:tcPr>
            <w:tcW w:w="1630" w:type="dxa"/>
            <w:tcBorders>
              <w:top w:val="single" w:sz="4" w:space="0" w:color="auto"/>
              <w:bottom w:val="single" w:sz="4" w:space="0" w:color="auto"/>
            </w:tcBorders>
            <w:vAlign w:val="center"/>
            <w:hideMark/>
          </w:tcPr>
          <w:p w14:paraId="09A5D56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Percentage</w:t>
            </w:r>
          </w:p>
        </w:tc>
      </w:tr>
      <w:tr w:rsidR="001E51D5" w:rsidRPr="00054A5F" w14:paraId="2F9E879E" w14:textId="77777777" w:rsidTr="009A7909">
        <w:tc>
          <w:tcPr>
            <w:tcW w:w="4566" w:type="dxa"/>
            <w:tcBorders>
              <w:top w:val="single" w:sz="4" w:space="0" w:color="auto"/>
            </w:tcBorders>
            <w:vAlign w:val="center"/>
            <w:hideMark/>
          </w:tcPr>
          <w:p w14:paraId="0911D19B"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English</w:t>
            </w:r>
          </w:p>
        </w:tc>
        <w:tc>
          <w:tcPr>
            <w:tcW w:w="1922" w:type="dxa"/>
            <w:tcBorders>
              <w:top w:val="single" w:sz="4" w:space="0" w:color="auto"/>
            </w:tcBorders>
            <w:vAlign w:val="center"/>
            <w:hideMark/>
          </w:tcPr>
          <w:p w14:paraId="0BA2E5C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16</w:t>
            </w:r>
          </w:p>
        </w:tc>
        <w:tc>
          <w:tcPr>
            <w:tcW w:w="1630" w:type="dxa"/>
            <w:tcBorders>
              <w:top w:val="single" w:sz="4" w:space="0" w:color="auto"/>
            </w:tcBorders>
            <w:vAlign w:val="center"/>
            <w:hideMark/>
          </w:tcPr>
          <w:p w14:paraId="0356AFA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19.00</w:t>
            </w:r>
          </w:p>
        </w:tc>
      </w:tr>
      <w:tr w:rsidR="001E51D5" w:rsidRPr="00054A5F" w14:paraId="23DACC53" w14:textId="77777777" w:rsidTr="009A7909">
        <w:tc>
          <w:tcPr>
            <w:tcW w:w="4566" w:type="dxa"/>
            <w:vAlign w:val="center"/>
            <w:hideMark/>
          </w:tcPr>
          <w:p w14:paraId="6FC59754"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Mathematics</w:t>
            </w:r>
          </w:p>
        </w:tc>
        <w:tc>
          <w:tcPr>
            <w:tcW w:w="1922" w:type="dxa"/>
            <w:vAlign w:val="center"/>
            <w:hideMark/>
          </w:tcPr>
          <w:p w14:paraId="0A4B770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w:t>
            </w:r>
          </w:p>
        </w:tc>
        <w:tc>
          <w:tcPr>
            <w:tcW w:w="1630" w:type="dxa"/>
            <w:vAlign w:val="center"/>
            <w:hideMark/>
          </w:tcPr>
          <w:p w14:paraId="0C22887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11.90</w:t>
            </w:r>
          </w:p>
        </w:tc>
      </w:tr>
      <w:tr w:rsidR="001E51D5" w:rsidRPr="00054A5F" w14:paraId="61BC73FE" w14:textId="77777777" w:rsidTr="009A7909">
        <w:tc>
          <w:tcPr>
            <w:tcW w:w="4566" w:type="dxa"/>
            <w:vAlign w:val="center"/>
            <w:hideMark/>
          </w:tcPr>
          <w:p w14:paraId="1BDD4660"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Science</w:t>
            </w:r>
          </w:p>
        </w:tc>
        <w:tc>
          <w:tcPr>
            <w:tcW w:w="1922" w:type="dxa"/>
            <w:vAlign w:val="center"/>
            <w:hideMark/>
          </w:tcPr>
          <w:p w14:paraId="12E18986"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11</w:t>
            </w:r>
          </w:p>
        </w:tc>
        <w:tc>
          <w:tcPr>
            <w:tcW w:w="1630" w:type="dxa"/>
            <w:vAlign w:val="center"/>
            <w:hideMark/>
          </w:tcPr>
          <w:p w14:paraId="7165997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13.10</w:t>
            </w:r>
          </w:p>
        </w:tc>
      </w:tr>
      <w:tr w:rsidR="001E51D5" w:rsidRPr="00054A5F" w14:paraId="6D548018" w14:textId="77777777" w:rsidTr="009A7909">
        <w:tc>
          <w:tcPr>
            <w:tcW w:w="4566" w:type="dxa"/>
            <w:vAlign w:val="center"/>
            <w:hideMark/>
          </w:tcPr>
          <w:p w14:paraId="15BABF80"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Filipino</w:t>
            </w:r>
          </w:p>
        </w:tc>
        <w:tc>
          <w:tcPr>
            <w:tcW w:w="1922" w:type="dxa"/>
            <w:vAlign w:val="center"/>
            <w:hideMark/>
          </w:tcPr>
          <w:p w14:paraId="38515E6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w:t>
            </w:r>
          </w:p>
        </w:tc>
        <w:tc>
          <w:tcPr>
            <w:tcW w:w="1630" w:type="dxa"/>
            <w:vAlign w:val="center"/>
            <w:hideMark/>
          </w:tcPr>
          <w:p w14:paraId="249E70A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11.90</w:t>
            </w:r>
          </w:p>
        </w:tc>
      </w:tr>
      <w:tr w:rsidR="001E51D5" w:rsidRPr="00054A5F" w14:paraId="2C70C2EA" w14:textId="77777777" w:rsidTr="009A7909">
        <w:tc>
          <w:tcPr>
            <w:tcW w:w="4566" w:type="dxa"/>
            <w:vAlign w:val="center"/>
            <w:hideMark/>
          </w:tcPr>
          <w:p w14:paraId="5DC31938" w14:textId="77777777" w:rsidR="001E51D5" w:rsidRPr="00054A5F" w:rsidRDefault="001E51D5" w:rsidP="001E51D5">
            <w:pPr>
              <w:rPr>
                <w:rFonts w:ascii="Arial" w:hAnsi="Arial" w:cs="Arial"/>
                <w:bCs/>
                <w:color w:val="1F1F1F"/>
                <w:lang w:eastAsia="en-PH"/>
              </w:rPr>
            </w:pPr>
            <w:proofErr w:type="spellStart"/>
            <w:r w:rsidRPr="00054A5F">
              <w:rPr>
                <w:rFonts w:ascii="Arial" w:hAnsi="Arial" w:cs="Arial"/>
                <w:bCs/>
                <w:color w:val="1F1F1F"/>
                <w:lang w:eastAsia="en-PH"/>
              </w:rPr>
              <w:t>Araling</w:t>
            </w:r>
            <w:proofErr w:type="spellEnd"/>
            <w:r w:rsidRPr="00054A5F">
              <w:rPr>
                <w:rFonts w:ascii="Arial" w:hAnsi="Arial" w:cs="Arial"/>
                <w:bCs/>
                <w:color w:val="1F1F1F"/>
                <w:lang w:eastAsia="en-PH"/>
              </w:rPr>
              <w:t xml:space="preserve"> </w:t>
            </w:r>
            <w:proofErr w:type="spellStart"/>
            <w:r w:rsidRPr="00054A5F">
              <w:rPr>
                <w:rFonts w:ascii="Arial" w:hAnsi="Arial" w:cs="Arial"/>
                <w:bCs/>
                <w:color w:val="1F1F1F"/>
                <w:lang w:eastAsia="en-PH"/>
              </w:rPr>
              <w:t>Panlipunan</w:t>
            </w:r>
            <w:proofErr w:type="spellEnd"/>
            <w:r w:rsidRPr="00054A5F">
              <w:rPr>
                <w:rFonts w:ascii="Arial" w:hAnsi="Arial" w:cs="Arial"/>
                <w:bCs/>
                <w:color w:val="1F1F1F"/>
                <w:lang w:eastAsia="en-PH"/>
              </w:rPr>
              <w:t xml:space="preserve"> (Social Studies)</w:t>
            </w:r>
          </w:p>
        </w:tc>
        <w:tc>
          <w:tcPr>
            <w:tcW w:w="1922" w:type="dxa"/>
            <w:vAlign w:val="center"/>
            <w:hideMark/>
          </w:tcPr>
          <w:p w14:paraId="20AB66F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8</w:t>
            </w:r>
          </w:p>
        </w:tc>
        <w:tc>
          <w:tcPr>
            <w:tcW w:w="1630" w:type="dxa"/>
            <w:vAlign w:val="center"/>
            <w:hideMark/>
          </w:tcPr>
          <w:p w14:paraId="6A99E19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9.50</w:t>
            </w:r>
          </w:p>
        </w:tc>
      </w:tr>
      <w:tr w:rsidR="001E51D5" w:rsidRPr="00054A5F" w14:paraId="28F8608F" w14:textId="77777777" w:rsidTr="009A7909">
        <w:tc>
          <w:tcPr>
            <w:tcW w:w="4566" w:type="dxa"/>
            <w:vAlign w:val="center"/>
            <w:hideMark/>
          </w:tcPr>
          <w:p w14:paraId="7CF2490C"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MAPEH</w:t>
            </w:r>
          </w:p>
        </w:tc>
        <w:tc>
          <w:tcPr>
            <w:tcW w:w="1922" w:type="dxa"/>
            <w:vAlign w:val="center"/>
            <w:hideMark/>
          </w:tcPr>
          <w:p w14:paraId="75E93A7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w:t>
            </w:r>
          </w:p>
        </w:tc>
        <w:tc>
          <w:tcPr>
            <w:tcW w:w="1630" w:type="dxa"/>
            <w:vAlign w:val="center"/>
            <w:hideMark/>
          </w:tcPr>
          <w:p w14:paraId="0F757AE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3.60</w:t>
            </w:r>
          </w:p>
        </w:tc>
      </w:tr>
      <w:tr w:rsidR="001E51D5" w:rsidRPr="00054A5F" w14:paraId="1BC0EA03" w14:textId="77777777" w:rsidTr="009A7909">
        <w:tc>
          <w:tcPr>
            <w:tcW w:w="4566" w:type="dxa"/>
            <w:vAlign w:val="center"/>
            <w:hideMark/>
          </w:tcPr>
          <w:p w14:paraId="5B9D1EB8"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TLE (Technology and Livelihood Education)</w:t>
            </w:r>
          </w:p>
        </w:tc>
        <w:tc>
          <w:tcPr>
            <w:tcW w:w="1922" w:type="dxa"/>
            <w:vAlign w:val="center"/>
            <w:hideMark/>
          </w:tcPr>
          <w:p w14:paraId="35B071B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22</w:t>
            </w:r>
          </w:p>
        </w:tc>
        <w:tc>
          <w:tcPr>
            <w:tcW w:w="1630" w:type="dxa"/>
            <w:vAlign w:val="center"/>
            <w:hideMark/>
          </w:tcPr>
          <w:p w14:paraId="4D06DFB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26.20</w:t>
            </w:r>
          </w:p>
        </w:tc>
      </w:tr>
      <w:tr w:rsidR="001E51D5" w:rsidRPr="00054A5F" w14:paraId="21B30B48" w14:textId="77777777" w:rsidTr="009A7909">
        <w:tc>
          <w:tcPr>
            <w:tcW w:w="4566" w:type="dxa"/>
            <w:tcBorders>
              <w:bottom w:val="single" w:sz="4" w:space="0" w:color="auto"/>
            </w:tcBorders>
            <w:vAlign w:val="center"/>
            <w:hideMark/>
          </w:tcPr>
          <w:p w14:paraId="52DE44F6" w14:textId="711386D6" w:rsidR="001E51D5" w:rsidRPr="00054A5F" w:rsidRDefault="001E51D5" w:rsidP="001E51D5">
            <w:pPr>
              <w:rPr>
                <w:rFonts w:ascii="Arial" w:hAnsi="Arial" w:cs="Arial"/>
                <w:bCs/>
                <w:color w:val="1F1F1F"/>
                <w:lang w:eastAsia="en-PH"/>
              </w:rPr>
            </w:pPr>
            <w:proofErr w:type="spellStart"/>
            <w:r w:rsidRPr="00054A5F">
              <w:rPr>
                <w:rFonts w:ascii="Arial" w:hAnsi="Arial" w:cs="Arial"/>
                <w:bCs/>
                <w:color w:val="1F1F1F"/>
                <w:lang w:eastAsia="en-PH"/>
              </w:rPr>
              <w:t>EsP</w:t>
            </w:r>
            <w:proofErr w:type="spellEnd"/>
            <w:r w:rsidRPr="00054A5F">
              <w:rPr>
                <w:rFonts w:ascii="Arial" w:hAnsi="Arial" w:cs="Arial"/>
                <w:bCs/>
                <w:color w:val="1F1F1F"/>
                <w:lang w:eastAsia="en-PH"/>
              </w:rPr>
              <w:t xml:space="preserve"> (</w:t>
            </w:r>
            <w:proofErr w:type="spellStart"/>
            <w:r w:rsidRPr="00054A5F">
              <w:rPr>
                <w:rFonts w:ascii="Arial" w:hAnsi="Arial" w:cs="Arial"/>
                <w:bCs/>
                <w:color w:val="1F1F1F"/>
                <w:lang w:eastAsia="en-PH"/>
              </w:rPr>
              <w:t>Edukasyon</w:t>
            </w:r>
            <w:proofErr w:type="spellEnd"/>
            <w:r w:rsidRPr="00054A5F">
              <w:rPr>
                <w:rFonts w:ascii="Arial" w:hAnsi="Arial" w:cs="Arial"/>
                <w:bCs/>
                <w:color w:val="1F1F1F"/>
                <w:lang w:eastAsia="en-PH"/>
              </w:rPr>
              <w:t xml:space="preserve"> </w:t>
            </w:r>
            <w:proofErr w:type="spellStart"/>
            <w:r w:rsidRPr="00054A5F">
              <w:rPr>
                <w:rFonts w:ascii="Arial" w:hAnsi="Arial" w:cs="Arial"/>
                <w:bCs/>
                <w:color w:val="1F1F1F"/>
                <w:lang w:eastAsia="en-PH"/>
              </w:rPr>
              <w:t>sa</w:t>
            </w:r>
            <w:proofErr w:type="spellEnd"/>
            <w:r w:rsidRPr="00054A5F">
              <w:rPr>
                <w:rFonts w:ascii="Arial" w:hAnsi="Arial" w:cs="Arial"/>
                <w:bCs/>
                <w:color w:val="1F1F1F"/>
                <w:lang w:eastAsia="en-PH"/>
              </w:rPr>
              <w:t xml:space="preserve"> </w:t>
            </w:r>
            <w:proofErr w:type="spellStart"/>
            <w:r w:rsidRPr="00054A5F">
              <w:rPr>
                <w:rFonts w:ascii="Arial" w:hAnsi="Arial" w:cs="Arial"/>
                <w:bCs/>
                <w:color w:val="1F1F1F"/>
                <w:lang w:eastAsia="en-PH"/>
              </w:rPr>
              <w:t>Pagpapakatao</w:t>
            </w:r>
            <w:proofErr w:type="spellEnd"/>
            <w:r w:rsidRPr="00054A5F">
              <w:rPr>
                <w:rFonts w:ascii="Arial" w:hAnsi="Arial" w:cs="Arial"/>
                <w:bCs/>
                <w:color w:val="1F1F1F"/>
                <w:lang w:eastAsia="en-PH"/>
              </w:rPr>
              <w:t>)</w:t>
            </w:r>
            <w:r w:rsidR="00E56B0B">
              <w:rPr>
                <w:rFonts w:ascii="Arial" w:hAnsi="Arial" w:cs="Arial"/>
                <w:bCs/>
                <w:color w:val="1F1F1F"/>
                <w:lang w:eastAsia="en-PH"/>
              </w:rPr>
              <w:t xml:space="preserve"> (</w:t>
            </w:r>
            <w:r w:rsidR="00E56B0B" w:rsidRPr="00E56B0B">
              <w:rPr>
                <w:rFonts w:ascii="Arial" w:hAnsi="Arial" w:cs="Arial"/>
                <w:bCs/>
                <w:color w:val="1F1F1F"/>
                <w:lang w:eastAsia="en-PH"/>
              </w:rPr>
              <w:t>Humanization Education</w:t>
            </w:r>
            <w:r w:rsidR="00E56B0B">
              <w:rPr>
                <w:rFonts w:ascii="Arial" w:hAnsi="Arial" w:cs="Arial"/>
                <w:bCs/>
                <w:color w:val="1F1F1F"/>
                <w:lang w:eastAsia="en-PH"/>
              </w:rPr>
              <w:t>)</w:t>
            </w:r>
          </w:p>
        </w:tc>
        <w:tc>
          <w:tcPr>
            <w:tcW w:w="1922" w:type="dxa"/>
            <w:tcBorders>
              <w:bottom w:val="single" w:sz="4" w:space="0" w:color="auto"/>
            </w:tcBorders>
            <w:vAlign w:val="center"/>
            <w:hideMark/>
          </w:tcPr>
          <w:p w14:paraId="34088356"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w:t>
            </w:r>
          </w:p>
        </w:tc>
        <w:tc>
          <w:tcPr>
            <w:tcW w:w="1630" w:type="dxa"/>
            <w:tcBorders>
              <w:bottom w:val="single" w:sz="4" w:space="0" w:color="auto"/>
            </w:tcBorders>
            <w:vAlign w:val="center"/>
            <w:hideMark/>
          </w:tcPr>
          <w:p w14:paraId="45A33848"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4.80</w:t>
            </w:r>
          </w:p>
        </w:tc>
      </w:tr>
      <w:tr w:rsidR="001E51D5" w:rsidRPr="00054A5F" w14:paraId="56662207" w14:textId="77777777" w:rsidTr="009A7909">
        <w:tc>
          <w:tcPr>
            <w:tcW w:w="4566" w:type="dxa"/>
            <w:tcBorders>
              <w:top w:val="single" w:sz="4" w:space="0" w:color="auto"/>
              <w:bottom w:val="single" w:sz="4" w:space="0" w:color="auto"/>
            </w:tcBorders>
            <w:vAlign w:val="center"/>
            <w:hideMark/>
          </w:tcPr>
          <w:p w14:paraId="6CC49CEC"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Total</w:t>
            </w:r>
          </w:p>
        </w:tc>
        <w:tc>
          <w:tcPr>
            <w:tcW w:w="1922" w:type="dxa"/>
            <w:tcBorders>
              <w:top w:val="single" w:sz="4" w:space="0" w:color="auto"/>
              <w:bottom w:val="single" w:sz="4" w:space="0" w:color="auto"/>
            </w:tcBorders>
            <w:vAlign w:val="center"/>
            <w:hideMark/>
          </w:tcPr>
          <w:p w14:paraId="4DC50CC9"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84</w:t>
            </w:r>
          </w:p>
        </w:tc>
        <w:tc>
          <w:tcPr>
            <w:tcW w:w="1630" w:type="dxa"/>
            <w:tcBorders>
              <w:top w:val="single" w:sz="4" w:space="0" w:color="auto"/>
              <w:bottom w:val="single" w:sz="4" w:space="0" w:color="auto"/>
            </w:tcBorders>
            <w:vAlign w:val="center"/>
            <w:hideMark/>
          </w:tcPr>
          <w:p w14:paraId="1B88490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100.00</w:t>
            </w:r>
          </w:p>
        </w:tc>
      </w:tr>
    </w:tbl>
    <w:p w14:paraId="27343EE3" w14:textId="77777777" w:rsidR="00A44D52" w:rsidRPr="00054A5F" w:rsidRDefault="00A44D52" w:rsidP="00A44D52">
      <w:pPr>
        <w:jc w:val="both"/>
        <w:rPr>
          <w:rFonts w:ascii="Arial" w:hAnsi="Arial" w:cs="Arial"/>
          <w:bCs/>
          <w:color w:val="1F1F1F"/>
          <w:lang w:eastAsia="en-PH"/>
        </w:rPr>
      </w:pPr>
    </w:p>
    <w:p w14:paraId="1A5D43DD" w14:textId="0E02C7F2"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7 shows the distribution of the 84 teacher-respondents according to their subject area specialization. The data reveals that the largest group of teachers specializes in </w:t>
      </w:r>
      <w:r w:rsidRPr="00054A5F">
        <w:rPr>
          <w:rFonts w:ascii="Arial" w:hAnsi="Arial" w:cs="Arial"/>
          <w:bCs/>
          <w:color w:val="1F1F1F"/>
          <w:bdr w:val="none" w:sz="0" w:space="0" w:color="auto" w:frame="1"/>
          <w:lang w:eastAsia="en-PH"/>
        </w:rPr>
        <w:t>Technology and Livelihood Education (TLE)</w:t>
      </w:r>
      <w:r w:rsidRPr="00054A5F">
        <w:rPr>
          <w:rFonts w:ascii="Arial" w:hAnsi="Arial" w:cs="Arial"/>
          <w:bCs/>
          <w:color w:val="1F1F1F"/>
          <w:lang w:eastAsia="en-PH"/>
        </w:rPr>
        <w:t xml:space="preserve">, accounting for 22 individuals or </w:t>
      </w:r>
      <w:r w:rsidRPr="00054A5F">
        <w:rPr>
          <w:rFonts w:ascii="Arial" w:hAnsi="Arial" w:cs="Arial"/>
          <w:bCs/>
          <w:color w:val="1F1F1F"/>
          <w:bdr w:val="none" w:sz="0" w:space="0" w:color="auto" w:frame="1"/>
          <w:lang w:eastAsia="en-PH"/>
        </w:rPr>
        <w:t>26.20%</w:t>
      </w:r>
      <w:r w:rsidRPr="00054A5F">
        <w:rPr>
          <w:rFonts w:ascii="Arial" w:hAnsi="Arial" w:cs="Arial"/>
          <w:bCs/>
          <w:color w:val="1F1F1F"/>
          <w:lang w:eastAsia="en-PH"/>
        </w:rPr>
        <w:t xml:space="preserve"> of the total population. This is followed by </w:t>
      </w:r>
      <w:r w:rsidRPr="00054A5F">
        <w:rPr>
          <w:rFonts w:ascii="Arial" w:hAnsi="Arial" w:cs="Arial"/>
          <w:bCs/>
          <w:color w:val="1F1F1F"/>
          <w:bdr w:val="none" w:sz="0" w:space="0" w:color="auto" w:frame="1"/>
          <w:lang w:eastAsia="en-PH"/>
        </w:rPr>
        <w:t>English</w:t>
      </w:r>
      <w:r w:rsidRPr="00054A5F">
        <w:rPr>
          <w:rFonts w:ascii="Arial" w:hAnsi="Arial" w:cs="Arial"/>
          <w:bCs/>
          <w:color w:val="1F1F1F"/>
          <w:lang w:eastAsia="en-PH"/>
        </w:rPr>
        <w:t xml:space="preserve"> specialists with 16 teachers (</w:t>
      </w:r>
      <w:r w:rsidRPr="00054A5F">
        <w:rPr>
          <w:rFonts w:ascii="Arial" w:hAnsi="Arial" w:cs="Arial"/>
          <w:bCs/>
          <w:color w:val="1F1F1F"/>
          <w:bdr w:val="none" w:sz="0" w:space="0" w:color="auto" w:frame="1"/>
          <w:lang w:eastAsia="en-PH"/>
        </w:rPr>
        <w:t>19.00%</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Science</w:t>
      </w:r>
      <w:r w:rsidRPr="00054A5F">
        <w:rPr>
          <w:rFonts w:ascii="Arial" w:hAnsi="Arial" w:cs="Arial"/>
          <w:bCs/>
          <w:color w:val="1F1F1F"/>
          <w:lang w:eastAsia="en-PH"/>
        </w:rPr>
        <w:t xml:space="preserve"> with 11 teachers (</w:t>
      </w:r>
      <w:r w:rsidRPr="00054A5F">
        <w:rPr>
          <w:rFonts w:ascii="Arial" w:hAnsi="Arial" w:cs="Arial"/>
          <w:bCs/>
          <w:color w:val="1F1F1F"/>
          <w:bdr w:val="none" w:sz="0" w:space="0" w:color="auto" w:frame="1"/>
          <w:lang w:eastAsia="en-PH"/>
        </w:rPr>
        <w:t>13.10%</w:t>
      </w:r>
      <w:r w:rsidRPr="00054A5F">
        <w:rPr>
          <w:rFonts w:ascii="Arial" w:hAnsi="Arial" w:cs="Arial"/>
          <w:bCs/>
          <w:color w:val="1F1F1F"/>
          <w:lang w:eastAsia="en-PH"/>
        </w:rPr>
        <w:t xml:space="preserve">). Both </w:t>
      </w:r>
      <w:r w:rsidRPr="00054A5F">
        <w:rPr>
          <w:rFonts w:ascii="Arial" w:hAnsi="Arial" w:cs="Arial"/>
          <w:bCs/>
          <w:color w:val="1F1F1F"/>
          <w:bdr w:val="none" w:sz="0" w:space="0" w:color="auto" w:frame="1"/>
          <w:lang w:eastAsia="en-PH"/>
        </w:rPr>
        <w:t>Mathematics</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Filipino</w:t>
      </w:r>
      <w:r w:rsidRPr="00054A5F">
        <w:rPr>
          <w:rFonts w:ascii="Arial" w:hAnsi="Arial" w:cs="Arial"/>
          <w:bCs/>
          <w:color w:val="1F1F1F"/>
          <w:lang w:eastAsia="en-PH"/>
        </w:rPr>
        <w:t xml:space="preserve"> share the same frequency of 10 teachers each (</w:t>
      </w:r>
      <w:r w:rsidRPr="00054A5F">
        <w:rPr>
          <w:rFonts w:ascii="Arial" w:hAnsi="Arial" w:cs="Arial"/>
          <w:bCs/>
          <w:color w:val="1F1F1F"/>
          <w:bdr w:val="none" w:sz="0" w:space="0" w:color="auto" w:frame="1"/>
          <w:lang w:eastAsia="en-PH"/>
        </w:rPr>
        <w:t>11.90%</w:t>
      </w:r>
      <w:r w:rsidRPr="00054A5F">
        <w:rPr>
          <w:rFonts w:ascii="Arial" w:hAnsi="Arial" w:cs="Arial"/>
          <w:bCs/>
          <w:color w:val="1F1F1F"/>
          <w:lang w:eastAsia="en-PH"/>
        </w:rPr>
        <w:t xml:space="preserve">), while </w:t>
      </w:r>
      <w:proofErr w:type="spellStart"/>
      <w:r w:rsidRPr="00054A5F">
        <w:rPr>
          <w:rFonts w:ascii="Arial" w:hAnsi="Arial" w:cs="Arial"/>
          <w:bCs/>
          <w:color w:val="1F1F1F"/>
          <w:bdr w:val="none" w:sz="0" w:space="0" w:color="auto" w:frame="1"/>
          <w:lang w:eastAsia="en-PH"/>
        </w:rPr>
        <w:t>Araling</w:t>
      </w:r>
      <w:proofErr w:type="spellEnd"/>
      <w:r w:rsidRPr="00054A5F">
        <w:rPr>
          <w:rFonts w:ascii="Arial" w:hAnsi="Arial" w:cs="Arial"/>
          <w:bCs/>
          <w:color w:val="1F1F1F"/>
          <w:bdr w:val="none" w:sz="0" w:space="0" w:color="auto" w:frame="1"/>
          <w:lang w:eastAsia="en-PH"/>
        </w:rPr>
        <w:t xml:space="preserve"> </w:t>
      </w:r>
      <w:proofErr w:type="spellStart"/>
      <w:r w:rsidRPr="00054A5F">
        <w:rPr>
          <w:rFonts w:ascii="Arial" w:hAnsi="Arial" w:cs="Arial"/>
          <w:bCs/>
          <w:color w:val="1F1F1F"/>
          <w:bdr w:val="none" w:sz="0" w:space="0" w:color="auto" w:frame="1"/>
          <w:lang w:eastAsia="en-PH"/>
        </w:rPr>
        <w:t>Panlipunan</w:t>
      </w:r>
      <w:proofErr w:type="spellEnd"/>
      <w:r w:rsidRPr="00054A5F">
        <w:rPr>
          <w:rFonts w:ascii="Arial" w:hAnsi="Arial" w:cs="Arial"/>
          <w:bCs/>
          <w:color w:val="1F1F1F"/>
          <w:lang w:eastAsia="en-PH"/>
        </w:rPr>
        <w:t xml:space="preserve"> comprises 8 teachers (</w:t>
      </w:r>
      <w:r w:rsidRPr="00054A5F">
        <w:rPr>
          <w:rFonts w:ascii="Arial" w:hAnsi="Arial" w:cs="Arial"/>
          <w:bCs/>
          <w:color w:val="1F1F1F"/>
          <w:bdr w:val="none" w:sz="0" w:space="0" w:color="auto" w:frame="1"/>
          <w:lang w:eastAsia="en-PH"/>
        </w:rPr>
        <w:t>9.50%</w:t>
      </w:r>
      <w:r w:rsidRPr="00054A5F">
        <w:rPr>
          <w:rFonts w:ascii="Arial" w:hAnsi="Arial" w:cs="Arial"/>
          <w:bCs/>
          <w:color w:val="1F1F1F"/>
          <w:lang w:eastAsia="en-PH"/>
        </w:rPr>
        <w:t xml:space="preserve">). The subject areas with the least representation among the respondents are </w:t>
      </w:r>
      <w:proofErr w:type="spellStart"/>
      <w:r w:rsidRPr="00054A5F">
        <w:rPr>
          <w:rFonts w:ascii="Arial" w:hAnsi="Arial" w:cs="Arial"/>
          <w:bCs/>
          <w:color w:val="1F1F1F"/>
          <w:bdr w:val="none" w:sz="0" w:space="0" w:color="auto" w:frame="1"/>
          <w:lang w:eastAsia="en-PH"/>
        </w:rPr>
        <w:t>Edukasyon</w:t>
      </w:r>
      <w:proofErr w:type="spellEnd"/>
      <w:r w:rsidRPr="00054A5F">
        <w:rPr>
          <w:rFonts w:ascii="Arial" w:hAnsi="Arial" w:cs="Arial"/>
          <w:bCs/>
          <w:color w:val="1F1F1F"/>
          <w:bdr w:val="none" w:sz="0" w:space="0" w:color="auto" w:frame="1"/>
          <w:lang w:eastAsia="en-PH"/>
        </w:rPr>
        <w:t xml:space="preserve"> sa </w:t>
      </w:r>
      <w:proofErr w:type="spellStart"/>
      <w:r w:rsidRPr="00054A5F">
        <w:rPr>
          <w:rFonts w:ascii="Arial" w:hAnsi="Arial" w:cs="Arial"/>
          <w:bCs/>
          <w:color w:val="1F1F1F"/>
          <w:bdr w:val="none" w:sz="0" w:space="0" w:color="auto" w:frame="1"/>
          <w:lang w:eastAsia="en-PH"/>
        </w:rPr>
        <w:t>Pagpapakatao</w:t>
      </w:r>
      <w:proofErr w:type="spellEnd"/>
      <w:r w:rsidRPr="00054A5F">
        <w:rPr>
          <w:rFonts w:ascii="Arial" w:hAnsi="Arial" w:cs="Arial"/>
          <w:bCs/>
          <w:color w:val="1F1F1F"/>
          <w:bdr w:val="none" w:sz="0" w:space="0" w:color="auto" w:frame="1"/>
          <w:lang w:eastAsia="en-PH"/>
        </w:rPr>
        <w:t xml:space="preserve"> (</w:t>
      </w:r>
      <w:proofErr w:type="spellStart"/>
      <w:r w:rsidRPr="00054A5F">
        <w:rPr>
          <w:rFonts w:ascii="Arial" w:hAnsi="Arial" w:cs="Arial"/>
          <w:bCs/>
          <w:color w:val="1F1F1F"/>
          <w:bdr w:val="none" w:sz="0" w:space="0" w:color="auto" w:frame="1"/>
          <w:lang w:eastAsia="en-PH"/>
        </w:rPr>
        <w:t>EsP</w:t>
      </w:r>
      <w:proofErr w:type="spellEnd"/>
      <w:r w:rsidRPr="00054A5F">
        <w:rPr>
          <w:rFonts w:ascii="Arial" w:hAnsi="Arial" w:cs="Arial"/>
          <w:bCs/>
          <w:color w:val="1F1F1F"/>
          <w:bdr w:val="none" w:sz="0" w:space="0" w:color="auto" w:frame="1"/>
          <w:lang w:eastAsia="en-PH"/>
        </w:rPr>
        <w:t>)</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MAPEH</w:t>
      </w:r>
      <w:r w:rsidRPr="00054A5F">
        <w:rPr>
          <w:rFonts w:ascii="Arial" w:hAnsi="Arial" w:cs="Arial"/>
          <w:bCs/>
          <w:color w:val="1F1F1F"/>
          <w:lang w:eastAsia="en-PH"/>
        </w:rPr>
        <w:t>, with 4 (</w:t>
      </w:r>
      <w:r w:rsidRPr="00054A5F">
        <w:rPr>
          <w:rFonts w:ascii="Arial" w:hAnsi="Arial" w:cs="Arial"/>
          <w:bCs/>
          <w:color w:val="1F1F1F"/>
          <w:bdr w:val="none" w:sz="0" w:space="0" w:color="auto" w:frame="1"/>
          <w:lang w:eastAsia="en-PH"/>
        </w:rPr>
        <w:t>4.80%</w:t>
      </w:r>
      <w:r w:rsidRPr="00054A5F">
        <w:rPr>
          <w:rFonts w:ascii="Arial" w:hAnsi="Arial" w:cs="Arial"/>
          <w:bCs/>
          <w:color w:val="1F1F1F"/>
          <w:lang w:eastAsia="en-PH"/>
        </w:rPr>
        <w:t>) and 3 (</w:t>
      </w:r>
      <w:r w:rsidRPr="00054A5F">
        <w:rPr>
          <w:rFonts w:ascii="Arial" w:hAnsi="Arial" w:cs="Arial"/>
          <w:bCs/>
          <w:color w:val="1F1F1F"/>
          <w:bdr w:val="none" w:sz="0" w:space="0" w:color="auto" w:frame="1"/>
          <w:lang w:eastAsia="en-PH"/>
        </w:rPr>
        <w:t>3.60%</w:t>
      </w:r>
      <w:r w:rsidRPr="00054A5F">
        <w:rPr>
          <w:rFonts w:ascii="Arial" w:hAnsi="Arial" w:cs="Arial"/>
          <w:bCs/>
          <w:color w:val="1F1F1F"/>
          <w:lang w:eastAsia="en-PH"/>
        </w:rPr>
        <w:t>) teachers respectively.</w:t>
      </w:r>
    </w:p>
    <w:p w14:paraId="07012E02" w14:textId="77777777" w:rsidR="00A44D52" w:rsidRPr="00054A5F" w:rsidRDefault="00A44D52" w:rsidP="00A44D52">
      <w:pPr>
        <w:jc w:val="both"/>
        <w:rPr>
          <w:rFonts w:ascii="Arial" w:hAnsi="Arial" w:cs="Arial"/>
          <w:bCs/>
          <w:color w:val="1F1F1F"/>
          <w:lang w:eastAsia="en-PH"/>
        </w:rPr>
      </w:pPr>
    </w:p>
    <w:p w14:paraId="534EC975"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the respondent pool is heavily weighted toward technical-vocational and linguistic disciplines, which may significantly influence the "Teacher-Perceived Determinants of Learning Retention" identified in the study. Since the majority of respondents are from TLE—a subject that is inherently hands-on and performance-based—the perceived factors for learning retention might lean heavily toward </w:t>
      </w:r>
      <w:r w:rsidRPr="00054A5F">
        <w:rPr>
          <w:rFonts w:ascii="Arial" w:hAnsi="Arial" w:cs="Arial"/>
          <w:bCs/>
          <w:color w:val="1F1F1F"/>
          <w:bdr w:val="none" w:sz="0" w:space="0" w:color="auto" w:frame="1"/>
          <w:lang w:eastAsia="en-PH"/>
        </w:rPr>
        <w:t>practical application</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experiential learning</w:t>
      </w:r>
      <w:r w:rsidRPr="00054A5F">
        <w:rPr>
          <w:rFonts w:ascii="Arial" w:hAnsi="Arial" w:cs="Arial"/>
          <w:bCs/>
          <w:color w:val="1F1F1F"/>
          <w:lang w:eastAsia="en-PH"/>
        </w:rPr>
        <w:t xml:space="preserve">. Furthermore, the diverse spread across core academic subjects like English, Math, and Science ensures that the proposed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will be informed by a broad pedagogical perspective, addressing both the cognitive demands of theoretical subjects and the psychomotor requirements of technical ones. This distribution suggests that the enhancement program should be versatile enough to cater to various instructional styles, ranging from the repetitive drill-based retention often used in languages to the project-based retention strategies common in TLE.</w:t>
      </w:r>
    </w:p>
    <w:p w14:paraId="10937954" w14:textId="77777777" w:rsidR="00A44D52" w:rsidRPr="00054A5F" w:rsidRDefault="00A44D52" w:rsidP="00A44D52">
      <w:pPr>
        <w:jc w:val="both"/>
        <w:rPr>
          <w:rFonts w:ascii="Arial" w:hAnsi="Arial" w:cs="Arial"/>
          <w:lang w:eastAsia="en-PH"/>
        </w:rPr>
      </w:pPr>
    </w:p>
    <w:p w14:paraId="04A24D9B" w14:textId="77777777" w:rsidR="001E51D5" w:rsidRPr="00054A5F" w:rsidRDefault="001E51D5" w:rsidP="00A44D52">
      <w:pPr>
        <w:jc w:val="both"/>
        <w:rPr>
          <w:rFonts w:ascii="Arial" w:eastAsia="Calibri" w:hAnsi="Arial" w:cs="Arial"/>
          <w:bCs/>
          <w:sz w:val="16"/>
          <w:szCs w:val="16"/>
          <w:shd w:val="clear" w:color="auto" w:fill="FFFFFF"/>
        </w:rPr>
      </w:pPr>
      <w:r w:rsidRPr="00054A5F">
        <w:rPr>
          <w:rFonts w:ascii="Arial" w:hAnsi="Arial" w:cs="Arial"/>
          <w:lang w:eastAsia="en-PH"/>
        </w:rPr>
        <w:lastRenderedPageBreak/>
        <w:t>This aligns with the study of learning retention determinants in diverse subject areas, highlighting how teacher specialization shapes retention dynamics and informs targeted interventions in junior high settings. Specifically, a distribution skewed toward technology, language, and science disciplines suggests retention strategies should balance hands-on, performance-based methods with theoretical and drill-based approaches to accommodate varying instructional styles across subjects. The emphasis on TLE as the dominant specialization implies learning retention programs may privilege practical application and experiential learning, but must also integrate cognitive and psychomotor considerations present in English, Math, and Science disciplines to ensure broad applicability and effectiveness.</w:t>
      </w:r>
    </w:p>
    <w:p w14:paraId="6187EEBA" w14:textId="77777777" w:rsidR="001E51D5" w:rsidRPr="00054A5F" w:rsidRDefault="001E51D5" w:rsidP="001E51D5">
      <w:pPr>
        <w:rPr>
          <w:rFonts w:ascii="Arial" w:eastAsia="Calibri" w:hAnsi="Arial" w:cs="Arial"/>
          <w:bCs/>
          <w:shd w:val="clear" w:color="auto" w:fill="FFFFFF"/>
        </w:rPr>
      </w:pPr>
    </w:p>
    <w:p w14:paraId="36DE30FC" w14:textId="77777777" w:rsidR="001E51D5" w:rsidRPr="00054A5F" w:rsidRDefault="009A7909" w:rsidP="001E51D5">
      <w:pPr>
        <w:rPr>
          <w:rFonts w:ascii="Arial" w:hAnsi="Arial" w:cs="Arial"/>
          <w:b/>
          <w:lang w:eastAsia="en-PH"/>
        </w:rPr>
      </w:pPr>
      <w:r w:rsidRPr="00054A5F">
        <w:rPr>
          <w:rFonts w:ascii="Arial" w:hAnsi="Arial" w:cs="Arial"/>
          <w:b/>
          <w:lang w:eastAsia="en-PH"/>
        </w:rPr>
        <w:t>3</w:t>
      </w:r>
      <w:r w:rsidR="001E51D5" w:rsidRPr="00054A5F">
        <w:rPr>
          <w:rFonts w:ascii="Arial" w:hAnsi="Arial" w:cs="Arial"/>
          <w:b/>
          <w:lang w:eastAsia="en-PH"/>
        </w:rPr>
        <w:t>.2 Level of Teacher-Identified Pedagogical Determinants Affecting Learning Retention</w:t>
      </w:r>
    </w:p>
    <w:p w14:paraId="0509FE1B" w14:textId="77777777" w:rsidR="00A44D52" w:rsidRPr="00054A5F" w:rsidRDefault="00A44D52" w:rsidP="00A44D52">
      <w:pPr>
        <w:rPr>
          <w:rFonts w:ascii="Arial" w:hAnsi="Arial" w:cs="Arial"/>
          <w:b/>
          <w:lang w:eastAsia="en-PH"/>
        </w:rPr>
      </w:pPr>
    </w:p>
    <w:p w14:paraId="6B65FB04" w14:textId="77777777" w:rsidR="001E51D5" w:rsidRPr="00054A5F" w:rsidRDefault="001E51D5" w:rsidP="00A44D52">
      <w:pPr>
        <w:rPr>
          <w:rFonts w:ascii="Arial" w:hAnsi="Arial" w:cs="Arial"/>
          <w:bCs/>
        </w:rPr>
      </w:pPr>
      <w:r w:rsidRPr="00054A5F">
        <w:rPr>
          <w:rFonts w:ascii="Arial" w:hAnsi="Arial" w:cs="Arial"/>
          <w:bCs/>
        </w:rPr>
        <w:t>This section presents the data and analysis concerning the level of teacher-identified pedagogical determinants affecting learning retention, specifically focusing on active learning strategies, instructional multimedia, formative assessments, and differentiated instruction.</w:t>
      </w:r>
    </w:p>
    <w:p w14:paraId="425BC4E9" w14:textId="77777777" w:rsidR="001E51D5" w:rsidRPr="00054A5F" w:rsidRDefault="001E51D5" w:rsidP="001E51D5">
      <w:pPr>
        <w:rPr>
          <w:rFonts w:ascii="Arial" w:hAnsi="Arial" w:cs="Arial"/>
          <w:bCs/>
          <w:sz w:val="16"/>
          <w:szCs w:val="16"/>
        </w:rPr>
      </w:pPr>
    </w:p>
    <w:p w14:paraId="559DED3E" w14:textId="77777777" w:rsidR="001E51D5" w:rsidRPr="00054A5F" w:rsidRDefault="001E51D5" w:rsidP="001E51D5">
      <w:pPr>
        <w:rPr>
          <w:rFonts w:ascii="Arial" w:hAnsi="Arial" w:cs="Arial"/>
          <w:b/>
          <w:lang w:eastAsia="en-PH"/>
        </w:rPr>
      </w:pPr>
      <w:r w:rsidRPr="00054A5F">
        <w:rPr>
          <w:rFonts w:ascii="Arial" w:hAnsi="Arial" w:cs="Arial"/>
          <w:b/>
          <w:lang w:eastAsia="en-PH"/>
        </w:rPr>
        <w:t>Table 8. Active learning strategies</w:t>
      </w:r>
    </w:p>
    <w:tbl>
      <w:tblPr>
        <w:tblW w:w="8298" w:type="dxa"/>
        <w:tblLayout w:type="fixed"/>
        <w:tblLook w:val="04A0" w:firstRow="1" w:lastRow="0" w:firstColumn="1" w:lastColumn="0" w:noHBand="0" w:noVBand="1"/>
      </w:tblPr>
      <w:tblGrid>
        <w:gridCol w:w="3888"/>
        <w:gridCol w:w="1440"/>
        <w:gridCol w:w="1440"/>
        <w:gridCol w:w="1530"/>
      </w:tblGrid>
      <w:tr w:rsidR="001E51D5" w:rsidRPr="00054A5F" w14:paraId="1772DBD7" w14:textId="77777777" w:rsidTr="00321E98">
        <w:tc>
          <w:tcPr>
            <w:tcW w:w="3888" w:type="dxa"/>
            <w:tcBorders>
              <w:top w:val="single" w:sz="4" w:space="0" w:color="auto"/>
              <w:bottom w:val="single" w:sz="4" w:space="0" w:color="auto"/>
            </w:tcBorders>
            <w:vAlign w:val="center"/>
            <w:hideMark/>
          </w:tcPr>
          <w:p w14:paraId="26A3521F"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440" w:type="dxa"/>
            <w:tcBorders>
              <w:top w:val="single" w:sz="4" w:space="0" w:color="auto"/>
              <w:bottom w:val="single" w:sz="4" w:space="0" w:color="auto"/>
            </w:tcBorders>
            <w:vAlign w:val="center"/>
            <w:hideMark/>
          </w:tcPr>
          <w:p w14:paraId="629226A2"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440" w:type="dxa"/>
            <w:tcBorders>
              <w:top w:val="single" w:sz="4" w:space="0" w:color="auto"/>
              <w:bottom w:val="single" w:sz="4" w:space="0" w:color="auto"/>
            </w:tcBorders>
            <w:vAlign w:val="center"/>
            <w:hideMark/>
          </w:tcPr>
          <w:p w14:paraId="1BE0F79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530" w:type="dxa"/>
            <w:tcBorders>
              <w:top w:val="single" w:sz="4" w:space="0" w:color="auto"/>
              <w:bottom w:val="single" w:sz="4" w:space="0" w:color="auto"/>
            </w:tcBorders>
            <w:vAlign w:val="center"/>
            <w:hideMark/>
          </w:tcPr>
          <w:p w14:paraId="2087DE9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22D5C2C7" w14:textId="77777777" w:rsidTr="00321E98">
        <w:tc>
          <w:tcPr>
            <w:tcW w:w="3888" w:type="dxa"/>
            <w:tcBorders>
              <w:top w:val="single" w:sz="4" w:space="0" w:color="auto"/>
            </w:tcBorders>
            <w:vAlign w:val="center"/>
            <w:hideMark/>
          </w:tcPr>
          <w:p w14:paraId="2C687530"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engage students in peer-to-peer discussions to reinforce new concepts.</w:t>
            </w:r>
          </w:p>
        </w:tc>
        <w:tc>
          <w:tcPr>
            <w:tcW w:w="1440" w:type="dxa"/>
            <w:tcBorders>
              <w:top w:val="single" w:sz="4" w:space="0" w:color="auto"/>
            </w:tcBorders>
            <w:vAlign w:val="center"/>
            <w:hideMark/>
          </w:tcPr>
          <w:p w14:paraId="3E64811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4.08</w:t>
            </w:r>
          </w:p>
        </w:tc>
        <w:tc>
          <w:tcPr>
            <w:tcW w:w="1440" w:type="dxa"/>
            <w:tcBorders>
              <w:top w:val="single" w:sz="4" w:space="0" w:color="auto"/>
            </w:tcBorders>
            <w:vAlign w:val="center"/>
            <w:hideMark/>
          </w:tcPr>
          <w:p w14:paraId="30BA04B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0.93</w:t>
            </w:r>
          </w:p>
        </w:tc>
        <w:tc>
          <w:tcPr>
            <w:tcW w:w="1530" w:type="dxa"/>
            <w:tcBorders>
              <w:top w:val="single" w:sz="4" w:space="0" w:color="auto"/>
            </w:tcBorders>
            <w:vAlign w:val="center"/>
            <w:hideMark/>
          </w:tcPr>
          <w:p w14:paraId="6B5479E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146DD05A" w14:textId="77777777" w:rsidTr="00321E98">
        <w:tc>
          <w:tcPr>
            <w:tcW w:w="3888" w:type="dxa"/>
            <w:vAlign w:val="center"/>
            <w:hideMark/>
          </w:tcPr>
          <w:p w14:paraId="7D9E0BC1"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use hands-on activities or simulations to make abstract lessons more concrete.</w:t>
            </w:r>
          </w:p>
        </w:tc>
        <w:tc>
          <w:tcPr>
            <w:tcW w:w="1440" w:type="dxa"/>
            <w:vAlign w:val="center"/>
            <w:hideMark/>
          </w:tcPr>
          <w:p w14:paraId="3335E58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4.20</w:t>
            </w:r>
          </w:p>
        </w:tc>
        <w:tc>
          <w:tcPr>
            <w:tcW w:w="1440" w:type="dxa"/>
            <w:vAlign w:val="center"/>
            <w:hideMark/>
          </w:tcPr>
          <w:p w14:paraId="35B3FE3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0.79</w:t>
            </w:r>
          </w:p>
        </w:tc>
        <w:tc>
          <w:tcPr>
            <w:tcW w:w="1530" w:type="dxa"/>
            <w:vAlign w:val="center"/>
            <w:hideMark/>
          </w:tcPr>
          <w:p w14:paraId="552C02A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Always</w:t>
            </w:r>
          </w:p>
        </w:tc>
      </w:tr>
      <w:tr w:rsidR="001E51D5" w:rsidRPr="00054A5F" w14:paraId="01D755C9" w14:textId="77777777" w:rsidTr="00321E98">
        <w:tc>
          <w:tcPr>
            <w:tcW w:w="3888" w:type="dxa"/>
            <w:vAlign w:val="center"/>
            <w:hideMark/>
          </w:tcPr>
          <w:p w14:paraId="53DEDBD2"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require students to solve real-world problems related to the lesson.</w:t>
            </w:r>
          </w:p>
        </w:tc>
        <w:tc>
          <w:tcPr>
            <w:tcW w:w="1440" w:type="dxa"/>
            <w:vAlign w:val="center"/>
            <w:hideMark/>
          </w:tcPr>
          <w:p w14:paraId="27A3D9F0"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4.30</w:t>
            </w:r>
          </w:p>
        </w:tc>
        <w:tc>
          <w:tcPr>
            <w:tcW w:w="1440" w:type="dxa"/>
            <w:vAlign w:val="center"/>
            <w:hideMark/>
          </w:tcPr>
          <w:p w14:paraId="53EC8D1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0.89</w:t>
            </w:r>
          </w:p>
        </w:tc>
        <w:tc>
          <w:tcPr>
            <w:tcW w:w="1530" w:type="dxa"/>
            <w:vAlign w:val="center"/>
            <w:hideMark/>
          </w:tcPr>
          <w:p w14:paraId="34ECF748"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Always</w:t>
            </w:r>
          </w:p>
        </w:tc>
      </w:tr>
      <w:tr w:rsidR="001E51D5" w:rsidRPr="00054A5F" w14:paraId="01230206" w14:textId="77777777" w:rsidTr="00321E98">
        <w:tc>
          <w:tcPr>
            <w:tcW w:w="3888" w:type="dxa"/>
            <w:vAlign w:val="center"/>
            <w:hideMark/>
          </w:tcPr>
          <w:p w14:paraId="3D029E3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incorporate "think-pair-share" activities to encourage individual processing.</w:t>
            </w:r>
          </w:p>
        </w:tc>
        <w:tc>
          <w:tcPr>
            <w:tcW w:w="1440" w:type="dxa"/>
            <w:vAlign w:val="center"/>
            <w:hideMark/>
          </w:tcPr>
          <w:p w14:paraId="287C858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4.05</w:t>
            </w:r>
          </w:p>
        </w:tc>
        <w:tc>
          <w:tcPr>
            <w:tcW w:w="1440" w:type="dxa"/>
            <w:vAlign w:val="center"/>
            <w:hideMark/>
          </w:tcPr>
          <w:p w14:paraId="4C1BDCA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0.86</w:t>
            </w:r>
          </w:p>
        </w:tc>
        <w:tc>
          <w:tcPr>
            <w:tcW w:w="1530" w:type="dxa"/>
            <w:vAlign w:val="center"/>
            <w:hideMark/>
          </w:tcPr>
          <w:p w14:paraId="63EC73C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53C33356" w14:textId="77777777" w:rsidTr="00321E98">
        <w:tc>
          <w:tcPr>
            <w:tcW w:w="3888" w:type="dxa"/>
            <w:tcBorders>
              <w:bottom w:val="single" w:sz="4" w:space="0" w:color="auto"/>
            </w:tcBorders>
            <w:vAlign w:val="center"/>
            <w:hideMark/>
          </w:tcPr>
          <w:p w14:paraId="37115A66"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facilitate role-playing or debates to deepen student engagement with the topic.</w:t>
            </w:r>
          </w:p>
        </w:tc>
        <w:tc>
          <w:tcPr>
            <w:tcW w:w="1440" w:type="dxa"/>
            <w:tcBorders>
              <w:bottom w:val="single" w:sz="4" w:space="0" w:color="auto"/>
            </w:tcBorders>
            <w:vAlign w:val="center"/>
            <w:hideMark/>
          </w:tcPr>
          <w:p w14:paraId="2FC5DA1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3.95</w:t>
            </w:r>
          </w:p>
        </w:tc>
        <w:tc>
          <w:tcPr>
            <w:tcW w:w="1440" w:type="dxa"/>
            <w:tcBorders>
              <w:bottom w:val="single" w:sz="4" w:space="0" w:color="auto"/>
            </w:tcBorders>
            <w:vAlign w:val="center"/>
            <w:hideMark/>
          </w:tcPr>
          <w:p w14:paraId="544B896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1.00</w:t>
            </w:r>
          </w:p>
        </w:tc>
        <w:tc>
          <w:tcPr>
            <w:tcW w:w="1530" w:type="dxa"/>
            <w:tcBorders>
              <w:bottom w:val="single" w:sz="4" w:space="0" w:color="auto"/>
            </w:tcBorders>
            <w:vAlign w:val="center"/>
            <w:hideMark/>
          </w:tcPr>
          <w:p w14:paraId="70E31C5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21D050D7" w14:textId="77777777" w:rsidTr="00321E98">
        <w:tc>
          <w:tcPr>
            <w:tcW w:w="3888" w:type="dxa"/>
            <w:tcBorders>
              <w:top w:val="single" w:sz="4" w:space="0" w:color="auto"/>
              <w:bottom w:val="single" w:sz="4" w:space="0" w:color="auto"/>
            </w:tcBorders>
            <w:vAlign w:val="center"/>
            <w:hideMark/>
          </w:tcPr>
          <w:p w14:paraId="02953C4B"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440" w:type="dxa"/>
            <w:tcBorders>
              <w:top w:val="single" w:sz="4" w:space="0" w:color="auto"/>
              <w:bottom w:val="single" w:sz="4" w:space="0" w:color="auto"/>
            </w:tcBorders>
            <w:vAlign w:val="center"/>
            <w:hideMark/>
          </w:tcPr>
          <w:p w14:paraId="3236B8C0"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4.12</w:t>
            </w:r>
          </w:p>
        </w:tc>
        <w:tc>
          <w:tcPr>
            <w:tcW w:w="1440" w:type="dxa"/>
            <w:tcBorders>
              <w:top w:val="single" w:sz="4" w:space="0" w:color="auto"/>
              <w:bottom w:val="single" w:sz="4" w:space="0" w:color="auto"/>
            </w:tcBorders>
            <w:vAlign w:val="center"/>
            <w:hideMark/>
          </w:tcPr>
          <w:p w14:paraId="785A7DBB" w14:textId="77777777" w:rsidR="001E51D5" w:rsidRPr="00054A5F" w:rsidRDefault="001E51D5" w:rsidP="001E51D5">
            <w:pPr>
              <w:jc w:val="center"/>
              <w:rPr>
                <w:rFonts w:ascii="Arial" w:hAnsi="Arial" w:cs="Arial"/>
                <w:b/>
                <w:color w:val="1F1F1F"/>
                <w:lang w:eastAsia="en-PH"/>
              </w:rPr>
            </w:pPr>
          </w:p>
        </w:tc>
        <w:tc>
          <w:tcPr>
            <w:tcW w:w="1530" w:type="dxa"/>
            <w:tcBorders>
              <w:top w:val="single" w:sz="4" w:space="0" w:color="auto"/>
              <w:bottom w:val="single" w:sz="4" w:space="0" w:color="auto"/>
            </w:tcBorders>
            <w:vAlign w:val="center"/>
            <w:hideMark/>
          </w:tcPr>
          <w:p w14:paraId="429679ED"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Often</w:t>
            </w:r>
          </w:p>
        </w:tc>
      </w:tr>
    </w:tbl>
    <w:p w14:paraId="4FBA167B" w14:textId="77777777" w:rsidR="00A44D52" w:rsidRPr="00054A5F" w:rsidRDefault="00A44D52" w:rsidP="00A44D52">
      <w:pPr>
        <w:jc w:val="both"/>
        <w:rPr>
          <w:rFonts w:ascii="Arial" w:hAnsi="Arial" w:cs="Arial"/>
          <w:bCs/>
          <w:lang w:eastAsia="en-PH"/>
        </w:rPr>
      </w:pPr>
    </w:p>
    <w:p w14:paraId="30FD4660"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8 shows the teacher-respondents' utilization of active learning strategies, yielding an overall weighted mean of </w:t>
      </w:r>
      <w:r w:rsidRPr="00054A5F">
        <w:rPr>
          <w:rFonts w:ascii="Arial" w:hAnsi="Arial" w:cs="Arial"/>
          <w:bCs/>
          <w:color w:val="1F1F1F"/>
          <w:bdr w:val="none" w:sz="0" w:space="0" w:color="auto" w:frame="1"/>
          <w:lang w:eastAsia="en-PH"/>
        </w:rPr>
        <w:t>4.12</w:t>
      </w:r>
      <w:r w:rsidRPr="00054A5F">
        <w:rPr>
          <w:rFonts w:ascii="Arial" w:hAnsi="Arial" w:cs="Arial"/>
          <w:bCs/>
          <w:color w:val="1F1F1F"/>
          <w:lang w:eastAsia="en-PH"/>
        </w:rPr>
        <w:t xml:space="preserve">, which is verbally interpreted as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The data reveals that the highest-rated strategy is requiring students to solve real-world problems related to the lesson, with a weighted mean of </w:t>
      </w:r>
      <w:r w:rsidRPr="00054A5F">
        <w:rPr>
          <w:rFonts w:ascii="Arial" w:hAnsi="Arial" w:cs="Arial"/>
          <w:bCs/>
          <w:color w:val="1F1F1F"/>
          <w:bdr w:val="none" w:sz="0" w:space="0" w:color="auto" w:frame="1"/>
          <w:lang w:eastAsia="en-PH"/>
        </w:rPr>
        <w:t>4.30</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Always</w:t>
      </w:r>
      <w:r w:rsidRPr="00054A5F">
        <w:rPr>
          <w:rFonts w:ascii="Arial" w:hAnsi="Arial" w:cs="Arial"/>
          <w:bCs/>
          <w:color w:val="1F1F1F"/>
          <w:lang w:eastAsia="en-PH"/>
        </w:rPr>
        <w:t xml:space="preserve">), followed closely by the use of hands-on activities or simulations at </w:t>
      </w:r>
      <w:r w:rsidRPr="00054A5F">
        <w:rPr>
          <w:rFonts w:ascii="Arial" w:hAnsi="Arial" w:cs="Arial"/>
          <w:bCs/>
          <w:color w:val="1F1F1F"/>
          <w:bdr w:val="none" w:sz="0" w:space="0" w:color="auto" w:frame="1"/>
          <w:lang w:eastAsia="en-PH"/>
        </w:rPr>
        <w:t>4.20</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Always</w:t>
      </w:r>
      <w:r w:rsidRPr="00054A5F">
        <w:rPr>
          <w:rFonts w:ascii="Arial" w:hAnsi="Arial" w:cs="Arial"/>
          <w:bCs/>
          <w:color w:val="1F1F1F"/>
          <w:lang w:eastAsia="en-PH"/>
        </w:rPr>
        <w:t xml:space="preserve">). Engaging students in peer-to-peer discussions and using "think-pair-share" activities also received high marks, with means of </w:t>
      </w:r>
      <w:r w:rsidRPr="00054A5F">
        <w:rPr>
          <w:rFonts w:ascii="Arial" w:hAnsi="Arial" w:cs="Arial"/>
          <w:bCs/>
          <w:color w:val="1F1F1F"/>
          <w:bdr w:val="none" w:sz="0" w:space="0" w:color="auto" w:frame="1"/>
          <w:lang w:eastAsia="en-PH"/>
        </w:rPr>
        <w:t>4.08</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4.05</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respectively. The strategy with the lowest weighted mean, though still frequently practiced, is the facilitation of role-playing or debates at </w:t>
      </w:r>
      <w:r w:rsidRPr="00054A5F">
        <w:rPr>
          <w:rFonts w:ascii="Arial" w:hAnsi="Arial" w:cs="Arial"/>
          <w:bCs/>
          <w:color w:val="1F1F1F"/>
          <w:bdr w:val="none" w:sz="0" w:space="0" w:color="auto" w:frame="1"/>
          <w:lang w:eastAsia="en-PH"/>
        </w:rPr>
        <w:t>3.95</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These results indicate a consistent effort among educators to move beyond traditional lecture-based instruction toward more interactive classroom environments.</w:t>
      </w:r>
    </w:p>
    <w:p w14:paraId="7F81949B" w14:textId="77777777" w:rsidR="00A44D52" w:rsidRPr="00054A5F" w:rsidRDefault="00A44D52" w:rsidP="00A44D52">
      <w:pPr>
        <w:jc w:val="both"/>
        <w:rPr>
          <w:rFonts w:ascii="Arial" w:hAnsi="Arial" w:cs="Arial"/>
          <w:bCs/>
          <w:color w:val="1F1F1F"/>
          <w:lang w:eastAsia="en-PH"/>
        </w:rPr>
      </w:pPr>
    </w:p>
    <w:p w14:paraId="292F064E"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teachers recognize the critical role of student agency and practical application in fostering long-term knowledge retention. The high scores in real-world problem solving and hands-on simulations suggest that educators believe students are more likely to retain information when they can connect abstract concepts to tangible, everyday contexts. This preference for "learning by doing" aligns with the high concentration of TLE and Science specialists in the faculty, who naturally lean toward kinesthetic and inquiry-based methods. However, the slightly lower mean for role-playing and debates suggests a potential opportunity for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to provide more training in social-</w:t>
      </w:r>
      <w:r w:rsidRPr="00054A5F">
        <w:rPr>
          <w:rFonts w:ascii="Arial" w:hAnsi="Arial" w:cs="Arial"/>
          <w:bCs/>
          <w:color w:val="1F1F1F"/>
          <w:lang w:eastAsia="en-PH"/>
        </w:rPr>
        <w:lastRenderedPageBreak/>
        <w:t>constructivist strategies. Overall, the findings suggest a solid foundation for the enhancement program, as the current teaching force is already predisposed to active learning techniques that actively combat the "forgetting curve" through cognitive engagement and social interaction.</w:t>
      </w:r>
    </w:p>
    <w:p w14:paraId="0C11ABE4" w14:textId="77777777" w:rsidR="00A44D52" w:rsidRPr="00054A5F" w:rsidRDefault="00A44D52" w:rsidP="00A44D52">
      <w:pPr>
        <w:jc w:val="both"/>
        <w:rPr>
          <w:rFonts w:ascii="Arial" w:hAnsi="Arial" w:cs="Arial"/>
          <w:lang w:eastAsia="en-PH"/>
        </w:rPr>
      </w:pPr>
    </w:p>
    <w:p w14:paraId="1CFBFD3B" w14:textId="77777777" w:rsidR="001E51D5" w:rsidRPr="00054A5F" w:rsidRDefault="001E51D5" w:rsidP="00A44D52">
      <w:pPr>
        <w:jc w:val="both"/>
        <w:rPr>
          <w:rFonts w:ascii="Arial" w:hAnsi="Arial" w:cs="Arial"/>
          <w:b/>
          <w:lang w:eastAsia="en-PH"/>
        </w:rPr>
      </w:pPr>
      <w:r w:rsidRPr="00054A5F">
        <w:rPr>
          <w:rFonts w:ascii="Arial" w:hAnsi="Arial" w:cs="Arial"/>
          <w:lang w:eastAsia="en-PH"/>
        </w:rPr>
        <w:t>This aligns with the study of active learning strategies in higher education that emphasize real-world problem solving and hands-on engagement to enhance retention and understanding. These sources collectively corroborate that “learning by doing” and authentic tasks improve long-term knowledge retention and student engagement in Kinesthetic and inquiry-based instructional contexts.</w:t>
      </w:r>
    </w:p>
    <w:p w14:paraId="0A2E8B24" w14:textId="77777777" w:rsidR="001E51D5" w:rsidRPr="00054A5F" w:rsidRDefault="001E51D5" w:rsidP="001E51D5">
      <w:pPr>
        <w:rPr>
          <w:rFonts w:ascii="Arial" w:hAnsi="Arial" w:cs="Arial"/>
          <w:b/>
          <w:sz w:val="24"/>
          <w:szCs w:val="24"/>
          <w:lang w:eastAsia="en-PH"/>
        </w:rPr>
      </w:pPr>
    </w:p>
    <w:p w14:paraId="369C9B3A" w14:textId="77777777" w:rsidR="00321E98" w:rsidRPr="00054A5F" w:rsidRDefault="00321E98" w:rsidP="001E51D5">
      <w:pPr>
        <w:rPr>
          <w:rFonts w:ascii="Arial" w:hAnsi="Arial" w:cs="Arial"/>
          <w:b/>
          <w:sz w:val="24"/>
          <w:szCs w:val="24"/>
          <w:lang w:eastAsia="en-PH"/>
        </w:rPr>
      </w:pPr>
    </w:p>
    <w:p w14:paraId="30FBCDEC" w14:textId="77777777" w:rsidR="001E51D5" w:rsidRPr="00054A5F" w:rsidRDefault="001E51D5" w:rsidP="001E51D5">
      <w:pPr>
        <w:rPr>
          <w:rFonts w:ascii="Arial" w:hAnsi="Arial" w:cs="Arial"/>
          <w:lang w:eastAsia="en-PH"/>
        </w:rPr>
      </w:pPr>
      <w:r w:rsidRPr="00054A5F">
        <w:rPr>
          <w:rFonts w:ascii="Arial" w:hAnsi="Arial" w:cs="Arial"/>
          <w:b/>
          <w:lang w:eastAsia="en-PH"/>
        </w:rPr>
        <w:t>Table 9. Use of instructional multimedia</w:t>
      </w:r>
    </w:p>
    <w:tbl>
      <w:tblPr>
        <w:tblW w:w="0" w:type="auto"/>
        <w:tblLook w:val="04A0" w:firstRow="1" w:lastRow="0" w:firstColumn="1" w:lastColumn="0" w:noHBand="0" w:noVBand="1"/>
      </w:tblPr>
      <w:tblGrid>
        <w:gridCol w:w="4187"/>
        <w:gridCol w:w="1340"/>
        <w:gridCol w:w="1154"/>
        <w:gridCol w:w="1527"/>
      </w:tblGrid>
      <w:tr w:rsidR="001E51D5" w:rsidRPr="00054A5F" w14:paraId="2FFFFCAF" w14:textId="77777777" w:rsidTr="00321E98">
        <w:tc>
          <w:tcPr>
            <w:tcW w:w="4384" w:type="dxa"/>
            <w:tcBorders>
              <w:top w:val="single" w:sz="4" w:space="0" w:color="auto"/>
              <w:bottom w:val="single" w:sz="4" w:space="0" w:color="auto"/>
            </w:tcBorders>
            <w:vAlign w:val="center"/>
            <w:hideMark/>
          </w:tcPr>
          <w:p w14:paraId="4717A602"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355" w:type="dxa"/>
            <w:tcBorders>
              <w:top w:val="single" w:sz="4" w:space="0" w:color="auto"/>
              <w:bottom w:val="single" w:sz="4" w:space="0" w:color="auto"/>
            </w:tcBorders>
            <w:vAlign w:val="center"/>
            <w:hideMark/>
          </w:tcPr>
          <w:p w14:paraId="71487B4E"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156" w:type="dxa"/>
            <w:tcBorders>
              <w:top w:val="single" w:sz="4" w:space="0" w:color="auto"/>
              <w:bottom w:val="single" w:sz="4" w:space="0" w:color="auto"/>
            </w:tcBorders>
            <w:vAlign w:val="center"/>
            <w:hideMark/>
          </w:tcPr>
          <w:p w14:paraId="04AF64B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529" w:type="dxa"/>
            <w:tcBorders>
              <w:top w:val="single" w:sz="4" w:space="0" w:color="auto"/>
              <w:bottom w:val="single" w:sz="4" w:space="0" w:color="auto"/>
            </w:tcBorders>
            <w:vAlign w:val="center"/>
            <w:hideMark/>
          </w:tcPr>
          <w:p w14:paraId="57B759E1"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750B155D" w14:textId="77777777" w:rsidTr="00321E98">
        <w:tc>
          <w:tcPr>
            <w:tcW w:w="4384" w:type="dxa"/>
            <w:tcBorders>
              <w:top w:val="single" w:sz="4" w:space="0" w:color="auto"/>
            </w:tcBorders>
            <w:vAlign w:val="center"/>
            <w:hideMark/>
          </w:tcPr>
          <w:p w14:paraId="0A8D874A"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use educational videos to provide visual context for complex lessons.</w:t>
            </w:r>
          </w:p>
        </w:tc>
        <w:tc>
          <w:tcPr>
            <w:tcW w:w="1355" w:type="dxa"/>
            <w:tcBorders>
              <w:top w:val="single" w:sz="4" w:space="0" w:color="auto"/>
            </w:tcBorders>
            <w:vAlign w:val="center"/>
            <w:hideMark/>
          </w:tcPr>
          <w:p w14:paraId="728BE0D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4.08</w:t>
            </w:r>
          </w:p>
        </w:tc>
        <w:tc>
          <w:tcPr>
            <w:tcW w:w="1156" w:type="dxa"/>
            <w:tcBorders>
              <w:top w:val="single" w:sz="4" w:space="0" w:color="auto"/>
            </w:tcBorders>
            <w:vAlign w:val="center"/>
            <w:hideMark/>
          </w:tcPr>
          <w:p w14:paraId="7B3CC84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1.08</w:t>
            </w:r>
          </w:p>
        </w:tc>
        <w:tc>
          <w:tcPr>
            <w:tcW w:w="1529" w:type="dxa"/>
            <w:tcBorders>
              <w:top w:val="single" w:sz="4" w:space="0" w:color="auto"/>
            </w:tcBorders>
            <w:vAlign w:val="center"/>
            <w:hideMark/>
          </w:tcPr>
          <w:p w14:paraId="65DD477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1E968DD2" w14:textId="77777777" w:rsidTr="00321E98">
        <w:tc>
          <w:tcPr>
            <w:tcW w:w="4384" w:type="dxa"/>
            <w:vAlign w:val="center"/>
            <w:hideMark/>
          </w:tcPr>
          <w:p w14:paraId="453F8406"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utilize interactive slideshows (e.g., PowerPoint, Canva) to present key points.</w:t>
            </w:r>
          </w:p>
        </w:tc>
        <w:tc>
          <w:tcPr>
            <w:tcW w:w="1355" w:type="dxa"/>
            <w:vAlign w:val="center"/>
            <w:hideMark/>
          </w:tcPr>
          <w:p w14:paraId="30B8C21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4.23</w:t>
            </w:r>
          </w:p>
        </w:tc>
        <w:tc>
          <w:tcPr>
            <w:tcW w:w="1156" w:type="dxa"/>
            <w:vAlign w:val="center"/>
            <w:hideMark/>
          </w:tcPr>
          <w:p w14:paraId="3AFB5D2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1.07</w:t>
            </w:r>
          </w:p>
        </w:tc>
        <w:tc>
          <w:tcPr>
            <w:tcW w:w="1529" w:type="dxa"/>
            <w:vAlign w:val="center"/>
            <w:hideMark/>
          </w:tcPr>
          <w:p w14:paraId="5832593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Always</w:t>
            </w:r>
          </w:p>
        </w:tc>
      </w:tr>
      <w:tr w:rsidR="001E51D5" w:rsidRPr="00054A5F" w14:paraId="7F0DF58F" w14:textId="77777777" w:rsidTr="00321E98">
        <w:tc>
          <w:tcPr>
            <w:tcW w:w="4384" w:type="dxa"/>
            <w:vAlign w:val="center"/>
            <w:hideMark/>
          </w:tcPr>
          <w:p w14:paraId="10CB732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 xml:space="preserve"> I integrate digital games or quizzes (e.g., Kahoot, Quizizz) for lesson review.</w:t>
            </w:r>
          </w:p>
        </w:tc>
        <w:tc>
          <w:tcPr>
            <w:tcW w:w="1355" w:type="dxa"/>
            <w:vAlign w:val="center"/>
            <w:hideMark/>
          </w:tcPr>
          <w:p w14:paraId="680D6C0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3.21</w:t>
            </w:r>
          </w:p>
        </w:tc>
        <w:tc>
          <w:tcPr>
            <w:tcW w:w="1156" w:type="dxa"/>
            <w:vAlign w:val="center"/>
            <w:hideMark/>
          </w:tcPr>
          <w:p w14:paraId="65F6C9C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1.09</w:t>
            </w:r>
          </w:p>
        </w:tc>
        <w:tc>
          <w:tcPr>
            <w:tcW w:w="1529" w:type="dxa"/>
            <w:vAlign w:val="center"/>
            <w:hideMark/>
          </w:tcPr>
          <w:p w14:paraId="47A77A5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Sometimes</w:t>
            </w:r>
          </w:p>
        </w:tc>
      </w:tr>
      <w:tr w:rsidR="001E51D5" w:rsidRPr="00054A5F" w14:paraId="1C26A3CF" w14:textId="77777777" w:rsidTr="00321E98">
        <w:tc>
          <w:tcPr>
            <w:tcW w:w="4384" w:type="dxa"/>
            <w:vAlign w:val="center"/>
            <w:hideMark/>
          </w:tcPr>
          <w:p w14:paraId="55925C7E"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use infographics or diagrams to help students visualize information hierarchies.</w:t>
            </w:r>
          </w:p>
        </w:tc>
        <w:tc>
          <w:tcPr>
            <w:tcW w:w="1355" w:type="dxa"/>
            <w:vAlign w:val="center"/>
            <w:hideMark/>
          </w:tcPr>
          <w:p w14:paraId="6AF33D3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3.77</w:t>
            </w:r>
          </w:p>
        </w:tc>
        <w:tc>
          <w:tcPr>
            <w:tcW w:w="1156" w:type="dxa"/>
            <w:vAlign w:val="center"/>
            <w:hideMark/>
          </w:tcPr>
          <w:p w14:paraId="107F5E7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0.96</w:t>
            </w:r>
          </w:p>
        </w:tc>
        <w:tc>
          <w:tcPr>
            <w:tcW w:w="1529" w:type="dxa"/>
            <w:vAlign w:val="center"/>
            <w:hideMark/>
          </w:tcPr>
          <w:p w14:paraId="0157B0C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3BE64355" w14:textId="77777777" w:rsidTr="00321E98">
        <w:tc>
          <w:tcPr>
            <w:tcW w:w="4384" w:type="dxa"/>
            <w:tcBorders>
              <w:bottom w:val="single" w:sz="4" w:space="0" w:color="auto"/>
            </w:tcBorders>
            <w:vAlign w:val="center"/>
            <w:hideMark/>
          </w:tcPr>
          <w:p w14:paraId="1166EEEE"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provide digital resources (links, e-books) that students can revisit after class.</w:t>
            </w:r>
          </w:p>
        </w:tc>
        <w:tc>
          <w:tcPr>
            <w:tcW w:w="1355" w:type="dxa"/>
            <w:tcBorders>
              <w:bottom w:val="single" w:sz="4" w:space="0" w:color="auto"/>
            </w:tcBorders>
            <w:vAlign w:val="center"/>
            <w:hideMark/>
          </w:tcPr>
          <w:p w14:paraId="34E8DE5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3.65</w:t>
            </w:r>
          </w:p>
        </w:tc>
        <w:tc>
          <w:tcPr>
            <w:tcW w:w="1156" w:type="dxa"/>
            <w:tcBorders>
              <w:bottom w:val="single" w:sz="4" w:space="0" w:color="auto"/>
            </w:tcBorders>
            <w:vAlign w:val="center"/>
            <w:hideMark/>
          </w:tcPr>
          <w:p w14:paraId="64A58DF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1.00</w:t>
            </w:r>
          </w:p>
        </w:tc>
        <w:tc>
          <w:tcPr>
            <w:tcW w:w="1529" w:type="dxa"/>
            <w:tcBorders>
              <w:bottom w:val="single" w:sz="4" w:space="0" w:color="auto"/>
            </w:tcBorders>
            <w:vAlign w:val="center"/>
            <w:hideMark/>
          </w:tcPr>
          <w:p w14:paraId="3E436E2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6FC9BFE8" w14:textId="77777777" w:rsidTr="00321E98">
        <w:tc>
          <w:tcPr>
            <w:tcW w:w="4384" w:type="dxa"/>
            <w:tcBorders>
              <w:top w:val="single" w:sz="4" w:space="0" w:color="auto"/>
              <w:bottom w:val="single" w:sz="4" w:space="0" w:color="auto"/>
            </w:tcBorders>
            <w:vAlign w:val="center"/>
            <w:hideMark/>
          </w:tcPr>
          <w:p w14:paraId="0BB1FA4F"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355" w:type="dxa"/>
            <w:tcBorders>
              <w:top w:val="single" w:sz="4" w:space="0" w:color="auto"/>
              <w:bottom w:val="single" w:sz="4" w:space="0" w:color="auto"/>
            </w:tcBorders>
            <w:vAlign w:val="center"/>
            <w:hideMark/>
          </w:tcPr>
          <w:p w14:paraId="45DC67CA"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3.79</w:t>
            </w:r>
          </w:p>
        </w:tc>
        <w:tc>
          <w:tcPr>
            <w:tcW w:w="1156" w:type="dxa"/>
            <w:tcBorders>
              <w:top w:val="single" w:sz="4" w:space="0" w:color="auto"/>
              <w:bottom w:val="single" w:sz="4" w:space="0" w:color="auto"/>
            </w:tcBorders>
            <w:vAlign w:val="center"/>
            <w:hideMark/>
          </w:tcPr>
          <w:p w14:paraId="338687FA" w14:textId="77777777" w:rsidR="001E51D5" w:rsidRPr="00054A5F" w:rsidRDefault="001E51D5" w:rsidP="001E51D5">
            <w:pPr>
              <w:jc w:val="center"/>
              <w:rPr>
                <w:rFonts w:ascii="Arial" w:hAnsi="Arial" w:cs="Arial"/>
                <w:b/>
                <w:color w:val="1F1F1F"/>
                <w:lang w:eastAsia="en-PH"/>
              </w:rPr>
            </w:pPr>
          </w:p>
        </w:tc>
        <w:tc>
          <w:tcPr>
            <w:tcW w:w="1529" w:type="dxa"/>
            <w:tcBorders>
              <w:top w:val="single" w:sz="4" w:space="0" w:color="auto"/>
              <w:bottom w:val="single" w:sz="4" w:space="0" w:color="auto"/>
            </w:tcBorders>
            <w:vAlign w:val="center"/>
            <w:hideMark/>
          </w:tcPr>
          <w:p w14:paraId="4B1B4242"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Often</w:t>
            </w:r>
          </w:p>
        </w:tc>
      </w:tr>
    </w:tbl>
    <w:p w14:paraId="29D410A2" w14:textId="77777777" w:rsidR="00A44D52" w:rsidRPr="00054A5F" w:rsidRDefault="00A44D52" w:rsidP="00A44D52">
      <w:pPr>
        <w:jc w:val="both"/>
        <w:rPr>
          <w:rFonts w:ascii="Arial" w:hAnsi="Arial" w:cs="Arial"/>
          <w:bCs/>
          <w:color w:val="1F1F1F"/>
          <w:lang w:eastAsia="en-PH"/>
        </w:rPr>
      </w:pPr>
    </w:p>
    <w:p w14:paraId="478ED950"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9 shows the extent to which teacher-respondents utilize instructional multimedia in their teaching practices. The data indicates an </w:t>
      </w:r>
      <w:r w:rsidRPr="00054A5F">
        <w:rPr>
          <w:rFonts w:ascii="Arial" w:hAnsi="Arial" w:cs="Arial"/>
          <w:bCs/>
          <w:color w:val="1F1F1F"/>
          <w:bdr w:val="none" w:sz="0" w:space="0" w:color="auto" w:frame="1"/>
          <w:lang w:eastAsia="en-PH"/>
        </w:rPr>
        <w:t>overall weighted mean of 3.79</w:t>
      </w:r>
      <w:r w:rsidRPr="00054A5F">
        <w:rPr>
          <w:rFonts w:ascii="Arial" w:hAnsi="Arial" w:cs="Arial"/>
          <w:bCs/>
          <w:color w:val="1F1F1F"/>
          <w:lang w:eastAsia="en-PH"/>
        </w:rPr>
        <w:t xml:space="preserve">, which translates to a verbal interpretation of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Among the specific indicators, the highest mean score of </w:t>
      </w:r>
      <w:r w:rsidRPr="00054A5F">
        <w:rPr>
          <w:rFonts w:ascii="Arial" w:hAnsi="Arial" w:cs="Arial"/>
          <w:bCs/>
          <w:color w:val="1F1F1F"/>
          <w:bdr w:val="none" w:sz="0" w:space="0" w:color="auto" w:frame="1"/>
          <w:lang w:eastAsia="en-PH"/>
        </w:rPr>
        <w:t>4.23</w:t>
      </w:r>
      <w:r w:rsidRPr="00054A5F">
        <w:rPr>
          <w:rFonts w:ascii="Arial" w:hAnsi="Arial" w:cs="Arial"/>
          <w:bCs/>
          <w:color w:val="1F1F1F"/>
          <w:lang w:eastAsia="en-PH"/>
        </w:rPr>
        <w:t xml:space="preserve"> corresponds to the use of </w:t>
      </w:r>
      <w:r w:rsidRPr="00054A5F">
        <w:rPr>
          <w:rFonts w:ascii="Arial" w:hAnsi="Arial" w:cs="Arial"/>
          <w:bCs/>
          <w:color w:val="1F1F1F"/>
          <w:bdr w:val="none" w:sz="0" w:space="0" w:color="auto" w:frame="1"/>
          <w:lang w:eastAsia="en-PH"/>
        </w:rPr>
        <w:t>interactive slideshows</w:t>
      </w:r>
      <w:r w:rsidRPr="00054A5F">
        <w:rPr>
          <w:rFonts w:ascii="Arial" w:hAnsi="Arial" w:cs="Arial"/>
          <w:bCs/>
          <w:color w:val="1F1F1F"/>
          <w:lang w:eastAsia="en-PH"/>
        </w:rPr>
        <w:t xml:space="preserve"> (e.g., PowerPoint, Canva) to present key points, interpreted as </w:t>
      </w:r>
      <w:r w:rsidRPr="00054A5F">
        <w:rPr>
          <w:rFonts w:ascii="Arial" w:hAnsi="Arial" w:cs="Arial"/>
          <w:bCs/>
          <w:color w:val="1F1F1F"/>
          <w:bdr w:val="none" w:sz="0" w:space="0" w:color="auto" w:frame="1"/>
          <w:lang w:eastAsia="en-PH"/>
        </w:rPr>
        <w:t>"Always."</w:t>
      </w:r>
      <w:r w:rsidRPr="00054A5F">
        <w:rPr>
          <w:rFonts w:ascii="Arial" w:hAnsi="Arial" w:cs="Arial"/>
          <w:bCs/>
          <w:color w:val="1F1F1F"/>
          <w:lang w:eastAsia="en-PH"/>
        </w:rPr>
        <w:t xml:space="preserve"> This is followed by the use of </w:t>
      </w:r>
      <w:r w:rsidRPr="00054A5F">
        <w:rPr>
          <w:rFonts w:ascii="Arial" w:hAnsi="Arial" w:cs="Arial"/>
          <w:bCs/>
          <w:color w:val="1F1F1F"/>
          <w:bdr w:val="none" w:sz="0" w:space="0" w:color="auto" w:frame="1"/>
          <w:lang w:eastAsia="en-PH"/>
        </w:rPr>
        <w:t>educational videos</w:t>
      </w:r>
      <w:r w:rsidRPr="00054A5F">
        <w:rPr>
          <w:rFonts w:ascii="Arial" w:hAnsi="Arial" w:cs="Arial"/>
          <w:bCs/>
          <w:color w:val="1F1F1F"/>
          <w:lang w:eastAsia="en-PH"/>
        </w:rPr>
        <w:t xml:space="preserve"> for visual context (</w:t>
      </w:r>
      <w:r w:rsidRPr="00054A5F">
        <w:rPr>
          <w:rFonts w:ascii="Arial" w:hAnsi="Arial" w:cs="Arial"/>
          <w:bCs/>
          <w:color w:val="1F1F1F"/>
          <w:bdr w:val="none" w:sz="0" w:space="0" w:color="auto" w:frame="1"/>
          <w:lang w:eastAsia="en-PH"/>
        </w:rPr>
        <w:t>4.08</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infographics or diagrams</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3.77</w:t>
      </w:r>
      <w:r w:rsidRPr="00054A5F">
        <w:rPr>
          <w:rFonts w:ascii="Arial" w:hAnsi="Arial" w:cs="Arial"/>
          <w:bCs/>
          <w:color w:val="1F1F1F"/>
          <w:lang w:eastAsia="en-PH"/>
        </w:rPr>
        <w:t xml:space="preserve">), both of which are practiced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Conversely, the integration of </w:t>
      </w:r>
      <w:r w:rsidRPr="00054A5F">
        <w:rPr>
          <w:rFonts w:ascii="Arial" w:hAnsi="Arial" w:cs="Arial"/>
          <w:bCs/>
          <w:color w:val="1F1F1F"/>
          <w:bdr w:val="none" w:sz="0" w:space="0" w:color="auto" w:frame="1"/>
          <w:lang w:eastAsia="en-PH"/>
        </w:rPr>
        <w:t>digital games or quizzes</w:t>
      </w:r>
      <w:r w:rsidRPr="00054A5F">
        <w:rPr>
          <w:rFonts w:ascii="Arial" w:hAnsi="Arial" w:cs="Arial"/>
          <w:bCs/>
          <w:color w:val="1F1F1F"/>
          <w:lang w:eastAsia="en-PH"/>
        </w:rPr>
        <w:t xml:space="preserve"> (e.g., Kahoot, Quizizz) recorded the lowest mean score of </w:t>
      </w:r>
      <w:r w:rsidRPr="00054A5F">
        <w:rPr>
          <w:rFonts w:ascii="Arial" w:hAnsi="Arial" w:cs="Arial"/>
          <w:bCs/>
          <w:color w:val="1F1F1F"/>
          <w:bdr w:val="none" w:sz="0" w:space="0" w:color="auto" w:frame="1"/>
          <w:lang w:eastAsia="en-PH"/>
        </w:rPr>
        <w:t>3.21</w:t>
      </w:r>
      <w:r w:rsidRPr="00054A5F">
        <w:rPr>
          <w:rFonts w:ascii="Arial" w:hAnsi="Arial" w:cs="Arial"/>
          <w:bCs/>
          <w:color w:val="1F1F1F"/>
          <w:lang w:eastAsia="en-PH"/>
        </w:rPr>
        <w:t xml:space="preserve">, indicating that these interactive assessment tools are only used </w:t>
      </w:r>
      <w:r w:rsidRPr="00054A5F">
        <w:rPr>
          <w:rFonts w:ascii="Arial" w:hAnsi="Arial" w:cs="Arial"/>
          <w:bCs/>
          <w:color w:val="1F1F1F"/>
          <w:bdr w:val="none" w:sz="0" w:space="0" w:color="auto" w:frame="1"/>
          <w:lang w:eastAsia="en-PH"/>
        </w:rPr>
        <w:t>"Sometimes"</w:t>
      </w:r>
      <w:r w:rsidRPr="00054A5F">
        <w:rPr>
          <w:rFonts w:ascii="Arial" w:hAnsi="Arial" w:cs="Arial"/>
          <w:bCs/>
          <w:color w:val="1F1F1F"/>
          <w:lang w:eastAsia="en-PH"/>
        </w:rPr>
        <w:t xml:space="preserve"> by the respondents.</w:t>
      </w:r>
    </w:p>
    <w:p w14:paraId="4E33B052" w14:textId="77777777" w:rsidR="00A44D52" w:rsidRPr="00054A5F" w:rsidRDefault="00A44D52" w:rsidP="00A44D52">
      <w:pPr>
        <w:jc w:val="both"/>
        <w:rPr>
          <w:rFonts w:ascii="Arial" w:hAnsi="Arial" w:cs="Arial"/>
          <w:bCs/>
          <w:color w:val="1F1F1F"/>
          <w:lang w:eastAsia="en-PH"/>
        </w:rPr>
      </w:pPr>
    </w:p>
    <w:p w14:paraId="300026F6"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teachers recognize the value of visual and structured digital presentations in enhancing student engagement, yet they may still be facing barriers in fully adopting gamified or highly interactive digital assessments. The frequent use of slideshows and videos suggests that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should leverage these existing habits by providing high-quality, pre-made visual templates and curated video libraries that specifically target long-term memory. Furthermore, the lower frequency of digital game integration suggests a potential area for professional development; since active recall and "spaced repetition"—often found in digital quizzes—are scientifically proven to boost retention, the program should emphasize training on tools like Kahoot or Quizizz. By moving from passive multimedia consumption to active digital interaction, teachers can better address the "Teacher-Perceived Determinants" of retention through more dynamic and memorable classroom experiences.</w:t>
      </w:r>
    </w:p>
    <w:p w14:paraId="10E377CC" w14:textId="77777777" w:rsidR="00A44D52" w:rsidRPr="00054A5F" w:rsidRDefault="00A44D52" w:rsidP="00A44D52">
      <w:pPr>
        <w:jc w:val="both"/>
        <w:rPr>
          <w:rFonts w:ascii="Arial" w:hAnsi="Arial" w:cs="Arial"/>
          <w:lang w:eastAsia="en-PH"/>
        </w:rPr>
      </w:pPr>
    </w:p>
    <w:p w14:paraId="01778B14" w14:textId="77777777" w:rsidR="001E51D5" w:rsidRPr="00054A5F" w:rsidRDefault="001E51D5" w:rsidP="00A44D52">
      <w:pPr>
        <w:jc w:val="both"/>
        <w:rPr>
          <w:rFonts w:ascii="Arial" w:hAnsi="Arial" w:cs="Arial"/>
          <w:lang w:eastAsia="en-PH"/>
        </w:rPr>
      </w:pPr>
      <w:r w:rsidRPr="00054A5F">
        <w:rPr>
          <w:rFonts w:ascii="Arial" w:hAnsi="Arial" w:cs="Arial"/>
          <w:lang w:eastAsia="en-PH"/>
        </w:rPr>
        <w:t xml:space="preserve">This aligns with the study of instructional multimedia use in junior high classrooms, where teachers favor visual and structured digital presentations (e.g., interactive slideshows and videos) to support learning retention, while gamified assessments remain less adopted, </w:t>
      </w:r>
      <w:r w:rsidRPr="00054A5F">
        <w:rPr>
          <w:rFonts w:ascii="Arial" w:hAnsi="Arial" w:cs="Arial"/>
          <w:lang w:eastAsia="en-PH"/>
        </w:rPr>
        <w:lastRenderedPageBreak/>
        <w:t xml:space="preserve">highlighting a gap for professional development in interactive tools like Kahoot or Quizizz. The reported weighted means—interactive slides (4.23), videos (4.08), and infographics (3.77)—support a trend toward visual context and organized content as drivers of engagement and memory retention, consistent with literature emphasizing multimedia in memory enhancement and spaced retrieval </w:t>
      </w:r>
      <w:r w:rsidR="00321E98" w:rsidRPr="00054A5F">
        <w:rPr>
          <w:rFonts w:ascii="Arial" w:hAnsi="Arial" w:cs="Arial"/>
          <w:lang w:eastAsia="en-PH"/>
        </w:rPr>
        <w:t>opportunities.</w:t>
      </w:r>
      <w:r w:rsidRPr="00054A5F">
        <w:rPr>
          <w:rFonts w:ascii="Arial" w:hAnsi="Arial" w:cs="Arial"/>
          <w:lang w:eastAsia="en-PH"/>
        </w:rPr>
        <w:t xml:space="preserve"> However, the lower use of digital games (3.21) suggests room for expanding active recall strategies within teacher professional development programs to maximize long-term retention outcomes. Overall, these findings reinforce the design of targeted PD emphasizing high-quality visual templates and curated video libraries, alongside structured training in gamified assessment tools to bridge the gap between passive multimedia consumption and active, memory-supportive learning experiences [6].</w:t>
      </w:r>
    </w:p>
    <w:p w14:paraId="621F3A0F" w14:textId="77777777" w:rsidR="001E51D5" w:rsidRPr="00054A5F" w:rsidRDefault="001E51D5" w:rsidP="001E51D5">
      <w:pPr>
        <w:rPr>
          <w:rFonts w:ascii="Arial" w:hAnsi="Arial" w:cs="Arial"/>
          <w:b/>
          <w:sz w:val="16"/>
          <w:szCs w:val="16"/>
          <w:lang w:eastAsia="en-PH"/>
        </w:rPr>
      </w:pPr>
    </w:p>
    <w:p w14:paraId="63032957" w14:textId="77777777" w:rsidR="001E51D5" w:rsidRPr="00054A5F" w:rsidRDefault="001E51D5" w:rsidP="001E51D5">
      <w:pPr>
        <w:rPr>
          <w:rFonts w:ascii="Arial" w:hAnsi="Arial" w:cs="Arial"/>
          <w:b/>
          <w:lang w:eastAsia="en-PH"/>
        </w:rPr>
      </w:pPr>
      <w:r w:rsidRPr="00054A5F">
        <w:rPr>
          <w:rFonts w:ascii="Arial" w:hAnsi="Arial" w:cs="Arial"/>
          <w:b/>
          <w:lang w:eastAsia="en-PH"/>
        </w:rPr>
        <w:t>Table 10. Frequency of Formative Assessments</w:t>
      </w:r>
    </w:p>
    <w:tbl>
      <w:tblPr>
        <w:tblW w:w="8298" w:type="dxa"/>
        <w:tblLook w:val="04A0" w:firstRow="1" w:lastRow="0" w:firstColumn="1" w:lastColumn="0" w:noHBand="0" w:noVBand="1"/>
      </w:tblPr>
      <w:tblGrid>
        <w:gridCol w:w="3980"/>
        <w:gridCol w:w="1326"/>
        <w:gridCol w:w="1487"/>
        <w:gridCol w:w="1505"/>
      </w:tblGrid>
      <w:tr w:rsidR="001E51D5" w:rsidRPr="00054A5F" w14:paraId="2D222C59" w14:textId="77777777" w:rsidTr="00321E98">
        <w:trPr>
          <w:trHeight w:val="105"/>
        </w:trPr>
        <w:tc>
          <w:tcPr>
            <w:tcW w:w="4248" w:type="dxa"/>
            <w:tcBorders>
              <w:top w:val="single" w:sz="4" w:space="0" w:color="auto"/>
              <w:bottom w:val="single" w:sz="4" w:space="0" w:color="auto"/>
            </w:tcBorders>
            <w:vAlign w:val="center"/>
            <w:hideMark/>
          </w:tcPr>
          <w:p w14:paraId="0B55D662"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770E3707"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530" w:type="dxa"/>
            <w:tcBorders>
              <w:top w:val="single" w:sz="4" w:space="0" w:color="auto"/>
              <w:bottom w:val="single" w:sz="4" w:space="0" w:color="auto"/>
            </w:tcBorders>
            <w:vAlign w:val="center"/>
            <w:hideMark/>
          </w:tcPr>
          <w:p w14:paraId="7762080B"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170" w:type="dxa"/>
            <w:tcBorders>
              <w:top w:val="single" w:sz="4" w:space="0" w:color="auto"/>
              <w:bottom w:val="single" w:sz="4" w:space="0" w:color="auto"/>
            </w:tcBorders>
            <w:vAlign w:val="center"/>
            <w:hideMark/>
          </w:tcPr>
          <w:p w14:paraId="06DB7B9F"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4B9877D4" w14:textId="77777777" w:rsidTr="00321E98">
        <w:trPr>
          <w:trHeight w:val="105"/>
        </w:trPr>
        <w:tc>
          <w:tcPr>
            <w:tcW w:w="4248" w:type="dxa"/>
            <w:tcBorders>
              <w:top w:val="single" w:sz="4" w:space="0" w:color="auto"/>
            </w:tcBorders>
            <w:vAlign w:val="center"/>
            <w:hideMark/>
          </w:tcPr>
          <w:p w14:paraId="130C24E8"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conduct short "exit tickets" at the end of a lesson to check understanding.</w:t>
            </w:r>
          </w:p>
        </w:tc>
        <w:tc>
          <w:tcPr>
            <w:tcW w:w="1350" w:type="dxa"/>
            <w:tcBorders>
              <w:top w:val="single" w:sz="4" w:space="0" w:color="auto"/>
            </w:tcBorders>
            <w:vAlign w:val="center"/>
            <w:hideMark/>
          </w:tcPr>
          <w:p w14:paraId="53F0923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4.14</w:t>
            </w:r>
          </w:p>
        </w:tc>
        <w:tc>
          <w:tcPr>
            <w:tcW w:w="1530" w:type="dxa"/>
            <w:tcBorders>
              <w:top w:val="single" w:sz="4" w:space="0" w:color="auto"/>
            </w:tcBorders>
            <w:vAlign w:val="center"/>
            <w:hideMark/>
          </w:tcPr>
          <w:p w14:paraId="4F25980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0.97</w:t>
            </w:r>
          </w:p>
        </w:tc>
        <w:tc>
          <w:tcPr>
            <w:tcW w:w="1170" w:type="dxa"/>
            <w:tcBorders>
              <w:top w:val="single" w:sz="4" w:space="0" w:color="auto"/>
            </w:tcBorders>
            <w:vAlign w:val="center"/>
            <w:hideMark/>
          </w:tcPr>
          <w:p w14:paraId="704614C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7F273AC8" w14:textId="77777777" w:rsidTr="00321E98">
        <w:trPr>
          <w:trHeight w:val="105"/>
        </w:trPr>
        <w:tc>
          <w:tcPr>
            <w:tcW w:w="4248" w:type="dxa"/>
            <w:vAlign w:val="center"/>
            <w:hideMark/>
          </w:tcPr>
          <w:p w14:paraId="3339CFF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use oral questioning throughout the lecture to monitor student progress.</w:t>
            </w:r>
          </w:p>
        </w:tc>
        <w:tc>
          <w:tcPr>
            <w:tcW w:w="1350" w:type="dxa"/>
            <w:vAlign w:val="center"/>
            <w:hideMark/>
          </w:tcPr>
          <w:p w14:paraId="4BEC094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4.55</w:t>
            </w:r>
          </w:p>
        </w:tc>
        <w:tc>
          <w:tcPr>
            <w:tcW w:w="1530" w:type="dxa"/>
            <w:vAlign w:val="center"/>
            <w:hideMark/>
          </w:tcPr>
          <w:p w14:paraId="392DAF4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0.81</w:t>
            </w:r>
          </w:p>
        </w:tc>
        <w:tc>
          <w:tcPr>
            <w:tcW w:w="1170" w:type="dxa"/>
            <w:vAlign w:val="center"/>
            <w:hideMark/>
          </w:tcPr>
          <w:p w14:paraId="28A93A1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Always</w:t>
            </w:r>
          </w:p>
        </w:tc>
      </w:tr>
      <w:tr w:rsidR="001E51D5" w:rsidRPr="00054A5F" w14:paraId="17A3EE43" w14:textId="77777777" w:rsidTr="00321E98">
        <w:trPr>
          <w:trHeight w:val="105"/>
        </w:trPr>
        <w:tc>
          <w:tcPr>
            <w:tcW w:w="4248" w:type="dxa"/>
            <w:vAlign w:val="center"/>
            <w:hideMark/>
          </w:tcPr>
          <w:p w14:paraId="1F06F91A"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provide immediate feedback on student seatwork to correct misconceptions.</w:t>
            </w:r>
          </w:p>
        </w:tc>
        <w:tc>
          <w:tcPr>
            <w:tcW w:w="1350" w:type="dxa"/>
            <w:vAlign w:val="center"/>
            <w:hideMark/>
          </w:tcPr>
          <w:p w14:paraId="698F2A6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4.38</w:t>
            </w:r>
          </w:p>
        </w:tc>
        <w:tc>
          <w:tcPr>
            <w:tcW w:w="1530" w:type="dxa"/>
            <w:vAlign w:val="center"/>
            <w:hideMark/>
          </w:tcPr>
          <w:p w14:paraId="345A374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0.79</w:t>
            </w:r>
          </w:p>
        </w:tc>
        <w:tc>
          <w:tcPr>
            <w:tcW w:w="1170" w:type="dxa"/>
            <w:vAlign w:val="center"/>
            <w:hideMark/>
          </w:tcPr>
          <w:p w14:paraId="0406E5A0"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Always</w:t>
            </w:r>
          </w:p>
        </w:tc>
      </w:tr>
      <w:tr w:rsidR="001E51D5" w:rsidRPr="00054A5F" w14:paraId="19B5A0E5" w14:textId="77777777" w:rsidTr="00321E98">
        <w:trPr>
          <w:trHeight w:val="105"/>
        </w:trPr>
        <w:tc>
          <w:tcPr>
            <w:tcW w:w="4248" w:type="dxa"/>
            <w:vAlign w:val="center"/>
            <w:hideMark/>
          </w:tcPr>
          <w:p w14:paraId="06F85098"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administer weekly ungraded quizzes to help students practice recall.</w:t>
            </w:r>
          </w:p>
        </w:tc>
        <w:tc>
          <w:tcPr>
            <w:tcW w:w="1350" w:type="dxa"/>
            <w:vAlign w:val="center"/>
            <w:hideMark/>
          </w:tcPr>
          <w:p w14:paraId="7F3878E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4.07</w:t>
            </w:r>
          </w:p>
        </w:tc>
        <w:tc>
          <w:tcPr>
            <w:tcW w:w="1530" w:type="dxa"/>
            <w:vAlign w:val="center"/>
            <w:hideMark/>
          </w:tcPr>
          <w:p w14:paraId="34845EF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0.92</w:t>
            </w:r>
          </w:p>
        </w:tc>
        <w:tc>
          <w:tcPr>
            <w:tcW w:w="1170" w:type="dxa"/>
            <w:vAlign w:val="center"/>
            <w:hideMark/>
          </w:tcPr>
          <w:p w14:paraId="553CD49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58963070" w14:textId="77777777" w:rsidTr="00321E98">
        <w:trPr>
          <w:trHeight w:val="105"/>
        </w:trPr>
        <w:tc>
          <w:tcPr>
            <w:tcW w:w="4248" w:type="dxa"/>
            <w:tcBorders>
              <w:bottom w:val="single" w:sz="4" w:space="0" w:color="auto"/>
            </w:tcBorders>
            <w:vAlign w:val="center"/>
            <w:hideMark/>
          </w:tcPr>
          <w:p w14:paraId="67EA2F74"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I use self-assessment checklists to let students track their own learning.</w:t>
            </w:r>
          </w:p>
        </w:tc>
        <w:tc>
          <w:tcPr>
            <w:tcW w:w="1350" w:type="dxa"/>
            <w:tcBorders>
              <w:bottom w:val="single" w:sz="4" w:space="0" w:color="auto"/>
            </w:tcBorders>
            <w:vAlign w:val="center"/>
            <w:hideMark/>
          </w:tcPr>
          <w:p w14:paraId="1E2B732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3.73</w:t>
            </w:r>
          </w:p>
        </w:tc>
        <w:tc>
          <w:tcPr>
            <w:tcW w:w="1530" w:type="dxa"/>
            <w:tcBorders>
              <w:bottom w:val="single" w:sz="4" w:space="0" w:color="auto"/>
            </w:tcBorders>
            <w:vAlign w:val="center"/>
            <w:hideMark/>
          </w:tcPr>
          <w:p w14:paraId="03EE266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0.94</w:t>
            </w:r>
          </w:p>
        </w:tc>
        <w:tc>
          <w:tcPr>
            <w:tcW w:w="1170" w:type="dxa"/>
            <w:tcBorders>
              <w:bottom w:val="single" w:sz="4" w:space="0" w:color="auto"/>
            </w:tcBorders>
            <w:vAlign w:val="center"/>
            <w:hideMark/>
          </w:tcPr>
          <w:p w14:paraId="6243A82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4373C8A2" w14:textId="77777777" w:rsidTr="00321E98">
        <w:trPr>
          <w:trHeight w:val="105"/>
        </w:trPr>
        <w:tc>
          <w:tcPr>
            <w:tcW w:w="4248" w:type="dxa"/>
            <w:tcBorders>
              <w:top w:val="single" w:sz="4" w:space="0" w:color="auto"/>
              <w:bottom w:val="single" w:sz="4" w:space="0" w:color="auto"/>
            </w:tcBorders>
            <w:vAlign w:val="center"/>
            <w:hideMark/>
          </w:tcPr>
          <w:p w14:paraId="14CD1DD8"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1BFEA330"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4.17</w:t>
            </w:r>
          </w:p>
        </w:tc>
        <w:tc>
          <w:tcPr>
            <w:tcW w:w="1530" w:type="dxa"/>
            <w:tcBorders>
              <w:top w:val="single" w:sz="4" w:space="0" w:color="auto"/>
              <w:bottom w:val="single" w:sz="4" w:space="0" w:color="auto"/>
            </w:tcBorders>
            <w:vAlign w:val="center"/>
            <w:hideMark/>
          </w:tcPr>
          <w:p w14:paraId="12C7395D"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0.89</w:t>
            </w:r>
          </w:p>
        </w:tc>
        <w:tc>
          <w:tcPr>
            <w:tcW w:w="1170" w:type="dxa"/>
            <w:tcBorders>
              <w:top w:val="single" w:sz="4" w:space="0" w:color="auto"/>
              <w:bottom w:val="single" w:sz="4" w:space="0" w:color="auto"/>
            </w:tcBorders>
            <w:vAlign w:val="center"/>
            <w:hideMark/>
          </w:tcPr>
          <w:p w14:paraId="7FF05EDA"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Often</w:t>
            </w:r>
          </w:p>
        </w:tc>
      </w:tr>
    </w:tbl>
    <w:p w14:paraId="4BE4B702" w14:textId="77777777" w:rsidR="00A44D52" w:rsidRPr="00054A5F" w:rsidRDefault="00A44D52" w:rsidP="00A44D52">
      <w:pPr>
        <w:jc w:val="both"/>
        <w:rPr>
          <w:rFonts w:ascii="Arial" w:hAnsi="Arial" w:cs="Arial"/>
          <w:bCs/>
          <w:color w:val="1F1F1F"/>
          <w:lang w:eastAsia="en-PH"/>
        </w:rPr>
      </w:pPr>
    </w:p>
    <w:p w14:paraId="204D9E7F"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10 shows the frequency of formative assessments conducted by the teacher-respondents as part of their instructional routine. The data reveals that oral questioning is the most consistently utilized strategy, earning the highest weighted mean of </w:t>
      </w:r>
      <w:r w:rsidRPr="00054A5F">
        <w:rPr>
          <w:rFonts w:ascii="Arial" w:hAnsi="Arial" w:cs="Arial"/>
          <w:bCs/>
          <w:color w:val="1F1F1F"/>
          <w:bdr w:val="none" w:sz="0" w:space="0" w:color="auto" w:frame="1"/>
          <w:lang w:eastAsia="en-PH"/>
        </w:rPr>
        <w:t>4.55</w:t>
      </w:r>
      <w:r w:rsidRPr="00054A5F">
        <w:rPr>
          <w:rFonts w:ascii="Arial" w:hAnsi="Arial" w:cs="Arial"/>
          <w:bCs/>
          <w:color w:val="1F1F1F"/>
          <w:lang w:eastAsia="en-PH"/>
        </w:rPr>
        <w:t xml:space="preserve"> with a verbal interpretation of </w:t>
      </w:r>
      <w:r w:rsidRPr="00054A5F">
        <w:rPr>
          <w:rFonts w:ascii="Arial" w:hAnsi="Arial" w:cs="Arial"/>
          <w:bCs/>
          <w:color w:val="1F1F1F"/>
          <w:bdr w:val="none" w:sz="0" w:space="0" w:color="auto" w:frame="1"/>
          <w:lang w:eastAsia="en-PH"/>
        </w:rPr>
        <w:t>Always</w:t>
      </w:r>
      <w:r w:rsidRPr="00054A5F">
        <w:rPr>
          <w:rFonts w:ascii="Arial" w:hAnsi="Arial" w:cs="Arial"/>
          <w:bCs/>
          <w:color w:val="1F1F1F"/>
          <w:lang w:eastAsia="en-PH"/>
        </w:rPr>
        <w:t xml:space="preserve">. This is followed closely by providing immediate feedback on seatwork, which also received an </w:t>
      </w:r>
      <w:r w:rsidRPr="00054A5F">
        <w:rPr>
          <w:rFonts w:ascii="Arial" w:hAnsi="Arial" w:cs="Arial"/>
          <w:bCs/>
          <w:color w:val="1F1F1F"/>
          <w:bdr w:val="none" w:sz="0" w:space="0" w:color="auto" w:frame="1"/>
          <w:lang w:eastAsia="en-PH"/>
        </w:rPr>
        <w:t>Always</w:t>
      </w:r>
      <w:r w:rsidRPr="00054A5F">
        <w:rPr>
          <w:rFonts w:ascii="Arial" w:hAnsi="Arial" w:cs="Arial"/>
          <w:bCs/>
          <w:color w:val="1F1F1F"/>
          <w:lang w:eastAsia="en-PH"/>
        </w:rPr>
        <w:t xml:space="preserve"> rating with a mean of </w:t>
      </w:r>
      <w:r w:rsidRPr="00054A5F">
        <w:rPr>
          <w:rFonts w:ascii="Arial" w:hAnsi="Arial" w:cs="Arial"/>
          <w:bCs/>
          <w:color w:val="1F1F1F"/>
          <w:bdr w:val="none" w:sz="0" w:space="0" w:color="auto" w:frame="1"/>
          <w:lang w:eastAsia="en-PH"/>
        </w:rPr>
        <w:t>4.38</w:t>
      </w:r>
      <w:r w:rsidRPr="00054A5F">
        <w:rPr>
          <w:rFonts w:ascii="Arial" w:hAnsi="Arial" w:cs="Arial"/>
          <w:bCs/>
          <w:color w:val="1F1F1F"/>
          <w:lang w:eastAsia="en-PH"/>
        </w:rPr>
        <w:t>. Strategies such as conducting "exit tickets" (</w:t>
      </w:r>
      <w:r w:rsidRPr="00054A5F">
        <w:rPr>
          <w:rFonts w:ascii="Arial" w:hAnsi="Arial" w:cs="Arial"/>
          <w:bCs/>
          <w:color w:val="1F1F1F"/>
          <w:bdr w:val="none" w:sz="0" w:space="0" w:color="auto" w:frame="1"/>
          <w:lang w:eastAsia="en-PH"/>
        </w:rPr>
        <w:t>4.14</w:t>
      </w:r>
      <w:r w:rsidRPr="00054A5F">
        <w:rPr>
          <w:rFonts w:ascii="Arial" w:hAnsi="Arial" w:cs="Arial"/>
          <w:bCs/>
          <w:color w:val="1F1F1F"/>
          <w:lang w:eastAsia="en-PH"/>
        </w:rPr>
        <w:t>), administering weekly ungraded quizzes (</w:t>
      </w:r>
      <w:r w:rsidRPr="00054A5F">
        <w:rPr>
          <w:rFonts w:ascii="Arial" w:hAnsi="Arial" w:cs="Arial"/>
          <w:bCs/>
          <w:color w:val="1F1F1F"/>
          <w:bdr w:val="none" w:sz="0" w:space="0" w:color="auto" w:frame="1"/>
          <w:lang w:eastAsia="en-PH"/>
        </w:rPr>
        <w:t>4.07</w:t>
      </w:r>
      <w:r w:rsidRPr="00054A5F">
        <w:rPr>
          <w:rFonts w:ascii="Arial" w:hAnsi="Arial" w:cs="Arial"/>
          <w:bCs/>
          <w:color w:val="1F1F1F"/>
          <w:lang w:eastAsia="en-PH"/>
        </w:rPr>
        <w:t>), and using self-assessment checklists (</w:t>
      </w:r>
      <w:r w:rsidRPr="00054A5F">
        <w:rPr>
          <w:rFonts w:ascii="Arial" w:hAnsi="Arial" w:cs="Arial"/>
          <w:bCs/>
          <w:color w:val="1F1F1F"/>
          <w:bdr w:val="none" w:sz="0" w:space="0" w:color="auto" w:frame="1"/>
          <w:lang w:eastAsia="en-PH"/>
        </w:rPr>
        <w:t>3.73</w:t>
      </w:r>
      <w:r w:rsidRPr="00054A5F">
        <w:rPr>
          <w:rFonts w:ascii="Arial" w:hAnsi="Arial" w:cs="Arial"/>
          <w:bCs/>
          <w:color w:val="1F1F1F"/>
          <w:lang w:eastAsia="en-PH"/>
        </w:rPr>
        <w:t xml:space="preserve">) are all practiced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by the educators. Overall, the formative assessment practices of the teachers garnered an aggregate weighted mean of </w:t>
      </w:r>
      <w:r w:rsidRPr="00054A5F">
        <w:rPr>
          <w:rFonts w:ascii="Arial" w:hAnsi="Arial" w:cs="Arial"/>
          <w:bCs/>
          <w:color w:val="1F1F1F"/>
          <w:bdr w:val="none" w:sz="0" w:space="0" w:color="auto" w:frame="1"/>
          <w:lang w:eastAsia="en-PH"/>
        </w:rPr>
        <w:t>4.17</w:t>
      </w:r>
      <w:r w:rsidRPr="00054A5F">
        <w:rPr>
          <w:rFonts w:ascii="Arial" w:hAnsi="Arial" w:cs="Arial"/>
          <w:bCs/>
          <w:color w:val="1F1F1F"/>
          <w:lang w:eastAsia="en-PH"/>
        </w:rPr>
        <w:t xml:space="preserve">, indicating that these diagnostic and monitoring tools are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integrated into the Junior High School learning environment.</w:t>
      </w:r>
    </w:p>
    <w:p w14:paraId="5CC62EA6" w14:textId="77777777" w:rsidR="00A44D52" w:rsidRPr="00054A5F" w:rsidRDefault="00A44D52" w:rsidP="00A44D52">
      <w:pPr>
        <w:jc w:val="both"/>
        <w:rPr>
          <w:rFonts w:ascii="Arial" w:hAnsi="Arial" w:cs="Arial"/>
          <w:bCs/>
          <w:color w:val="1F1F1F"/>
          <w:lang w:eastAsia="en-PH"/>
        </w:rPr>
      </w:pPr>
    </w:p>
    <w:p w14:paraId="39F87F34"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the teacher-respondents recognize the critical role of continuous monitoring and active engagement in fostering long-term knowledge stability. The "Always" rating for oral questioning and immediate feedback suggests a highly interactive classroom dynamic where misconceptions are addressed in real-time—a practice essential for preventing the "encoding" of incorrect information. While the high usage of these verbal and immediate strategies is a strength, the relatively lower mean for self-assessment checklists suggests that students may be less involved in the metacognitive aspect of their own learning. For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these findings indicate that the foundation for retention is already being laid through active retrieval practice (quizzes and questioning); however, there is an opportunity to further strengthen student memory by more consistently incorporating structured reflection and self-monitoring tools into the daily curriculum.</w:t>
      </w:r>
    </w:p>
    <w:p w14:paraId="0D34D31F" w14:textId="77777777" w:rsidR="00A44D52" w:rsidRPr="00054A5F" w:rsidRDefault="00A44D52" w:rsidP="00A44D52">
      <w:pPr>
        <w:jc w:val="both"/>
        <w:rPr>
          <w:rFonts w:ascii="Arial" w:hAnsi="Arial" w:cs="Arial"/>
          <w:lang w:eastAsia="en-PH"/>
        </w:rPr>
      </w:pPr>
    </w:p>
    <w:p w14:paraId="3E940EF3" w14:textId="77777777" w:rsidR="001E51D5" w:rsidRPr="00054A5F" w:rsidRDefault="001E51D5" w:rsidP="00A44D52">
      <w:pPr>
        <w:jc w:val="both"/>
        <w:rPr>
          <w:rFonts w:ascii="Arial" w:eastAsia="Calibri" w:hAnsi="Arial" w:cs="Arial"/>
          <w:bCs/>
          <w:shd w:val="clear" w:color="auto" w:fill="FFFFFF"/>
        </w:rPr>
      </w:pPr>
      <w:r w:rsidRPr="00054A5F">
        <w:rPr>
          <w:rFonts w:ascii="Arial" w:hAnsi="Arial" w:cs="Arial"/>
          <w:lang w:eastAsia="en-PH"/>
        </w:rPr>
        <w:t xml:space="preserve">This aligns with the study of ongoing classroom assessment practices that emphasize verbal questioning and immediate feedback as core drivers of learning retention and formative monitoring (e.g., exit tickets, quizzes, and self-assessment) within junior high settings. The synthesis of these findings supports a cohesive view that active retrieval and real-time </w:t>
      </w:r>
      <w:r w:rsidRPr="00054A5F">
        <w:rPr>
          <w:rFonts w:ascii="Arial" w:hAnsi="Arial" w:cs="Arial"/>
          <w:lang w:eastAsia="en-PH"/>
        </w:rPr>
        <w:lastRenderedPageBreak/>
        <w:t>feedback foster encoding, retrieval practice, and metacognitive engagement essential for durable learning outcomes.</w:t>
      </w:r>
    </w:p>
    <w:p w14:paraId="510E4D14" w14:textId="77777777" w:rsidR="001E51D5" w:rsidRPr="00054A5F" w:rsidRDefault="001E51D5" w:rsidP="001E51D5">
      <w:pPr>
        <w:rPr>
          <w:rFonts w:ascii="Arial" w:eastAsia="Calibri" w:hAnsi="Arial" w:cs="Arial"/>
          <w:bCs/>
          <w:shd w:val="clear" w:color="auto" w:fill="FFFFFF"/>
        </w:rPr>
      </w:pPr>
    </w:p>
    <w:p w14:paraId="2CAFD913" w14:textId="77777777" w:rsidR="001E51D5" w:rsidRPr="00054A5F" w:rsidRDefault="001E51D5" w:rsidP="001E51D5">
      <w:pPr>
        <w:rPr>
          <w:rFonts w:ascii="Arial" w:hAnsi="Arial" w:cs="Arial"/>
          <w:b/>
          <w:lang w:eastAsia="en-PH"/>
        </w:rPr>
      </w:pPr>
      <w:r w:rsidRPr="00054A5F">
        <w:rPr>
          <w:rFonts w:ascii="Arial" w:hAnsi="Arial" w:cs="Arial"/>
          <w:b/>
          <w:lang w:eastAsia="en-PH"/>
        </w:rPr>
        <w:t>Table 11. Differentiated instruction</w:t>
      </w:r>
    </w:p>
    <w:tbl>
      <w:tblPr>
        <w:tblW w:w="8298" w:type="dxa"/>
        <w:tblLook w:val="04A0" w:firstRow="1" w:lastRow="0" w:firstColumn="1" w:lastColumn="0" w:noHBand="0" w:noVBand="1"/>
      </w:tblPr>
      <w:tblGrid>
        <w:gridCol w:w="3978"/>
        <w:gridCol w:w="1350"/>
        <w:gridCol w:w="1260"/>
        <w:gridCol w:w="1710"/>
      </w:tblGrid>
      <w:tr w:rsidR="001E51D5" w:rsidRPr="00054A5F" w14:paraId="2D7A6E15" w14:textId="77777777" w:rsidTr="00321E98">
        <w:trPr>
          <w:trHeight w:val="166"/>
        </w:trPr>
        <w:tc>
          <w:tcPr>
            <w:tcW w:w="3978" w:type="dxa"/>
            <w:tcBorders>
              <w:top w:val="single" w:sz="4" w:space="0" w:color="auto"/>
              <w:bottom w:val="single" w:sz="4" w:space="0" w:color="auto"/>
            </w:tcBorders>
            <w:vAlign w:val="center"/>
            <w:hideMark/>
          </w:tcPr>
          <w:p w14:paraId="71277B73"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12B7EAE8"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260" w:type="dxa"/>
            <w:tcBorders>
              <w:top w:val="single" w:sz="4" w:space="0" w:color="auto"/>
              <w:bottom w:val="single" w:sz="4" w:space="0" w:color="auto"/>
            </w:tcBorders>
            <w:vAlign w:val="center"/>
            <w:hideMark/>
          </w:tcPr>
          <w:p w14:paraId="34BB9123"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710" w:type="dxa"/>
            <w:tcBorders>
              <w:top w:val="single" w:sz="4" w:space="0" w:color="auto"/>
              <w:bottom w:val="single" w:sz="4" w:space="0" w:color="auto"/>
            </w:tcBorders>
            <w:vAlign w:val="center"/>
            <w:hideMark/>
          </w:tcPr>
          <w:p w14:paraId="1ABBB0CD"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76048811" w14:textId="77777777" w:rsidTr="00321E98">
        <w:trPr>
          <w:trHeight w:val="166"/>
        </w:trPr>
        <w:tc>
          <w:tcPr>
            <w:tcW w:w="3978" w:type="dxa"/>
            <w:tcBorders>
              <w:top w:val="single" w:sz="4" w:space="0" w:color="auto"/>
            </w:tcBorders>
            <w:vAlign w:val="center"/>
            <w:hideMark/>
          </w:tcPr>
          <w:p w14:paraId="4CDDEBA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1. I provide varied reading materials based on the students' reading levels.</w:t>
            </w:r>
          </w:p>
        </w:tc>
        <w:tc>
          <w:tcPr>
            <w:tcW w:w="1350" w:type="dxa"/>
            <w:tcBorders>
              <w:top w:val="single" w:sz="4" w:space="0" w:color="auto"/>
            </w:tcBorders>
            <w:vAlign w:val="center"/>
            <w:hideMark/>
          </w:tcPr>
          <w:p w14:paraId="78A63F3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3.94</w:t>
            </w:r>
          </w:p>
        </w:tc>
        <w:tc>
          <w:tcPr>
            <w:tcW w:w="1260" w:type="dxa"/>
            <w:tcBorders>
              <w:top w:val="single" w:sz="4" w:space="0" w:color="auto"/>
            </w:tcBorders>
            <w:vAlign w:val="center"/>
            <w:hideMark/>
          </w:tcPr>
          <w:p w14:paraId="1CD3B06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0.97</w:t>
            </w:r>
          </w:p>
        </w:tc>
        <w:tc>
          <w:tcPr>
            <w:tcW w:w="1710" w:type="dxa"/>
            <w:tcBorders>
              <w:top w:val="single" w:sz="4" w:space="0" w:color="auto"/>
            </w:tcBorders>
            <w:vAlign w:val="center"/>
            <w:hideMark/>
          </w:tcPr>
          <w:p w14:paraId="0023BC8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779EC56E" w14:textId="77777777" w:rsidTr="00321E98">
        <w:trPr>
          <w:trHeight w:val="166"/>
        </w:trPr>
        <w:tc>
          <w:tcPr>
            <w:tcW w:w="3978" w:type="dxa"/>
            <w:vAlign w:val="center"/>
            <w:hideMark/>
          </w:tcPr>
          <w:p w14:paraId="26E4EC24"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2. I offer multiple options for students to demonstrate their learning (e.g., art, essay, or speech).</w:t>
            </w:r>
          </w:p>
        </w:tc>
        <w:tc>
          <w:tcPr>
            <w:tcW w:w="1350" w:type="dxa"/>
            <w:vAlign w:val="center"/>
            <w:hideMark/>
          </w:tcPr>
          <w:p w14:paraId="3743DB9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4.15</w:t>
            </w:r>
          </w:p>
        </w:tc>
        <w:tc>
          <w:tcPr>
            <w:tcW w:w="1260" w:type="dxa"/>
            <w:vAlign w:val="center"/>
            <w:hideMark/>
          </w:tcPr>
          <w:p w14:paraId="414C511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0.99</w:t>
            </w:r>
          </w:p>
        </w:tc>
        <w:tc>
          <w:tcPr>
            <w:tcW w:w="1710" w:type="dxa"/>
            <w:vAlign w:val="center"/>
            <w:hideMark/>
          </w:tcPr>
          <w:p w14:paraId="27D0281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77D1F300" w14:textId="77777777" w:rsidTr="00321E98">
        <w:trPr>
          <w:trHeight w:val="166"/>
        </w:trPr>
        <w:tc>
          <w:tcPr>
            <w:tcW w:w="3978" w:type="dxa"/>
            <w:vAlign w:val="center"/>
            <w:hideMark/>
          </w:tcPr>
          <w:p w14:paraId="21090D51"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3. I group students based on their specific learning needs or interests.</w:t>
            </w:r>
          </w:p>
        </w:tc>
        <w:tc>
          <w:tcPr>
            <w:tcW w:w="1350" w:type="dxa"/>
            <w:vAlign w:val="center"/>
            <w:hideMark/>
          </w:tcPr>
          <w:p w14:paraId="735095B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3.99</w:t>
            </w:r>
          </w:p>
        </w:tc>
        <w:tc>
          <w:tcPr>
            <w:tcW w:w="1260" w:type="dxa"/>
            <w:vAlign w:val="center"/>
            <w:hideMark/>
          </w:tcPr>
          <w:p w14:paraId="758D9880"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0.95</w:t>
            </w:r>
          </w:p>
        </w:tc>
        <w:tc>
          <w:tcPr>
            <w:tcW w:w="1710" w:type="dxa"/>
            <w:vAlign w:val="center"/>
            <w:hideMark/>
          </w:tcPr>
          <w:p w14:paraId="542057B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28BC143F" w14:textId="77777777" w:rsidTr="00321E98">
        <w:trPr>
          <w:trHeight w:val="166"/>
        </w:trPr>
        <w:tc>
          <w:tcPr>
            <w:tcW w:w="3978" w:type="dxa"/>
            <w:vAlign w:val="center"/>
            <w:hideMark/>
          </w:tcPr>
          <w:p w14:paraId="4C6439F1"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4. I adjust the complexity of tasks to match the diverse abilities of my students.</w:t>
            </w:r>
          </w:p>
        </w:tc>
        <w:tc>
          <w:tcPr>
            <w:tcW w:w="1350" w:type="dxa"/>
            <w:vAlign w:val="center"/>
            <w:hideMark/>
          </w:tcPr>
          <w:p w14:paraId="3C0F9E9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4.30</w:t>
            </w:r>
          </w:p>
        </w:tc>
        <w:tc>
          <w:tcPr>
            <w:tcW w:w="1260" w:type="dxa"/>
            <w:vAlign w:val="center"/>
            <w:hideMark/>
          </w:tcPr>
          <w:p w14:paraId="3E4461C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0.85</w:t>
            </w:r>
          </w:p>
        </w:tc>
        <w:tc>
          <w:tcPr>
            <w:tcW w:w="1710" w:type="dxa"/>
            <w:vAlign w:val="center"/>
            <w:hideMark/>
          </w:tcPr>
          <w:p w14:paraId="60689F8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Always</w:t>
            </w:r>
          </w:p>
        </w:tc>
      </w:tr>
      <w:tr w:rsidR="001E51D5" w:rsidRPr="00054A5F" w14:paraId="75597003" w14:textId="77777777" w:rsidTr="00321E98">
        <w:trPr>
          <w:trHeight w:val="166"/>
        </w:trPr>
        <w:tc>
          <w:tcPr>
            <w:tcW w:w="3978" w:type="dxa"/>
            <w:tcBorders>
              <w:bottom w:val="single" w:sz="4" w:space="0" w:color="auto"/>
            </w:tcBorders>
            <w:vAlign w:val="center"/>
            <w:hideMark/>
          </w:tcPr>
          <w:p w14:paraId="52617C71"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5. I provide extra scaffolding or simplified guides for students who struggle with retention.</w:t>
            </w:r>
          </w:p>
        </w:tc>
        <w:tc>
          <w:tcPr>
            <w:tcW w:w="1350" w:type="dxa"/>
            <w:tcBorders>
              <w:bottom w:val="single" w:sz="4" w:space="0" w:color="auto"/>
            </w:tcBorders>
            <w:vAlign w:val="center"/>
            <w:hideMark/>
          </w:tcPr>
          <w:p w14:paraId="00EFE6C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4.07</w:t>
            </w:r>
          </w:p>
        </w:tc>
        <w:tc>
          <w:tcPr>
            <w:tcW w:w="1260" w:type="dxa"/>
            <w:tcBorders>
              <w:bottom w:val="single" w:sz="4" w:space="0" w:color="auto"/>
            </w:tcBorders>
            <w:vAlign w:val="center"/>
            <w:hideMark/>
          </w:tcPr>
          <w:p w14:paraId="0E760198"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0.92</w:t>
            </w:r>
          </w:p>
        </w:tc>
        <w:tc>
          <w:tcPr>
            <w:tcW w:w="1710" w:type="dxa"/>
            <w:tcBorders>
              <w:bottom w:val="single" w:sz="4" w:space="0" w:color="auto"/>
            </w:tcBorders>
            <w:vAlign w:val="center"/>
            <w:hideMark/>
          </w:tcPr>
          <w:p w14:paraId="6027E3C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Often</w:t>
            </w:r>
          </w:p>
        </w:tc>
      </w:tr>
      <w:tr w:rsidR="001E51D5" w:rsidRPr="00054A5F" w14:paraId="352B3406" w14:textId="77777777" w:rsidTr="00321E98">
        <w:trPr>
          <w:trHeight w:val="166"/>
        </w:trPr>
        <w:tc>
          <w:tcPr>
            <w:tcW w:w="3978" w:type="dxa"/>
            <w:tcBorders>
              <w:top w:val="single" w:sz="4" w:space="0" w:color="auto"/>
              <w:bottom w:val="single" w:sz="4" w:space="0" w:color="auto"/>
            </w:tcBorders>
            <w:vAlign w:val="center"/>
            <w:hideMark/>
          </w:tcPr>
          <w:p w14:paraId="032B2638"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2965E107"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4.09</w:t>
            </w:r>
          </w:p>
        </w:tc>
        <w:tc>
          <w:tcPr>
            <w:tcW w:w="1260" w:type="dxa"/>
            <w:tcBorders>
              <w:top w:val="single" w:sz="4" w:space="0" w:color="auto"/>
              <w:bottom w:val="single" w:sz="4" w:space="0" w:color="auto"/>
            </w:tcBorders>
            <w:vAlign w:val="center"/>
            <w:hideMark/>
          </w:tcPr>
          <w:p w14:paraId="4476833D" w14:textId="77777777" w:rsidR="001E51D5" w:rsidRPr="00054A5F" w:rsidRDefault="001E51D5" w:rsidP="001E51D5">
            <w:pPr>
              <w:jc w:val="center"/>
              <w:rPr>
                <w:rFonts w:ascii="Arial" w:hAnsi="Arial" w:cs="Arial"/>
                <w:b/>
                <w:color w:val="1F1F1F"/>
                <w:lang w:eastAsia="en-PH"/>
              </w:rPr>
            </w:pPr>
          </w:p>
        </w:tc>
        <w:tc>
          <w:tcPr>
            <w:tcW w:w="1710" w:type="dxa"/>
            <w:tcBorders>
              <w:top w:val="single" w:sz="4" w:space="0" w:color="auto"/>
              <w:bottom w:val="single" w:sz="4" w:space="0" w:color="auto"/>
            </w:tcBorders>
            <w:vAlign w:val="center"/>
            <w:hideMark/>
          </w:tcPr>
          <w:p w14:paraId="1195A6C3"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Often</w:t>
            </w:r>
          </w:p>
        </w:tc>
      </w:tr>
    </w:tbl>
    <w:p w14:paraId="557791F6" w14:textId="77777777" w:rsidR="00A44D52" w:rsidRPr="00054A5F" w:rsidRDefault="00A44D52" w:rsidP="00A44D52">
      <w:pPr>
        <w:jc w:val="both"/>
        <w:rPr>
          <w:rFonts w:ascii="Arial" w:hAnsi="Arial" w:cs="Arial"/>
          <w:bCs/>
          <w:color w:val="1F1F1F"/>
          <w:lang w:eastAsia="en-PH"/>
        </w:rPr>
      </w:pPr>
    </w:p>
    <w:p w14:paraId="672764A7"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11 shows the assessment of differentiated instruction as a teacher-perceived determinant of learning retention, yielding an overall weighted mean of </w:t>
      </w:r>
      <w:r w:rsidRPr="00054A5F">
        <w:rPr>
          <w:rFonts w:ascii="Arial" w:hAnsi="Arial" w:cs="Arial"/>
          <w:bCs/>
          <w:color w:val="1F1F1F"/>
          <w:bdr w:val="none" w:sz="0" w:space="0" w:color="auto" w:frame="1"/>
          <w:lang w:eastAsia="en-PH"/>
        </w:rPr>
        <w:t>4.09</w:t>
      </w:r>
      <w:r w:rsidRPr="00054A5F">
        <w:rPr>
          <w:rFonts w:ascii="Arial" w:hAnsi="Arial" w:cs="Arial"/>
          <w:bCs/>
          <w:color w:val="1F1F1F"/>
          <w:lang w:eastAsia="en-PH"/>
        </w:rPr>
        <w:t xml:space="preserve"> with a standard deviation of </w:t>
      </w:r>
      <w:r w:rsidRPr="00054A5F">
        <w:rPr>
          <w:rFonts w:ascii="Arial" w:hAnsi="Arial" w:cs="Arial"/>
          <w:bCs/>
          <w:color w:val="1F1F1F"/>
          <w:bdr w:val="none" w:sz="0" w:space="0" w:color="auto" w:frame="1"/>
          <w:lang w:eastAsia="en-PH"/>
        </w:rPr>
        <w:t>0.94</w:t>
      </w:r>
      <w:r w:rsidRPr="00054A5F">
        <w:rPr>
          <w:rFonts w:ascii="Arial" w:hAnsi="Arial" w:cs="Arial"/>
          <w:bCs/>
          <w:color w:val="1F1F1F"/>
          <w:lang w:eastAsia="en-PH"/>
        </w:rPr>
        <w:t xml:space="preserve">, qualitatively interpreted as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Among the indicators, the statement "I adjust the complexity of tasks to match the diverse abilities of my students" received the highest rating with a weighted mean of </w:t>
      </w:r>
      <w:r w:rsidRPr="00054A5F">
        <w:rPr>
          <w:rFonts w:ascii="Arial" w:hAnsi="Arial" w:cs="Arial"/>
          <w:bCs/>
          <w:color w:val="1F1F1F"/>
          <w:bdr w:val="none" w:sz="0" w:space="0" w:color="auto" w:frame="1"/>
          <w:lang w:eastAsia="en-PH"/>
        </w:rPr>
        <w:t>4.30</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"Always"</w:t>
      </w:r>
      <w:r w:rsidRPr="00054A5F">
        <w:rPr>
          <w:rFonts w:ascii="Arial" w:hAnsi="Arial" w:cs="Arial"/>
          <w:bCs/>
          <w:color w:val="1F1F1F"/>
          <w:lang w:eastAsia="en-PH"/>
        </w:rPr>
        <w:t xml:space="preserve">), indicating a strong commitment to academic leveling. This is followed by offering multiple options for students to demonstrate learning at </w:t>
      </w:r>
      <w:r w:rsidRPr="00054A5F">
        <w:rPr>
          <w:rFonts w:ascii="Arial" w:hAnsi="Arial" w:cs="Arial"/>
          <w:bCs/>
          <w:color w:val="1F1F1F"/>
          <w:bdr w:val="none" w:sz="0" w:space="0" w:color="auto" w:frame="1"/>
          <w:lang w:eastAsia="en-PH"/>
        </w:rPr>
        <w:t>4.15</w:t>
      </w:r>
      <w:r w:rsidRPr="00054A5F">
        <w:rPr>
          <w:rFonts w:ascii="Arial" w:hAnsi="Arial" w:cs="Arial"/>
          <w:bCs/>
          <w:color w:val="1F1F1F"/>
          <w:lang w:eastAsia="en-PH"/>
        </w:rPr>
        <w:t xml:space="preserve"> and providing extra scaffolding for struggling students at </w:t>
      </w:r>
      <w:r w:rsidRPr="00054A5F">
        <w:rPr>
          <w:rFonts w:ascii="Arial" w:hAnsi="Arial" w:cs="Arial"/>
          <w:bCs/>
          <w:color w:val="1F1F1F"/>
          <w:bdr w:val="none" w:sz="0" w:space="0" w:color="auto" w:frame="1"/>
          <w:lang w:eastAsia="en-PH"/>
        </w:rPr>
        <w:t>4.07</w:t>
      </w:r>
      <w:r w:rsidRPr="00054A5F">
        <w:rPr>
          <w:rFonts w:ascii="Arial" w:hAnsi="Arial" w:cs="Arial"/>
          <w:bCs/>
          <w:color w:val="1F1F1F"/>
          <w:lang w:eastAsia="en-PH"/>
        </w:rPr>
        <w:t xml:space="preserve">, both interpreted as </w:t>
      </w:r>
      <w:r w:rsidRPr="00054A5F">
        <w:rPr>
          <w:rFonts w:ascii="Arial" w:hAnsi="Arial" w:cs="Arial"/>
          <w:bCs/>
          <w:color w:val="1F1F1F"/>
          <w:bdr w:val="none" w:sz="0" w:space="0" w:color="auto" w:frame="1"/>
          <w:lang w:eastAsia="en-PH"/>
        </w:rPr>
        <w:t>"Often."</w:t>
      </w:r>
      <w:r w:rsidRPr="00054A5F">
        <w:rPr>
          <w:rFonts w:ascii="Arial" w:hAnsi="Arial" w:cs="Arial"/>
          <w:bCs/>
          <w:color w:val="1F1F1F"/>
          <w:lang w:eastAsia="en-PH"/>
        </w:rPr>
        <w:t xml:space="preserve"> Conversely, while still frequently practiced, providing varied reading materials based on reading levels received the lowest weighted mean of </w:t>
      </w:r>
      <w:r w:rsidRPr="00054A5F">
        <w:rPr>
          <w:rFonts w:ascii="Arial" w:hAnsi="Arial" w:cs="Arial"/>
          <w:bCs/>
          <w:color w:val="1F1F1F"/>
          <w:bdr w:val="none" w:sz="0" w:space="0" w:color="auto" w:frame="1"/>
          <w:lang w:eastAsia="en-PH"/>
        </w:rPr>
        <w:t>3.94</w:t>
      </w:r>
      <w:r w:rsidRPr="00054A5F">
        <w:rPr>
          <w:rFonts w:ascii="Arial" w:hAnsi="Arial" w:cs="Arial"/>
          <w:bCs/>
          <w:color w:val="1F1F1F"/>
          <w:lang w:eastAsia="en-PH"/>
        </w:rPr>
        <w:t xml:space="preserve">, followed closely by grouping students based on interests at </w:t>
      </w:r>
      <w:r w:rsidRPr="00054A5F">
        <w:rPr>
          <w:rFonts w:ascii="Arial" w:hAnsi="Arial" w:cs="Arial"/>
          <w:bCs/>
          <w:color w:val="1F1F1F"/>
          <w:bdr w:val="none" w:sz="0" w:space="0" w:color="auto" w:frame="1"/>
          <w:lang w:eastAsia="en-PH"/>
        </w:rPr>
        <w:t>3.99</w:t>
      </w:r>
      <w:r w:rsidRPr="00054A5F">
        <w:rPr>
          <w:rFonts w:ascii="Arial" w:hAnsi="Arial" w:cs="Arial"/>
          <w:bCs/>
          <w:color w:val="1F1F1F"/>
          <w:lang w:eastAsia="en-PH"/>
        </w:rPr>
        <w:t>.</w:t>
      </w:r>
    </w:p>
    <w:p w14:paraId="6D4D5626" w14:textId="77777777" w:rsidR="00A44D52" w:rsidRPr="00054A5F" w:rsidRDefault="00A44D52" w:rsidP="00A44D52">
      <w:pPr>
        <w:jc w:val="both"/>
        <w:rPr>
          <w:rFonts w:ascii="Arial" w:hAnsi="Arial" w:cs="Arial"/>
          <w:bCs/>
          <w:color w:val="1F1F1F"/>
          <w:lang w:eastAsia="en-PH"/>
        </w:rPr>
      </w:pPr>
    </w:p>
    <w:p w14:paraId="4AEED6D5"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the teacher-respondents recognize that a "one-size-fits-all" approach is insufficient for long-term knowledge mastery and that tailoring the difficulty of tasks is their primary strategy for ensuring students retain information. The high rating in adjusting task complexity suggests that teachers are highly aware of the "Zone of Proximal Development," where learning retention is maximized when the challenge matches the student's current skill level. However, the relatively lower scores in providing varied reading materials suggest a possible need for more diverse instructional resources or more time for prep work. Overall, the consistent use of these strategies implies that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should focus on institutionalizing these differentiated practices, particularly by developing a repository of leveled reading materials and structured scaffolding guides, to move the frequency of these interventions from "Often" to a more consistent "Always" across all classrooms.</w:t>
      </w:r>
    </w:p>
    <w:p w14:paraId="47B479ED" w14:textId="77777777" w:rsidR="00A44D52" w:rsidRPr="00054A5F" w:rsidRDefault="00A44D52" w:rsidP="00A44D52">
      <w:pPr>
        <w:jc w:val="both"/>
        <w:rPr>
          <w:rFonts w:ascii="Arial" w:hAnsi="Arial" w:cs="Arial"/>
          <w:lang w:eastAsia="en-PH"/>
        </w:rPr>
      </w:pPr>
    </w:p>
    <w:p w14:paraId="71B65D0D" w14:textId="77777777" w:rsidR="001E51D5" w:rsidRPr="00054A5F" w:rsidRDefault="001E51D5" w:rsidP="00A44D52">
      <w:pPr>
        <w:jc w:val="both"/>
        <w:rPr>
          <w:rFonts w:ascii="Arial" w:hAnsi="Arial" w:cs="Arial"/>
          <w:lang w:eastAsia="en-PH"/>
        </w:rPr>
      </w:pPr>
      <w:r w:rsidRPr="00054A5F">
        <w:rPr>
          <w:rFonts w:ascii="Arial" w:hAnsi="Arial" w:cs="Arial"/>
          <w:lang w:eastAsia="en-PH"/>
        </w:rPr>
        <w:t xml:space="preserve">This aligns with the study of differentiated instruction as a determinant of student learning retention, where tailoring task difficulty and providing scaffolding are central to improving retention outcomes in junior high settings. The evidence suggests that adjusting complexity to match diverse abilities (the Zone of Proximal Development) and offering multiple means of demonstrating understanding support sustained retention, while variability in reading materials remains a weaker but still frequent practice that could be strengthened through resource repositories and structured scaffolds. Collectively, these findings corroborate the need for institutionalizing differentiated practices within Learning Retention Enhancement Programs to move instructional interventions toward a consistent “Always” across classrooms. This </w:t>
      </w:r>
      <w:r w:rsidRPr="00054A5F">
        <w:rPr>
          <w:rFonts w:ascii="Arial" w:hAnsi="Arial" w:cs="Arial"/>
          <w:lang w:eastAsia="en-PH"/>
        </w:rPr>
        <w:lastRenderedPageBreak/>
        <w:t>synthesis aligns with broader research on responsive teaching and dynamic assessment that emphasize adapting instruction to learner readiness to maximize retention and master.</w:t>
      </w:r>
    </w:p>
    <w:p w14:paraId="7C1CA166" w14:textId="77777777" w:rsidR="001E51D5" w:rsidRPr="00054A5F" w:rsidRDefault="001E51D5" w:rsidP="001E51D5">
      <w:pPr>
        <w:ind w:firstLine="720"/>
        <w:rPr>
          <w:rFonts w:ascii="Arial" w:hAnsi="Arial" w:cs="Arial"/>
          <w:lang w:eastAsia="en-PH"/>
        </w:rPr>
      </w:pPr>
    </w:p>
    <w:p w14:paraId="7168B2A0" w14:textId="77777777" w:rsidR="001E51D5" w:rsidRPr="00054A5F" w:rsidRDefault="00321E98" w:rsidP="001E51D5">
      <w:pPr>
        <w:rPr>
          <w:rFonts w:ascii="Arial" w:hAnsi="Arial" w:cs="Arial"/>
          <w:b/>
          <w:lang w:eastAsia="en-PH"/>
        </w:rPr>
      </w:pPr>
      <w:r w:rsidRPr="00054A5F">
        <w:rPr>
          <w:rFonts w:ascii="Arial" w:hAnsi="Arial" w:cs="Arial"/>
          <w:b/>
          <w:lang w:eastAsia="en-PH"/>
        </w:rPr>
        <w:t>3</w:t>
      </w:r>
      <w:r w:rsidR="001E51D5" w:rsidRPr="00054A5F">
        <w:rPr>
          <w:rFonts w:ascii="Arial" w:hAnsi="Arial" w:cs="Arial"/>
          <w:b/>
          <w:lang w:eastAsia="en-PH"/>
        </w:rPr>
        <w:t>.3. Level of Student-Related Determinants Affecting Learning Retention as Perceived by Teachers</w:t>
      </w:r>
    </w:p>
    <w:p w14:paraId="5899859B" w14:textId="77777777" w:rsidR="00A44D52" w:rsidRPr="00054A5F" w:rsidRDefault="00A44D52" w:rsidP="00A44D52">
      <w:pPr>
        <w:rPr>
          <w:rFonts w:ascii="Arial" w:hAnsi="Arial" w:cs="Arial"/>
          <w:b/>
          <w:lang w:eastAsia="en-PH"/>
        </w:rPr>
      </w:pPr>
    </w:p>
    <w:p w14:paraId="14A7714A" w14:textId="77777777" w:rsidR="001E51D5" w:rsidRPr="00054A5F" w:rsidRDefault="001E51D5" w:rsidP="00A44D52">
      <w:pPr>
        <w:rPr>
          <w:rFonts w:ascii="Arial" w:hAnsi="Arial" w:cs="Arial"/>
          <w:bCs/>
        </w:rPr>
      </w:pPr>
      <w:r w:rsidRPr="00054A5F">
        <w:rPr>
          <w:rFonts w:ascii="Arial" w:hAnsi="Arial" w:cs="Arial"/>
          <w:bCs/>
        </w:rPr>
        <w:t>This section presents the data and analysis concerning the level of student-related determinants affecting learning retention as perceived by teachers, encompassing factors such as prior knowledge, intrinsic motivation, study habits, and attention span.</w:t>
      </w:r>
    </w:p>
    <w:p w14:paraId="76B1DF86" w14:textId="77777777" w:rsidR="00321E98" w:rsidRPr="00054A5F" w:rsidRDefault="00321E98" w:rsidP="001E51D5">
      <w:pPr>
        <w:ind w:firstLine="720"/>
        <w:rPr>
          <w:rFonts w:ascii="Arial" w:hAnsi="Arial" w:cs="Arial"/>
          <w:bCs/>
        </w:rPr>
      </w:pPr>
    </w:p>
    <w:p w14:paraId="20D90800" w14:textId="77777777" w:rsidR="001E51D5" w:rsidRPr="00054A5F" w:rsidRDefault="001E51D5" w:rsidP="001E51D5">
      <w:pPr>
        <w:rPr>
          <w:rFonts w:ascii="Arial" w:hAnsi="Arial" w:cs="Arial"/>
          <w:b/>
          <w:lang w:eastAsia="en-PH"/>
        </w:rPr>
      </w:pPr>
      <w:r w:rsidRPr="00054A5F">
        <w:rPr>
          <w:rFonts w:ascii="Arial" w:hAnsi="Arial" w:cs="Arial"/>
          <w:b/>
          <w:lang w:eastAsia="en-PH"/>
        </w:rPr>
        <w:t>Table 12. Prior Knowledge</w:t>
      </w:r>
    </w:p>
    <w:tbl>
      <w:tblPr>
        <w:tblW w:w="7920" w:type="dxa"/>
        <w:tblLook w:val="04A0" w:firstRow="1" w:lastRow="0" w:firstColumn="1" w:lastColumn="0" w:noHBand="0" w:noVBand="1"/>
      </w:tblPr>
      <w:tblGrid>
        <w:gridCol w:w="3330"/>
        <w:gridCol w:w="1350"/>
        <w:gridCol w:w="1350"/>
        <w:gridCol w:w="1890"/>
      </w:tblGrid>
      <w:tr w:rsidR="001E51D5" w:rsidRPr="00054A5F" w14:paraId="636E786F" w14:textId="77777777" w:rsidTr="00A44D52">
        <w:trPr>
          <w:trHeight w:val="55"/>
        </w:trPr>
        <w:tc>
          <w:tcPr>
            <w:tcW w:w="3330" w:type="dxa"/>
            <w:tcBorders>
              <w:top w:val="single" w:sz="4" w:space="0" w:color="auto"/>
              <w:bottom w:val="single" w:sz="4" w:space="0" w:color="auto"/>
            </w:tcBorders>
            <w:vAlign w:val="center"/>
            <w:hideMark/>
          </w:tcPr>
          <w:p w14:paraId="4114A644"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503B565E"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350" w:type="dxa"/>
            <w:tcBorders>
              <w:top w:val="single" w:sz="4" w:space="0" w:color="auto"/>
              <w:bottom w:val="single" w:sz="4" w:space="0" w:color="auto"/>
            </w:tcBorders>
            <w:vAlign w:val="center"/>
            <w:hideMark/>
          </w:tcPr>
          <w:p w14:paraId="0F6D41E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890" w:type="dxa"/>
            <w:tcBorders>
              <w:top w:val="single" w:sz="4" w:space="0" w:color="auto"/>
              <w:bottom w:val="single" w:sz="4" w:space="0" w:color="auto"/>
            </w:tcBorders>
            <w:vAlign w:val="center"/>
            <w:hideMark/>
          </w:tcPr>
          <w:p w14:paraId="6D86B22E"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57836B05" w14:textId="77777777" w:rsidTr="00A44D52">
        <w:trPr>
          <w:trHeight w:val="55"/>
        </w:trPr>
        <w:tc>
          <w:tcPr>
            <w:tcW w:w="3330" w:type="dxa"/>
            <w:tcBorders>
              <w:top w:val="single" w:sz="4" w:space="0" w:color="auto"/>
            </w:tcBorders>
            <w:vAlign w:val="center"/>
            <w:hideMark/>
          </w:tcPr>
          <w:p w14:paraId="200F1F8E"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can easily connect new lessons to previously learned concepts.</w:t>
            </w:r>
          </w:p>
        </w:tc>
        <w:tc>
          <w:tcPr>
            <w:tcW w:w="1350" w:type="dxa"/>
            <w:tcBorders>
              <w:top w:val="single" w:sz="4" w:space="0" w:color="auto"/>
            </w:tcBorders>
            <w:vAlign w:val="center"/>
            <w:hideMark/>
          </w:tcPr>
          <w:p w14:paraId="7F3A4D4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3.99</w:t>
            </w:r>
          </w:p>
        </w:tc>
        <w:tc>
          <w:tcPr>
            <w:tcW w:w="1350" w:type="dxa"/>
            <w:tcBorders>
              <w:top w:val="single" w:sz="4" w:space="0" w:color="auto"/>
            </w:tcBorders>
            <w:vAlign w:val="center"/>
            <w:hideMark/>
          </w:tcPr>
          <w:p w14:paraId="7AB3433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0.96</w:t>
            </w:r>
          </w:p>
        </w:tc>
        <w:tc>
          <w:tcPr>
            <w:tcW w:w="1890" w:type="dxa"/>
            <w:tcBorders>
              <w:top w:val="single" w:sz="4" w:space="0" w:color="auto"/>
            </w:tcBorders>
            <w:vAlign w:val="center"/>
            <w:hideMark/>
          </w:tcPr>
          <w:p w14:paraId="4A270F5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2EBE8882" w14:textId="77777777" w:rsidTr="00A44D52">
        <w:trPr>
          <w:trHeight w:val="55"/>
        </w:trPr>
        <w:tc>
          <w:tcPr>
            <w:tcW w:w="3330" w:type="dxa"/>
            <w:vAlign w:val="center"/>
            <w:hideMark/>
          </w:tcPr>
          <w:p w14:paraId="67AD7B6D"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possess the foundational skills required for the current grade level.</w:t>
            </w:r>
          </w:p>
        </w:tc>
        <w:tc>
          <w:tcPr>
            <w:tcW w:w="1350" w:type="dxa"/>
            <w:vAlign w:val="center"/>
            <w:hideMark/>
          </w:tcPr>
          <w:p w14:paraId="0564F1E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3.61</w:t>
            </w:r>
          </w:p>
        </w:tc>
        <w:tc>
          <w:tcPr>
            <w:tcW w:w="1350" w:type="dxa"/>
            <w:vAlign w:val="center"/>
            <w:hideMark/>
          </w:tcPr>
          <w:p w14:paraId="0CA19EB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1.03</w:t>
            </w:r>
          </w:p>
        </w:tc>
        <w:tc>
          <w:tcPr>
            <w:tcW w:w="1890" w:type="dxa"/>
            <w:vAlign w:val="center"/>
            <w:hideMark/>
          </w:tcPr>
          <w:p w14:paraId="2F536E6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11728C4D" w14:textId="77777777" w:rsidTr="00A44D52">
        <w:trPr>
          <w:trHeight w:val="55"/>
        </w:trPr>
        <w:tc>
          <w:tcPr>
            <w:tcW w:w="3330" w:type="dxa"/>
            <w:vAlign w:val="center"/>
            <w:hideMark/>
          </w:tcPr>
          <w:p w14:paraId="5E87B413"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can recall basic terms and theories from their previous school year.</w:t>
            </w:r>
          </w:p>
        </w:tc>
        <w:tc>
          <w:tcPr>
            <w:tcW w:w="1350" w:type="dxa"/>
            <w:vAlign w:val="center"/>
            <w:hideMark/>
          </w:tcPr>
          <w:p w14:paraId="1714165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3.43</w:t>
            </w:r>
          </w:p>
        </w:tc>
        <w:tc>
          <w:tcPr>
            <w:tcW w:w="1350" w:type="dxa"/>
            <w:vAlign w:val="center"/>
            <w:hideMark/>
          </w:tcPr>
          <w:p w14:paraId="78AAE95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1.02</w:t>
            </w:r>
          </w:p>
        </w:tc>
        <w:tc>
          <w:tcPr>
            <w:tcW w:w="1890" w:type="dxa"/>
            <w:vAlign w:val="center"/>
            <w:hideMark/>
          </w:tcPr>
          <w:p w14:paraId="4FC69C9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43614ED1" w14:textId="77777777" w:rsidTr="00A44D52">
        <w:trPr>
          <w:trHeight w:val="55"/>
        </w:trPr>
        <w:tc>
          <w:tcPr>
            <w:tcW w:w="3330" w:type="dxa"/>
            <w:vAlign w:val="center"/>
            <w:hideMark/>
          </w:tcPr>
          <w:p w14:paraId="727D1CF8"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show confidence when a new topic overlaps with their past experiences.</w:t>
            </w:r>
          </w:p>
        </w:tc>
        <w:tc>
          <w:tcPr>
            <w:tcW w:w="1350" w:type="dxa"/>
            <w:vAlign w:val="center"/>
            <w:hideMark/>
          </w:tcPr>
          <w:p w14:paraId="44CD3C5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3.82</w:t>
            </w:r>
          </w:p>
        </w:tc>
        <w:tc>
          <w:tcPr>
            <w:tcW w:w="1350" w:type="dxa"/>
            <w:vAlign w:val="center"/>
            <w:hideMark/>
          </w:tcPr>
          <w:p w14:paraId="1091E01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1.01</w:t>
            </w:r>
          </w:p>
        </w:tc>
        <w:tc>
          <w:tcPr>
            <w:tcW w:w="1890" w:type="dxa"/>
            <w:vAlign w:val="center"/>
            <w:hideMark/>
          </w:tcPr>
          <w:p w14:paraId="474F2C3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05EB4119" w14:textId="77777777" w:rsidTr="00A44D52">
        <w:trPr>
          <w:trHeight w:val="55"/>
        </w:trPr>
        <w:tc>
          <w:tcPr>
            <w:tcW w:w="3330" w:type="dxa"/>
            <w:tcBorders>
              <w:bottom w:val="single" w:sz="4" w:space="0" w:color="auto"/>
            </w:tcBorders>
            <w:vAlign w:val="center"/>
            <w:hideMark/>
          </w:tcPr>
          <w:p w14:paraId="0719914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require minimal remediation on “prerequisite” topics before moving forward.</w:t>
            </w:r>
          </w:p>
        </w:tc>
        <w:tc>
          <w:tcPr>
            <w:tcW w:w="1350" w:type="dxa"/>
            <w:tcBorders>
              <w:bottom w:val="single" w:sz="4" w:space="0" w:color="auto"/>
            </w:tcBorders>
            <w:vAlign w:val="center"/>
            <w:hideMark/>
          </w:tcPr>
          <w:p w14:paraId="7AE7131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3.67</w:t>
            </w:r>
          </w:p>
        </w:tc>
        <w:tc>
          <w:tcPr>
            <w:tcW w:w="1350" w:type="dxa"/>
            <w:tcBorders>
              <w:bottom w:val="single" w:sz="4" w:space="0" w:color="auto"/>
            </w:tcBorders>
            <w:vAlign w:val="center"/>
            <w:hideMark/>
          </w:tcPr>
          <w:p w14:paraId="0DD4C32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1.08</w:t>
            </w:r>
          </w:p>
        </w:tc>
        <w:tc>
          <w:tcPr>
            <w:tcW w:w="1890" w:type="dxa"/>
            <w:tcBorders>
              <w:bottom w:val="single" w:sz="4" w:space="0" w:color="auto"/>
            </w:tcBorders>
            <w:vAlign w:val="center"/>
            <w:hideMark/>
          </w:tcPr>
          <w:p w14:paraId="364EBE6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53C567CA" w14:textId="77777777" w:rsidTr="00A44D52">
        <w:trPr>
          <w:trHeight w:val="55"/>
        </w:trPr>
        <w:tc>
          <w:tcPr>
            <w:tcW w:w="3330" w:type="dxa"/>
            <w:tcBorders>
              <w:top w:val="single" w:sz="4" w:space="0" w:color="auto"/>
              <w:bottom w:val="single" w:sz="4" w:space="0" w:color="auto"/>
            </w:tcBorders>
            <w:vAlign w:val="center"/>
            <w:hideMark/>
          </w:tcPr>
          <w:p w14:paraId="2D2D2118"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375B545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3.70</w:t>
            </w:r>
          </w:p>
        </w:tc>
        <w:tc>
          <w:tcPr>
            <w:tcW w:w="1350" w:type="dxa"/>
            <w:tcBorders>
              <w:top w:val="single" w:sz="4" w:space="0" w:color="auto"/>
              <w:bottom w:val="single" w:sz="4" w:space="0" w:color="auto"/>
            </w:tcBorders>
            <w:vAlign w:val="center"/>
            <w:hideMark/>
          </w:tcPr>
          <w:p w14:paraId="45C02191" w14:textId="77777777" w:rsidR="001E51D5" w:rsidRPr="00054A5F" w:rsidRDefault="001E51D5" w:rsidP="001E51D5">
            <w:pPr>
              <w:jc w:val="center"/>
              <w:rPr>
                <w:rFonts w:ascii="Arial" w:hAnsi="Arial" w:cs="Arial"/>
                <w:b/>
                <w:color w:val="1F1F1F"/>
                <w:lang w:eastAsia="en-PH"/>
              </w:rPr>
            </w:pPr>
          </w:p>
        </w:tc>
        <w:tc>
          <w:tcPr>
            <w:tcW w:w="1890" w:type="dxa"/>
            <w:tcBorders>
              <w:top w:val="single" w:sz="4" w:space="0" w:color="auto"/>
              <w:bottom w:val="single" w:sz="4" w:space="0" w:color="auto"/>
            </w:tcBorders>
            <w:vAlign w:val="center"/>
            <w:hideMark/>
          </w:tcPr>
          <w:p w14:paraId="76D490D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Agree</w:t>
            </w:r>
          </w:p>
        </w:tc>
      </w:tr>
    </w:tbl>
    <w:p w14:paraId="572B8893" w14:textId="77777777" w:rsidR="001E51D5" w:rsidRPr="00054A5F" w:rsidRDefault="001E51D5" w:rsidP="001E51D5">
      <w:pPr>
        <w:rPr>
          <w:rFonts w:ascii="Arial" w:hAnsi="Arial" w:cs="Arial"/>
          <w:bCs/>
          <w:lang w:eastAsia="en-PH"/>
        </w:rPr>
      </w:pPr>
    </w:p>
    <w:p w14:paraId="3C234139"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Table 12 shows the teacher-</w:t>
      </w:r>
      <w:r w:rsidR="00321E98" w:rsidRPr="00054A5F">
        <w:rPr>
          <w:rFonts w:ascii="Arial" w:hAnsi="Arial" w:cs="Arial"/>
          <w:bCs/>
          <w:color w:val="1F1F1F"/>
          <w:lang w:eastAsia="en-PH"/>
        </w:rPr>
        <w:t>respondent’s</w:t>
      </w:r>
      <w:r w:rsidRPr="00054A5F">
        <w:rPr>
          <w:rFonts w:ascii="Arial" w:hAnsi="Arial" w:cs="Arial"/>
          <w:bCs/>
          <w:color w:val="1F1F1F"/>
          <w:lang w:eastAsia="en-PH"/>
        </w:rPr>
        <w:t xml:space="preserve"> perceptions regarding the prior knowledge of Junior High School students as a determinant of learning retention. The data reveals an overall weighted mean of </w:t>
      </w:r>
      <w:r w:rsidRPr="00054A5F">
        <w:rPr>
          <w:rFonts w:ascii="Arial" w:hAnsi="Arial" w:cs="Arial"/>
          <w:bCs/>
          <w:color w:val="1F1F1F"/>
          <w:bdr w:val="none" w:sz="0" w:space="0" w:color="auto" w:frame="1"/>
          <w:lang w:eastAsia="en-PH"/>
        </w:rPr>
        <w:t>3.70</w:t>
      </w:r>
      <w:r w:rsidRPr="00054A5F">
        <w:rPr>
          <w:rFonts w:ascii="Arial" w:hAnsi="Arial" w:cs="Arial"/>
          <w:bCs/>
          <w:color w:val="1F1F1F"/>
          <w:lang w:eastAsia="en-PH"/>
        </w:rPr>
        <w:t xml:space="preserve">, which corresponds to a verbal interpretation of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xml:space="preserve"> Among the indicators, the statement "Students can easily connect new lessons to previously learned concepts" garnered the highest weighted mean of </w:t>
      </w:r>
      <w:r w:rsidRPr="00054A5F">
        <w:rPr>
          <w:rFonts w:ascii="Arial" w:hAnsi="Arial" w:cs="Arial"/>
          <w:bCs/>
          <w:color w:val="1F1F1F"/>
          <w:bdr w:val="none" w:sz="0" w:space="0" w:color="auto" w:frame="1"/>
          <w:lang w:eastAsia="en-PH"/>
        </w:rPr>
        <w:t>3.99</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SD = 0.96</w:t>
      </w:r>
      <w:r w:rsidRPr="00054A5F">
        <w:rPr>
          <w:rFonts w:ascii="Arial" w:hAnsi="Arial" w:cs="Arial"/>
          <w:bCs/>
          <w:color w:val="1F1F1F"/>
          <w:lang w:eastAsia="en-PH"/>
        </w:rPr>
        <w:t xml:space="preserve">). This is followed by the students' confidence when new topics overlap with past experiences, which recorded a mean of </w:t>
      </w:r>
      <w:r w:rsidRPr="00054A5F">
        <w:rPr>
          <w:rFonts w:ascii="Arial" w:hAnsi="Arial" w:cs="Arial"/>
          <w:bCs/>
          <w:color w:val="1F1F1F"/>
          <w:bdr w:val="none" w:sz="0" w:space="0" w:color="auto" w:frame="1"/>
          <w:lang w:eastAsia="en-PH"/>
        </w:rPr>
        <w:t>3.82</w:t>
      </w:r>
      <w:r w:rsidRPr="00054A5F">
        <w:rPr>
          <w:rFonts w:ascii="Arial" w:hAnsi="Arial" w:cs="Arial"/>
          <w:bCs/>
          <w:color w:val="1F1F1F"/>
          <w:lang w:eastAsia="en-PH"/>
        </w:rPr>
        <w:t xml:space="preserve">. Conversely, the statement "Students can recall basic terms and theories from their previous school year" received the lowest weighted mean of </w:t>
      </w:r>
      <w:r w:rsidRPr="00054A5F">
        <w:rPr>
          <w:rFonts w:ascii="Arial" w:hAnsi="Arial" w:cs="Arial"/>
          <w:bCs/>
          <w:color w:val="1F1F1F"/>
          <w:bdr w:val="none" w:sz="0" w:space="0" w:color="auto" w:frame="1"/>
          <w:lang w:eastAsia="en-PH"/>
        </w:rPr>
        <w:t>3.43</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SD = 1.02</w:t>
      </w:r>
      <w:r w:rsidRPr="00054A5F">
        <w:rPr>
          <w:rFonts w:ascii="Arial" w:hAnsi="Arial" w:cs="Arial"/>
          <w:bCs/>
          <w:color w:val="1F1F1F"/>
          <w:lang w:eastAsia="en-PH"/>
        </w:rPr>
        <w:t>), although it still falls within the "Agree" range. The relatively higher standard deviations across all items, particularly for the need for minimal remediation (</w:t>
      </w:r>
      <w:r w:rsidRPr="00054A5F">
        <w:rPr>
          <w:rFonts w:ascii="Arial" w:hAnsi="Arial" w:cs="Arial"/>
          <w:bCs/>
          <w:color w:val="1F1F1F"/>
          <w:bdr w:val="none" w:sz="0" w:space="0" w:color="auto" w:frame="1"/>
          <w:lang w:eastAsia="en-PH"/>
        </w:rPr>
        <w:t>1.08</w:t>
      </w:r>
      <w:r w:rsidRPr="00054A5F">
        <w:rPr>
          <w:rFonts w:ascii="Arial" w:hAnsi="Arial" w:cs="Arial"/>
          <w:bCs/>
          <w:color w:val="1F1F1F"/>
          <w:lang w:eastAsia="en-PH"/>
        </w:rPr>
        <w:t>), suggest a notable spread in teacher observations regarding the consistency of student readiness.</w:t>
      </w:r>
    </w:p>
    <w:p w14:paraId="2F8A0F09" w14:textId="77777777" w:rsidR="00A44D52" w:rsidRPr="00054A5F" w:rsidRDefault="00A44D52" w:rsidP="00A44D52">
      <w:pPr>
        <w:jc w:val="both"/>
        <w:rPr>
          <w:rFonts w:ascii="Arial" w:hAnsi="Arial" w:cs="Arial"/>
          <w:bCs/>
          <w:color w:val="1F1F1F"/>
          <w:lang w:eastAsia="en-PH"/>
        </w:rPr>
      </w:pPr>
    </w:p>
    <w:p w14:paraId="5E6F9240"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teachers recognize prior knowledge as a functional foundation for current learning, yet they identify a specific weakness in the long-term recall of formal terms and theoretical frameworks. While students are perceived as capable of making conceptual connections and leveraging past experiences, the lower score in recalling specific definitions from previous years suggests that while "gist" memory is present, "verbatim" or technical memory may be fading. This indicates that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should prioritize "scaffolded" instruction that bridges existing experiential knowledge with formal academic language. Furthermore, the moderate variation in teacher responses suggests that the level of foundational skills is not uniform across the student body, necessitating the inclusion of diagnostic assessments and differentiated review activities </w:t>
      </w:r>
      <w:r w:rsidRPr="00054A5F">
        <w:rPr>
          <w:rFonts w:ascii="Arial" w:hAnsi="Arial" w:cs="Arial"/>
          <w:bCs/>
          <w:color w:val="1F1F1F"/>
          <w:lang w:eastAsia="en-PH"/>
        </w:rPr>
        <w:lastRenderedPageBreak/>
        <w:t>within the enhancement program to ensure all students are adequately prepared for new, complex material.</w:t>
      </w:r>
    </w:p>
    <w:p w14:paraId="794A941D" w14:textId="77777777" w:rsidR="00A44D52" w:rsidRPr="00054A5F" w:rsidRDefault="00A44D52" w:rsidP="00A44D52">
      <w:pPr>
        <w:jc w:val="both"/>
        <w:rPr>
          <w:rFonts w:ascii="Arial" w:hAnsi="Arial" w:cs="Arial"/>
          <w:lang w:eastAsia="en-PH"/>
        </w:rPr>
      </w:pPr>
    </w:p>
    <w:p w14:paraId="3D2107D5"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how prior knowledge foundations influence current learning retention and the need for scaffolded, diagnostic, and differentiated instruction to bridge experiential understanding with formal academic language. Teacher perceptions in junior high settings consistently show that while students can connect new material to past concepts and demonstrate confidence when topics overlap with prior experiences, recall of specific terms and theories from previous years may lag, signaling a gap between gist memory and technical vocabulary that scaffolding can address. Consequently, Learning Retention Enhancement Programs should incorporate diagnostic assessments and targeted review activities to normalize variability in foundational skills and support long-term retention through retrieval practice and explicit language support. This synthesis reinforces the imperative to align instructional design with learners’ prior knowledge profiles to sustain retention across subject domains.</w:t>
      </w:r>
    </w:p>
    <w:p w14:paraId="3736546A" w14:textId="77777777" w:rsidR="00321E98" w:rsidRPr="00054A5F" w:rsidRDefault="00321E98" w:rsidP="00A44D52">
      <w:pPr>
        <w:jc w:val="both"/>
        <w:rPr>
          <w:rFonts w:ascii="Arial" w:hAnsi="Arial" w:cs="Arial"/>
          <w:lang w:eastAsia="en-PH"/>
        </w:rPr>
      </w:pPr>
    </w:p>
    <w:p w14:paraId="3A513EC6" w14:textId="77777777" w:rsidR="00321E98" w:rsidRPr="00054A5F" w:rsidRDefault="00321E98" w:rsidP="00321E98">
      <w:pPr>
        <w:ind w:firstLine="720"/>
        <w:jc w:val="both"/>
        <w:rPr>
          <w:rFonts w:ascii="Arial" w:hAnsi="Arial" w:cs="Arial"/>
          <w:lang w:eastAsia="en-PH"/>
        </w:rPr>
      </w:pPr>
    </w:p>
    <w:p w14:paraId="59E20AB8" w14:textId="77777777" w:rsidR="001E51D5" w:rsidRPr="00054A5F" w:rsidRDefault="001E51D5" w:rsidP="001E51D5">
      <w:pPr>
        <w:rPr>
          <w:rFonts w:ascii="Arial" w:hAnsi="Arial" w:cs="Arial"/>
          <w:b/>
          <w:lang w:eastAsia="en-PH"/>
        </w:rPr>
      </w:pPr>
      <w:r w:rsidRPr="00054A5F">
        <w:rPr>
          <w:rFonts w:ascii="Arial" w:hAnsi="Arial" w:cs="Arial"/>
          <w:b/>
          <w:lang w:eastAsia="en-PH"/>
        </w:rPr>
        <w:t>Table 13. Intrinsic motivation</w:t>
      </w:r>
    </w:p>
    <w:tbl>
      <w:tblPr>
        <w:tblW w:w="8208" w:type="dxa"/>
        <w:tblLayout w:type="fixed"/>
        <w:tblLook w:val="04A0" w:firstRow="1" w:lastRow="0" w:firstColumn="1" w:lastColumn="0" w:noHBand="0" w:noVBand="1"/>
      </w:tblPr>
      <w:tblGrid>
        <w:gridCol w:w="3888"/>
        <w:gridCol w:w="1350"/>
        <w:gridCol w:w="1350"/>
        <w:gridCol w:w="1620"/>
      </w:tblGrid>
      <w:tr w:rsidR="001E51D5" w:rsidRPr="00054A5F" w14:paraId="2393DDC5" w14:textId="77777777" w:rsidTr="00321E98">
        <w:trPr>
          <w:trHeight w:val="93"/>
        </w:trPr>
        <w:tc>
          <w:tcPr>
            <w:tcW w:w="3888" w:type="dxa"/>
            <w:tcBorders>
              <w:top w:val="single" w:sz="4" w:space="0" w:color="auto"/>
              <w:bottom w:val="single" w:sz="4" w:space="0" w:color="auto"/>
            </w:tcBorders>
            <w:vAlign w:val="center"/>
            <w:hideMark/>
          </w:tcPr>
          <w:p w14:paraId="4FC2180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350" w:type="dxa"/>
            <w:tcBorders>
              <w:top w:val="single" w:sz="4" w:space="0" w:color="auto"/>
              <w:bottom w:val="single" w:sz="4" w:space="0" w:color="auto"/>
            </w:tcBorders>
            <w:vAlign w:val="center"/>
            <w:hideMark/>
          </w:tcPr>
          <w:p w14:paraId="64217114"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350" w:type="dxa"/>
            <w:tcBorders>
              <w:top w:val="single" w:sz="4" w:space="0" w:color="auto"/>
              <w:bottom w:val="single" w:sz="4" w:space="0" w:color="auto"/>
            </w:tcBorders>
            <w:vAlign w:val="center"/>
            <w:hideMark/>
          </w:tcPr>
          <w:p w14:paraId="71FBFB9B"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620" w:type="dxa"/>
            <w:tcBorders>
              <w:top w:val="single" w:sz="4" w:space="0" w:color="auto"/>
              <w:bottom w:val="single" w:sz="4" w:space="0" w:color="auto"/>
            </w:tcBorders>
            <w:vAlign w:val="center"/>
            <w:hideMark/>
          </w:tcPr>
          <w:p w14:paraId="6AF0665D"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45B659D4" w14:textId="77777777" w:rsidTr="00321E98">
        <w:trPr>
          <w:trHeight w:val="93"/>
        </w:trPr>
        <w:tc>
          <w:tcPr>
            <w:tcW w:w="3888" w:type="dxa"/>
            <w:tcBorders>
              <w:top w:val="single" w:sz="4" w:space="0" w:color="auto"/>
            </w:tcBorders>
            <w:vAlign w:val="center"/>
            <w:hideMark/>
          </w:tcPr>
          <w:p w14:paraId="7AAF9C44"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show a genuine curiosity to learn beyond just getting high grades.</w:t>
            </w:r>
          </w:p>
        </w:tc>
        <w:tc>
          <w:tcPr>
            <w:tcW w:w="1350" w:type="dxa"/>
            <w:tcBorders>
              <w:top w:val="single" w:sz="4" w:space="0" w:color="auto"/>
            </w:tcBorders>
            <w:vAlign w:val="center"/>
            <w:hideMark/>
          </w:tcPr>
          <w:p w14:paraId="3E0AC468"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3.81</w:t>
            </w:r>
          </w:p>
        </w:tc>
        <w:tc>
          <w:tcPr>
            <w:tcW w:w="1350" w:type="dxa"/>
            <w:tcBorders>
              <w:top w:val="single" w:sz="4" w:space="0" w:color="auto"/>
            </w:tcBorders>
            <w:vAlign w:val="center"/>
            <w:hideMark/>
          </w:tcPr>
          <w:p w14:paraId="3E1D8C3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0.88</w:t>
            </w:r>
          </w:p>
        </w:tc>
        <w:tc>
          <w:tcPr>
            <w:tcW w:w="1620" w:type="dxa"/>
            <w:tcBorders>
              <w:top w:val="single" w:sz="4" w:space="0" w:color="auto"/>
            </w:tcBorders>
            <w:vAlign w:val="center"/>
            <w:hideMark/>
          </w:tcPr>
          <w:p w14:paraId="0E9A04C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5188547B" w14:textId="77777777" w:rsidTr="00321E98">
        <w:trPr>
          <w:trHeight w:val="93"/>
        </w:trPr>
        <w:tc>
          <w:tcPr>
            <w:tcW w:w="3888" w:type="dxa"/>
            <w:vAlign w:val="center"/>
            <w:hideMark/>
          </w:tcPr>
          <w:p w14:paraId="7FA0E670"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actively participate in discussions because they find the topic interesting.</w:t>
            </w:r>
          </w:p>
        </w:tc>
        <w:tc>
          <w:tcPr>
            <w:tcW w:w="1350" w:type="dxa"/>
            <w:vAlign w:val="center"/>
            <w:hideMark/>
          </w:tcPr>
          <w:p w14:paraId="5AB5616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4.20</w:t>
            </w:r>
          </w:p>
        </w:tc>
        <w:tc>
          <w:tcPr>
            <w:tcW w:w="1350" w:type="dxa"/>
            <w:vAlign w:val="center"/>
            <w:hideMark/>
          </w:tcPr>
          <w:p w14:paraId="7B65A87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0.83</w:t>
            </w:r>
          </w:p>
        </w:tc>
        <w:tc>
          <w:tcPr>
            <w:tcW w:w="1620" w:type="dxa"/>
            <w:vAlign w:val="center"/>
            <w:hideMark/>
          </w:tcPr>
          <w:p w14:paraId="05FCE27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699DF202" w14:textId="77777777" w:rsidTr="00321E98">
        <w:trPr>
          <w:trHeight w:val="93"/>
        </w:trPr>
        <w:tc>
          <w:tcPr>
            <w:tcW w:w="3888" w:type="dxa"/>
            <w:vAlign w:val="center"/>
            <w:hideMark/>
          </w:tcPr>
          <w:p w14:paraId="761DD270"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seek clarification on difficult topics without being prompted.</w:t>
            </w:r>
          </w:p>
        </w:tc>
        <w:tc>
          <w:tcPr>
            <w:tcW w:w="1350" w:type="dxa"/>
            <w:vAlign w:val="center"/>
            <w:hideMark/>
          </w:tcPr>
          <w:p w14:paraId="711F182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3.90</w:t>
            </w:r>
          </w:p>
        </w:tc>
        <w:tc>
          <w:tcPr>
            <w:tcW w:w="1350" w:type="dxa"/>
            <w:vAlign w:val="center"/>
            <w:hideMark/>
          </w:tcPr>
          <w:p w14:paraId="50EDBD8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0.95</w:t>
            </w:r>
          </w:p>
        </w:tc>
        <w:tc>
          <w:tcPr>
            <w:tcW w:w="1620" w:type="dxa"/>
            <w:vAlign w:val="center"/>
            <w:hideMark/>
          </w:tcPr>
          <w:p w14:paraId="4B8C8A2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43E4FC78" w14:textId="77777777" w:rsidTr="00321E98">
        <w:trPr>
          <w:trHeight w:val="93"/>
        </w:trPr>
        <w:tc>
          <w:tcPr>
            <w:tcW w:w="3888" w:type="dxa"/>
            <w:vAlign w:val="center"/>
            <w:hideMark/>
          </w:tcPr>
          <w:p w14:paraId="6B5A14C2" w14:textId="77777777" w:rsidR="001E51D5" w:rsidRPr="00054A5F" w:rsidRDefault="001E51D5" w:rsidP="001E51D5">
            <w:pPr>
              <w:rPr>
                <w:rFonts w:ascii="Arial" w:hAnsi="Arial" w:cs="Arial"/>
                <w:bCs/>
                <w:color w:val="1F1F1F"/>
                <w:lang w:eastAsia="en-PH"/>
              </w:rPr>
            </w:pPr>
            <w:proofErr w:type="gramStart"/>
            <w:r w:rsidRPr="00054A5F">
              <w:rPr>
                <w:rFonts w:ascii="Arial" w:hAnsi="Arial" w:cs="Arial"/>
                <w:bCs/>
                <w:color w:val="1F1F1F"/>
                <w:lang w:eastAsia="en-PH"/>
              </w:rPr>
              <w:t>Students</w:t>
            </w:r>
            <w:proofErr w:type="gramEnd"/>
            <w:r w:rsidRPr="00054A5F">
              <w:rPr>
                <w:rFonts w:ascii="Arial" w:hAnsi="Arial" w:cs="Arial"/>
                <w:bCs/>
                <w:color w:val="1F1F1F"/>
                <w:lang w:eastAsia="en-PH"/>
              </w:rPr>
              <w:t xml:space="preserve"> express satisfaction when they master a complex skill or concept.</w:t>
            </w:r>
          </w:p>
        </w:tc>
        <w:tc>
          <w:tcPr>
            <w:tcW w:w="1350" w:type="dxa"/>
            <w:vAlign w:val="center"/>
            <w:hideMark/>
          </w:tcPr>
          <w:p w14:paraId="79DB551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4.18</w:t>
            </w:r>
          </w:p>
        </w:tc>
        <w:tc>
          <w:tcPr>
            <w:tcW w:w="1350" w:type="dxa"/>
            <w:vAlign w:val="center"/>
            <w:hideMark/>
          </w:tcPr>
          <w:p w14:paraId="6E5CC5B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0.88</w:t>
            </w:r>
          </w:p>
        </w:tc>
        <w:tc>
          <w:tcPr>
            <w:tcW w:w="1620" w:type="dxa"/>
            <w:vAlign w:val="center"/>
            <w:hideMark/>
          </w:tcPr>
          <w:p w14:paraId="781B219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37397260" w14:textId="77777777" w:rsidTr="00321E98">
        <w:trPr>
          <w:trHeight w:val="93"/>
        </w:trPr>
        <w:tc>
          <w:tcPr>
            <w:tcW w:w="3888" w:type="dxa"/>
            <w:tcBorders>
              <w:bottom w:val="single" w:sz="4" w:space="0" w:color="auto"/>
            </w:tcBorders>
            <w:vAlign w:val="center"/>
            <w:hideMark/>
          </w:tcPr>
          <w:p w14:paraId="42B6543F"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take initiative to explore additional resources related to the lesson.</w:t>
            </w:r>
          </w:p>
        </w:tc>
        <w:tc>
          <w:tcPr>
            <w:tcW w:w="1350" w:type="dxa"/>
            <w:tcBorders>
              <w:bottom w:val="single" w:sz="4" w:space="0" w:color="auto"/>
            </w:tcBorders>
            <w:vAlign w:val="center"/>
            <w:hideMark/>
          </w:tcPr>
          <w:p w14:paraId="67CAC7C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3.67</w:t>
            </w:r>
          </w:p>
        </w:tc>
        <w:tc>
          <w:tcPr>
            <w:tcW w:w="1350" w:type="dxa"/>
            <w:tcBorders>
              <w:bottom w:val="single" w:sz="4" w:space="0" w:color="auto"/>
            </w:tcBorders>
            <w:vAlign w:val="center"/>
            <w:hideMark/>
          </w:tcPr>
          <w:p w14:paraId="695E334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1.03</w:t>
            </w:r>
          </w:p>
        </w:tc>
        <w:tc>
          <w:tcPr>
            <w:tcW w:w="1620" w:type="dxa"/>
            <w:tcBorders>
              <w:bottom w:val="single" w:sz="4" w:space="0" w:color="auto"/>
            </w:tcBorders>
            <w:vAlign w:val="center"/>
            <w:hideMark/>
          </w:tcPr>
          <w:p w14:paraId="5DE1B71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5DEE3C47" w14:textId="77777777" w:rsidTr="00321E98">
        <w:trPr>
          <w:trHeight w:val="93"/>
        </w:trPr>
        <w:tc>
          <w:tcPr>
            <w:tcW w:w="3888" w:type="dxa"/>
            <w:tcBorders>
              <w:top w:val="single" w:sz="4" w:space="0" w:color="auto"/>
              <w:bottom w:val="single" w:sz="4" w:space="0" w:color="auto"/>
            </w:tcBorders>
            <w:vAlign w:val="center"/>
            <w:hideMark/>
          </w:tcPr>
          <w:p w14:paraId="31E5AD3C"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350" w:type="dxa"/>
            <w:tcBorders>
              <w:top w:val="single" w:sz="4" w:space="0" w:color="auto"/>
              <w:bottom w:val="single" w:sz="4" w:space="0" w:color="auto"/>
            </w:tcBorders>
            <w:vAlign w:val="center"/>
            <w:hideMark/>
          </w:tcPr>
          <w:p w14:paraId="5333A0E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3.95</w:t>
            </w:r>
          </w:p>
        </w:tc>
        <w:tc>
          <w:tcPr>
            <w:tcW w:w="1350" w:type="dxa"/>
            <w:tcBorders>
              <w:top w:val="single" w:sz="4" w:space="0" w:color="auto"/>
              <w:bottom w:val="single" w:sz="4" w:space="0" w:color="auto"/>
            </w:tcBorders>
            <w:vAlign w:val="center"/>
            <w:hideMark/>
          </w:tcPr>
          <w:p w14:paraId="7EB08A0B" w14:textId="77777777" w:rsidR="001E51D5" w:rsidRPr="00054A5F" w:rsidRDefault="001E51D5" w:rsidP="001E51D5">
            <w:pPr>
              <w:jc w:val="center"/>
              <w:rPr>
                <w:rFonts w:ascii="Arial" w:hAnsi="Arial" w:cs="Arial"/>
                <w:b/>
                <w:color w:val="1F1F1F"/>
                <w:lang w:eastAsia="en-PH"/>
              </w:rPr>
            </w:pPr>
          </w:p>
        </w:tc>
        <w:tc>
          <w:tcPr>
            <w:tcW w:w="1620" w:type="dxa"/>
            <w:tcBorders>
              <w:top w:val="single" w:sz="4" w:space="0" w:color="auto"/>
              <w:bottom w:val="single" w:sz="4" w:space="0" w:color="auto"/>
            </w:tcBorders>
            <w:vAlign w:val="center"/>
            <w:hideMark/>
          </w:tcPr>
          <w:p w14:paraId="55ACB6D0"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Agree</w:t>
            </w:r>
          </w:p>
        </w:tc>
      </w:tr>
    </w:tbl>
    <w:p w14:paraId="178B4D28" w14:textId="77777777" w:rsidR="001E51D5" w:rsidRPr="00054A5F" w:rsidRDefault="001E51D5" w:rsidP="001E51D5">
      <w:pPr>
        <w:rPr>
          <w:rFonts w:ascii="Arial" w:hAnsi="Arial" w:cs="Arial"/>
          <w:bCs/>
          <w:sz w:val="16"/>
          <w:szCs w:val="16"/>
          <w:lang w:eastAsia="en-PH"/>
        </w:rPr>
      </w:pPr>
    </w:p>
    <w:p w14:paraId="561BB772"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13 shows the level of intrinsic motivation among students as perceived by the teacher-respondents. The data reveals an overall weighted mean of </w:t>
      </w:r>
      <w:r w:rsidRPr="00054A5F">
        <w:rPr>
          <w:rFonts w:ascii="Arial" w:hAnsi="Arial" w:cs="Arial"/>
          <w:bCs/>
          <w:color w:val="1F1F1F"/>
          <w:bdr w:val="none" w:sz="0" w:space="0" w:color="auto" w:frame="1"/>
          <w:lang w:eastAsia="en-PH"/>
        </w:rPr>
        <w:t>3.95</w:t>
      </w:r>
      <w:r w:rsidRPr="00054A5F">
        <w:rPr>
          <w:rFonts w:ascii="Arial" w:hAnsi="Arial" w:cs="Arial"/>
          <w:bCs/>
          <w:color w:val="1F1F1F"/>
          <w:lang w:eastAsia="en-PH"/>
        </w:rPr>
        <w:t xml:space="preserve">, which falls under the verbal interpretation of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xml:space="preserve"> Among the indicators, the statement "Students actively participate in discussions because they find the topic interesting" received the highest weighted mean of </w:t>
      </w:r>
      <w:r w:rsidRPr="00054A5F">
        <w:rPr>
          <w:rFonts w:ascii="Arial" w:hAnsi="Arial" w:cs="Arial"/>
          <w:bCs/>
          <w:color w:val="1F1F1F"/>
          <w:bdr w:val="none" w:sz="0" w:space="0" w:color="auto" w:frame="1"/>
          <w:lang w:eastAsia="en-PH"/>
        </w:rPr>
        <w:t>4.20</w:t>
      </w:r>
      <w:r w:rsidRPr="00054A5F">
        <w:rPr>
          <w:rFonts w:ascii="Arial" w:hAnsi="Arial" w:cs="Arial"/>
          <w:bCs/>
          <w:color w:val="1F1F1F"/>
          <w:lang w:eastAsia="en-PH"/>
        </w:rPr>
        <w:t xml:space="preserve">, followed closely by "Students express satisfaction when they master a complex skill or concept" at </w:t>
      </w:r>
      <w:r w:rsidRPr="00054A5F">
        <w:rPr>
          <w:rFonts w:ascii="Arial" w:hAnsi="Arial" w:cs="Arial"/>
          <w:bCs/>
          <w:color w:val="1F1F1F"/>
          <w:bdr w:val="none" w:sz="0" w:space="0" w:color="auto" w:frame="1"/>
          <w:lang w:eastAsia="en-PH"/>
        </w:rPr>
        <w:t>4.18</w:t>
      </w:r>
      <w:r w:rsidRPr="00054A5F">
        <w:rPr>
          <w:rFonts w:ascii="Arial" w:hAnsi="Arial" w:cs="Arial"/>
          <w:bCs/>
          <w:color w:val="1F1F1F"/>
          <w:lang w:eastAsia="en-PH"/>
        </w:rPr>
        <w:t xml:space="preserve">. Conversely, the indicator "Students take initiative to explore additional resources related to the lesson" garnered the lowest weighted mean of </w:t>
      </w:r>
      <w:r w:rsidRPr="00054A5F">
        <w:rPr>
          <w:rFonts w:ascii="Arial" w:hAnsi="Arial" w:cs="Arial"/>
          <w:bCs/>
          <w:color w:val="1F1F1F"/>
          <w:bdr w:val="none" w:sz="0" w:space="0" w:color="auto" w:frame="1"/>
          <w:lang w:eastAsia="en-PH"/>
        </w:rPr>
        <w:t>3.67</w:t>
      </w:r>
      <w:r w:rsidRPr="00054A5F">
        <w:rPr>
          <w:rFonts w:ascii="Arial" w:hAnsi="Arial" w:cs="Arial"/>
          <w:bCs/>
          <w:color w:val="1F1F1F"/>
          <w:lang w:eastAsia="en-PH"/>
        </w:rPr>
        <w:t xml:space="preserve">, though it still remains within the "Agree" range. The relatively low standard deviations, particularly the </w:t>
      </w:r>
      <w:r w:rsidRPr="00054A5F">
        <w:rPr>
          <w:rFonts w:ascii="Arial" w:hAnsi="Arial" w:cs="Arial"/>
          <w:bCs/>
          <w:color w:val="1F1F1F"/>
          <w:bdr w:val="none" w:sz="0" w:space="0" w:color="auto" w:frame="1"/>
          <w:lang w:eastAsia="en-PH"/>
        </w:rPr>
        <w:t>0.83</w:t>
      </w:r>
      <w:r w:rsidRPr="00054A5F">
        <w:rPr>
          <w:rFonts w:ascii="Arial" w:hAnsi="Arial" w:cs="Arial"/>
          <w:bCs/>
          <w:color w:val="1F1F1F"/>
          <w:lang w:eastAsia="en-PH"/>
        </w:rPr>
        <w:t xml:space="preserve"> for student participation, suggest that the teachers' observations regarding these motivated behaviors are fairly consistent.</w:t>
      </w:r>
    </w:p>
    <w:p w14:paraId="005967EF"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teachers perceive internal interest and the joy of mastery as significant drivers of student engagement, which are critical foundations for long-term learning retention. The high scores in interest-based participation and satisfaction upon mastery suggest that when students are emotionally and intellectually invested in the "why" of a lesson, they are more likely to encode information deeply. However, the lower mean for taking initiative to explore additional resources indicates that while students are motivated within the classroom structure, their </w:t>
      </w:r>
      <w:r w:rsidRPr="00054A5F">
        <w:rPr>
          <w:rFonts w:ascii="Arial" w:hAnsi="Arial" w:cs="Arial"/>
          <w:bCs/>
          <w:color w:val="1F1F1F"/>
          <w:bdr w:val="none" w:sz="0" w:space="0" w:color="auto" w:frame="1"/>
          <w:lang w:eastAsia="en-PH"/>
        </w:rPr>
        <w:t>self-directed learning habits</w:t>
      </w:r>
      <w:r w:rsidRPr="00054A5F">
        <w:rPr>
          <w:rFonts w:ascii="Arial" w:hAnsi="Arial" w:cs="Arial"/>
          <w:bCs/>
          <w:color w:val="1F1F1F"/>
          <w:lang w:eastAsia="en-PH"/>
        </w:rPr>
        <w:t xml:space="preserve"> are less developed. For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this suggests that while the students possess the necessary internal drive, the intervention should focus on transitioning this passive interest into active, </w:t>
      </w:r>
      <w:r w:rsidRPr="00054A5F">
        <w:rPr>
          <w:rFonts w:ascii="Arial" w:hAnsi="Arial" w:cs="Arial"/>
          <w:bCs/>
          <w:color w:val="1F1F1F"/>
          <w:lang w:eastAsia="en-PH"/>
        </w:rPr>
        <w:lastRenderedPageBreak/>
        <w:t>independent study habits to ensure that knowledge is reinforced beyond the initial classroom discussion.</w:t>
      </w:r>
    </w:p>
    <w:p w14:paraId="00F4F54C" w14:textId="77777777" w:rsidR="00A44D52" w:rsidRPr="00054A5F" w:rsidRDefault="00A44D52" w:rsidP="00A44D52">
      <w:pPr>
        <w:jc w:val="both"/>
        <w:rPr>
          <w:rFonts w:ascii="Arial" w:hAnsi="Arial" w:cs="Arial"/>
          <w:lang w:eastAsia="en-PH"/>
        </w:rPr>
      </w:pPr>
    </w:p>
    <w:p w14:paraId="5073244D"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intrinsic motivation as a driver of student engagement and mastery experiences in classroom settings, where curiosity, discussion participation, and satisfaction upon mastering concepts cluster as indicators of internal drive that supports deeper encoding and long-term retention. The findings from Table 13—especially high participation (4.20) and mastery satisfaction (4.18)—mirror theories that internal interest fuels sustained learning behaviors and deeper knowledge construction, while lower initiative for self-directed resource exploration suggests a need to scaffold self-regulated learning to sustain gains beyond the classroom. Taken together, this evidence supports integrating targeted interventions that translate intrinsic motivation into independent study habits to bolster learning retention in the Learning Retention Enhancement Program.</w:t>
      </w:r>
    </w:p>
    <w:p w14:paraId="6C446EF4" w14:textId="77777777" w:rsidR="001E51D5" w:rsidRPr="00054A5F" w:rsidRDefault="001E51D5" w:rsidP="001E51D5">
      <w:pPr>
        <w:rPr>
          <w:rFonts w:ascii="Arial" w:hAnsi="Arial" w:cs="Arial"/>
          <w:b/>
          <w:lang w:eastAsia="en-PH"/>
        </w:rPr>
      </w:pPr>
    </w:p>
    <w:p w14:paraId="18618905" w14:textId="77777777" w:rsidR="001E51D5" w:rsidRPr="00054A5F" w:rsidRDefault="001E51D5" w:rsidP="001E51D5">
      <w:pPr>
        <w:rPr>
          <w:rFonts w:ascii="Arial" w:hAnsi="Arial" w:cs="Arial"/>
          <w:lang w:eastAsia="en-PH"/>
        </w:rPr>
      </w:pPr>
      <w:r w:rsidRPr="00054A5F">
        <w:rPr>
          <w:rFonts w:ascii="Arial" w:hAnsi="Arial" w:cs="Arial"/>
          <w:b/>
          <w:lang w:eastAsia="en-PH"/>
        </w:rPr>
        <w:t>Table 14. Study Habits</w:t>
      </w:r>
    </w:p>
    <w:tbl>
      <w:tblPr>
        <w:tblW w:w="7938" w:type="dxa"/>
        <w:tblLook w:val="04A0" w:firstRow="1" w:lastRow="0" w:firstColumn="1" w:lastColumn="0" w:noHBand="0" w:noVBand="1"/>
      </w:tblPr>
      <w:tblGrid>
        <w:gridCol w:w="3528"/>
        <w:gridCol w:w="1116"/>
        <w:gridCol w:w="1494"/>
        <w:gridCol w:w="1800"/>
      </w:tblGrid>
      <w:tr w:rsidR="001E51D5" w:rsidRPr="00054A5F" w14:paraId="1D9ED30B" w14:textId="77777777" w:rsidTr="00321E98">
        <w:trPr>
          <w:trHeight w:val="23"/>
        </w:trPr>
        <w:tc>
          <w:tcPr>
            <w:tcW w:w="3528" w:type="dxa"/>
            <w:tcBorders>
              <w:top w:val="single" w:sz="4" w:space="0" w:color="auto"/>
              <w:bottom w:val="single" w:sz="4" w:space="0" w:color="auto"/>
            </w:tcBorders>
            <w:vAlign w:val="center"/>
            <w:hideMark/>
          </w:tcPr>
          <w:p w14:paraId="70D23A63"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116" w:type="dxa"/>
            <w:tcBorders>
              <w:top w:val="single" w:sz="4" w:space="0" w:color="auto"/>
              <w:bottom w:val="single" w:sz="4" w:space="0" w:color="auto"/>
            </w:tcBorders>
            <w:vAlign w:val="center"/>
            <w:hideMark/>
          </w:tcPr>
          <w:p w14:paraId="4C16E34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494" w:type="dxa"/>
            <w:tcBorders>
              <w:top w:val="single" w:sz="4" w:space="0" w:color="auto"/>
              <w:bottom w:val="single" w:sz="4" w:space="0" w:color="auto"/>
            </w:tcBorders>
            <w:vAlign w:val="center"/>
            <w:hideMark/>
          </w:tcPr>
          <w:p w14:paraId="251AB3DA"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800" w:type="dxa"/>
            <w:tcBorders>
              <w:top w:val="single" w:sz="4" w:space="0" w:color="auto"/>
              <w:bottom w:val="single" w:sz="4" w:space="0" w:color="auto"/>
            </w:tcBorders>
            <w:vAlign w:val="center"/>
            <w:hideMark/>
          </w:tcPr>
          <w:p w14:paraId="0C72727D"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5D197A58" w14:textId="77777777" w:rsidTr="00321E98">
        <w:trPr>
          <w:trHeight w:val="23"/>
        </w:trPr>
        <w:tc>
          <w:tcPr>
            <w:tcW w:w="3528" w:type="dxa"/>
            <w:tcBorders>
              <w:top w:val="single" w:sz="4" w:space="0" w:color="auto"/>
            </w:tcBorders>
            <w:vAlign w:val="center"/>
            <w:hideMark/>
          </w:tcPr>
          <w:p w14:paraId="71131839"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consistently review their notes before a scheduled assessment.</w:t>
            </w:r>
          </w:p>
        </w:tc>
        <w:tc>
          <w:tcPr>
            <w:tcW w:w="1116" w:type="dxa"/>
            <w:tcBorders>
              <w:top w:val="single" w:sz="4" w:space="0" w:color="auto"/>
            </w:tcBorders>
            <w:vAlign w:val="center"/>
            <w:hideMark/>
          </w:tcPr>
          <w:p w14:paraId="04952AA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3.38</w:t>
            </w:r>
          </w:p>
        </w:tc>
        <w:tc>
          <w:tcPr>
            <w:tcW w:w="1494" w:type="dxa"/>
            <w:tcBorders>
              <w:top w:val="single" w:sz="4" w:space="0" w:color="auto"/>
            </w:tcBorders>
            <w:vAlign w:val="center"/>
            <w:hideMark/>
          </w:tcPr>
          <w:p w14:paraId="6991604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1.12</w:t>
            </w:r>
          </w:p>
        </w:tc>
        <w:tc>
          <w:tcPr>
            <w:tcW w:w="1800" w:type="dxa"/>
            <w:tcBorders>
              <w:top w:val="single" w:sz="4" w:space="0" w:color="auto"/>
            </w:tcBorders>
            <w:vAlign w:val="center"/>
            <w:hideMark/>
          </w:tcPr>
          <w:p w14:paraId="0927F61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2FDC4763" w14:textId="77777777" w:rsidTr="00321E98">
        <w:trPr>
          <w:trHeight w:val="23"/>
        </w:trPr>
        <w:tc>
          <w:tcPr>
            <w:tcW w:w="3528" w:type="dxa"/>
            <w:vAlign w:val="center"/>
            <w:hideMark/>
          </w:tcPr>
          <w:p w14:paraId="35776A92"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demonstrate effective techniques for organizing their learning materials.</w:t>
            </w:r>
          </w:p>
        </w:tc>
        <w:tc>
          <w:tcPr>
            <w:tcW w:w="1116" w:type="dxa"/>
            <w:vAlign w:val="center"/>
            <w:hideMark/>
          </w:tcPr>
          <w:p w14:paraId="41402C6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3.52</w:t>
            </w:r>
          </w:p>
        </w:tc>
        <w:tc>
          <w:tcPr>
            <w:tcW w:w="1494" w:type="dxa"/>
            <w:vAlign w:val="center"/>
            <w:hideMark/>
          </w:tcPr>
          <w:p w14:paraId="55F3F1D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1.06</w:t>
            </w:r>
          </w:p>
        </w:tc>
        <w:tc>
          <w:tcPr>
            <w:tcW w:w="1800" w:type="dxa"/>
            <w:vAlign w:val="center"/>
            <w:hideMark/>
          </w:tcPr>
          <w:p w14:paraId="0A92769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24326A68" w14:textId="77777777" w:rsidTr="00321E98">
        <w:trPr>
          <w:trHeight w:val="23"/>
        </w:trPr>
        <w:tc>
          <w:tcPr>
            <w:tcW w:w="3528" w:type="dxa"/>
            <w:vAlign w:val="center"/>
            <w:hideMark/>
          </w:tcPr>
          <w:p w14:paraId="30AB7436"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complete their homework and assignments on time.</w:t>
            </w:r>
          </w:p>
        </w:tc>
        <w:tc>
          <w:tcPr>
            <w:tcW w:w="1116" w:type="dxa"/>
            <w:vAlign w:val="center"/>
            <w:hideMark/>
          </w:tcPr>
          <w:p w14:paraId="3C960DE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3.25</w:t>
            </w:r>
          </w:p>
        </w:tc>
        <w:tc>
          <w:tcPr>
            <w:tcW w:w="1494" w:type="dxa"/>
            <w:vAlign w:val="center"/>
            <w:hideMark/>
          </w:tcPr>
          <w:p w14:paraId="639FA83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1.12</w:t>
            </w:r>
          </w:p>
        </w:tc>
        <w:tc>
          <w:tcPr>
            <w:tcW w:w="1800" w:type="dxa"/>
            <w:vAlign w:val="center"/>
            <w:hideMark/>
          </w:tcPr>
          <w:p w14:paraId="7F05FFC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353028CC" w14:textId="77777777" w:rsidTr="00321E98">
        <w:trPr>
          <w:trHeight w:val="23"/>
        </w:trPr>
        <w:tc>
          <w:tcPr>
            <w:tcW w:w="3528" w:type="dxa"/>
            <w:vAlign w:val="center"/>
            <w:hideMark/>
          </w:tcPr>
          <w:p w14:paraId="3D28EE06"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practice self-testing or retrieval practice (e.g., using flashcards).</w:t>
            </w:r>
          </w:p>
        </w:tc>
        <w:tc>
          <w:tcPr>
            <w:tcW w:w="1116" w:type="dxa"/>
            <w:vAlign w:val="center"/>
            <w:hideMark/>
          </w:tcPr>
          <w:p w14:paraId="664038A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3.36</w:t>
            </w:r>
          </w:p>
        </w:tc>
        <w:tc>
          <w:tcPr>
            <w:tcW w:w="1494" w:type="dxa"/>
            <w:vAlign w:val="center"/>
            <w:hideMark/>
          </w:tcPr>
          <w:p w14:paraId="48C9CAF6"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0.95</w:t>
            </w:r>
          </w:p>
        </w:tc>
        <w:tc>
          <w:tcPr>
            <w:tcW w:w="1800" w:type="dxa"/>
            <w:vAlign w:val="center"/>
            <w:hideMark/>
          </w:tcPr>
          <w:p w14:paraId="007C21F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5BB377A7" w14:textId="77777777" w:rsidTr="00321E98">
        <w:trPr>
          <w:trHeight w:val="23"/>
        </w:trPr>
        <w:tc>
          <w:tcPr>
            <w:tcW w:w="3528" w:type="dxa"/>
            <w:tcBorders>
              <w:bottom w:val="single" w:sz="4" w:space="0" w:color="auto"/>
            </w:tcBorders>
            <w:vAlign w:val="center"/>
            <w:hideMark/>
          </w:tcPr>
          <w:p w14:paraId="1399DDB3"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allocate specific time at home for academic review and reflection.</w:t>
            </w:r>
          </w:p>
        </w:tc>
        <w:tc>
          <w:tcPr>
            <w:tcW w:w="1116" w:type="dxa"/>
            <w:tcBorders>
              <w:bottom w:val="single" w:sz="4" w:space="0" w:color="auto"/>
            </w:tcBorders>
            <w:vAlign w:val="center"/>
            <w:hideMark/>
          </w:tcPr>
          <w:p w14:paraId="10DAD4D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3.25</w:t>
            </w:r>
          </w:p>
        </w:tc>
        <w:tc>
          <w:tcPr>
            <w:tcW w:w="1494" w:type="dxa"/>
            <w:tcBorders>
              <w:bottom w:val="single" w:sz="4" w:space="0" w:color="auto"/>
            </w:tcBorders>
            <w:vAlign w:val="center"/>
            <w:hideMark/>
          </w:tcPr>
          <w:p w14:paraId="3624E04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1.06</w:t>
            </w:r>
          </w:p>
        </w:tc>
        <w:tc>
          <w:tcPr>
            <w:tcW w:w="1800" w:type="dxa"/>
            <w:tcBorders>
              <w:bottom w:val="single" w:sz="4" w:space="0" w:color="auto"/>
            </w:tcBorders>
            <w:vAlign w:val="center"/>
            <w:hideMark/>
          </w:tcPr>
          <w:p w14:paraId="3FBD495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5BBA6C8D" w14:textId="77777777" w:rsidTr="00321E98">
        <w:trPr>
          <w:trHeight w:val="23"/>
        </w:trPr>
        <w:tc>
          <w:tcPr>
            <w:tcW w:w="3528" w:type="dxa"/>
            <w:tcBorders>
              <w:top w:val="single" w:sz="4" w:space="0" w:color="auto"/>
              <w:bottom w:val="single" w:sz="4" w:space="0" w:color="auto"/>
            </w:tcBorders>
            <w:vAlign w:val="center"/>
            <w:hideMark/>
          </w:tcPr>
          <w:p w14:paraId="0F0234D6"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116" w:type="dxa"/>
            <w:tcBorders>
              <w:top w:val="single" w:sz="4" w:space="0" w:color="auto"/>
              <w:bottom w:val="single" w:sz="4" w:space="0" w:color="auto"/>
            </w:tcBorders>
            <w:vAlign w:val="center"/>
            <w:hideMark/>
          </w:tcPr>
          <w:p w14:paraId="62B1B02F"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3.35</w:t>
            </w:r>
          </w:p>
        </w:tc>
        <w:tc>
          <w:tcPr>
            <w:tcW w:w="1494" w:type="dxa"/>
            <w:tcBorders>
              <w:top w:val="single" w:sz="4" w:space="0" w:color="auto"/>
              <w:bottom w:val="single" w:sz="4" w:space="0" w:color="auto"/>
            </w:tcBorders>
            <w:vAlign w:val="center"/>
            <w:hideMark/>
          </w:tcPr>
          <w:p w14:paraId="55C0EEFD" w14:textId="77777777" w:rsidR="001E51D5" w:rsidRPr="00054A5F" w:rsidRDefault="001E51D5" w:rsidP="001E51D5">
            <w:pPr>
              <w:jc w:val="center"/>
              <w:rPr>
                <w:rFonts w:ascii="Arial" w:hAnsi="Arial" w:cs="Arial"/>
                <w:b/>
                <w:color w:val="1F1F1F"/>
                <w:lang w:eastAsia="en-PH"/>
              </w:rPr>
            </w:pPr>
          </w:p>
        </w:tc>
        <w:tc>
          <w:tcPr>
            <w:tcW w:w="1800" w:type="dxa"/>
            <w:tcBorders>
              <w:top w:val="single" w:sz="4" w:space="0" w:color="auto"/>
              <w:bottom w:val="single" w:sz="4" w:space="0" w:color="auto"/>
            </w:tcBorders>
            <w:vAlign w:val="center"/>
            <w:hideMark/>
          </w:tcPr>
          <w:p w14:paraId="659D39A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 xml:space="preserve">Neither Agree </w:t>
            </w:r>
            <w:proofErr w:type="gramStart"/>
            <w:r w:rsidRPr="00054A5F">
              <w:rPr>
                <w:rFonts w:ascii="Arial" w:hAnsi="Arial" w:cs="Arial"/>
                <w:b/>
                <w:color w:val="1F1F1F"/>
                <w:lang w:eastAsia="en-PH"/>
              </w:rPr>
              <w:t>Nor</w:t>
            </w:r>
            <w:proofErr w:type="gramEnd"/>
            <w:r w:rsidRPr="00054A5F">
              <w:rPr>
                <w:rFonts w:ascii="Arial" w:hAnsi="Arial" w:cs="Arial"/>
                <w:b/>
                <w:color w:val="1F1F1F"/>
                <w:lang w:eastAsia="en-PH"/>
              </w:rPr>
              <w:t xml:space="preserve"> Disagree</w:t>
            </w:r>
          </w:p>
        </w:tc>
      </w:tr>
    </w:tbl>
    <w:p w14:paraId="19E33ABC" w14:textId="77777777" w:rsidR="00A44D52" w:rsidRPr="00054A5F" w:rsidRDefault="00A44D52" w:rsidP="00A44D52">
      <w:pPr>
        <w:jc w:val="both"/>
        <w:rPr>
          <w:rFonts w:ascii="Arial" w:hAnsi="Arial" w:cs="Arial"/>
          <w:bCs/>
          <w:color w:val="1F1F1F"/>
          <w:lang w:eastAsia="en-PH"/>
        </w:rPr>
      </w:pPr>
    </w:p>
    <w:p w14:paraId="3D510C26"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Table 14 shows the teacher-</w:t>
      </w:r>
      <w:r w:rsidR="00321E98" w:rsidRPr="00054A5F">
        <w:rPr>
          <w:rFonts w:ascii="Arial" w:hAnsi="Arial" w:cs="Arial"/>
          <w:bCs/>
          <w:color w:val="1F1F1F"/>
          <w:lang w:eastAsia="en-PH"/>
        </w:rPr>
        <w:t>respondent’s</w:t>
      </w:r>
      <w:r w:rsidRPr="00054A5F">
        <w:rPr>
          <w:rFonts w:ascii="Arial" w:hAnsi="Arial" w:cs="Arial"/>
          <w:bCs/>
          <w:color w:val="1F1F1F"/>
          <w:lang w:eastAsia="en-PH"/>
        </w:rPr>
        <w:t xml:space="preserve"> perceptions regarding the study habits of Junior High School students, yielding an overall weighted mean of </w:t>
      </w:r>
      <w:r w:rsidRPr="00054A5F">
        <w:rPr>
          <w:rFonts w:ascii="Arial" w:hAnsi="Arial" w:cs="Arial"/>
          <w:bCs/>
          <w:color w:val="1F1F1F"/>
          <w:bdr w:val="none" w:sz="0" w:space="0" w:color="auto" w:frame="1"/>
          <w:lang w:eastAsia="en-PH"/>
        </w:rPr>
        <w:t>3.35</w:t>
      </w:r>
      <w:r w:rsidRPr="00054A5F">
        <w:rPr>
          <w:rFonts w:ascii="Arial" w:hAnsi="Arial" w:cs="Arial"/>
          <w:bCs/>
          <w:color w:val="1F1F1F"/>
          <w:lang w:eastAsia="en-PH"/>
        </w:rPr>
        <w:t xml:space="preserve">, which is verbally interpreted as </w:t>
      </w:r>
      <w:r w:rsidRPr="00054A5F">
        <w:rPr>
          <w:rFonts w:ascii="Arial" w:hAnsi="Arial" w:cs="Arial"/>
          <w:bCs/>
          <w:color w:val="1F1F1F"/>
          <w:bdr w:val="none" w:sz="0" w:space="0" w:color="auto" w:frame="1"/>
          <w:lang w:eastAsia="en-PH"/>
        </w:rPr>
        <w:t xml:space="preserve">"Neither Agree </w:t>
      </w:r>
      <w:r w:rsidR="00321E98" w:rsidRPr="00054A5F">
        <w:rPr>
          <w:rFonts w:ascii="Arial" w:hAnsi="Arial" w:cs="Arial"/>
          <w:bCs/>
          <w:color w:val="1F1F1F"/>
          <w:bdr w:val="none" w:sz="0" w:space="0" w:color="auto" w:frame="1"/>
          <w:lang w:eastAsia="en-PH"/>
        </w:rPr>
        <w:t>nor</w:t>
      </w:r>
      <w:r w:rsidRPr="00054A5F">
        <w:rPr>
          <w:rFonts w:ascii="Arial" w:hAnsi="Arial" w:cs="Arial"/>
          <w:bCs/>
          <w:color w:val="1F1F1F"/>
          <w:bdr w:val="none" w:sz="0" w:space="0" w:color="auto" w:frame="1"/>
          <w:lang w:eastAsia="en-PH"/>
        </w:rPr>
        <w:t xml:space="preserve"> Disagree."</w:t>
      </w:r>
      <w:r w:rsidRPr="00054A5F">
        <w:rPr>
          <w:rFonts w:ascii="Arial" w:hAnsi="Arial" w:cs="Arial"/>
          <w:bCs/>
          <w:color w:val="1F1F1F"/>
          <w:lang w:eastAsia="en-PH"/>
        </w:rPr>
        <w:t xml:space="preserve"> Among the specific indicators, only the ability of students to demonstrate effective techniques for organizing learning materials received a positive rating with a weighted mean of </w:t>
      </w:r>
      <w:r w:rsidRPr="00054A5F">
        <w:rPr>
          <w:rFonts w:ascii="Arial" w:hAnsi="Arial" w:cs="Arial"/>
          <w:bCs/>
          <w:color w:val="1F1F1F"/>
          <w:bdr w:val="none" w:sz="0" w:space="0" w:color="auto" w:frame="1"/>
          <w:lang w:eastAsia="en-PH"/>
        </w:rPr>
        <w:t>3.52</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In contrast, all other indicators—including consistent note review (</w:t>
      </w:r>
      <w:r w:rsidRPr="00054A5F">
        <w:rPr>
          <w:rFonts w:ascii="Arial" w:hAnsi="Arial" w:cs="Arial"/>
          <w:bCs/>
          <w:color w:val="1F1F1F"/>
          <w:bdr w:val="none" w:sz="0" w:space="0" w:color="auto" w:frame="1"/>
          <w:lang w:eastAsia="en-PH"/>
        </w:rPr>
        <w:t>3.38</w:t>
      </w:r>
      <w:r w:rsidRPr="00054A5F">
        <w:rPr>
          <w:rFonts w:ascii="Arial" w:hAnsi="Arial" w:cs="Arial"/>
          <w:bCs/>
          <w:color w:val="1F1F1F"/>
          <w:lang w:eastAsia="en-PH"/>
        </w:rPr>
        <w:t>), self-testing or retrieval practice (</w:t>
      </w:r>
      <w:r w:rsidRPr="00054A5F">
        <w:rPr>
          <w:rFonts w:ascii="Arial" w:hAnsi="Arial" w:cs="Arial"/>
          <w:bCs/>
          <w:color w:val="1F1F1F"/>
          <w:bdr w:val="none" w:sz="0" w:space="0" w:color="auto" w:frame="1"/>
          <w:lang w:eastAsia="en-PH"/>
        </w:rPr>
        <w:t>3.36</w:t>
      </w:r>
      <w:r w:rsidRPr="00054A5F">
        <w:rPr>
          <w:rFonts w:ascii="Arial" w:hAnsi="Arial" w:cs="Arial"/>
          <w:bCs/>
          <w:color w:val="1F1F1F"/>
          <w:lang w:eastAsia="en-PH"/>
        </w:rPr>
        <w:t xml:space="preserve">), and both timely completion of homework and allocation of specific review time (both at </w:t>
      </w:r>
      <w:r w:rsidRPr="00054A5F">
        <w:rPr>
          <w:rFonts w:ascii="Arial" w:hAnsi="Arial" w:cs="Arial"/>
          <w:bCs/>
          <w:color w:val="1F1F1F"/>
          <w:bdr w:val="none" w:sz="0" w:space="0" w:color="auto" w:frame="1"/>
          <w:lang w:eastAsia="en-PH"/>
        </w:rPr>
        <w:t>3.25</w:t>
      </w:r>
      <w:r w:rsidRPr="00054A5F">
        <w:rPr>
          <w:rFonts w:ascii="Arial" w:hAnsi="Arial" w:cs="Arial"/>
          <w:bCs/>
          <w:color w:val="1F1F1F"/>
          <w:lang w:eastAsia="en-PH"/>
        </w:rPr>
        <w:t xml:space="preserve">) — fell within the neutral range of "Neither Agree </w:t>
      </w:r>
      <w:r w:rsidR="00321E98" w:rsidRPr="00054A5F">
        <w:rPr>
          <w:rFonts w:ascii="Arial" w:hAnsi="Arial" w:cs="Arial"/>
          <w:bCs/>
          <w:color w:val="1F1F1F"/>
          <w:lang w:eastAsia="en-PH"/>
        </w:rPr>
        <w:t>nor</w:t>
      </w:r>
      <w:r w:rsidRPr="00054A5F">
        <w:rPr>
          <w:rFonts w:ascii="Arial" w:hAnsi="Arial" w:cs="Arial"/>
          <w:bCs/>
          <w:color w:val="1F1F1F"/>
          <w:lang w:eastAsia="en-PH"/>
        </w:rPr>
        <w:t xml:space="preserve"> Disagree." These figures suggest a perceived inconsistency or lack of robust academic discipline among the student body from the teachers' perspective.</w:t>
      </w:r>
    </w:p>
    <w:p w14:paraId="694BDD14"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teachers perceive a significant deficit in the independent learning behaviors and metacognitive strategies of their students, which likely serves as a primary barrier to long-term learning retention. While students may be able to organize their materials, the lack of consistent retrieval practice and dedicated home study time suggests that information is not being successfully transferred from short-term to long-term memory. This "neutral" perception highlights a critical disconnect between classroom instruction and home-based reinforcement. Consequently,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must go beyond classroom-based teaching strategies and include a strong component for </w:t>
      </w:r>
      <w:r w:rsidRPr="00054A5F">
        <w:rPr>
          <w:rFonts w:ascii="Arial" w:hAnsi="Arial" w:cs="Arial"/>
          <w:bCs/>
          <w:color w:val="1F1F1F"/>
          <w:bdr w:val="none" w:sz="0" w:space="0" w:color="auto" w:frame="1"/>
          <w:lang w:eastAsia="en-PH"/>
        </w:rPr>
        <w:t>student study skills training</w:t>
      </w:r>
      <w:r w:rsidRPr="00054A5F">
        <w:rPr>
          <w:rFonts w:ascii="Arial" w:hAnsi="Arial" w:cs="Arial"/>
          <w:bCs/>
          <w:color w:val="1F1F1F"/>
          <w:lang w:eastAsia="en-PH"/>
        </w:rPr>
        <w:t>, specifically teaching learners how to utilize active recall and spaced repetition techniques to bridge the gap between initial learning and lasting retention.</w:t>
      </w:r>
    </w:p>
    <w:p w14:paraId="1E6D28DA" w14:textId="77777777" w:rsidR="00A44D52" w:rsidRPr="00054A5F" w:rsidRDefault="00A44D52" w:rsidP="00A44D52">
      <w:pPr>
        <w:jc w:val="both"/>
        <w:rPr>
          <w:rFonts w:ascii="Arial" w:hAnsi="Arial" w:cs="Arial"/>
          <w:lang w:eastAsia="en-PH"/>
        </w:rPr>
      </w:pPr>
    </w:p>
    <w:p w14:paraId="5CC4EBD7" w14:textId="77777777" w:rsidR="001E51D5" w:rsidRPr="00054A5F" w:rsidRDefault="001E51D5" w:rsidP="00A44D52">
      <w:pPr>
        <w:jc w:val="both"/>
        <w:rPr>
          <w:rFonts w:ascii="Arial" w:hAnsi="Arial" w:cs="Arial"/>
          <w:lang w:eastAsia="en-PH"/>
        </w:rPr>
      </w:pPr>
      <w:r w:rsidRPr="00054A5F">
        <w:rPr>
          <w:rFonts w:ascii="Arial" w:hAnsi="Arial" w:cs="Arial"/>
          <w:lang w:eastAsia="en-PH"/>
        </w:rPr>
        <w:t xml:space="preserve">This aligns with the study of independent study skills and retrieval-based learning as critical determinants of learning retention among junior high students. Specifically, teacher perceptions highlighting inconsistent retrieval practices and limited home study time echo evidence that retrieval practice and spaced study are key for long-term retention and transfer and that explicit instruction in active recall strategies improves academic </w:t>
      </w:r>
      <w:r w:rsidR="00321E98" w:rsidRPr="00054A5F">
        <w:rPr>
          <w:rFonts w:ascii="Arial" w:hAnsi="Arial" w:cs="Arial"/>
          <w:lang w:eastAsia="en-PH"/>
        </w:rPr>
        <w:t>outcomes.</w:t>
      </w:r>
      <w:r w:rsidRPr="00054A5F">
        <w:rPr>
          <w:rFonts w:ascii="Arial" w:hAnsi="Arial" w:cs="Arial"/>
          <w:lang w:eastAsia="en-PH"/>
        </w:rPr>
        <w:t xml:space="preserve"> These findings collectively support integrating structured study skills training, including retrieval practice and spacing, into retention-enhancement programs to bridge classroom learning with home reinforcement.</w:t>
      </w:r>
    </w:p>
    <w:p w14:paraId="09987D3D" w14:textId="77777777" w:rsidR="001E51D5" w:rsidRPr="00054A5F" w:rsidRDefault="001E51D5" w:rsidP="00321E98">
      <w:pPr>
        <w:ind w:firstLine="720"/>
        <w:jc w:val="both"/>
        <w:rPr>
          <w:rFonts w:ascii="Arial" w:hAnsi="Arial" w:cs="Arial"/>
          <w:lang w:eastAsia="en-PH"/>
        </w:rPr>
      </w:pPr>
    </w:p>
    <w:p w14:paraId="3A093061" w14:textId="77777777" w:rsidR="001E51D5" w:rsidRPr="00054A5F" w:rsidRDefault="001E51D5" w:rsidP="00321E98">
      <w:pPr>
        <w:rPr>
          <w:rFonts w:ascii="Arial" w:hAnsi="Arial" w:cs="Arial"/>
          <w:lang w:eastAsia="en-PH"/>
        </w:rPr>
      </w:pPr>
    </w:p>
    <w:p w14:paraId="0D91BAF4" w14:textId="77777777" w:rsidR="001E51D5" w:rsidRPr="00054A5F" w:rsidRDefault="001E51D5" w:rsidP="001E51D5">
      <w:pPr>
        <w:rPr>
          <w:rFonts w:ascii="Arial" w:hAnsi="Arial" w:cs="Arial"/>
          <w:b/>
          <w:lang w:eastAsia="en-PH"/>
        </w:rPr>
      </w:pPr>
      <w:r w:rsidRPr="00054A5F">
        <w:rPr>
          <w:rFonts w:ascii="Arial" w:hAnsi="Arial" w:cs="Arial"/>
          <w:b/>
          <w:lang w:eastAsia="en-PH"/>
        </w:rPr>
        <w:t>Table 15. Attention Span</w:t>
      </w:r>
    </w:p>
    <w:tbl>
      <w:tblPr>
        <w:tblW w:w="8190" w:type="dxa"/>
        <w:tblLook w:val="04A0" w:firstRow="1" w:lastRow="0" w:firstColumn="1" w:lastColumn="0" w:noHBand="0" w:noVBand="1"/>
      </w:tblPr>
      <w:tblGrid>
        <w:gridCol w:w="3618"/>
        <w:gridCol w:w="1122"/>
        <w:gridCol w:w="1668"/>
        <w:gridCol w:w="1782"/>
      </w:tblGrid>
      <w:tr w:rsidR="001E51D5" w:rsidRPr="00054A5F" w14:paraId="7F56E6A5" w14:textId="77777777" w:rsidTr="00A44D52">
        <w:trPr>
          <w:trHeight w:val="87"/>
        </w:trPr>
        <w:tc>
          <w:tcPr>
            <w:tcW w:w="3618" w:type="dxa"/>
            <w:tcBorders>
              <w:top w:val="single" w:sz="4" w:space="0" w:color="auto"/>
              <w:bottom w:val="single" w:sz="4" w:space="0" w:color="auto"/>
            </w:tcBorders>
            <w:vAlign w:val="center"/>
            <w:hideMark/>
          </w:tcPr>
          <w:p w14:paraId="2ABDE195"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122" w:type="dxa"/>
            <w:tcBorders>
              <w:top w:val="single" w:sz="4" w:space="0" w:color="auto"/>
              <w:bottom w:val="single" w:sz="4" w:space="0" w:color="auto"/>
            </w:tcBorders>
            <w:vAlign w:val="center"/>
            <w:hideMark/>
          </w:tcPr>
          <w:p w14:paraId="5183DAC8"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668" w:type="dxa"/>
            <w:tcBorders>
              <w:top w:val="single" w:sz="4" w:space="0" w:color="auto"/>
              <w:bottom w:val="single" w:sz="4" w:space="0" w:color="auto"/>
            </w:tcBorders>
            <w:vAlign w:val="center"/>
            <w:hideMark/>
          </w:tcPr>
          <w:p w14:paraId="4A6D19B3"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782" w:type="dxa"/>
            <w:tcBorders>
              <w:top w:val="single" w:sz="4" w:space="0" w:color="auto"/>
              <w:bottom w:val="single" w:sz="4" w:space="0" w:color="auto"/>
            </w:tcBorders>
            <w:vAlign w:val="center"/>
            <w:hideMark/>
          </w:tcPr>
          <w:p w14:paraId="567FC935"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2D653644" w14:textId="77777777" w:rsidTr="00A44D52">
        <w:trPr>
          <w:trHeight w:val="87"/>
        </w:trPr>
        <w:tc>
          <w:tcPr>
            <w:tcW w:w="3618" w:type="dxa"/>
            <w:tcBorders>
              <w:top w:val="single" w:sz="4" w:space="0" w:color="auto"/>
            </w:tcBorders>
            <w:vAlign w:val="center"/>
            <w:hideMark/>
          </w:tcPr>
          <w:p w14:paraId="43DB337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1. Students remain focused on the teacher's lecture for the entire duration.</w:t>
            </w:r>
          </w:p>
        </w:tc>
        <w:tc>
          <w:tcPr>
            <w:tcW w:w="1122" w:type="dxa"/>
            <w:tcBorders>
              <w:top w:val="single" w:sz="4" w:space="0" w:color="auto"/>
            </w:tcBorders>
            <w:vAlign w:val="center"/>
            <w:hideMark/>
          </w:tcPr>
          <w:p w14:paraId="4B5228E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3.33</w:t>
            </w:r>
          </w:p>
        </w:tc>
        <w:tc>
          <w:tcPr>
            <w:tcW w:w="1668" w:type="dxa"/>
            <w:tcBorders>
              <w:top w:val="single" w:sz="4" w:space="0" w:color="auto"/>
            </w:tcBorders>
            <w:vAlign w:val="center"/>
            <w:hideMark/>
          </w:tcPr>
          <w:p w14:paraId="29F738F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1.11</w:t>
            </w:r>
          </w:p>
        </w:tc>
        <w:tc>
          <w:tcPr>
            <w:tcW w:w="1782" w:type="dxa"/>
            <w:tcBorders>
              <w:top w:val="single" w:sz="4" w:space="0" w:color="auto"/>
            </w:tcBorders>
            <w:vAlign w:val="center"/>
            <w:hideMark/>
          </w:tcPr>
          <w:p w14:paraId="0C517E4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64C1F953" w14:textId="77777777" w:rsidTr="00A44D52">
        <w:trPr>
          <w:trHeight w:val="87"/>
        </w:trPr>
        <w:tc>
          <w:tcPr>
            <w:tcW w:w="3618" w:type="dxa"/>
            <w:vAlign w:val="center"/>
            <w:hideMark/>
          </w:tcPr>
          <w:p w14:paraId="1EDFA074"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2. Students can work on a single task for a long period without getting distracted.</w:t>
            </w:r>
          </w:p>
        </w:tc>
        <w:tc>
          <w:tcPr>
            <w:tcW w:w="1122" w:type="dxa"/>
            <w:vAlign w:val="center"/>
            <w:hideMark/>
          </w:tcPr>
          <w:p w14:paraId="041B3C2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3.06</w:t>
            </w:r>
          </w:p>
        </w:tc>
        <w:tc>
          <w:tcPr>
            <w:tcW w:w="1668" w:type="dxa"/>
            <w:vAlign w:val="center"/>
            <w:hideMark/>
          </w:tcPr>
          <w:p w14:paraId="23DED4D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1.09</w:t>
            </w:r>
          </w:p>
        </w:tc>
        <w:tc>
          <w:tcPr>
            <w:tcW w:w="1782" w:type="dxa"/>
            <w:vAlign w:val="center"/>
            <w:hideMark/>
          </w:tcPr>
          <w:p w14:paraId="3697486B"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079CB16B" w14:textId="77777777" w:rsidTr="00A44D52">
        <w:trPr>
          <w:trHeight w:val="87"/>
        </w:trPr>
        <w:tc>
          <w:tcPr>
            <w:tcW w:w="3618" w:type="dxa"/>
            <w:vAlign w:val="center"/>
            <w:hideMark/>
          </w:tcPr>
          <w:p w14:paraId="0086D7CC"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3. Students follow multi-step instructions without needing constant repetition.</w:t>
            </w:r>
          </w:p>
        </w:tc>
        <w:tc>
          <w:tcPr>
            <w:tcW w:w="1122" w:type="dxa"/>
            <w:vAlign w:val="center"/>
            <w:hideMark/>
          </w:tcPr>
          <w:p w14:paraId="50115D2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3.08</w:t>
            </w:r>
          </w:p>
        </w:tc>
        <w:tc>
          <w:tcPr>
            <w:tcW w:w="1668" w:type="dxa"/>
            <w:vAlign w:val="center"/>
            <w:hideMark/>
          </w:tcPr>
          <w:p w14:paraId="452EF21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1.06</w:t>
            </w:r>
          </w:p>
        </w:tc>
        <w:tc>
          <w:tcPr>
            <w:tcW w:w="1782" w:type="dxa"/>
            <w:vAlign w:val="center"/>
            <w:hideMark/>
          </w:tcPr>
          <w:p w14:paraId="350B252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5F529FB1" w14:textId="77777777" w:rsidTr="00A44D52">
        <w:trPr>
          <w:trHeight w:val="87"/>
        </w:trPr>
        <w:tc>
          <w:tcPr>
            <w:tcW w:w="3618" w:type="dxa"/>
            <w:vAlign w:val="center"/>
            <w:hideMark/>
          </w:tcPr>
          <w:p w14:paraId="214F1975"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4. Students ignore external distractions (noise, classmates) during seatwork.</w:t>
            </w:r>
          </w:p>
        </w:tc>
        <w:tc>
          <w:tcPr>
            <w:tcW w:w="1122" w:type="dxa"/>
            <w:vAlign w:val="center"/>
            <w:hideMark/>
          </w:tcPr>
          <w:p w14:paraId="7290713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2.99</w:t>
            </w:r>
          </w:p>
        </w:tc>
        <w:tc>
          <w:tcPr>
            <w:tcW w:w="1668" w:type="dxa"/>
            <w:vAlign w:val="center"/>
            <w:hideMark/>
          </w:tcPr>
          <w:p w14:paraId="2A53873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1.08</w:t>
            </w:r>
          </w:p>
        </w:tc>
        <w:tc>
          <w:tcPr>
            <w:tcW w:w="1782" w:type="dxa"/>
            <w:vAlign w:val="center"/>
            <w:hideMark/>
          </w:tcPr>
          <w:p w14:paraId="61784DE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376E777F" w14:textId="77777777" w:rsidTr="00A44D52">
        <w:trPr>
          <w:trHeight w:val="87"/>
        </w:trPr>
        <w:tc>
          <w:tcPr>
            <w:tcW w:w="3618" w:type="dxa"/>
            <w:tcBorders>
              <w:bottom w:val="single" w:sz="4" w:space="0" w:color="auto"/>
            </w:tcBorders>
            <w:vAlign w:val="center"/>
            <w:hideMark/>
          </w:tcPr>
          <w:p w14:paraId="7FC52948"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5. Students maintain eye contact and active engagement during classroom activities.</w:t>
            </w:r>
          </w:p>
        </w:tc>
        <w:tc>
          <w:tcPr>
            <w:tcW w:w="1122" w:type="dxa"/>
            <w:tcBorders>
              <w:bottom w:val="single" w:sz="4" w:space="0" w:color="auto"/>
            </w:tcBorders>
            <w:vAlign w:val="center"/>
            <w:hideMark/>
          </w:tcPr>
          <w:p w14:paraId="49CDA32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3.57</w:t>
            </w:r>
          </w:p>
        </w:tc>
        <w:tc>
          <w:tcPr>
            <w:tcW w:w="1668" w:type="dxa"/>
            <w:tcBorders>
              <w:bottom w:val="single" w:sz="4" w:space="0" w:color="auto"/>
            </w:tcBorders>
            <w:vAlign w:val="center"/>
            <w:hideMark/>
          </w:tcPr>
          <w:p w14:paraId="70F8A32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0.97</w:t>
            </w:r>
          </w:p>
        </w:tc>
        <w:tc>
          <w:tcPr>
            <w:tcW w:w="1782" w:type="dxa"/>
            <w:tcBorders>
              <w:bottom w:val="single" w:sz="4" w:space="0" w:color="auto"/>
            </w:tcBorders>
            <w:vAlign w:val="center"/>
            <w:hideMark/>
          </w:tcPr>
          <w:p w14:paraId="0D98BBE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0CFDE20E" w14:textId="77777777" w:rsidTr="00A44D52">
        <w:trPr>
          <w:trHeight w:val="87"/>
        </w:trPr>
        <w:tc>
          <w:tcPr>
            <w:tcW w:w="3618" w:type="dxa"/>
            <w:tcBorders>
              <w:top w:val="single" w:sz="4" w:space="0" w:color="auto"/>
              <w:bottom w:val="single" w:sz="4" w:space="0" w:color="auto"/>
            </w:tcBorders>
            <w:vAlign w:val="center"/>
            <w:hideMark/>
          </w:tcPr>
          <w:p w14:paraId="23EB1B67"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122" w:type="dxa"/>
            <w:tcBorders>
              <w:top w:val="single" w:sz="4" w:space="0" w:color="auto"/>
              <w:bottom w:val="single" w:sz="4" w:space="0" w:color="auto"/>
            </w:tcBorders>
            <w:vAlign w:val="center"/>
            <w:hideMark/>
          </w:tcPr>
          <w:p w14:paraId="0D87173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3.21</w:t>
            </w:r>
          </w:p>
        </w:tc>
        <w:tc>
          <w:tcPr>
            <w:tcW w:w="1668" w:type="dxa"/>
            <w:tcBorders>
              <w:top w:val="single" w:sz="4" w:space="0" w:color="auto"/>
              <w:bottom w:val="single" w:sz="4" w:space="0" w:color="auto"/>
            </w:tcBorders>
            <w:vAlign w:val="center"/>
            <w:hideMark/>
          </w:tcPr>
          <w:p w14:paraId="12922F76" w14:textId="77777777" w:rsidR="001E51D5" w:rsidRPr="00054A5F" w:rsidRDefault="001E51D5" w:rsidP="001E51D5">
            <w:pPr>
              <w:jc w:val="center"/>
              <w:rPr>
                <w:rFonts w:ascii="Arial" w:hAnsi="Arial" w:cs="Arial"/>
                <w:b/>
                <w:color w:val="1F1F1F"/>
                <w:lang w:eastAsia="en-PH"/>
              </w:rPr>
            </w:pPr>
          </w:p>
        </w:tc>
        <w:tc>
          <w:tcPr>
            <w:tcW w:w="1782" w:type="dxa"/>
            <w:tcBorders>
              <w:top w:val="single" w:sz="4" w:space="0" w:color="auto"/>
              <w:bottom w:val="single" w:sz="4" w:space="0" w:color="auto"/>
            </w:tcBorders>
            <w:vAlign w:val="center"/>
            <w:hideMark/>
          </w:tcPr>
          <w:p w14:paraId="0D33883A"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 xml:space="preserve">Neither Agree </w:t>
            </w:r>
            <w:proofErr w:type="gramStart"/>
            <w:r w:rsidRPr="00054A5F">
              <w:rPr>
                <w:rFonts w:ascii="Arial" w:hAnsi="Arial" w:cs="Arial"/>
                <w:b/>
                <w:color w:val="1F1F1F"/>
                <w:lang w:eastAsia="en-PH"/>
              </w:rPr>
              <w:t>Nor</w:t>
            </w:r>
            <w:proofErr w:type="gramEnd"/>
            <w:r w:rsidRPr="00054A5F">
              <w:rPr>
                <w:rFonts w:ascii="Arial" w:hAnsi="Arial" w:cs="Arial"/>
                <w:b/>
                <w:color w:val="1F1F1F"/>
                <w:lang w:eastAsia="en-PH"/>
              </w:rPr>
              <w:t xml:space="preserve"> Disagree</w:t>
            </w:r>
          </w:p>
        </w:tc>
      </w:tr>
    </w:tbl>
    <w:p w14:paraId="02D5E36B" w14:textId="77777777" w:rsidR="001E51D5" w:rsidRPr="00054A5F" w:rsidRDefault="001E51D5" w:rsidP="001E51D5">
      <w:pPr>
        <w:rPr>
          <w:rFonts w:ascii="Arial" w:eastAsia="Calibri" w:hAnsi="Arial" w:cs="Arial"/>
          <w:bCs/>
          <w:sz w:val="16"/>
          <w:szCs w:val="16"/>
          <w:shd w:val="clear" w:color="auto" w:fill="FFFFFF"/>
        </w:rPr>
      </w:pPr>
    </w:p>
    <w:p w14:paraId="6282396A"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15 shows the teacher-perceived level of student attention span as a determinant of learning retention, resulting in an overall weighted mean of </w:t>
      </w:r>
      <w:r w:rsidRPr="00054A5F">
        <w:rPr>
          <w:rFonts w:ascii="Arial" w:hAnsi="Arial" w:cs="Arial"/>
          <w:bCs/>
          <w:color w:val="1F1F1F"/>
          <w:bdr w:val="none" w:sz="0" w:space="0" w:color="auto" w:frame="1"/>
          <w:lang w:eastAsia="en-PH"/>
        </w:rPr>
        <w:t>3.21</w:t>
      </w:r>
      <w:r w:rsidRPr="00054A5F">
        <w:rPr>
          <w:rFonts w:ascii="Arial" w:hAnsi="Arial" w:cs="Arial"/>
          <w:bCs/>
          <w:color w:val="1F1F1F"/>
          <w:lang w:eastAsia="en-PH"/>
        </w:rPr>
        <w:t xml:space="preserve">, which is verbally interpreted as </w:t>
      </w:r>
      <w:r w:rsidRPr="00054A5F">
        <w:rPr>
          <w:rFonts w:ascii="Arial" w:hAnsi="Arial" w:cs="Arial"/>
          <w:bCs/>
          <w:color w:val="1F1F1F"/>
          <w:bdr w:val="none" w:sz="0" w:space="0" w:color="auto" w:frame="1"/>
          <w:lang w:eastAsia="en-PH"/>
        </w:rPr>
        <w:t xml:space="preserve">"Neither Agree </w:t>
      </w:r>
      <w:proofErr w:type="gramStart"/>
      <w:r w:rsidRPr="00054A5F">
        <w:rPr>
          <w:rFonts w:ascii="Arial" w:hAnsi="Arial" w:cs="Arial"/>
          <w:bCs/>
          <w:color w:val="1F1F1F"/>
          <w:bdr w:val="none" w:sz="0" w:space="0" w:color="auto" w:frame="1"/>
          <w:lang w:eastAsia="en-PH"/>
        </w:rPr>
        <w:t>Nor</w:t>
      </w:r>
      <w:proofErr w:type="gramEnd"/>
      <w:r w:rsidRPr="00054A5F">
        <w:rPr>
          <w:rFonts w:ascii="Arial" w:hAnsi="Arial" w:cs="Arial"/>
          <w:bCs/>
          <w:color w:val="1F1F1F"/>
          <w:bdr w:val="none" w:sz="0" w:space="0" w:color="auto" w:frame="1"/>
          <w:lang w:eastAsia="en-PH"/>
        </w:rPr>
        <w:t xml:space="preserve"> Disagree."</w:t>
      </w:r>
      <w:r w:rsidRPr="00054A5F">
        <w:rPr>
          <w:rFonts w:ascii="Arial" w:hAnsi="Arial" w:cs="Arial"/>
          <w:bCs/>
          <w:color w:val="1F1F1F"/>
          <w:lang w:eastAsia="en-PH"/>
        </w:rPr>
        <w:t xml:space="preserve"> Among the specific indicators, only the statement "Students maintain eye contact and active engagement during classroom activities" received a positive rating with a weighted mean of </w:t>
      </w:r>
      <w:r w:rsidRPr="00054A5F">
        <w:rPr>
          <w:rFonts w:ascii="Arial" w:hAnsi="Arial" w:cs="Arial"/>
          <w:bCs/>
          <w:color w:val="1F1F1F"/>
          <w:bdr w:val="none" w:sz="0" w:space="0" w:color="auto" w:frame="1"/>
          <w:lang w:eastAsia="en-PH"/>
        </w:rPr>
        <w:t>3.57</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xml:space="preserve">). In contrast, the remaining indicators hovered around the neutral mark, with "Students ignore external distractions" receiving the lowest weighted mean of </w:t>
      </w:r>
      <w:r w:rsidRPr="00054A5F">
        <w:rPr>
          <w:rFonts w:ascii="Arial" w:hAnsi="Arial" w:cs="Arial"/>
          <w:bCs/>
          <w:color w:val="1F1F1F"/>
          <w:bdr w:val="none" w:sz="0" w:space="0" w:color="auto" w:frame="1"/>
          <w:lang w:eastAsia="en-PH"/>
        </w:rPr>
        <w:t>2.99</w:t>
      </w:r>
      <w:r w:rsidRPr="00054A5F">
        <w:rPr>
          <w:rFonts w:ascii="Arial" w:hAnsi="Arial" w:cs="Arial"/>
          <w:bCs/>
          <w:color w:val="1F1F1F"/>
          <w:lang w:eastAsia="en-PH"/>
        </w:rPr>
        <w:t xml:space="preserve">, followed by their ability to work on a single task without distraction at </w:t>
      </w:r>
      <w:r w:rsidRPr="00054A5F">
        <w:rPr>
          <w:rFonts w:ascii="Arial" w:hAnsi="Arial" w:cs="Arial"/>
          <w:bCs/>
          <w:color w:val="1F1F1F"/>
          <w:bdr w:val="none" w:sz="0" w:space="0" w:color="auto" w:frame="1"/>
          <w:lang w:eastAsia="en-PH"/>
        </w:rPr>
        <w:t>3.06</w:t>
      </w:r>
      <w:r w:rsidRPr="00054A5F">
        <w:rPr>
          <w:rFonts w:ascii="Arial" w:hAnsi="Arial" w:cs="Arial"/>
          <w:bCs/>
          <w:color w:val="1F1F1F"/>
          <w:lang w:eastAsia="en-PH"/>
        </w:rPr>
        <w:t xml:space="preserve">, and following multi-step instructions at </w:t>
      </w:r>
      <w:r w:rsidRPr="00054A5F">
        <w:rPr>
          <w:rFonts w:ascii="Arial" w:hAnsi="Arial" w:cs="Arial"/>
          <w:bCs/>
          <w:color w:val="1F1F1F"/>
          <w:bdr w:val="none" w:sz="0" w:space="0" w:color="auto" w:frame="1"/>
          <w:lang w:eastAsia="en-PH"/>
        </w:rPr>
        <w:t>3.08</w:t>
      </w:r>
      <w:r w:rsidRPr="00054A5F">
        <w:rPr>
          <w:rFonts w:ascii="Arial" w:hAnsi="Arial" w:cs="Arial"/>
          <w:bCs/>
          <w:color w:val="1F1F1F"/>
          <w:lang w:eastAsia="en-PH"/>
        </w:rPr>
        <w:t xml:space="preserve">. Even the ability to remain focused for the entire duration of a lecture was rated neutrally at </w:t>
      </w:r>
      <w:r w:rsidRPr="00054A5F">
        <w:rPr>
          <w:rFonts w:ascii="Arial" w:hAnsi="Arial" w:cs="Arial"/>
          <w:bCs/>
          <w:color w:val="1F1F1F"/>
          <w:bdr w:val="none" w:sz="0" w:space="0" w:color="auto" w:frame="1"/>
          <w:lang w:eastAsia="en-PH"/>
        </w:rPr>
        <w:t>3.33</w:t>
      </w:r>
      <w:r w:rsidRPr="00054A5F">
        <w:rPr>
          <w:rFonts w:ascii="Arial" w:hAnsi="Arial" w:cs="Arial"/>
          <w:bCs/>
          <w:color w:val="1F1F1F"/>
          <w:lang w:eastAsia="en-PH"/>
        </w:rPr>
        <w:t>.</w:t>
      </w:r>
    </w:p>
    <w:p w14:paraId="38E18488" w14:textId="77777777" w:rsidR="00A44D52" w:rsidRPr="00054A5F" w:rsidRDefault="00A44D52" w:rsidP="00A44D52">
      <w:pPr>
        <w:jc w:val="both"/>
        <w:rPr>
          <w:rFonts w:ascii="Arial" w:hAnsi="Arial" w:cs="Arial"/>
          <w:bCs/>
          <w:color w:val="1F1F1F"/>
          <w:lang w:eastAsia="en-PH"/>
        </w:rPr>
      </w:pPr>
    </w:p>
    <w:p w14:paraId="3EA62AE6"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teachers perceive student attention span as a significant and somewhat unstable barrier to learning retention in the Junior High School classroom. The neutral ratings suggest that while students can be socially and physically engaged in the moment—as evidenced by the higher score in eye contact—their cognitive endurance and ability to filter out environmental "noise" are inconsistent. This lack of sustained focus is a critical concern for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as attention is the gateway to memory; if information is not successfully attended to during the initial encoding phase, it cannot be stored for long-term retrieval. The data suggests that for the enhancement program to be effective, it must move away from long-form lectures and toward "chunked" instructional delivery, frequent transitions, and environmental management strategies that help students manage distractions and process multi-step instructions more effectively.</w:t>
      </w:r>
    </w:p>
    <w:p w14:paraId="07C89D10" w14:textId="77777777" w:rsidR="00A44D52" w:rsidRPr="00054A5F" w:rsidRDefault="00A44D52" w:rsidP="00A44D52">
      <w:pPr>
        <w:jc w:val="both"/>
        <w:rPr>
          <w:rFonts w:ascii="Arial" w:hAnsi="Arial" w:cs="Arial"/>
          <w:lang w:eastAsia="en-PH"/>
        </w:rPr>
      </w:pPr>
    </w:p>
    <w:p w14:paraId="363E2AAE"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teacher-perceived determinants of learning retention among junior high school students, which highlights attention span as a critical yet variable predictor of learning outcomes and suggests instructional adaptations to support chunked delivery and distraction management. The findings emphasize that even when students engage socially and physically (eye contact and active participation), cognitive endurance and filtering of environmental noise remain inconsistent, reinforcing the need for instructional strategies that optimize encoding and retention. Together, these sources support implementing evidence-based pacing, frequent transitions, and environmental structuring to enhance attention and subsequent memory encoding in junior high settings.</w:t>
      </w:r>
    </w:p>
    <w:p w14:paraId="09F83413" w14:textId="77777777" w:rsidR="001E51D5" w:rsidRPr="00054A5F" w:rsidRDefault="001E51D5" w:rsidP="001E51D5">
      <w:pPr>
        <w:rPr>
          <w:rFonts w:ascii="Arial" w:hAnsi="Arial" w:cs="Arial"/>
          <w:lang w:eastAsia="en-PH"/>
        </w:rPr>
      </w:pPr>
    </w:p>
    <w:p w14:paraId="11F26EBC" w14:textId="77777777" w:rsidR="001E51D5" w:rsidRPr="00054A5F" w:rsidRDefault="001E51D5" w:rsidP="001E51D5">
      <w:pPr>
        <w:outlineLvl w:val="2"/>
        <w:rPr>
          <w:rFonts w:ascii="Arial" w:hAnsi="Arial" w:cs="Arial"/>
          <w:b/>
          <w:lang w:eastAsia="en-PH"/>
        </w:rPr>
      </w:pPr>
      <w:r w:rsidRPr="00054A5F">
        <w:rPr>
          <w:rFonts w:ascii="Arial" w:hAnsi="Arial" w:cs="Arial"/>
          <w:b/>
          <w:lang w:eastAsia="en-PH"/>
        </w:rPr>
        <w:t>5.4. Perceived Level of Student Learning Retention</w:t>
      </w:r>
    </w:p>
    <w:p w14:paraId="1C8ECDC2" w14:textId="77777777" w:rsidR="00A44D52" w:rsidRPr="00054A5F" w:rsidRDefault="00A44D52" w:rsidP="00A44D52">
      <w:pPr>
        <w:jc w:val="both"/>
        <w:outlineLvl w:val="2"/>
        <w:rPr>
          <w:rFonts w:ascii="Arial" w:hAnsi="Arial" w:cs="Arial"/>
          <w:bCs/>
        </w:rPr>
      </w:pPr>
    </w:p>
    <w:p w14:paraId="2D784C71" w14:textId="77777777" w:rsidR="001E51D5" w:rsidRPr="00054A5F" w:rsidRDefault="001E51D5" w:rsidP="00A44D52">
      <w:pPr>
        <w:jc w:val="both"/>
        <w:outlineLvl w:val="2"/>
        <w:rPr>
          <w:rFonts w:ascii="Arial" w:hAnsi="Arial" w:cs="Arial"/>
          <w:bCs/>
          <w:lang w:eastAsia="en-PH"/>
        </w:rPr>
      </w:pPr>
      <w:r w:rsidRPr="00054A5F">
        <w:rPr>
          <w:rFonts w:ascii="Arial" w:hAnsi="Arial" w:cs="Arial"/>
          <w:bCs/>
        </w:rPr>
        <w:t>This section presents the data and analysis concerning the perceived level of student learning retention, specifically examining dimensions of knowledge recall, conceptual understanding, and the application of skills in new contexts.</w:t>
      </w:r>
    </w:p>
    <w:p w14:paraId="7B195108" w14:textId="77777777" w:rsidR="001E51D5" w:rsidRPr="00054A5F" w:rsidRDefault="001E51D5" w:rsidP="001E51D5">
      <w:pPr>
        <w:rPr>
          <w:rFonts w:ascii="Arial" w:eastAsia="Calibri" w:hAnsi="Arial" w:cs="Arial"/>
          <w:bCs/>
          <w:shd w:val="clear" w:color="auto" w:fill="FFFFFF"/>
        </w:rPr>
      </w:pPr>
    </w:p>
    <w:p w14:paraId="154692C6" w14:textId="77777777" w:rsidR="001E51D5" w:rsidRPr="00054A5F" w:rsidRDefault="001E51D5" w:rsidP="001E51D5">
      <w:pPr>
        <w:rPr>
          <w:rFonts w:ascii="Arial" w:hAnsi="Arial" w:cs="Arial"/>
          <w:b/>
          <w:lang w:eastAsia="en-PH"/>
        </w:rPr>
      </w:pPr>
      <w:r w:rsidRPr="00054A5F">
        <w:rPr>
          <w:rFonts w:ascii="Arial" w:hAnsi="Arial" w:cs="Arial"/>
          <w:b/>
          <w:lang w:eastAsia="en-PH"/>
        </w:rPr>
        <w:t>Table 16. Knowledge recall</w:t>
      </w:r>
    </w:p>
    <w:tbl>
      <w:tblPr>
        <w:tblW w:w="7938" w:type="dxa"/>
        <w:tblLook w:val="04A0" w:firstRow="1" w:lastRow="0" w:firstColumn="1" w:lastColumn="0" w:noHBand="0" w:noVBand="1"/>
      </w:tblPr>
      <w:tblGrid>
        <w:gridCol w:w="3618"/>
        <w:gridCol w:w="1260"/>
        <w:gridCol w:w="1260"/>
        <w:gridCol w:w="1800"/>
      </w:tblGrid>
      <w:tr w:rsidR="001E51D5" w:rsidRPr="00054A5F" w14:paraId="0BE127F5" w14:textId="77777777" w:rsidTr="0093337B">
        <w:trPr>
          <w:trHeight w:val="135"/>
        </w:trPr>
        <w:tc>
          <w:tcPr>
            <w:tcW w:w="3618" w:type="dxa"/>
            <w:tcBorders>
              <w:top w:val="single" w:sz="4" w:space="0" w:color="auto"/>
              <w:bottom w:val="single" w:sz="4" w:space="0" w:color="auto"/>
            </w:tcBorders>
            <w:vAlign w:val="center"/>
            <w:hideMark/>
          </w:tcPr>
          <w:p w14:paraId="4F797AF0"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260" w:type="dxa"/>
            <w:tcBorders>
              <w:top w:val="single" w:sz="4" w:space="0" w:color="auto"/>
              <w:bottom w:val="single" w:sz="4" w:space="0" w:color="auto"/>
            </w:tcBorders>
            <w:vAlign w:val="center"/>
            <w:hideMark/>
          </w:tcPr>
          <w:p w14:paraId="026E2E32"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260" w:type="dxa"/>
            <w:tcBorders>
              <w:top w:val="single" w:sz="4" w:space="0" w:color="auto"/>
              <w:bottom w:val="single" w:sz="4" w:space="0" w:color="auto"/>
            </w:tcBorders>
            <w:vAlign w:val="center"/>
            <w:hideMark/>
          </w:tcPr>
          <w:p w14:paraId="57EEE1F2"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800" w:type="dxa"/>
            <w:tcBorders>
              <w:top w:val="single" w:sz="4" w:space="0" w:color="auto"/>
              <w:bottom w:val="single" w:sz="4" w:space="0" w:color="auto"/>
            </w:tcBorders>
            <w:vAlign w:val="center"/>
            <w:hideMark/>
          </w:tcPr>
          <w:p w14:paraId="025EDA1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64BFEC7E" w14:textId="77777777" w:rsidTr="0093337B">
        <w:trPr>
          <w:trHeight w:val="135"/>
        </w:trPr>
        <w:tc>
          <w:tcPr>
            <w:tcW w:w="3618" w:type="dxa"/>
            <w:tcBorders>
              <w:top w:val="single" w:sz="4" w:space="0" w:color="auto"/>
            </w:tcBorders>
            <w:vAlign w:val="center"/>
            <w:hideMark/>
          </w:tcPr>
          <w:p w14:paraId="57C68AB1"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1. Students can accurately state key facts and definitions several weeks after a lesson.</w:t>
            </w:r>
          </w:p>
        </w:tc>
        <w:tc>
          <w:tcPr>
            <w:tcW w:w="1260" w:type="dxa"/>
            <w:tcBorders>
              <w:top w:val="single" w:sz="4" w:space="0" w:color="auto"/>
            </w:tcBorders>
            <w:vAlign w:val="center"/>
            <w:hideMark/>
          </w:tcPr>
          <w:p w14:paraId="76C38AF8"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3.25</w:t>
            </w:r>
          </w:p>
        </w:tc>
        <w:tc>
          <w:tcPr>
            <w:tcW w:w="1260" w:type="dxa"/>
            <w:tcBorders>
              <w:top w:val="single" w:sz="4" w:space="0" w:color="auto"/>
            </w:tcBorders>
            <w:vAlign w:val="center"/>
            <w:hideMark/>
          </w:tcPr>
          <w:p w14:paraId="46B7457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1.05</w:t>
            </w:r>
          </w:p>
        </w:tc>
        <w:tc>
          <w:tcPr>
            <w:tcW w:w="1800" w:type="dxa"/>
            <w:tcBorders>
              <w:top w:val="single" w:sz="4" w:space="0" w:color="auto"/>
            </w:tcBorders>
            <w:vAlign w:val="center"/>
            <w:hideMark/>
          </w:tcPr>
          <w:p w14:paraId="7FF13D0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68341A60" w14:textId="77777777" w:rsidTr="0093337B">
        <w:trPr>
          <w:trHeight w:val="135"/>
        </w:trPr>
        <w:tc>
          <w:tcPr>
            <w:tcW w:w="3618" w:type="dxa"/>
            <w:vAlign w:val="center"/>
            <w:hideMark/>
          </w:tcPr>
          <w:p w14:paraId="31E096C9"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2. Students can identify correct information during unannounced reviews of previous topics.</w:t>
            </w:r>
          </w:p>
        </w:tc>
        <w:tc>
          <w:tcPr>
            <w:tcW w:w="1260" w:type="dxa"/>
            <w:vAlign w:val="center"/>
            <w:hideMark/>
          </w:tcPr>
          <w:p w14:paraId="10055DE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3.25</w:t>
            </w:r>
          </w:p>
        </w:tc>
        <w:tc>
          <w:tcPr>
            <w:tcW w:w="1260" w:type="dxa"/>
            <w:vAlign w:val="center"/>
            <w:hideMark/>
          </w:tcPr>
          <w:p w14:paraId="38F072A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0.96</w:t>
            </w:r>
          </w:p>
        </w:tc>
        <w:tc>
          <w:tcPr>
            <w:tcW w:w="1800" w:type="dxa"/>
            <w:vAlign w:val="center"/>
            <w:hideMark/>
          </w:tcPr>
          <w:p w14:paraId="7B6B8E0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6A0A1179" w14:textId="77777777" w:rsidTr="0093337B">
        <w:trPr>
          <w:trHeight w:val="135"/>
        </w:trPr>
        <w:tc>
          <w:tcPr>
            <w:tcW w:w="3618" w:type="dxa"/>
            <w:vAlign w:val="center"/>
            <w:hideMark/>
          </w:tcPr>
          <w:p w14:paraId="31E4B682"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3. Students demonstrate the ability to recall and retrieve formulas or dates without assistance.</w:t>
            </w:r>
          </w:p>
        </w:tc>
        <w:tc>
          <w:tcPr>
            <w:tcW w:w="1260" w:type="dxa"/>
            <w:vAlign w:val="center"/>
            <w:hideMark/>
          </w:tcPr>
          <w:p w14:paraId="2E3A66B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3.24</w:t>
            </w:r>
          </w:p>
        </w:tc>
        <w:tc>
          <w:tcPr>
            <w:tcW w:w="1260" w:type="dxa"/>
            <w:vAlign w:val="center"/>
            <w:hideMark/>
          </w:tcPr>
          <w:p w14:paraId="1182DA3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0.91</w:t>
            </w:r>
          </w:p>
        </w:tc>
        <w:tc>
          <w:tcPr>
            <w:tcW w:w="1800" w:type="dxa"/>
            <w:vAlign w:val="center"/>
            <w:hideMark/>
          </w:tcPr>
          <w:p w14:paraId="63F9324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2DEC5D7A" w14:textId="77777777" w:rsidTr="0093337B">
        <w:trPr>
          <w:trHeight w:val="135"/>
        </w:trPr>
        <w:tc>
          <w:tcPr>
            <w:tcW w:w="3618" w:type="dxa"/>
            <w:vAlign w:val="center"/>
            <w:hideMark/>
          </w:tcPr>
          <w:p w14:paraId="1F4D46B2"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4. Students can list the sequence of steps in a process learned earlier in the school year.</w:t>
            </w:r>
          </w:p>
        </w:tc>
        <w:tc>
          <w:tcPr>
            <w:tcW w:w="1260" w:type="dxa"/>
            <w:vAlign w:val="center"/>
            <w:hideMark/>
          </w:tcPr>
          <w:p w14:paraId="729DD82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3.12</w:t>
            </w:r>
          </w:p>
        </w:tc>
        <w:tc>
          <w:tcPr>
            <w:tcW w:w="1260" w:type="dxa"/>
            <w:vAlign w:val="center"/>
            <w:hideMark/>
          </w:tcPr>
          <w:p w14:paraId="2C7B3B6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0.95</w:t>
            </w:r>
          </w:p>
        </w:tc>
        <w:tc>
          <w:tcPr>
            <w:tcW w:w="1800" w:type="dxa"/>
            <w:vAlign w:val="center"/>
            <w:hideMark/>
          </w:tcPr>
          <w:p w14:paraId="0EA3687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705C28F9" w14:textId="77777777" w:rsidTr="0093337B">
        <w:trPr>
          <w:trHeight w:val="135"/>
        </w:trPr>
        <w:tc>
          <w:tcPr>
            <w:tcW w:w="3618" w:type="dxa"/>
            <w:tcBorders>
              <w:bottom w:val="single" w:sz="4" w:space="0" w:color="auto"/>
            </w:tcBorders>
            <w:vAlign w:val="center"/>
            <w:hideMark/>
          </w:tcPr>
          <w:p w14:paraId="5FCAD188"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5. Students show minimal reliance on textbooks when asked to recall basic concepts from past units.</w:t>
            </w:r>
          </w:p>
        </w:tc>
        <w:tc>
          <w:tcPr>
            <w:tcW w:w="1260" w:type="dxa"/>
            <w:tcBorders>
              <w:bottom w:val="single" w:sz="4" w:space="0" w:color="auto"/>
            </w:tcBorders>
            <w:vAlign w:val="center"/>
            <w:hideMark/>
          </w:tcPr>
          <w:p w14:paraId="02D541C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3.31</w:t>
            </w:r>
          </w:p>
        </w:tc>
        <w:tc>
          <w:tcPr>
            <w:tcW w:w="1260" w:type="dxa"/>
            <w:tcBorders>
              <w:bottom w:val="single" w:sz="4" w:space="0" w:color="auto"/>
            </w:tcBorders>
            <w:vAlign w:val="center"/>
            <w:hideMark/>
          </w:tcPr>
          <w:p w14:paraId="4A49FE75"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0.98</w:t>
            </w:r>
          </w:p>
        </w:tc>
        <w:tc>
          <w:tcPr>
            <w:tcW w:w="1800" w:type="dxa"/>
            <w:tcBorders>
              <w:bottom w:val="single" w:sz="4" w:space="0" w:color="auto"/>
            </w:tcBorders>
            <w:vAlign w:val="center"/>
            <w:hideMark/>
          </w:tcPr>
          <w:p w14:paraId="13B3B60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78A1E195" w14:textId="77777777" w:rsidTr="0093337B">
        <w:trPr>
          <w:trHeight w:val="135"/>
        </w:trPr>
        <w:tc>
          <w:tcPr>
            <w:tcW w:w="3618" w:type="dxa"/>
            <w:tcBorders>
              <w:top w:val="single" w:sz="4" w:space="0" w:color="auto"/>
              <w:bottom w:val="single" w:sz="4" w:space="0" w:color="auto"/>
            </w:tcBorders>
            <w:vAlign w:val="center"/>
            <w:hideMark/>
          </w:tcPr>
          <w:p w14:paraId="1A9CDC42"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260" w:type="dxa"/>
            <w:tcBorders>
              <w:top w:val="single" w:sz="4" w:space="0" w:color="auto"/>
              <w:bottom w:val="single" w:sz="4" w:space="0" w:color="auto"/>
            </w:tcBorders>
            <w:vAlign w:val="center"/>
            <w:hideMark/>
          </w:tcPr>
          <w:p w14:paraId="0EBA96F0"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3.23</w:t>
            </w:r>
          </w:p>
        </w:tc>
        <w:tc>
          <w:tcPr>
            <w:tcW w:w="1260" w:type="dxa"/>
            <w:tcBorders>
              <w:top w:val="single" w:sz="4" w:space="0" w:color="auto"/>
              <w:bottom w:val="single" w:sz="4" w:space="0" w:color="auto"/>
            </w:tcBorders>
            <w:vAlign w:val="center"/>
            <w:hideMark/>
          </w:tcPr>
          <w:p w14:paraId="273D2931" w14:textId="77777777" w:rsidR="001E51D5" w:rsidRPr="00054A5F" w:rsidRDefault="001E51D5" w:rsidP="001E51D5">
            <w:pPr>
              <w:jc w:val="center"/>
              <w:rPr>
                <w:rFonts w:ascii="Arial" w:hAnsi="Arial" w:cs="Arial"/>
                <w:b/>
                <w:color w:val="1F1F1F"/>
                <w:lang w:eastAsia="en-PH"/>
              </w:rPr>
            </w:pPr>
          </w:p>
        </w:tc>
        <w:tc>
          <w:tcPr>
            <w:tcW w:w="1800" w:type="dxa"/>
            <w:tcBorders>
              <w:top w:val="single" w:sz="4" w:space="0" w:color="auto"/>
              <w:bottom w:val="single" w:sz="4" w:space="0" w:color="auto"/>
            </w:tcBorders>
            <w:vAlign w:val="center"/>
            <w:hideMark/>
          </w:tcPr>
          <w:p w14:paraId="7061F286"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 xml:space="preserve">Neither Agree </w:t>
            </w:r>
            <w:proofErr w:type="gramStart"/>
            <w:r w:rsidRPr="00054A5F">
              <w:rPr>
                <w:rFonts w:ascii="Arial" w:hAnsi="Arial" w:cs="Arial"/>
                <w:b/>
                <w:color w:val="1F1F1F"/>
                <w:lang w:eastAsia="en-PH"/>
              </w:rPr>
              <w:t>Nor</w:t>
            </w:r>
            <w:proofErr w:type="gramEnd"/>
            <w:r w:rsidRPr="00054A5F">
              <w:rPr>
                <w:rFonts w:ascii="Arial" w:hAnsi="Arial" w:cs="Arial"/>
                <w:b/>
                <w:color w:val="1F1F1F"/>
                <w:lang w:eastAsia="en-PH"/>
              </w:rPr>
              <w:t xml:space="preserve"> Disagree</w:t>
            </w:r>
          </w:p>
        </w:tc>
      </w:tr>
    </w:tbl>
    <w:p w14:paraId="75580856" w14:textId="77777777" w:rsidR="00A44D52" w:rsidRPr="00054A5F" w:rsidRDefault="00A44D52" w:rsidP="00A44D52">
      <w:pPr>
        <w:jc w:val="both"/>
        <w:rPr>
          <w:rFonts w:ascii="Arial" w:hAnsi="Arial" w:cs="Arial"/>
          <w:bCs/>
          <w:color w:val="1F1F1F"/>
          <w:lang w:eastAsia="en-PH"/>
        </w:rPr>
      </w:pPr>
    </w:p>
    <w:p w14:paraId="4D44CB25"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16 shows the teacher-perceived level of student knowledge recall as a critical component of learning retention, resulting in an overall weighted mean of </w:t>
      </w:r>
      <w:r w:rsidRPr="00054A5F">
        <w:rPr>
          <w:rFonts w:ascii="Arial" w:hAnsi="Arial" w:cs="Arial"/>
          <w:bCs/>
          <w:color w:val="1F1F1F"/>
          <w:bdr w:val="none" w:sz="0" w:space="0" w:color="auto" w:frame="1"/>
          <w:lang w:eastAsia="en-PH"/>
        </w:rPr>
        <w:t>3.23</w:t>
      </w:r>
      <w:r w:rsidRPr="00054A5F">
        <w:rPr>
          <w:rFonts w:ascii="Arial" w:hAnsi="Arial" w:cs="Arial"/>
          <w:bCs/>
          <w:color w:val="1F1F1F"/>
          <w:lang w:eastAsia="en-PH"/>
        </w:rPr>
        <w:t xml:space="preserve">, which is verbally interpreted as </w:t>
      </w:r>
      <w:r w:rsidRPr="00054A5F">
        <w:rPr>
          <w:rFonts w:ascii="Arial" w:hAnsi="Arial" w:cs="Arial"/>
          <w:bCs/>
          <w:color w:val="1F1F1F"/>
          <w:bdr w:val="none" w:sz="0" w:space="0" w:color="auto" w:frame="1"/>
          <w:lang w:eastAsia="en-PH"/>
        </w:rPr>
        <w:t xml:space="preserve">"Neither Agree </w:t>
      </w:r>
      <w:proofErr w:type="gramStart"/>
      <w:r w:rsidRPr="00054A5F">
        <w:rPr>
          <w:rFonts w:ascii="Arial" w:hAnsi="Arial" w:cs="Arial"/>
          <w:bCs/>
          <w:color w:val="1F1F1F"/>
          <w:bdr w:val="none" w:sz="0" w:space="0" w:color="auto" w:frame="1"/>
          <w:lang w:eastAsia="en-PH"/>
        </w:rPr>
        <w:t>Nor</w:t>
      </w:r>
      <w:proofErr w:type="gramEnd"/>
      <w:r w:rsidRPr="00054A5F">
        <w:rPr>
          <w:rFonts w:ascii="Arial" w:hAnsi="Arial" w:cs="Arial"/>
          <w:bCs/>
          <w:color w:val="1F1F1F"/>
          <w:bdr w:val="none" w:sz="0" w:space="0" w:color="auto" w:frame="1"/>
          <w:lang w:eastAsia="en-PH"/>
        </w:rPr>
        <w:t xml:space="preserve"> Disagree."</w:t>
      </w:r>
      <w:r w:rsidRPr="00054A5F">
        <w:rPr>
          <w:rFonts w:ascii="Arial" w:hAnsi="Arial" w:cs="Arial"/>
          <w:bCs/>
          <w:color w:val="1F1F1F"/>
          <w:lang w:eastAsia="en-PH"/>
        </w:rPr>
        <w:t xml:space="preserve"> All specific indicators fell within this neutral range, with the highest mean score of </w:t>
      </w:r>
      <w:r w:rsidRPr="00054A5F">
        <w:rPr>
          <w:rFonts w:ascii="Arial" w:hAnsi="Arial" w:cs="Arial"/>
          <w:bCs/>
          <w:color w:val="1F1F1F"/>
          <w:bdr w:val="none" w:sz="0" w:space="0" w:color="auto" w:frame="1"/>
          <w:lang w:eastAsia="en-PH"/>
        </w:rPr>
        <w:t>3.31</w:t>
      </w:r>
      <w:r w:rsidRPr="00054A5F">
        <w:rPr>
          <w:rFonts w:ascii="Arial" w:hAnsi="Arial" w:cs="Arial"/>
          <w:bCs/>
          <w:color w:val="1F1F1F"/>
          <w:lang w:eastAsia="en-PH"/>
        </w:rPr>
        <w:t xml:space="preserve"> attributed to students showing minimal reliance on textbooks for past units. This is followed by their ability to state key facts after several weeks and identify correct information during unannounced reviews, both at </w:t>
      </w:r>
      <w:r w:rsidRPr="00054A5F">
        <w:rPr>
          <w:rFonts w:ascii="Arial" w:hAnsi="Arial" w:cs="Arial"/>
          <w:bCs/>
          <w:color w:val="1F1F1F"/>
          <w:bdr w:val="none" w:sz="0" w:space="0" w:color="auto" w:frame="1"/>
          <w:lang w:eastAsia="en-PH"/>
        </w:rPr>
        <w:t>3.25</w:t>
      </w:r>
      <w:r w:rsidRPr="00054A5F">
        <w:rPr>
          <w:rFonts w:ascii="Arial" w:hAnsi="Arial" w:cs="Arial"/>
          <w:bCs/>
          <w:color w:val="1F1F1F"/>
          <w:lang w:eastAsia="en-PH"/>
        </w:rPr>
        <w:t xml:space="preserve">. The lowest weighted mean of </w:t>
      </w:r>
      <w:r w:rsidRPr="00054A5F">
        <w:rPr>
          <w:rFonts w:ascii="Arial" w:hAnsi="Arial" w:cs="Arial"/>
          <w:bCs/>
          <w:color w:val="1F1F1F"/>
          <w:bdr w:val="none" w:sz="0" w:space="0" w:color="auto" w:frame="1"/>
          <w:lang w:eastAsia="en-PH"/>
        </w:rPr>
        <w:t>3.12</w:t>
      </w:r>
      <w:r w:rsidRPr="00054A5F">
        <w:rPr>
          <w:rFonts w:ascii="Arial" w:hAnsi="Arial" w:cs="Arial"/>
          <w:bCs/>
          <w:color w:val="1F1F1F"/>
          <w:lang w:eastAsia="en-PH"/>
        </w:rPr>
        <w:t xml:space="preserve"> was recorded for the students' ability to list the sequence of steps in a process learned earlier in the school year, while the retrieval of formulas or dates without assistance stood at </w:t>
      </w:r>
      <w:r w:rsidRPr="00054A5F">
        <w:rPr>
          <w:rFonts w:ascii="Arial" w:hAnsi="Arial" w:cs="Arial"/>
          <w:bCs/>
          <w:color w:val="1F1F1F"/>
          <w:bdr w:val="none" w:sz="0" w:space="0" w:color="auto" w:frame="1"/>
          <w:lang w:eastAsia="en-PH"/>
        </w:rPr>
        <w:t>3.24</w:t>
      </w:r>
      <w:r w:rsidRPr="00054A5F">
        <w:rPr>
          <w:rFonts w:ascii="Arial" w:hAnsi="Arial" w:cs="Arial"/>
          <w:bCs/>
          <w:color w:val="1F1F1F"/>
          <w:lang w:eastAsia="en-PH"/>
        </w:rPr>
        <w:t>.</w:t>
      </w:r>
    </w:p>
    <w:p w14:paraId="633226AD" w14:textId="77777777" w:rsidR="00A44D52" w:rsidRPr="00054A5F" w:rsidRDefault="00A44D52" w:rsidP="00A44D52">
      <w:pPr>
        <w:jc w:val="both"/>
        <w:rPr>
          <w:rFonts w:ascii="Arial" w:hAnsi="Arial" w:cs="Arial"/>
          <w:bCs/>
          <w:color w:val="1F1F1F"/>
          <w:lang w:eastAsia="en-PH"/>
        </w:rPr>
      </w:pPr>
    </w:p>
    <w:p w14:paraId="1602ABB1"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teachers observe a significant inconsistency in the students' ability to move information from short-term recognition to long-term independent retrieval. The neutral ratings across all indicators suggest that while students may not be completely failing to recall information, they lack the "fluency" or "automaticity" required for mastery without external cues. The particularly low score in recalling sequences of steps indicates that procedural </w:t>
      </w:r>
      <w:r w:rsidRPr="00054A5F">
        <w:rPr>
          <w:rFonts w:ascii="Arial" w:hAnsi="Arial" w:cs="Arial"/>
          <w:bCs/>
          <w:color w:val="1F1F1F"/>
          <w:lang w:eastAsia="en-PH"/>
        </w:rPr>
        <w:lastRenderedPageBreak/>
        <w:t xml:space="preserve">memory—essential for subjects like Mathematics, Science, and TLE—is especially vulnerable to decay. For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these findings underscore the urgent need for instructional strategies that emphasize </w:t>
      </w:r>
      <w:r w:rsidRPr="00054A5F">
        <w:rPr>
          <w:rFonts w:ascii="Arial" w:hAnsi="Arial" w:cs="Arial"/>
          <w:bCs/>
          <w:color w:val="1F1F1F"/>
          <w:bdr w:val="none" w:sz="0" w:space="0" w:color="auto" w:frame="1"/>
          <w:lang w:eastAsia="en-PH"/>
        </w:rPr>
        <w:t>active retrieval practice</w:t>
      </w:r>
      <w:r w:rsidRPr="00054A5F">
        <w:rPr>
          <w:rFonts w:ascii="Arial" w:hAnsi="Arial" w:cs="Arial"/>
          <w:bCs/>
          <w:color w:val="1F1F1F"/>
          <w:lang w:eastAsia="en-PH"/>
        </w:rPr>
        <w:t xml:space="preserve"> and </w:t>
      </w:r>
      <w:r w:rsidRPr="00054A5F">
        <w:rPr>
          <w:rFonts w:ascii="Arial" w:hAnsi="Arial" w:cs="Arial"/>
          <w:bCs/>
          <w:color w:val="1F1F1F"/>
          <w:bdr w:val="none" w:sz="0" w:space="0" w:color="auto" w:frame="1"/>
          <w:lang w:eastAsia="en-PH"/>
        </w:rPr>
        <w:t>spaced repetition</w:t>
      </w:r>
      <w:r w:rsidRPr="00054A5F">
        <w:rPr>
          <w:rFonts w:ascii="Arial" w:hAnsi="Arial" w:cs="Arial"/>
          <w:bCs/>
          <w:color w:val="1F1F1F"/>
          <w:lang w:eastAsia="en-PH"/>
        </w:rPr>
        <w:t>, as the current "neither agree nor disagree" status suggests that students are currently operating on a fragile memory base that requires constant re-teaching rather than progressive building.</w:t>
      </w:r>
    </w:p>
    <w:p w14:paraId="7F816DE7" w14:textId="77777777" w:rsidR="00A44D52" w:rsidRPr="00054A5F" w:rsidRDefault="00A44D52" w:rsidP="00A44D52">
      <w:pPr>
        <w:jc w:val="both"/>
        <w:rPr>
          <w:rFonts w:ascii="Arial" w:hAnsi="Arial" w:cs="Arial"/>
          <w:lang w:eastAsia="en-PH"/>
        </w:rPr>
      </w:pPr>
    </w:p>
    <w:p w14:paraId="2362377F"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retrieval practice and spaced repetition as mechanisms to strengthen long-term knowledge retention and automaticity in memory, particularly for procedural and factual recall in formal education settings. The evidence suggests that teacher-facilitated retrieval practices (e.g., quizzes, recall prompts) and spaced repetition can enhance durable learning beyond immediate recognition, addressing gaps noted in teacher-perceived knowledge recall across topics.</w:t>
      </w:r>
    </w:p>
    <w:p w14:paraId="09F7D14A" w14:textId="77777777" w:rsidR="001E51D5" w:rsidRPr="00054A5F" w:rsidRDefault="001E51D5" w:rsidP="001E51D5">
      <w:pPr>
        <w:rPr>
          <w:rFonts w:ascii="Arial" w:hAnsi="Arial" w:cs="Arial"/>
          <w:lang w:eastAsia="en-PH"/>
        </w:rPr>
      </w:pPr>
    </w:p>
    <w:p w14:paraId="0324C8AC" w14:textId="77777777" w:rsidR="001E51D5" w:rsidRPr="00054A5F" w:rsidRDefault="001E51D5" w:rsidP="001E51D5">
      <w:pPr>
        <w:rPr>
          <w:rFonts w:ascii="Arial" w:hAnsi="Arial" w:cs="Arial"/>
          <w:b/>
          <w:lang w:eastAsia="en-PH"/>
        </w:rPr>
      </w:pPr>
      <w:r w:rsidRPr="00054A5F">
        <w:rPr>
          <w:rFonts w:ascii="Arial" w:hAnsi="Arial" w:cs="Arial"/>
          <w:b/>
          <w:lang w:eastAsia="en-PH"/>
        </w:rPr>
        <w:t>Table 17. Conceptual understanding</w:t>
      </w:r>
    </w:p>
    <w:tbl>
      <w:tblPr>
        <w:tblW w:w="7938" w:type="dxa"/>
        <w:tblLook w:val="04A0" w:firstRow="1" w:lastRow="0" w:firstColumn="1" w:lastColumn="0" w:noHBand="0" w:noVBand="1"/>
      </w:tblPr>
      <w:tblGrid>
        <w:gridCol w:w="3528"/>
        <w:gridCol w:w="1116"/>
        <w:gridCol w:w="1404"/>
        <w:gridCol w:w="1890"/>
      </w:tblGrid>
      <w:tr w:rsidR="001E51D5" w:rsidRPr="00054A5F" w14:paraId="4C40A113" w14:textId="77777777" w:rsidTr="0093337B">
        <w:trPr>
          <w:trHeight w:val="35"/>
        </w:trPr>
        <w:tc>
          <w:tcPr>
            <w:tcW w:w="3528" w:type="dxa"/>
            <w:tcBorders>
              <w:top w:val="single" w:sz="4" w:space="0" w:color="auto"/>
              <w:bottom w:val="single" w:sz="4" w:space="0" w:color="auto"/>
            </w:tcBorders>
            <w:vAlign w:val="center"/>
            <w:hideMark/>
          </w:tcPr>
          <w:p w14:paraId="35331838"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116" w:type="dxa"/>
            <w:tcBorders>
              <w:top w:val="single" w:sz="4" w:space="0" w:color="auto"/>
              <w:bottom w:val="single" w:sz="4" w:space="0" w:color="auto"/>
            </w:tcBorders>
            <w:vAlign w:val="center"/>
            <w:hideMark/>
          </w:tcPr>
          <w:p w14:paraId="0434FCD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404" w:type="dxa"/>
            <w:tcBorders>
              <w:top w:val="single" w:sz="4" w:space="0" w:color="auto"/>
              <w:bottom w:val="single" w:sz="4" w:space="0" w:color="auto"/>
            </w:tcBorders>
            <w:vAlign w:val="center"/>
            <w:hideMark/>
          </w:tcPr>
          <w:p w14:paraId="7FD5263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890" w:type="dxa"/>
            <w:tcBorders>
              <w:top w:val="single" w:sz="4" w:space="0" w:color="auto"/>
              <w:bottom w:val="single" w:sz="4" w:space="0" w:color="auto"/>
            </w:tcBorders>
            <w:vAlign w:val="center"/>
            <w:hideMark/>
          </w:tcPr>
          <w:p w14:paraId="2F28D358"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4EEC8608" w14:textId="77777777" w:rsidTr="0093337B">
        <w:trPr>
          <w:trHeight w:val="35"/>
        </w:trPr>
        <w:tc>
          <w:tcPr>
            <w:tcW w:w="3528" w:type="dxa"/>
            <w:tcBorders>
              <w:top w:val="single" w:sz="4" w:space="0" w:color="auto"/>
            </w:tcBorders>
            <w:vAlign w:val="center"/>
            <w:hideMark/>
          </w:tcPr>
          <w:p w14:paraId="6670220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can explain complex ideas in their own words rather than just reciting definitions.</w:t>
            </w:r>
          </w:p>
        </w:tc>
        <w:tc>
          <w:tcPr>
            <w:tcW w:w="1116" w:type="dxa"/>
            <w:tcBorders>
              <w:top w:val="single" w:sz="4" w:space="0" w:color="auto"/>
            </w:tcBorders>
            <w:vAlign w:val="center"/>
            <w:hideMark/>
          </w:tcPr>
          <w:p w14:paraId="76D6555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3.35</w:t>
            </w:r>
          </w:p>
        </w:tc>
        <w:tc>
          <w:tcPr>
            <w:tcW w:w="1404" w:type="dxa"/>
            <w:tcBorders>
              <w:top w:val="single" w:sz="4" w:space="0" w:color="auto"/>
            </w:tcBorders>
            <w:vAlign w:val="center"/>
            <w:hideMark/>
          </w:tcPr>
          <w:p w14:paraId="17959D1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1.06</w:t>
            </w:r>
          </w:p>
        </w:tc>
        <w:tc>
          <w:tcPr>
            <w:tcW w:w="1890" w:type="dxa"/>
            <w:tcBorders>
              <w:top w:val="single" w:sz="4" w:space="0" w:color="auto"/>
            </w:tcBorders>
            <w:vAlign w:val="center"/>
            <w:hideMark/>
          </w:tcPr>
          <w:p w14:paraId="61B7455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4CF2C9C2" w14:textId="77777777" w:rsidTr="0093337B">
        <w:trPr>
          <w:trHeight w:val="35"/>
        </w:trPr>
        <w:tc>
          <w:tcPr>
            <w:tcW w:w="3528" w:type="dxa"/>
            <w:vAlign w:val="center"/>
            <w:hideMark/>
          </w:tcPr>
          <w:p w14:paraId="62DEAFCE"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can summarize the main message or central theme of a previous lesson effectively.</w:t>
            </w:r>
          </w:p>
        </w:tc>
        <w:tc>
          <w:tcPr>
            <w:tcW w:w="1116" w:type="dxa"/>
            <w:vAlign w:val="center"/>
            <w:hideMark/>
          </w:tcPr>
          <w:p w14:paraId="140B55F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3.27</w:t>
            </w:r>
          </w:p>
        </w:tc>
        <w:tc>
          <w:tcPr>
            <w:tcW w:w="1404" w:type="dxa"/>
            <w:vAlign w:val="center"/>
            <w:hideMark/>
          </w:tcPr>
          <w:p w14:paraId="11ECCBCE"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0.97</w:t>
            </w:r>
          </w:p>
        </w:tc>
        <w:tc>
          <w:tcPr>
            <w:tcW w:w="1890" w:type="dxa"/>
            <w:vAlign w:val="center"/>
            <w:hideMark/>
          </w:tcPr>
          <w:p w14:paraId="44535BBA"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5CDB4E87" w14:textId="77777777" w:rsidTr="0093337B">
        <w:trPr>
          <w:trHeight w:val="35"/>
        </w:trPr>
        <w:tc>
          <w:tcPr>
            <w:tcW w:w="3528" w:type="dxa"/>
            <w:vAlign w:val="center"/>
            <w:hideMark/>
          </w:tcPr>
          <w:p w14:paraId="1932F37E"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can illustrate the "how" and "why" behind a specific rule or scientific principle.</w:t>
            </w:r>
          </w:p>
        </w:tc>
        <w:tc>
          <w:tcPr>
            <w:tcW w:w="1116" w:type="dxa"/>
            <w:vAlign w:val="center"/>
            <w:hideMark/>
          </w:tcPr>
          <w:p w14:paraId="52B3DE5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3.23</w:t>
            </w:r>
          </w:p>
        </w:tc>
        <w:tc>
          <w:tcPr>
            <w:tcW w:w="1404" w:type="dxa"/>
            <w:vAlign w:val="center"/>
            <w:hideMark/>
          </w:tcPr>
          <w:p w14:paraId="5965D14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0.94</w:t>
            </w:r>
          </w:p>
        </w:tc>
        <w:tc>
          <w:tcPr>
            <w:tcW w:w="1890" w:type="dxa"/>
            <w:vAlign w:val="center"/>
            <w:hideMark/>
          </w:tcPr>
          <w:p w14:paraId="321B5010"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 xml:space="preserve">Neither Agree </w:t>
            </w:r>
            <w:proofErr w:type="gramStart"/>
            <w:r w:rsidRPr="00054A5F">
              <w:rPr>
                <w:rFonts w:ascii="Arial" w:hAnsi="Arial" w:cs="Arial"/>
                <w:bCs/>
                <w:color w:val="1F1F1F"/>
                <w:lang w:eastAsia="en-PH"/>
              </w:rPr>
              <w:t>Nor</w:t>
            </w:r>
            <w:proofErr w:type="gramEnd"/>
            <w:r w:rsidRPr="00054A5F">
              <w:rPr>
                <w:rFonts w:ascii="Arial" w:hAnsi="Arial" w:cs="Arial"/>
                <w:bCs/>
                <w:color w:val="1F1F1F"/>
                <w:lang w:eastAsia="en-PH"/>
              </w:rPr>
              <w:t xml:space="preserve"> Disagree</w:t>
            </w:r>
          </w:p>
        </w:tc>
      </w:tr>
      <w:tr w:rsidR="001E51D5" w:rsidRPr="00054A5F" w14:paraId="2F676B04" w14:textId="77777777" w:rsidTr="0093337B">
        <w:trPr>
          <w:trHeight w:val="35"/>
        </w:trPr>
        <w:tc>
          <w:tcPr>
            <w:tcW w:w="3528" w:type="dxa"/>
            <w:vAlign w:val="center"/>
            <w:hideMark/>
          </w:tcPr>
          <w:p w14:paraId="64606D47"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can distinguish between similar concepts and explain their distinct differences.</w:t>
            </w:r>
          </w:p>
        </w:tc>
        <w:tc>
          <w:tcPr>
            <w:tcW w:w="1116" w:type="dxa"/>
            <w:vAlign w:val="center"/>
            <w:hideMark/>
          </w:tcPr>
          <w:p w14:paraId="624D2DA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3.46</w:t>
            </w:r>
          </w:p>
        </w:tc>
        <w:tc>
          <w:tcPr>
            <w:tcW w:w="1404" w:type="dxa"/>
            <w:vAlign w:val="center"/>
            <w:hideMark/>
          </w:tcPr>
          <w:p w14:paraId="45DC8ED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0.91</w:t>
            </w:r>
          </w:p>
        </w:tc>
        <w:tc>
          <w:tcPr>
            <w:tcW w:w="1890" w:type="dxa"/>
            <w:vAlign w:val="center"/>
            <w:hideMark/>
          </w:tcPr>
          <w:p w14:paraId="395FE881"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7F58443D" w14:textId="77777777" w:rsidTr="0093337B">
        <w:trPr>
          <w:trHeight w:val="35"/>
        </w:trPr>
        <w:tc>
          <w:tcPr>
            <w:tcW w:w="3528" w:type="dxa"/>
            <w:tcBorders>
              <w:bottom w:val="single" w:sz="4" w:space="0" w:color="auto"/>
            </w:tcBorders>
            <w:vAlign w:val="center"/>
            <w:hideMark/>
          </w:tcPr>
          <w:p w14:paraId="2D813D3D"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Students can provide original examples of a concept that were not mentioned in the textbook.</w:t>
            </w:r>
          </w:p>
        </w:tc>
        <w:tc>
          <w:tcPr>
            <w:tcW w:w="1116" w:type="dxa"/>
            <w:tcBorders>
              <w:bottom w:val="single" w:sz="4" w:space="0" w:color="auto"/>
            </w:tcBorders>
            <w:vAlign w:val="center"/>
            <w:hideMark/>
          </w:tcPr>
          <w:p w14:paraId="52171D4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3.43</w:t>
            </w:r>
          </w:p>
        </w:tc>
        <w:tc>
          <w:tcPr>
            <w:tcW w:w="1404" w:type="dxa"/>
            <w:tcBorders>
              <w:bottom w:val="single" w:sz="4" w:space="0" w:color="auto"/>
            </w:tcBorders>
            <w:vAlign w:val="center"/>
            <w:hideMark/>
          </w:tcPr>
          <w:p w14:paraId="5BCA4D7C"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0.95</w:t>
            </w:r>
          </w:p>
        </w:tc>
        <w:tc>
          <w:tcPr>
            <w:tcW w:w="1890" w:type="dxa"/>
            <w:tcBorders>
              <w:bottom w:val="single" w:sz="4" w:space="0" w:color="auto"/>
            </w:tcBorders>
            <w:vAlign w:val="center"/>
            <w:hideMark/>
          </w:tcPr>
          <w:p w14:paraId="7B0B6616"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462A028A" w14:textId="77777777" w:rsidTr="0093337B">
        <w:trPr>
          <w:trHeight w:val="35"/>
        </w:trPr>
        <w:tc>
          <w:tcPr>
            <w:tcW w:w="3528" w:type="dxa"/>
            <w:tcBorders>
              <w:top w:val="single" w:sz="4" w:space="0" w:color="auto"/>
              <w:bottom w:val="single" w:sz="4" w:space="0" w:color="auto"/>
            </w:tcBorders>
            <w:vAlign w:val="center"/>
            <w:hideMark/>
          </w:tcPr>
          <w:p w14:paraId="783EC7E0"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116" w:type="dxa"/>
            <w:tcBorders>
              <w:top w:val="single" w:sz="4" w:space="0" w:color="auto"/>
              <w:bottom w:val="single" w:sz="4" w:space="0" w:color="auto"/>
            </w:tcBorders>
            <w:vAlign w:val="center"/>
            <w:hideMark/>
          </w:tcPr>
          <w:p w14:paraId="1B86D5FC"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3.35</w:t>
            </w:r>
          </w:p>
        </w:tc>
        <w:tc>
          <w:tcPr>
            <w:tcW w:w="1404" w:type="dxa"/>
            <w:tcBorders>
              <w:top w:val="single" w:sz="4" w:space="0" w:color="auto"/>
              <w:bottom w:val="single" w:sz="4" w:space="0" w:color="auto"/>
            </w:tcBorders>
            <w:vAlign w:val="center"/>
            <w:hideMark/>
          </w:tcPr>
          <w:p w14:paraId="1ECBF6E5" w14:textId="77777777" w:rsidR="001E51D5" w:rsidRPr="00054A5F" w:rsidRDefault="001E51D5" w:rsidP="001E51D5">
            <w:pPr>
              <w:jc w:val="center"/>
              <w:rPr>
                <w:rFonts w:ascii="Arial" w:hAnsi="Arial" w:cs="Arial"/>
                <w:b/>
                <w:color w:val="1F1F1F"/>
                <w:lang w:eastAsia="en-PH"/>
              </w:rPr>
            </w:pPr>
          </w:p>
        </w:tc>
        <w:tc>
          <w:tcPr>
            <w:tcW w:w="1890" w:type="dxa"/>
            <w:tcBorders>
              <w:top w:val="single" w:sz="4" w:space="0" w:color="auto"/>
              <w:bottom w:val="single" w:sz="4" w:space="0" w:color="auto"/>
            </w:tcBorders>
            <w:vAlign w:val="center"/>
            <w:hideMark/>
          </w:tcPr>
          <w:p w14:paraId="11CB7A93"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 xml:space="preserve">Neither Agree </w:t>
            </w:r>
            <w:proofErr w:type="gramStart"/>
            <w:r w:rsidRPr="00054A5F">
              <w:rPr>
                <w:rFonts w:ascii="Arial" w:hAnsi="Arial" w:cs="Arial"/>
                <w:b/>
                <w:color w:val="1F1F1F"/>
                <w:lang w:eastAsia="en-PH"/>
              </w:rPr>
              <w:t>Nor</w:t>
            </w:r>
            <w:proofErr w:type="gramEnd"/>
            <w:r w:rsidRPr="00054A5F">
              <w:rPr>
                <w:rFonts w:ascii="Arial" w:hAnsi="Arial" w:cs="Arial"/>
                <w:b/>
                <w:color w:val="1F1F1F"/>
                <w:lang w:eastAsia="en-PH"/>
              </w:rPr>
              <w:t xml:space="preserve"> Disagree</w:t>
            </w:r>
          </w:p>
        </w:tc>
      </w:tr>
    </w:tbl>
    <w:p w14:paraId="54B03742" w14:textId="77777777" w:rsidR="001E51D5" w:rsidRPr="00054A5F" w:rsidRDefault="001E51D5" w:rsidP="0093337B">
      <w:pPr>
        <w:jc w:val="both"/>
        <w:rPr>
          <w:rFonts w:ascii="Arial" w:hAnsi="Arial" w:cs="Arial"/>
          <w:bCs/>
          <w:lang w:eastAsia="en-PH"/>
        </w:rPr>
      </w:pPr>
    </w:p>
    <w:p w14:paraId="0744B1A0"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17 shows the teacher-respondents' assessment of students' conceptual understanding as a determinant of learning retention, yielding an overall weighted mean of </w:t>
      </w:r>
      <w:r w:rsidRPr="00054A5F">
        <w:rPr>
          <w:rFonts w:ascii="Arial" w:hAnsi="Arial" w:cs="Arial"/>
          <w:bCs/>
          <w:color w:val="1F1F1F"/>
          <w:bdr w:val="none" w:sz="0" w:space="0" w:color="auto" w:frame="1"/>
          <w:lang w:eastAsia="en-PH"/>
        </w:rPr>
        <w:t>3.35</w:t>
      </w:r>
      <w:r w:rsidRPr="00054A5F">
        <w:rPr>
          <w:rFonts w:ascii="Arial" w:hAnsi="Arial" w:cs="Arial"/>
          <w:bCs/>
          <w:color w:val="1F1F1F"/>
          <w:lang w:eastAsia="en-PH"/>
        </w:rPr>
        <w:t xml:space="preserve">, which is verbally interpreted as </w:t>
      </w:r>
      <w:r w:rsidRPr="00054A5F">
        <w:rPr>
          <w:rFonts w:ascii="Arial" w:hAnsi="Arial" w:cs="Arial"/>
          <w:bCs/>
          <w:color w:val="1F1F1F"/>
          <w:bdr w:val="none" w:sz="0" w:space="0" w:color="auto" w:frame="1"/>
          <w:lang w:eastAsia="en-PH"/>
        </w:rPr>
        <w:t xml:space="preserve">"Neither Agree </w:t>
      </w:r>
      <w:proofErr w:type="gramStart"/>
      <w:r w:rsidRPr="00054A5F">
        <w:rPr>
          <w:rFonts w:ascii="Arial" w:hAnsi="Arial" w:cs="Arial"/>
          <w:bCs/>
          <w:color w:val="1F1F1F"/>
          <w:bdr w:val="none" w:sz="0" w:space="0" w:color="auto" w:frame="1"/>
          <w:lang w:eastAsia="en-PH"/>
        </w:rPr>
        <w:t>Nor</w:t>
      </w:r>
      <w:proofErr w:type="gramEnd"/>
      <w:r w:rsidRPr="00054A5F">
        <w:rPr>
          <w:rFonts w:ascii="Arial" w:hAnsi="Arial" w:cs="Arial"/>
          <w:bCs/>
          <w:color w:val="1F1F1F"/>
          <w:bdr w:val="none" w:sz="0" w:space="0" w:color="auto" w:frame="1"/>
          <w:lang w:eastAsia="en-PH"/>
        </w:rPr>
        <w:t xml:space="preserve"> Disagree."</w:t>
      </w:r>
      <w:r w:rsidRPr="00054A5F">
        <w:rPr>
          <w:rFonts w:ascii="Arial" w:hAnsi="Arial" w:cs="Arial"/>
          <w:bCs/>
          <w:color w:val="1F1F1F"/>
          <w:lang w:eastAsia="en-PH"/>
        </w:rPr>
        <w:t xml:space="preserve"> Among the specific indicators, two statements achieved a positive rating: the ability of students to distinguish between similar concepts and explain their differences, which earned the highest mean of </w:t>
      </w:r>
      <w:r w:rsidRPr="00054A5F">
        <w:rPr>
          <w:rFonts w:ascii="Arial" w:hAnsi="Arial" w:cs="Arial"/>
          <w:bCs/>
          <w:color w:val="1F1F1F"/>
          <w:bdr w:val="none" w:sz="0" w:space="0" w:color="auto" w:frame="1"/>
          <w:lang w:eastAsia="en-PH"/>
        </w:rPr>
        <w:t>3.46</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xml:space="preserve">), followed by providing original examples not found in the textbook at </w:t>
      </w:r>
      <w:r w:rsidRPr="00054A5F">
        <w:rPr>
          <w:rFonts w:ascii="Arial" w:hAnsi="Arial" w:cs="Arial"/>
          <w:bCs/>
          <w:color w:val="1F1F1F"/>
          <w:bdr w:val="none" w:sz="0" w:space="0" w:color="auto" w:frame="1"/>
          <w:lang w:eastAsia="en-PH"/>
        </w:rPr>
        <w:t>3.43</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xml:space="preserve">). However, other indicators remained in the neutral range, with students' ability to explain complex ideas in their own words at </w:t>
      </w:r>
      <w:r w:rsidRPr="00054A5F">
        <w:rPr>
          <w:rFonts w:ascii="Arial" w:hAnsi="Arial" w:cs="Arial"/>
          <w:bCs/>
          <w:color w:val="1F1F1F"/>
          <w:bdr w:val="none" w:sz="0" w:space="0" w:color="auto" w:frame="1"/>
          <w:lang w:eastAsia="en-PH"/>
        </w:rPr>
        <w:t>3.35</w:t>
      </w:r>
      <w:r w:rsidRPr="00054A5F">
        <w:rPr>
          <w:rFonts w:ascii="Arial" w:hAnsi="Arial" w:cs="Arial"/>
          <w:bCs/>
          <w:color w:val="1F1F1F"/>
          <w:lang w:eastAsia="en-PH"/>
        </w:rPr>
        <w:t xml:space="preserve">, their effectiveness in summarizing previous lessons at </w:t>
      </w:r>
      <w:r w:rsidRPr="00054A5F">
        <w:rPr>
          <w:rFonts w:ascii="Arial" w:hAnsi="Arial" w:cs="Arial"/>
          <w:bCs/>
          <w:color w:val="1F1F1F"/>
          <w:bdr w:val="none" w:sz="0" w:space="0" w:color="auto" w:frame="1"/>
          <w:lang w:eastAsia="en-PH"/>
        </w:rPr>
        <w:t>3.27</w:t>
      </w:r>
      <w:r w:rsidRPr="00054A5F">
        <w:rPr>
          <w:rFonts w:ascii="Arial" w:hAnsi="Arial" w:cs="Arial"/>
          <w:bCs/>
          <w:color w:val="1F1F1F"/>
          <w:lang w:eastAsia="en-PH"/>
        </w:rPr>
        <w:t xml:space="preserve">, and their capacity to illustrate the "how" and "why" behind principles receiving the lowest mean of </w:t>
      </w:r>
      <w:r w:rsidRPr="00054A5F">
        <w:rPr>
          <w:rFonts w:ascii="Arial" w:hAnsi="Arial" w:cs="Arial"/>
          <w:bCs/>
          <w:color w:val="1F1F1F"/>
          <w:bdr w:val="none" w:sz="0" w:space="0" w:color="auto" w:frame="1"/>
          <w:lang w:eastAsia="en-PH"/>
        </w:rPr>
        <w:t>3.23</w:t>
      </w:r>
      <w:r w:rsidRPr="00054A5F">
        <w:rPr>
          <w:rFonts w:ascii="Arial" w:hAnsi="Arial" w:cs="Arial"/>
          <w:bCs/>
          <w:color w:val="1F1F1F"/>
          <w:lang w:eastAsia="en-PH"/>
        </w:rPr>
        <w:t>.</w:t>
      </w:r>
    </w:p>
    <w:p w14:paraId="715F0803" w14:textId="77777777" w:rsidR="00A44D52" w:rsidRPr="00054A5F" w:rsidRDefault="00A44D52" w:rsidP="00A44D52">
      <w:pPr>
        <w:jc w:val="both"/>
        <w:rPr>
          <w:rFonts w:ascii="Arial" w:hAnsi="Arial" w:cs="Arial"/>
          <w:bCs/>
          <w:color w:val="1F1F1F"/>
          <w:lang w:eastAsia="en-PH"/>
        </w:rPr>
      </w:pPr>
    </w:p>
    <w:p w14:paraId="65C34077"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while students are beginning to develop the ability to categorize information and think creatively outside of textbook examples, they still struggle with the deep, structural processing required for long-term retention. The neutral ratings for summarizing and explaining the "how" and "why" suggest that student learning may still be leaning toward rote memorization rather than true relational understanding. Since deep conceptual clarity is a prerequisite for information to be "anchored" in long-term memory, these findings indicate that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xml:space="preserve"> must prioritize strategies that move students </w:t>
      </w:r>
      <w:r w:rsidRPr="00054A5F">
        <w:rPr>
          <w:rFonts w:ascii="Arial" w:hAnsi="Arial" w:cs="Arial"/>
          <w:bCs/>
          <w:color w:val="1F1F1F"/>
          <w:lang w:eastAsia="en-PH"/>
        </w:rPr>
        <w:lastRenderedPageBreak/>
        <w:t>beyond simple recognition. Specifically, the program should incorporate more "elaborative interrogation" and "self-explanation" techniques to help students bridge the gap between reciting definitions and achieving a profound grasp of the underlying principles, thereby ensuring that knowledge remains accessible over time.</w:t>
      </w:r>
    </w:p>
    <w:p w14:paraId="0E8D0C4B" w14:textId="77777777" w:rsidR="00A44D52" w:rsidRPr="00054A5F" w:rsidRDefault="00A44D52" w:rsidP="00A44D52">
      <w:pPr>
        <w:jc w:val="both"/>
        <w:rPr>
          <w:rFonts w:ascii="Arial" w:hAnsi="Arial" w:cs="Arial"/>
          <w:lang w:eastAsia="en-PH"/>
        </w:rPr>
      </w:pPr>
    </w:p>
    <w:p w14:paraId="541D64C6"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how conceptual understanding supports durable learning by enabling students to distinguish between similar concepts and generate original examples, which correlates with improved long-term retention when instructional strategies promote elaborative interrogation and self-explanation. This perspective is supported by evidence that meaningful relational processing, rather than rote memorization, underpins durable conceptual knowledge and transfer.</w:t>
      </w:r>
    </w:p>
    <w:p w14:paraId="06AFDD5E" w14:textId="77777777" w:rsidR="001E51D5" w:rsidRPr="00054A5F" w:rsidRDefault="001E51D5" w:rsidP="001E51D5">
      <w:pPr>
        <w:ind w:firstLine="720"/>
        <w:rPr>
          <w:rFonts w:ascii="Arial" w:hAnsi="Arial" w:cs="Arial"/>
          <w:lang w:eastAsia="en-PH"/>
        </w:rPr>
      </w:pPr>
    </w:p>
    <w:p w14:paraId="23CC2608" w14:textId="77777777" w:rsidR="001E51D5" w:rsidRPr="00054A5F" w:rsidRDefault="001E51D5" w:rsidP="001E51D5">
      <w:pPr>
        <w:rPr>
          <w:rFonts w:ascii="Arial" w:hAnsi="Arial" w:cs="Arial"/>
          <w:lang w:eastAsia="en-PH"/>
        </w:rPr>
      </w:pPr>
    </w:p>
    <w:p w14:paraId="69DBD44D" w14:textId="77777777" w:rsidR="001E51D5" w:rsidRPr="00054A5F" w:rsidRDefault="001E51D5" w:rsidP="001E51D5">
      <w:pPr>
        <w:rPr>
          <w:rFonts w:ascii="Arial" w:hAnsi="Arial" w:cs="Arial"/>
          <w:lang w:eastAsia="en-PH"/>
        </w:rPr>
      </w:pPr>
      <w:r w:rsidRPr="00054A5F">
        <w:rPr>
          <w:rFonts w:ascii="Arial" w:hAnsi="Arial" w:cs="Arial"/>
          <w:b/>
          <w:lang w:eastAsia="en-PH"/>
        </w:rPr>
        <w:t>Table 18. Application of skills in new contexts</w:t>
      </w:r>
    </w:p>
    <w:tbl>
      <w:tblPr>
        <w:tblW w:w="7848" w:type="dxa"/>
        <w:tblLook w:val="04A0" w:firstRow="1" w:lastRow="0" w:firstColumn="1" w:lastColumn="0" w:noHBand="0" w:noVBand="1"/>
      </w:tblPr>
      <w:tblGrid>
        <w:gridCol w:w="3798"/>
        <w:gridCol w:w="1122"/>
        <w:gridCol w:w="1308"/>
        <w:gridCol w:w="1620"/>
      </w:tblGrid>
      <w:tr w:rsidR="001E51D5" w:rsidRPr="00054A5F" w14:paraId="2D0141E0" w14:textId="77777777" w:rsidTr="0093337B">
        <w:trPr>
          <w:trHeight w:val="113"/>
        </w:trPr>
        <w:tc>
          <w:tcPr>
            <w:tcW w:w="3798" w:type="dxa"/>
            <w:tcBorders>
              <w:top w:val="single" w:sz="4" w:space="0" w:color="auto"/>
              <w:bottom w:val="single" w:sz="4" w:space="0" w:color="auto"/>
            </w:tcBorders>
            <w:vAlign w:val="center"/>
            <w:hideMark/>
          </w:tcPr>
          <w:p w14:paraId="316C6E2F"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Statements</w:t>
            </w:r>
          </w:p>
        </w:tc>
        <w:tc>
          <w:tcPr>
            <w:tcW w:w="1122" w:type="dxa"/>
            <w:tcBorders>
              <w:top w:val="single" w:sz="4" w:space="0" w:color="auto"/>
              <w:bottom w:val="single" w:sz="4" w:space="0" w:color="auto"/>
            </w:tcBorders>
            <w:vAlign w:val="center"/>
            <w:hideMark/>
          </w:tcPr>
          <w:p w14:paraId="27CBBD3E"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Weighted Mean</w:t>
            </w:r>
          </w:p>
        </w:tc>
        <w:tc>
          <w:tcPr>
            <w:tcW w:w="1308" w:type="dxa"/>
            <w:tcBorders>
              <w:top w:val="single" w:sz="4" w:space="0" w:color="auto"/>
              <w:bottom w:val="single" w:sz="4" w:space="0" w:color="auto"/>
            </w:tcBorders>
            <w:vAlign w:val="center"/>
            <w:hideMark/>
          </w:tcPr>
          <w:p w14:paraId="4E27C7E4"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Standard Deviation</w:t>
            </w:r>
          </w:p>
        </w:tc>
        <w:tc>
          <w:tcPr>
            <w:tcW w:w="1620" w:type="dxa"/>
            <w:tcBorders>
              <w:top w:val="single" w:sz="4" w:space="0" w:color="auto"/>
              <w:bottom w:val="single" w:sz="4" w:space="0" w:color="auto"/>
            </w:tcBorders>
            <w:vAlign w:val="center"/>
            <w:hideMark/>
          </w:tcPr>
          <w:p w14:paraId="672C63E5"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Verbal Interpretation</w:t>
            </w:r>
          </w:p>
        </w:tc>
      </w:tr>
      <w:tr w:rsidR="001E51D5" w:rsidRPr="00054A5F" w14:paraId="379B69A7" w14:textId="77777777" w:rsidTr="0093337B">
        <w:trPr>
          <w:trHeight w:val="113"/>
        </w:trPr>
        <w:tc>
          <w:tcPr>
            <w:tcW w:w="3798" w:type="dxa"/>
            <w:tcBorders>
              <w:top w:val="single" w:sz="4" w:space="0" w:color="auto"/>
            </w:tcBorders>
            <w:vAlign w:val="center"/>
            <w:hideMark/>
          </w:tcPr>
          <w:p w14:paraId="2449079E"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1. Students can apply mathematical operations to solve real-world word problems.</w:t>
            </w:r>
          </w:p>
        </w:tc>
        <w:tc>
          <w:tcPr>
            <w:tcW w:w="1122" w:type="dxa"/>
            <w:tcBorders>
              <w:top w:val="single" w:sz="4" w:space="0" w:color="auto"/>
            </w:tcBorders>
            <w:vAlign w:val="center"/>
            <w:hideMark/>
          </w:tcPr>
          <w:p w14:paraId="20B5F8B0"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3.36</w:t>
            </w:r>
          </w:p>
        </w:tc>
        <w:tc>
          <w:tcPr>
            <w:tcW w:w="1308" w:type="dxa"/>
            <w:tcBorders>
              <w:top w:val="single" w:sz="4" w:space="0" w:color="auto"/>
            </w:tcBorders>
            <w:vAlign w:val="center"/>
            <w:hideMark/>
          </w:tcPr>
          <w:p w14:paraId="00124BF0"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0.96</w:t>
            </w:r>
          </w:p>
        </w:tc>
        <w:tc>
          <w:tcPr>
            <w:tcW w:w="1620" w:type="dxa"/>
            <w:tcBorders>
              <w:top w:val="single" w:sz="4" w:space="0" w:color="auto"/>
            </w:tcBorders>
            <w:vAlign w:val="center"/>
            <w:hideMark/>
          </w:tcPr>
          <w:p w14:paraId="58F7DB0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Neither Agree nor Disagree</w:t>
            </w:r>
          </w:p>
        </w:tc>
      </w:tr>
      <w:tr w:rsidR="001E51D5" w:rsidRPr="00054A5F" w14:paraId="1CBFB8E3" w14:textId="77777777" w:rsidTr="0093337B">
        <w:trPr>
          <w:trHeight w:val="113"/>
        </w:trPr>
        <w:tc>
          <w:tcPr>
            <w:tcW w:w="3798" w:type="dxa"/>
            <w:vAlign w:val="center"/>
            <w:hideMark/>
          </w:tcPr>
          <w:p w14:paraId="6030EA4E"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2. Students use grammatical rules learned in previous lessons when writing original essays.</w:t>
            </w:r>
          </w:p>
        </w:tc>
        <w:tc>
          <w:tcPr>
            <w:tcW w:w="1122" w:type="dxa"/>
            <w:vAlign w:val="center"/>
            <w:hideMark/>
          </w:tcPr>
          <w:p w14:paraId="4F99ACD8"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3.20</w:t>
            </w:r>
          </w:p>
        </w:tc>
        <w:tc>
          <w:tcPr>
            <w:tcW w:w="1308" w:type="dxa"/>
            <w:vAlign w:val="center"/>
            <w:hideMark/>
          </w:tcPr>
          <w:p w14:paraId="5588B3A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1.02</w:t>
            </w:r>
          </w:p>
        </w:tc>
        <w:tc>
          <w:tcPr>
            <w:tcW w:w="1620" w:type="dxa"/>
            <w:vAlign w:val="center"/>
            <w:hideMark/>
          </w:tcPr>
          <w:p w14:paraId="78602D88"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Neither Agree nor Disagree</w:t>
            </w:r>
          </w:p>
        </w:tc>
      </w:tr>
      <w:tr w:rsidR="001E51D5" w:rsidRPr="00054A5F" w14:paraId="3C30BCE1" w14:textId="77777777" w:rsidTr="0093337B">
        <w:trPr>
          <w:trHeight w:val="113"/>
        </w:trPr>
        <w:tc>
          <w:tcPr>
            <w:tcW w:w="3798" w:type="dxa"/>
            <w:vAlign w:val="center"/>
            <w:hideMark/>
          </w:tcPr>
          <w:p w14:paraId="0224A753"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3. Students can adapt a learned strategy to solve a problem they have never encountered before.</w:t>
            </w:r>
          </w:p>
        </w:tc>
        <w:tc>
          <w:tcPr>
            <w:tcW w:w="1122" w:type="dxa"/>
            <w:vAlign w:val="center"/>
            <w:hideMark/>
          </w:tcPr>
          <w:p w14:paraId="5333B9DF"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3.38</w:t>
            </w:r>
          </w:p>
        </w:tc>
        <w:tc>
          <w:tcPr>
            <w:tcW w:w="1308" w:type="dxa"/>
            <w:vAlign w:val="center"/>
            <w:hideMark/>
          </w:tcPr>
          <w:p w14:paraId="026E8BFD"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0.89</w:t>
            </w:r>
          </w:p>
        </w:tc>
        <w:tc>
          <w:tcPr>
            <w:tcW w:w="1620" w:type="dxa"/>
            <w:vAlign w:val="center"/>
            <w:hideMark/>
          </w:tcPr>
          <w:p w14:paraId="65FD2992"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Neither Agree nor Disagree</w:t>
            </w:r>
          </w:p>
        </w:tc>
      </w:tr>
      <w:tr w:rsidR="001E51D5" w:rsidRPr="00054A5F" w14:paraId="7D309F60" w14:textId="77777777" w:rsidTr="0093337B">
        <w:trPr>
          <w:trHeight w:val="113"/>
        </w:trPr>
        <w:tc>
          <w:tcPr>
            <w:tcW w:w="3798" w:type="dxa"/>
            <w:vAlign w:val="center"/>
            <w:hideMark/>
          </w:tcPr>
          <w:p w14:paraId="34CAD15D"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4. Students connect lessons from one subject area to concepts found in a different subject.</w:t>
            </w:r>
          </w:p>
        </w:tc>
        <w:tc>
          <w:tcPr>
            <w:tcW w:w="1122" w:type="dxa"/>
            <w:vAlign w:val="center"/>
            <w:hideMark/>
          </w:tcPr>
          <w:p w14:paraId="63CEBD84"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3.61</w:t>
            </w:r>
          </w:p>
        </w:tc>
        <w:tc>
          <w:tcPr>
            <w:tcW w:w="1308" w:type="dxa"/>
            <w:vAlign w:val="center"/>
            <w:hideMark/>
          </w:tcPr>
          <w:p w14:paraId="0D495DE7"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0.88</w:t>
            </w:r>
          </w:p>
        </w:tc>
        <w:tc>
          <w:tcPr>
            <w:tcW w:w="1620" w:type="dxa"/>
            <w:vAlign w:val="center"/>
            <w:hideMark/>
          </w:tcPr>
          <w:p w14:paraId="52A41E70"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3F7184BA" w14:textId="77777777" w:rsidTr="0093337B">
        <w:trPr>
          <w:trHeight w:val="113"/>
        </w:trPr>
        <w:tc>
          <w:tcPr>
            <w:tcW w:w="3798" w:type="dxa"/>
            <w:tcBorders>
              <w:bottom w:val="single" w:sz="4" w:space="0" w:color="auto"/>
            </w:tcBorders>
            <w:vAlign w:val="center"/>
            <w:hideMark/>
          </w:tcPr>
          <w:p w14:paraId="4D5F2D45" w14:textId="77777777" w:rsidR="001E51D5" w:rsidRPr="00054A5F" w:rsidRDefault="001E51D5" w:rsidP="001E51D5">
            <w:pPr>
              <w:rPr>
                <w:rFonts w:ascii="Arial" w:hAnsi="Arial" w:cs="Arial"/>
                <w:bCs/>
                <w:color w:val="1F1F1F"/>
                <w:lang w:eastAsia="en-PH"/>
              </w:rPr>
            </w:pPr>
            <w:r w:rsidRPr="00054A5F">
              <w:rPr>
                <w:rFonts w:ascii="Arial" w:hAnsi="Arial" w:cs="Arial"/>
                <w:bCs/>
                <w:color w:val="1F1F1F"/>
                <w:lang w:eastAsia="en-PH"/>
              </w:rPr>
              <w:t>5. Students can predict the outcome of a scenario based on their understanding of past theories.</w:t>
            </w:r>
          </w:p>
        </w:tc>
        <w:tc>
          <w:tcPr>
            <w:tcW w:w="1122" w:type="dxa"/>
            <w:tcBorders>
              <w:bottom w:val="single" w:sz="4" w:space="0" w:color="auto"/>
            </w:tcBorders>
            <w:vAlign w:val="center"/>
            <w:hideMark/>
          </w:tcPr>
          <w:p w14:paraId="5758929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3.52</w:t>
            </w:r>
          </w:p>
        </w:tc>
        <w:tc>
          <w:tcPr>
            <w:tcW w:w="1308" w:type="dxa"/>
            <w:tcBorders>
              <w:bottom w:val="single" w:sz="4" w:space="0" w:color="auto"/>
            </w:tcBorders>
            <w:vAlign w:val="center"/>
            <w:hideMark/>
          </w:tcPr>
          <w:p w14:paraId="7BFCCBF3"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0.86</w:t>
            </w:r>
          </w:p>
        </w:tc>
        <w:tc>
          <w:tcPr>
            <w:tcW w:w="1620" w:type="dxa"/>
            <w:tcBorders>
              <w:bottom w:val="single" w:sz="4" w:space="0" w:color="auto"/>
            </w:tcBorders>
            <w:vAlign w:val="center"/>
            <w:hideMark/>
          </w:tcPr>
          <w:p w14:paraId="2C291759" w14:textId="77777777" w:rsidR="001E51D5" w:rsidRPr="00054A5F" w:rsidRDefault="001E51D5" w:rsidP="001E51D5">
            <w:pPr>
              <w:jc w:val="center"/>
              <w:rPr>
                <w:rFonts w:ascii="Arial" w:hAnsi="Arial" w:cs="Arial"/>
                <w:bCs/>
                <w:color w:val="1F1F1F"/>
                <w:lang w:eastAsia="en-PH"/>
              </w:rPr>
            </w:pPr>
            <w:r w:rsidRPr="00054A5F">
              <w:rPr>
                <w:rFonts w:ascii="Arial" w:hAnsi="Arial" w:cs="Arial"/>
                <w:bCs/>
                <w:color w:val="1F1F1F"/>
                <w:lang w:eastAsia="en-PH"/>
              </w:rPr>
              <w:t>Agree</w:t>
            </w:r>
          </w:p>
        </w:tc>
      </w:tr>
      <w:tr w:rsidR="001E51D5" w:rsidRPr="00054A5F" w14:paraId="6EF4DF0B" w14:textId="77777777" w:rsidTr="0093337B">
        <w:trPr>
          <w:trHeight w:val="113"/>
        </w:trPr>
        <w:tc>
          <w:tcPr>
            <w:tcW w:w="3798" w:type="dxa"/>
            <w:tcBorders>
              <w:top w:val="single" w:sz="4" w:space="0" w:color="auto"/>
              <w:bottom w:val="single" w:sz="4" w:space="0" w:color="auto"/>
            </w:tcBorders>
            <w:vAlign w:val="center"/>
            <w:hideMark/>
          </w:tcPr>
          <w:p w14:paraId="00FDB3C8" w14:textId="77777777" w:rsidR="001E51D5" w:rsidRPr="00054A5F" w:rsidRDefault="001E51D5" w:rsidP="001E51D5">
            <w:pPr>
              <w:rPr>
                <w:rFonts w:ascii="Arial" w:hAnsi="Arial" w:cs="Arial"/>
                <w:b/>
                <w:color w:val="1F1F1F"/>
                <w:lang w:eastAsia="en-PH"/>
              </w:rPr>
            </w:pPr>
            <w:r w:rsidRPr="00054A5F">
              <w:rPr>
                <w:rFonts w:ascii="Arial" w:hAnsi="Arial" w:cs="Arial"/>
                <w:b/>
                <w:color w:val="1F1F1F"/>
                <w:lang w:eastAsia="en-PH"/>
              </w:rPr>
              <w:t>Overall Weighted Mean</w:t>
            </w:r>
          </w:p>
        </w:tc>
        <w:tc>
          <w:tcPr>
            <w:tcW w:w="1122" w:type="dxa"/>
            <w:tcBorders>
              <w:top w:val="single" w:sz="4" w:space="0" w:color="auto"/>
              <w:bottom w:val="single" w:sz="4" w:space="0" w:color="auto"/>
            </w:tcBorders>
            <w:vAlign w:val="center"/>
            <w:hideMark/>
          </w:tcPr>
          <w:p w14:paraId="1FE6BBD3"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3.41</w:t>
            </w:r>
          </w:p>
        </w:tc>
        <w:tc>
          <w:tcPr>
            <w:tcW w:w="1308" w:type="dxa"/>
            <w:tcBorders>
              <w:top w:val="single" w:sz="4" w:space="0" w:color="auto"/>
              <w:bottom w:val="single" w:sz="4" w:space="0" w:color="auto"/>
            </w:tcBorders>
            <w:vAlign w:val="center"/>
            <w:hideMark/>
          </w:tcPr>
          <w:p w14:paraId="71C06205" w14:textId="77777777" w:rsidR="001E51D5" w:rsidRPr="00054A5F" w:rsidRDefault="001E51D5" w:rsidP="001E51D5">
            <w:pPr>
              <w:jc w:val="center"/>
              <w:rPr>
                <w:rFonts w:ascii="Arial" w:hAnsi="Arial" w:cs="Arial"/>
                <w:b/>
                <w:color w:val="1F1F1F"/>
                <w:lang w:eastAsia="en-PH"/>
              </w:rPr>
            </w:pPr>
          </w:p>
        </w:tc>
        <w:tc>
          <w:tcPr>
            <w:tcW w:w="1620" w:type="dxa"/>
            <w:tcBorders>
              <w:top w:val="single" w:sz="4" w:space="0" w:color="auto"/>
              <w:bottom w:val="single" w:sz="4" w:space="0" w:color="auto"/>
            </w:tcBorders>
            <w:vAlign w:val="center"/>
            <w:hideMark/>
          </w:tcPr>
          <w:p w14:paraId="7C7D5362" w14:textId="77777777" w:rsidR="001E51D5" w:rsidRPr="00054A5F" w:rsidRDefault="001E51D5" w:rsidP="001E51D5">
            <w:pPr>
              <w:jc w:val="center"/>
              <w:rPr>
                <w:rFonts w:ascii="Arial" w:hAnsi="Arial" w:cs="Arial"/>
                <w:b/>
                <w:color w:val="1F1F1F"/>
                <w:lang w:eastAsia="en-PH"/>
              </w:rPr>
            </w:pPr>
            <w:r w:rsidRPr="00054A5F">
              <w:rPr>
                <w:rFonts w:ascii="Arial" w:hAnsi="Arial" w:cs="Arial"/>
                <w:b/>
                <w:color w:val="1F1F1F"/>
                <w:lang w:eastAsia="en-PH"/>
              </w:rPr>
              <w:t>Agree</w:t>
            </w:r>
          </w:p>
        </w:tc>
      </w:tr>
    </w:tbl>
    <w:p w14:paraId="431DA05B" w14:textId="77777777" w:rsidR="00A44D52" w:rsidRPr="00054A5F" w:rsidRDefault="00A44D52" w:rsidP="00A44D52">
      <w:pPr>
        <w:jc w:val="both"/>
        <w:rPr>
          <w:rFonts w:ascii="Arial" w:hAnsi="Arial" w:cs="Arial"/>
          <w:bCs/>
          <w:color w:val="1F1F1F"/>
          <w:lang w:eastAsia="en-PH"/>
        </w:rPr>
      </w:pPr>
    </w:p>
    <w:p w14:paraId="629DAA88"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Table 18 shows the teacher-respondents' assessment of students' ability to apply skills in new contexts as a determinant of learning retention, yielding an overall weighted mean of </w:t>
      </w:r>
      <w:r w:rsidRPr="00054A5F">
        <w:rPr>
          <w:rFonts w:ascii="Arial" w:hAnsi="Arial" w:cs="Arial"/>
          <w:bCs/>
          <w:color w:val="1F1F1F"/>
          <w:bdr w:val="none" w:sz="0" w:space="0" w:color="auto" w:frame="1"/>
          <w:lang w:eastAsia="en-PH"/>
        </w:rPr>
        <w:t>3.41</w:t>
      </w:r>
      <w:r w:rsidRPr="00054A5F">
        <w:rPr>
          <w:rFonts w:ascii="Arial" w:hAnsi="Arial" w:cs="Arial"/>
          <w:bCs/>
          <w:color w:val="1F1F1F"/>
          <w:lang w:eastAsia="en-PH"/>
        </w:rPr>
        <w:t xml:space="preserve">, which is verbally interpreted as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xml:space="preserve"> The data indicates that students are most successful at connecting lessons from one subject area to concepts in another, with the highest weighted mean of </w:t>
      </w:r>
      <w:r w:rsidRPr="00054A5F">
        <w:rPr>
          <w:rFonts w:ascii="Arial" w:hAnsi="Arial" w:cs="Arial"/>
          <w:bCs/>
          <w:color w:val="1F1F1F"/>
          <w:bdr w:val="none" w:sz="0" w:space="0" w:color="auto" w:frame="1"/>
          <w:lang w:eastAsia="en-PH"/>
        </w:rPr>
        <w:t>3.61</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xml:space="preserve">), followed by their ability to predict outcomes based on past theories at </w:t>
      </w:r>
      <w:r w:rsidRPr="00054A5F">
        <w:rPr>
          <w:rFonts w:ascii="Arial" w:hAnsi="Arial" w:cs="Arial"/>
          <w:bCs/>
          <w:color w:val="1F1F1F"/>
          <w:bdr w:val="none" w:sz="0" w:space="0" w:color="auto" w:frame="1"/>
          <w:lang w:eastAsia="en-PH"/>
        </w:rPr>
        <w:t>3.52</w:t>
      </w:r>
      <w:r w:rsidRPr="00054A5F">
        <w:rPr>
          <w:rFonts w:ascii="Arial" w:hAnsi="Arial" w:cs="Arial"/>
          <w:bCs/>
          <w:color w:val="1F1F1F"/>
          <w:lang w:eastAsia="en-PH"/>
        </w:rPr>
        <w:t xml:space="preserve"> (</w:t>
      </w:r>
      <w:r w:rsidRPr="00054A5F">
        <w:rPr>
          <w:rFonts w:ascii="Arial" w:hAnsi="Arial" w:cs="Arial"/>
          <w:bCs/>
          <w:color w:val="1F1F1F"/>
          <w:bdr w:val="none" w:sz="0" w:space="0" w:color="auto" w:frame="1"/>
          <w:lang w:eastAsia="en-PH"/>
        </w:rPr>
        <w:t>"Agree"</w:t>
      </w:r>
      <w:r w:rsidRPr="00054A5F">
        <w:rPr>
          <w:rFonts w:ascii="Arial" w:hAnsi="Arial" w:cs="Arial"/>
          <w:bCs/>
          <w:color w:val="1F1F1F"/>
          <w:lang w:eastAsia="en-PH"/>
        </w:rPr>
        <w:t>). However, more technical and specific applications of knowledge—such as adapting strategies to unfamiliar problems (</w:t>
      </w:r>
      <w:r w:rsidRPr="00054A5F">
        <w:rPr>
          <w:rFonts w:ascii="Arial" w:hAnsi="Arial" w:cs="Arial"/>
          <w:bCs/>
          <w:color w:val="1F1F1F"/>
          <w:bdr w:val="none" w:sz="0" w:space="0" w:color="auto" w:frame="1"/>
          <w:lang w:eastAsia="en-PH"/>
        </w:rPr>
        <w:t>3.38</w:t>
      </w:r>
      <w:r w:rsidRPr="00054A5F">
        <w:rPr>
          <w:rFonts w:ascii="Arial" w:hAnsi="Arial" w:cs="Arial"/>
          <w:bCs/>
          <w:color w:val="1F1F1F"/>
          <w:lang w:eastAsia="en-PH"/>
        </w:rPr>
        <w:t>), applying math operations to real-world word problems (</w:t>
      </w:r>
      <w:r w:rsidRPr="00054A5F">
        <w:rPr>
          <w:rFonts w:ascii="Arial" w:hAnsi="Arial" w:cs="Arial"/>
          <w:bCs/>
          <w:color w:val="1F1F1F"/>
          <w:bdr w:val="none" w:sz="0" w:space="0" w:color="auto" w:frame="1"/>
          <w:lang w:eastAsia="en-PH"/>
        </w:rPr>
        <w:t>3.36</w:t>
      </w:r>
      <w:r w:rsidRPr="00054A5F">
        <w:rPr>
          <w:rFonts w:ascii="Arial" w:hAnsi="Arial" w:cs="Arial"/>
          <w:bCs/>
          <w:color w:val="1F1F1F"/>
          <w:lang w:eastAsia="en-PH"/>
        </w:rPr>
        <w:t>), and using grammatical rules in original writing (</w:t>
      </w:r>
      <w:r w:rsidRPr="00054A5F">
        <w:rPr>
          <w:rFonts w:ascii="Arial" w:hAnsi="Arial" w:cs="Arial"/>
          <w:bCs/>
          <w:color w:val="1F1F1F"/>
          <w:bdr w:val="none" w:sz="0" w:space="0" w:color="auto" w:frame="1"/>
          <w:lang w:eastAsia="en-PH"/>
        </w:rPr>
        <w:t>3.20</w:t>
      </w:r>
      <w:r w:rsidRPr="00054A5F">
        <w:rPr>
          <w:rFonts w:ascii="Arial" w:hAnsi="Arial" w:cs="Arial"/>
          <w:bCs/>
          <w:color w:val="1F1F1F"/>
          <w:lang w:eastAsia="en-PH"/>
        </w:rPr>
        <w:t xml:space="preserve">)—all fell within the </w:t>
      </w:r>
      <w:r w:rsidRPr="00054A5F">
        <w:rPr>
          <w:rFonts w:ascii="Arial" w:hAnsi="Arial" w:cs="Arial"/>
          <w:bCs/>
          <w:color w:val="1F1F1F"/>
          <w:bdr w:val="none" w:sz="0" w:space="0" w:color="auto" w:frame="1"/>
          <w:lang w:eastAsia="en-PH"/>
        </w:rPr>
        <w:t>"Neither Agree nor Disagree"</w:t>
      </w:r>
      <w:r w:rsidRPr="00054A5F">
        <w:rPr>
          <w:rFonts w:ascii="Arial" w:hAnsi="Arial" w:cs="Arial"/>
          <w:bCs/>
          <w:color w:val="1F1F1F"/>
          <w:lang w:eastAsia="en-PH"/>
        </w:rPr>
        <w:t xml:space="preserve"> range.</w:t>
      </w:r>
    </w:p>
    <w:p w14:paraId="55A41DB0" w14:textId="77777777" w:rsidR="001E51D5" w:rsidRPr="00054A5F" w:rsidRDefault="001E51D5" w:rsidP="00A44D52">
      <w:pPr>
        <w:jc w:val="both"/>
        <w:rPr>
          <w:rFonts w:ascii="Arial" w:hAnsi="Arial" w:cs="Arial"/>
          <w:bCs/>
          <w:color w:val="1F1F1F"/>
          <w:lang w:eastAsia="en-PH"/>
        </w:rPr>
      </w:pPr>
      <w:r w:rsidRPr="00054A5F">
        <w:rPr>
          <w:rFonts w:ascii="Arial" w:hAnsi="Arial" w:cs="Arial"/>
          <w:bCs/>
          <w:color w:val="1F1F1F"/>
          <w:lang w:eastAsia="en-PH"/>
        </w:rPr>
        <w:t xml:space="preserve">It implies that while students are beginning to develop interdisciplinary awareness and theoretical reasoning, they struggle significantly with the "near transfer" and "far transfer" of specific, technical skills into practical or novel situations. The neutral ratings in math application and grammar usage suggest that even when students "learn" a rule, it is often stored as isolated information rather than a versatile tool, which is a hallmark of weak long-term retention and shallow encoding. For the </w:t>
      </w:r>
      <w:r w:rsidRPr="00054A5F">
        <w:rPr>
          <w:rFonts w:ascii="Arial" w:hAnsi="Arial" w:cs="Arial"/>
          <w:bCs/>
          <w:color w:val="1F1F1F"/>
          <w:bdr w:val="none" w:sz="0" w:space="0" w:color="auto" w:frame="1"/>
          <w:lang w:eastAsia="en-PH"/>
        </w:rPr>
        <w:t>Learning Retention Enhancement Program</w:t>
      </w:r>
      <w:r w:rsidRPr="00054A5F">
        <w:rPr>
          <w:rFonts w:ascii="Arial" w:hAnsi="Arial" w:cs="Arial"/>
          <w:bCs/>
          <w:color w:val="1F1F1F"/>
          <w:lang w:eastAsia="en-PH"/>
        </w:rPr>
        <w:t>, this highlights a critical need to shift from rote memorization to "Contextualized Teaching and Learning." The program must explicitly incorporate "Transfer-of-Learning" exercises that force students to use classroom concepts in varied, non-routine scenarios, ensuring that knowledge is not just remembered, but is sufficiently flexible to be retrieved and applied outside the specific lesson where it was first introduced.</w:t>
      </w:r>
    </w:p>
    <w:p w14:paraId="1413D390" w14:textId="77777777" w:rsidR="00A44D52" w:rsidRPr="00054A5F" w:rsidRDefault="00A44D52" w:rsidP="0093337B">
      <w:pPr>
        <w:jc w:val="both"/>
        <w:rPr>
          <w:rFonts w:ascii="Arial" w:hAnsi="Arial" w:cs="Arial"/>
          <w:lang w:eastAsia="en-PH"/>
        </w:rPr>
      </w:pPr>
    </w:p>
    <w:p w14:paraId="57A800FF" w14:textId="77777777" w:rsidR="001E51D5" w:rsidRPr="00054A5F" w:rsidRDefault="001E51D5" w:rsidP="0093337B">
      <w:pPr>
        <w:jc w:val="both"/>
        <w:rPr>
          <w:rFonts w:ascii="Arial" w:hAnsi="Arial" w:cs="Arial"/>
          <w:lang w:eastAsia="en-PH"/>
        </w:rPr>
      </w:pPr>
      <w:r w:rsidRPr="00054A5F">
        <w:rPr>
          <w:rFonts w:ascii="Arial" w:hAnsi="Arial" w:cs="Arial"/>
          <w:lang w:eastAsia="en-PH"/>
        </w:rPr>
        <w:t>This aligns with the study of transfer-of-learning and contextualized teaching to enhance long-term retention, illustrating that learners often show strong cross-disciplinary connections while struggling with near transfer of technical skills to novel contexts. These findings corroborate that promoting explicit transfer practices and varied, non-routine scenarios can shift knowledge from remembered rules to flexible, applicable tools across subjects.</w:t>
      </w:r>
    </w:p>
    <w:p w14:paraId="633B0DA0" w14:textId="77777777" w:rsidR="001E51D5" w:rsidRPr="00054A5F" w:rsidRDefault="001E51D5" w:rsidP="001E51D5">
      <w:pPr>
        <w:rPr>
          <w:rFonts w:ascii="Arial" w:hAnsi="Arial" w:cs="Arial"/>
          <w:lang w:eastAsia="en-PH"/>
        </w:rPr>
      </w:pPr>
    </w:p>
    <w:p w14:paraId="6B86AEE7" w14:textId="77777777" w:rsidR="001E51D5" w:rsidRPr="00054A5F" w:rsidRDefault="0093337B" w:rsidP="001E51D5">
      <w:pPr>
        <w:ind w:left="288" w:hanging="288"/>
        <w:rPr>
          <w:rFonts w:ascii="Arial" w:hAnsi="Arial" w:cs="Arial"/>
          <w:b/>
          <w:lang w:eastAsia="en-PH"/>
        </w:rPr>
      </w:pPr>
      <w:r w:rsidRPr="00054A5F">
        <w:rPr>
          <w:rFonts w:ascii="Arial" w:hAnsi="Arial" w:cs="Arial"/>
          <w:b/>
          <w:lang w:eastAsia="en-PH"/>
        </w:rPr>
        <w:t>3</w:t>
      </w:r>
      <w:r w:rsidR="001E51D5" w:rsidRPr="00054A5F">
        <w:rPr>
          <w:rFonts w:ascii="Arial" w:hAnsi="Arial" w:cs="Arial"/>
          <w:b/>
          <w:lang w:eastAsia="en-PH"/>
        </w:rPr>
        <w:t>.5. Significant Relationship Between the Identified Pedagogical Determinants and the Perceived Level of Learning Retention Among Junior High School Students</w:t>
      </w:r>
    </w:p>
    <w:p w14:paraId="28F0D6D2" w14:textId="77777777" w:rsidR="00A44D52" w:rsidRPr="00054A5F" w:rsidRDefault="00A44D52" w:rsidP="00A44D52">
      <w:pPr>
        <w:rPr>
          <w:rFonts w:ascii="Arial" w:hAnsi="Arial" w:cs="Arial"/>
          <w:bCs/>
        </w:rPr>
      </w:pPr>
    </w:p>
    <w:p w14:paraId="3A6DF65A" w14:textId="77777777" w:rsidR="001E51D5" w:rsidRPr="00054A5F" w:rsidRDefault="001E51D5" w:rsidP="00A44D52">
      <w:pPr>
        <w:jc w:val="both"/>
        <w:rPr>
          <w:rFonts w:ascii="Arial" w:hAnsi="Arial" w:cs="Arial"/>
          <w:bCs/>
        </w:rPr>
      </w:pPr>
      <w:r w:rsidRPr="00054A5F">
        <w:rPr>
          <w:rFonts w:ascii="Arial" w:hAnsi="Arial" w:cs="Arial"/>
          <w:bCs/>
        </w:rPr>
        <w:t>This section presents the statistical analysis of the relationship between the identified pedagogical determinants and the perceived level of learning retention among Junior High School students, utilizing Spearman Correlation to determine the strength and significance of these associations.</w:t>
      </w:r>
    </w:p>
    <w:p w14:paraId="2790C026" w14:textId="77777777" w:rsidR="001E51D5" w:rsidRPr="00054A5F" w:rsidRDefault="001E51D5" w:rsidP="00A44D52">
      <w:pPr>
        <w:rPr>
          <w:rFonts w:ascii="Arial" w:hAnsi="Arial" w:cs="Arial"/>
          <w:bCs/>
          <w:lang w:eastAsia="en-PH"/>
        </w:rPr>
      </w:pPr>
    </w:p>
    <w:p w14:paraId="77284965" w14:textId="77777777" w:rsidR="001E51D5" w:rsidRPr="00054A5F" w:rsidRDefault="001E51D5" w:rsidP="001E51D5">
      <w:pPr>
        <w:ind w:left="850" w:hanging="850"/>
        <w:rPr>
          <w:rFonts w:ascii="Arial" w:hAnsi="Arial" w:cs="Arial"/>
          <w:b/>
          <w:lang w:eastAsia="en-PH"/>
        </w:rPr>
      </w:pPr>
      <w:r w:rsidRPr="00054A5F">
        <w:rPr>
          <w:rFonts w:ascii="Arial" w:hAnsi="Arial" w:cs="Arial"/>
          <w:b/>
          <w:lang w:eastAsia="en-PH"/>
        </w:rPr>
        <w:t>Table 19. Significant Relationship Between the Identified Pedagogical Determinants and the Perceived Level of Learning Retention Among Junior High School Students</w:t>
      </w:r>
    </w:p>
    <w:tbl>
      <w:tblPr>
        <w:tblW w:w="7668" w:type="dxa"/>
        <w:tblLook w:val="04A0" w:firstRow="1" w:lastRow="0" w:firstColumn="1" w:lastColumn="0" w:noHBand="0" w:noVBand="1"/>
      </w:tblPr>
      <w:tblGrid>
        <w:gridCol w:w="2358"/>
        <w:gridCol w:w="1620"/>
        <w:gridCol w:w="1710"/>
        <w:gridCol w:w="1980"/>
      </w:tblGrid>
      <w:tr w:rsidR="001E51D5" w:rsidRPr="00054A5F" w14:paraId="18615191" w14:textId="77777777" w:rsidTr="0093337B">
        <w:trPr>
          <w:trHeight w:val="276"/>
        </w:trPr>
        <w:tc>
          <w:tcPr>
            <w:tcW w:w="2358" w:type="dxa"/>
            <w:vMerge w:val="restart"/>
            <w:tcBorders>
              <w:top w:val="single" w:sz="4" w:space="0" w:color="auto"/>
            </w:tcBorders>
            <w:vAlign w:val="center"/>
            <w:hideMark/>
          </w:tcPr>
          <w:p w14:paraId="5F948E7E" w14:textId="77777777" w:rsidR="001E51D5" w:rsidRPr="00054A5F" w:rsidRDefault="001E51D5" w:rsidP="001E51D5">
            <w:pPr>
              <w:rPr>
                <w:rFonts w:ascii="Arial" w:hAnsi="Arial" w:cs="Arial"/>
                <w:b/>
                <w:bCs/>
                <w:lang w:eastAsia="en-PH"/>
              </w:rPr>
            </w:pPr>
            <w:r w:rsidRPr="00054A5F">
              <w:rPr>
                <w:rFonts w:ascii="Arial" w:hAnsi="Arial" w:cs="Arial"/>
                <w:b/>
                <w:bCs/>
                <w:lang w:eastAsia="en-PH"/>
              </w:rPr>
              <w:t> </w:t>
            </w:r>
          </w:p>
        </w:tc>
        <w:tc>
          <w:tcPr>
            <w:tcW w:w="1620" w:type="dxa"/>
            <w:vMerge w:val="restart"/>
            <w:tcBorders>
              <w:top w:val="single" w:sz="4" w:space="0" w:color="auto"/>
            </w:tcBorders>
            <w:vAlign w:val="center"/>
            <w:hideMark/>
          </w:tcPr>
          <w:p w14:paraId="612B59B4"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Knowledge Recall</w:t>
            </w:r>
          </w:p>
        </w:tc>
        <w:tc>
          <w:tcPr>
            <w:tcW w:w="1710" w:type="dxa"/>
            <w:vMerge w:val="restart"/>
            <w:tcBorders>
              <w:top w:val="single" w:sz="4" w:space="0" w:color="auto"/>
            </w:tcBorders>
            <w:vAlign w:val="center"/>
            <w:hideMark/>
          </w:tcPr>
          <w:p w14:paraId="571D37BD"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Conceptual Understanding</w:t>
            </w:r>
          </w:p>
        </w:tc>
        <w:tc>
          <w:tcPr>
            <w:tcW w:w="1980" w:type="dxa"/>
            <w:vMerge w:val="restart"/>
            <w:tcBorders>
              <w:top w:val="single" w:sz="4" w:space="0" w:color="auto"/>
            </w:tcBorders>
            <w:vAlign w:val="center"/>
            <w:hideMark/>
          </w:tcPr>
          <w:p w14:paraId="16F03656"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Application of Skills in New Contexts</w:t>
            </w:r>
          </w:p>
        </w:tc>
      </w:tr>
      <w:tr w:rsidR="001E51D5" w:rsidRPr="00054A5F" w14:paraId="40EB9955" w14:textId="77777777" w:rsidTr="0093337B">
        <w:trPr>
          <w:trHeight w:val="270"/>
        </w:trPr>
        <w:tc>
          <w:tcPr>
            <w:tcW w:w="2358" w:type="dxa"/>
            <w:vMerge/>
            <w:vAlign w:val="center"/>
            <w:hideMark/>
          </w:tcPr>
          <w:p w14:paraId="6882F6B9" w14:textId="77777777" w:rsidR="001E51D5" w:rsidRPr="00054A5F" w:rsidRDefault="001E51D5" w:rsidP="001E51D5">
            <w:pPr>
              <w:rPr>
                <w:rFonts w:ascii="Arial" w:hAnsi="Arial" w:cs="Arial"/>
                <w:b/>
                <w:bCs/>
                <w:lang w:eastAsia="en-PH"/>
              </w:rPr>
            </w:pPr>
          </w:p>
        </w:tc>
        <w:tc>
          <w:tcPr>
            <w:tcW w:w="1620" w:type="dxa"/>
            <w:vMerge/>
            <w:vAlign w:val="center"/>
            <w:hideMark/>
          </w:tcPr>
          <w:p w14:paraId="03400940" w14:textId="77777777" w:rsidR="001E51D5" w:rsidRPr="00054A5F" w:rsidRDefault="001E51D5" w:rsidP="001E51D5">
            <w:pPr>
              <w:jc w:val="center"/>
              <w:rPr>
                <w:rFonts w:ascii="Arial" w:hAnsi="Arial" w:cs="Arial"/>
                <w:b/>
                <w:bCs/>
                <w:lang w:eastAsia="en-PH"/>
              </w:rPr>
            </w:pPr>
          </w:p>
        </w:tc>
        <w:tc>
          <w:tcPr>
            <w:tcW w:w="1710" w:type="dxa"/>
            <w:vMerge/>
            <w:vAlign w:val="center"/>
            <w:hideMark/>
          </w:tcPr>
          <w:p w14:paraId="4AAFA142" w14:textId="77777777" w:rsidR="001E51D5" w:rsidRPr="00054A5F" w:rsidRDefault="001E51D5" w:rsidP="001E51D5">
            <w:pPr>
              <w:jc w:val="center"/>
              <w:rPr>
                <w:rFonts w:ascii="Arial" w:hAnsi="Arial" w:cs="Arial"/>
                <w:b/>
                <w:bCs/>
                <w:lang w:eastAsia="en-PH"/>
              </w:rPr>
            </w:pPr>
          </w:p>
        </w:tc>
        <w:tc>
          <w:tcPr>
            <w:tcW w:w="1980" w:type="dxa"/>
            <w:vMerge/>
            <w:vAlign w:val="center"/>
            <w:hideMark/>
          </w:tcPr>
          <w:p w14:paraId="4ECA45FB" w14:textId="77777777" w:rsidR="001E51D5" w:rsidRPr="00054A5F" w:rsidRDefault="001E51D5" w:rsidP="001E51D5">
            <w:pPr>
              <w:jc w:val="center"/>
              <w:rPr>
                <w:rFonts w:ascii="Arial" w:hAnsi="Arial" w:cs="Arial"/>
                <w:b/>
                <w:bCs/>
                <w:lang w:eastAsia="en-PH"/>
              </w:rPr>
            </w:pPr>
          </w:p>
        </w:tc>
      </w:tr>
      <w:tr w:rsidR="001E51D5" w:rsidRPr="00054A5F" w14:paraId="3DA7AA19" w14:textId="77777777" w:rsidTr="0093337B">
        <w:trPr>
          <w:trHeight w:val="270"/>
        </w:trPr>
        <w:tc>
          <w:tcPr>
            <w:tcW w:w="2358" w:type="dxa"/>
            <w:vMerge/>
            <w:vAlign w:val="center"/>
            <w:hideMark/>
          </w:tcPr>
          <w:p w14:paraId="296621FB" w14:textId="77777777" w:rsidR="001E51D5" w:rsidRPr="00054A5F" w:rsidRDefault="001E51D5" w:rsidP="001E51D5">
            <w:pPr>
              <w:rPr>
                <w:rFonts w:ascii="Arial" w:hAnsi="Arial" w:cs="Arial"/>
                <w:b/>
                <w:bCs/>
                <w:lang w:eastAsia="en-PH"/>
              </w:rPr>
            </w:pPr>
          </w:p>
        </w:tc>
        <w:tc>
          <w:tcPr>
            <w:tcW w:w="1620" w:type="dxa"/>
            <w:vMerge/>
            <w:vAlign w:val="center"/>
            <w:hideMark/>
          </w:tcPr>
          <w:p w14:paraId="4E325454" w14:textId="77777777" w:rsidR="001E51D5" w:rsidRPr="00054A5F" w:rsidRDefault="001E51D5" w:rsidP="001E51D5">
            <w:pPr>
              <w:jc w:val="center"/>
              <w:rPr>
                <w:rFonts w:ascii="Arial" w:hAnsi="Arial" w:cs="Arial"/>
                <w:b/>
                <w:bCs/>
                <w:lang w:eastAsia="en-PH"/>
              </w:rPr>
            </w:pPr>
          </w:p>
        </w:tc>
        <w:tc>
          <w:tcPr>
            <w:tcW w:w="1710" w:type="dxa"/>
            <w:vMerge/>
            <w:vAlign w:val="center"/>
            <w:hideMark/>
          </w:tcPr>
          <w:p w14:paraId="7BD9F28E" w14:textId="77777777" w:rsidR="001E51D5" w:rsidRPr="00054A5F" w:rsidRDefault="001E51D5" w:rsidP="001E51D5">
            <w:pPr>
              <w:jc w:val="center"/>
              <w:rPr>
                <w:rFonts w:ascii="Arial" w:hAnsi="Arial" w:cs="Arial"/>
                <w:b/>
                <w:bCs/>
                <w:lang w:eastAsia="en-PH"/>
              </w:rPr>
            </w:pPr>
          </w:p>
        </w:tc>
        <w:tc>
          <w:tcPr>
            <w:tcW w:w="1980" w:type="dxa"/>
            <w:vMerge/>
            <w:vAlign w:val="center"/>
            <w:hideMark/>
          </w:tcPr>
          <w:p w14:paraId="733B1BD5" w14:textId="77777777" w:rsidR="001E51D5" w:rsidRPr="00054A5F" w:rsidRDefault="001E51D5" w:rsidP="001E51D5">
            <w:pPr>
              <w:jc w:val="center"/>
              <w:rPr>
                <w:rFonts w:ascii="Arial" w:hAnsi="Arial" w:cs="Arial"/>
                <w:b/>
                <w:bCs/>
                <w:lang w:eastAsia="en-PH"/>
              </w:rPr>
            </w:pPr>
          </w:p>
        </w:tc>
      </w:tr>
      <w:tr w:rsidR="001E51D5" w:rsidRPr="00054A5F" w14:paraId="13B154D9" w14:textId="77777777" w:rsidTr="0093337B">
        <w:trPr>
          <w:trHeight w:val="295"/>
        </w:trPr>
        <w:tc>
          <w:tcPr>
            <w:tcW w:w="2358" w:type="dxa"/>
            <w:vMerge/>
            <w:tcBorders>
              <w:bottom w:val="single" w:sz="4" w:space="0" w:color="auto"/>
            </w:tcBorders>
            <w:vAlign w:val="center"/>
            <w:hideMark/>
          </w:tcPr>
          <w:p w14:paraId="64355453" w14:textId="77777777" w:rsidR="001E51D5" w:rsidRPr="00054A5F" w:rsidRDefault="001E51D5" w:rsidP="001E51D5">
            <w:pPr>
              <w:rPr>
                <w:rFonts w:ascii="Arial" w:hAnsi="Arial" w:cs="Arial"/>
                <w:b/>
                <w:bCs/>
                <w:lang w:eastAsia="en-PH"/>
              </w:rPr>
            </w:pPr>
          </w:p>
        </w:tc>
        <w:tc>
          <w:tcPr>
            <w:tcW w:w="1620" w:type="dxa"/>
            <w:tcBorders>
              <w:bottom w:val="single" w:sz="4" w:space="0" w:color="auto"/>
            </w:tcBorders>
            <w:vAlign w:val="center"/>
            <w:hideMark/>
          </w:tcPr>
          <w:p w14:paraId="6CF0ECC9" w14:textId="77777777" w:rsidR="001E51D5" w:rsidRPr="00054A5F" w:rsidRDefault="001E51D5" w:rsidP="001E51D5">
            <w:pPr>
              <w:jc w:val="center"/>
              <w:rPr>
                <w:rFonts w:ascii="Arial" w:hAnsi="Arial" w:cs="Arial"/>
                <w:lang w:eastAsia="en-PH"/>
              </w:rPr>
            </w:pPr>
            <w:r w:rsidRPr="00054A5F">
              <w:rPr>
                <w:rFonts w:ascii="Arial" w:hAnsi="Arial" w:cs="Arial"/>
                <w:lang w:eastAsia="en-PH"/>
              </w:rPr>
              <w:t>Spearman Correlation Value</w:t>
            </w:r>
          </w:p>
        </w:tc>
        <w:tc>
          <w:tcPr>
            <w:tcW w:w="1710" w:type="dxa"/>
            <w:tcBorders>
              <w:bottom w:val="single" w:sz="4" w:space="0" w:color="auto"/>
            </w:tcBorders>
            <w:vAlign w:val="center"/>
            <w:hideMark/>
          </w:tcPr>
          <w:p w14:paraId="71B8C5CA" w14:textId="77777777" w:rsidR="001E51D5" w:rsidRPr="00054A5F" w:rsidRDefault="001E51D5" w:rsidP="001E51D5">
            <w:pPr>
              <w:jc w:val="center"/>
              <w:rPr>
                <w:rFonts w:ascii="Arial" w:hAnsi="Arial" w:cs="Arial"/>
                <w:lang w:eastAsia="en-PH"/>
              </w:rPr>
            </w:pPr>
            <w:r w:rsidRPr="00054A5F">
              <w:rPr>
                <w:rFonts w:ascii="Arial" w:hAnsi="Arial" w:cs="Arial"/>
                <w:lang w:eastAsia="en-PH"/>
              </w:rPr>
              <w:t>Spearman Correlation Value</w:t>
            </w:r>
          </w:p>
        </w:tc>
        <w:tc>
          <w:tcPr>
            <w:tcW w:w="1980" w:type="dxa"/>
            <w:tcBorders>
              <w:bottom w:val="single" w:sz="4" w:space="0" w:color="auto"/>
            </w:tcBorders>
            <w:vAlign w:val="center"/>
            <w:hideMark/>
          </w:tcPr>
          <w:p w14:paraId="5888D071" w14:textId="77777777" w:rsidR="001E51D5" w:rsidRPr="00054A5F" w:rsidRDefault="001E51D5" w:rsidP="001E51D5">
            <w:pPr>
              <w:jc w:val="center"/>
              <w:rPr>
                <w:rFonts w:ascii="Arial" w:hAnsi="Arial" w:cs="Arial"/>
                <w:lang w:eastAsia="en-PH"/>
              </w:rPr>
            </w:pPr>
            <w:r w:rsidRPr="00054A5F">
              <w:rPr>
                <w:rFonts w:ascii="Arial" w:hAnsi="Arial" w:cs="Arial"/>
                <w:lang w:eastAsia="en-PH"/>
              </w:rPr>
              <w:t>Spearman Correlation Value</w:t>
            </w:r>
          </w:p>
        </w:tc>
      </w:tr>
      <w:tr w:rsidR="001E51D5" w:rsidRPr="00054A5F" w14:paraId="5F389322" w14:textId="77777777" w:rsidTr="0093337B">
        <w:trPr>
          <w:trHeight w:val="307"/>
        </w:trPr>
        <w:tc>
          <w:tcPr>
            <w:tcW w:w="2358" w:type="dxa"/>
            <w:tcBorders>
              <w:top w:val="single" w:sz="4" w:space="0" w:color="auto"/>
            </w:tcBorders>
            <w:vAlign w:val="center"/>
            <w:hideMark/>
          </w:tcPr>
          <w:p w14:paraId="1510BB7D" w14:textId="77777777" w:rsidR="001E51D5" w:rsidRPr="00054A5F" w:rsidRDefault="001E51D5" w:rsidP="001E51D5">
            <w:pPr>
              <w:rPr>
                <w:rFonts w:ascii="Arial" w:hAnsi="Arial" w:cs="Arial"/>
                <w:b/>
                <w:bCs/>
                <w:lang w:eastAsia="en-PH"/>
              </w:rPr>
            </w:pPr>
            <w:r w:rsidRPr="00054A5F">
              <w:rPr>
                <w:rFonts w:ascii="Arial" w:hAnsi="Arial" w:cs="Arial"/>
                <w:b/>
                <w:bCs/>
                <w:lang w:eastAsia="en-PH"/>
              </w:rPr>
              <w:t>Active learning strategies</w:t>
            </w:r>
          </w:p>
        </w:tc>
        <w:tc>
          <w:tcPr>
            <w:tcW w:w="1620" w:type="dxa"/>
            <w:tcBorders>
              <w:top w:val="single" w:sz="4" w:space="0" w:color="auto"/>
            </w:tcBorders>
            <w:noWrap/>
            <w:vAlign w:val="center"/>
            <w:hideMark/>
          </w:tcPr>
          <w:p w14:paraId="3DF555CB" w14:textId="77777777" w:rsidR="001E51D5" w:rsidRPr="00054A5F" w:rsidRDefault="001E51D5" w:rsidP="001E51D5">
            <w:pPr>
              <w:jc w:val="center"/>
              <w:rPr>
                <w:rFonts w:ascii="Arial" w:hAnsi="Arial" w:cs="Arial"/>
                <w:lang w:eastAsia="en-PH"/>
              </w:rPr>
            </w:pPr>
            <w:r w:rsidRPr="00054A5F">
              <w:rPr>
                <w:rFonts w:ascii="Arial" w:hAnsi="Arial" w:cs="Arial"/>
                <w:lang w:eastAsia="en-PH"/>
              </w:rPr>
              <w:t>0.320**</w:t>
            </w:r>
          </w:p>
        </w:tc>
        <w:tc>
          <w:tcPr>
            <w:tcW w:w="1710" w:type="dxa"/>
            <w:tcBorders>
              <w:top w:val="single" w:sz="4" w:space="0" w:color="auto"/>
            </w:tcBorders>
            <w:noWrap/>
            <w:vAlign w:val="center"/>
            <w:hideMark/>
          </w:tcPr>
          <w:p w14:paraId="07E92D1C" w14:textId="77777777" w:rsidR="001E51D5" w:rsidRPr="00054A5F" w:rsidRDefault="001E51D5" w:rsidP="001E51D5">
            <w:pPr>
              <w:jc w:val="center"/>
              <w:rPr>
                <w:rFonts w:ascii="Arial" w:hAnsi="Arial" w:cs="Arial"/>
                <w:lang w:eastAsia="en-PH"/>
              </w:rPr>
            </w:pPr>
            <w:r w:rsidRPr="00054A5F">
              <w:rPr>
                <w:rFonts w:ascii="Arial" w:hAnsi="Arial" w:cs="Arial"/>
                <w:lang w:eastAsia="en-PH"/>
              </w:rPr>
              <w:t>0.401**</w:t>
            </w:r>
          </w:p>
        </w:tc>
        <w:tc>
          <w:tcPr>
            <w:tcW w:w="1980" w:type="dxa"/>
            <w:tcBorders>
              <w:top w:val="single" w:sz="4" w:space="0" w:color="auto"/>
            </w:tcBorders>
            <w:noWrap/>
            <w:vAlign w:val="center"/>
            <w:hideMark/>
          </w:tcPr>
          <w:p w14:paraId="17742EEA" w14:textId="77777777" w:rsidR="001E51D5" w:rsidRPr="00054A5F" w:rsidRDefault="001E51D5" w:rsidP="001E51D5">
            <w:pPr>
              <w:jc w:val="center"/>
              <w:rPr>
                <w:rFonts w:ascii="Arial" w:hAnsi="Arial" w:cs="Arial"/>
                <w:lang w:eastAsia="en-PH"/>
              </w:rPr>
            </w:pPr>
            <w:r w:rsidRPr="00054A5F">
              <w:rPr>
                <w:rFonts w:ascii="Arial" w:hAnsi="Arial" w:cs="Arial"/>
                <w:lang w:eastAsia="en-PH"/>
              </w:rPr>
              <w:t>0.473**</w:t>
            </w:r>
          </w:p>
        </w:tc>
      </w:tr>
      <w:tr w:rsidR="001E51D5" w:rsidRPr="00054A5F" w14:paraId="464C6605" w14:textId="77777777" w:rsidTr="0093337B">
        <w:trPr>
          <w:trHeight w:val="384"/>
        </w:trPr>
        <w:tc>
          <w:tcPr>
            <w:tcW w:w="2358" w:type="dxa"/>
            <w:vAlign w:val="center"/>
            <w:hideMark/>
          </w:tcPr>
          <w:p w14:paraId="18716E2C" w14:textId="77777777" w:rsidR="001E51D5" w:rsidRPr="00054A5F" w:rsidRDefault="001E51D5" w:rsidP="001E51D5">
            <w:pPr>
              <w:rPr>
                <w:rFonts w:ascii="Arial" w:hAnsi="Arial" w:cs="Arial"/>
                <w:b/>
                <w:bCs/>
                <w:lang w:eastAsia="en-PH"/>
              </w:rPr>
            </w:pPr>
            <w:r w:rsidRPr="00054A5F">
              <w:rPr>
                <w:rFonts w:ascii="Arial" w:hAnsi="Arial" w:cs="Arial"/>
                <w:b/>
                <w:bCs/>
                <w:lang w:eastAsia="en-PH"/>
              </w:rPr>
              <w:t>Use of instructional multimedia</w:t>
            </w:r>
          </w:p>
        </w:tc>
        <w:tc>
          <w:tcPr>
            <w:tcW w:w="1620" w:type="dxa"/>
            <w:noWrap/>
            <w:vAlign w:val="center"/>
            <w:hideMark/>
          </w:tcPr>
          <w:p w14:paraId="529C5A43" w14:textId="77777777" w:rsidR="001E51D5" w:rsidRPr="00054A5F" w:rsidRDefault="001E51D5" w:rsidP="001E51D5">
            <w:pPr>
              <w:jc w:val="center"/>
              <w:rPr>
                <w:rFonts w:ascii="Arial" w:hAnsi="Arial" w:cs="Arial"/>
                <w:lang w:eastAsia="en-PH"/>
              </w:rPr>
            </w:pPr>
            <w:r w:rsidRPr="00054A5F">
              <w:rPr>
                <w:rFonts w:ascii="Arial" w:hAnsi="Arial" w:cs="Arial"/>
                <w:lang w:eastAsia="en-PH"/>
              </w:rPr>
              <w:t>0.395**</w:t>
            </w:r>
          </w:p>
        </w:tc>
        <w:tc>
          <w:tcPr>
            <w:tcW w:w="1710" w:type="dxa"/>
            <w:noWrap/>
            <w:vAlign w:val="center"/>
            <w:hideMark/>
          </w:tcPr>
          <w:p w14:paraId="533F92BB" w14:textId="77777777" w:rsidR="001E51D5" w:rsidRPr="00054A5F" w:rsidRDefault="001E51D5" w:rsidP="001E51D5">
            <w:pPr>
              <w:jc w:val="center"/>
              <w:rPr>
                <w:rFonts w:ascii="Arial" w:hAnsi="Arial" w:cs="Arial"/>
                <w:lang w:eastAsia="en-PH"/>
              </w:rPr>
            </w:pPr>
            <w:r w:rsidRPr="00054A5F">
              <w:rPr>
                <w:rFonts w:ascii="Arial" w:hAnsi="Arial" w:cs="Arial"/>
                <w:lang w:eastAsia="en-PH"/>
              </w:rPr>
              <w:t>0.461**</w:t>
            </w:r>
          </w:p>
        </w:tc>
        <w:tc>
          <w:tcPr>
            <w:tcW w:w="1980" w:type="dxa"/>
            <w:noWrap/>
            <w:vAlign w:val="center"/>
            <w:hideMark/>
          </w:tcPr>
          <w:p w14:paraId="48ECFA55" w14:textId="77777777" w:rsidR="001E51D5" w:rsidRPr="00054A5F" w:rsidRDefault="001E51D5" w:rsidP="001E51D5">
            <w:pPr>
              <w:jc w:val="center"/>
              <w:rPr>
                <w:rFonts w:ascii="Arial" w:hAnsi="Arial" w:cs="Arial"/>
                <w:lang w:eastAsia="en-PH"/>
              </w:rPr>
            </w:pPr>
            <w:r w:rsidRPr="00054A5F">
              <w:rPr>
                <w:rFonts w:ascii="Arial" w:hAnsi="Arial" w:cs="Arial"/>
                <w:lang w:eastAsia="en-PH"/>
              </w:rPr>
              <w:t>0.435**</w:t>
            </w:r>
          </w:p>
        </w:tc>
      </w:tr>
      <w:tr w:rsidR="001E51D5" w:rsidRPr="00054A5F" w14:paraId="33F5089C" w14:textId="77777777" w:rsidTr="0093337B">
        <w:trPr>
          <w:trHeight w:val="460"/>
        </w:trPr>
        <w:tc>
          <w:tcPr>
            <w:tcW w:w="2358" w:type="dxa"/>
            <w:vAlign w:val="center"/>
            <w:hideMark/>
          </w:tcPr>
          <w:p w14:paraId="7BF2B12B" w14:textId="77777777" w:rsidR="001E51D5" w:rsidRPr="00054A5F" w:rsidRDefault="001E51D5" w:rsidP="001E51D5">
            <w:pPr>
              <w:rPr>
                <w:rFonts w:ascii="Arial" w:hAnsi="Arial" w:cs="Arial"/>
                <w:b/>
                <w:bCs/>
                <w:lang w:eastAsia="en-PH"/>
              </w:rPr>
            </w:pPr>
            <w:r w:rsidRPr="00054A5F">
              <w:rPr>
                <w:rFonts w:ascii="Arial" w:hAnsi="Arial" w:cs="Arial"/>
                <w:b/>
                <w:bCs/>
                <w:lang w:eastAsia="en-PH"/>
              </w:rPr>
              <w:t>Frequency of formative assessments</w:t>
            </w:r>
          </w:p>
        </w:tc>
        <w:tc>
          <w:tcPr>
            <w:tcW w:w="1620" w:type="dxa"/>
            <w:noWrap/>
            <w:vAlign w:val="center"/>
            <w:hideMark/>
          </w:tcPr>
          <w:p w14:paraId="2883B948" w14:textId="77777777" w:rsidR="001E51D5" w:rsidRPr="00054A5F" w:rsidRDefault="001E51D5" w:rsidP="001E51D5">
            <w:pPr>
              <w:jc w:val="center"/>
              <w:rPr>
                <w:rFonts w:ascii="Arial" w:hAnsi="Arial" w:cs="Arial"/>
                <w:lang w:eastAsia="en-PH"/>
              </w:rPr>
            </w:pPr>
            <w:r w:rsidRPr="00054A5F">
              <w:rPr>
                <w:rFonts w:ascii="Arial" w:hAnsi="Arial" w:cs="Arial"/>
                <w:lang w:eastAsia="en-PH"/>
              </w:rPr>
              <w:t>0.436**</w:t>
            </w:r>
          </w:p>
        </w:tc>
        <w:tc>
          <w:tcPr>
            <w:tcW w:w="1710" w:type="dxa"/>
            <w:noWrap/>
            <w:vAlign w:val="center"/>
            <w:hideMark/>
          </w:tcPr>
          <w:p w14:paraId="6067BFF8" w14:textId="77777777" w:rsidR="001E51D5" w:rsidRPr="00054A5F" w:rsidRDefault="001E51D5" w:rsidP="001E51D5">
            <w:pPr>
              <w:jc w:val="center"/>
              <w:rPr>
                <w:rFonts w:ascii="Arial" w:hAnsi="Arial" w:cs="Arial"/>
                <w:lang w:eastAsia="en-PH"/>
              </w:rPr>
            </w:pPr>
            <w:r w:rsidRPr="00054A5F">
              <w:rPr>
                <w:rFonts w:ascii="Arial" w:hAnsi="Arial" w:cs="Arial"/>
                <w:lang w:eastAsia="en-PH"/>
              </w:rPr>
              <w:t>0.453**</w:t>
            </w:r>
          </w:p>
        </w:tc>
        <w:tc>
          <w:tcPr>
            <w:tcW w:w="1980" w:type="dxa"/>
            <w:noWrap/>
            <w:vAlign w:val="center"/>
            <w:hideMark/>
          </w:tcPr>
          <w:p w14:paraId="073C6B82" w14:textId="77777777" w:rsidR="001E51D5" w:rsidRPr="00054A5F" w:rsidRDefault="001E51D5" w:rsidP="001E51D5">
            <w:pPr>
              <w:jc w:val="center"/>
              <w:rPr>
                <w:rFonts w:ascii="Arial" w:hAnsi="Arial" w:cs="Arial"/>
                <w:lang w:eastAsia="en-PH"/>
              </w:rPr>
            </w:pPr>
            <w:r w:rsidRPr="00054A5F">
              <w:rPr>
                <w:rFonts w:ascii="Arial" w:hAnsi="Arial" w:cs="Arial"/>
                <w:lang w:eastAsia="en-PH"/>
              </w:rPr>
              <w:t>0.515**</w:t>
            </w:r>
          </w:p>
        </w:tc>
      </w:tr>
      <w:tr w:rsidR="001E51D5" w:rsidRPr="00054A5F" w14:paraId="36780F02" w14:textId="77777777" w:rsidTr="0093337B">
        <w:trPr>
          <w:trHeight w:val="307"/>
        </w:trPr>
        <w:tc>
          <w:tcPr>
            <w:tcW w:w="2358" w:type="dxa"/>
            <w:tcBorders>
              <w:bottom w:val="single" w:sz="4" w:space="0" w:color="auto"/>
            </w:tcBorders>
            <w:vAlign w:val="center"/>
            <w:hideMark/>
          </w:tcPr>
          <w:p w14:paraId="5A580CDB" w14:textId="77777777" w:rsidR="001E51D5" w:rsidRPr="00054A5F" w:rsidRDefault="001E51D5" w:rsidP="001E51D5">
            <w:pPr>
              <w:rPr>
                <w:rFonts w:ascii="Arial" w:hAnsi="Arial" w:cs="Arial"/>
                <w:b/>
                <w:bCs/>
                <w:lang w:eastAsia="en-PH"/>
              </w:rPr>
            </w:pPr>
            <w:r w:rsidRPr="00054A5F">
              <w:rPr>
                <w:rFonts w:ascii="Arial" w:hAnsi="Arial" w:cs="Arial"/>
                <w:b/>
                <w:bCs/>
                <w:lang w:eastAsia="en-PH"/>
              </w:rPr>
              <w:t>Differentiated instruction</w:t>
            </w:r>
          </w:p>
        </w:tc>
        <w:tc>
          <w:tcPr>
            <w:tcW w:w="1620" w:type="dxa"/>
            <w:tcBorders>
              <w:bottom w:val="single" w:sz="4" w:space="0" w:color="auto"/>
            </w:tcBorders>
            <w:noWrap/>
            <w:vAlign w:val="center"/>
            <w:hideMark/>
          </w:tcPr>
          <w:p w14:paraId="7EF212A2" w14:textId="77777777" w:rsidR="001E51D5" w:rsidRPr="00054A5F" w:rsidRDefault="001E51D5" w:rsidP="001E51D5">
            <w:pPr>
              <w:jc w:val="center"/>
              <w:rPr>
                <w:rFonts w:ascii="Arial" w:hAnsi="Arial" w:cs="Arial"/>
                <w:lang w:eastAsia="en-PH"/>
              </w:rPr>
            </w:pPr>
            <w:r w:rsidRPr="00054A5F">
              <w:rPr>
                <w:rFonts w:ascii="Arial" w:hAnsi="Arial" w:cs="Arial"/>
                <w:lang w:eastAsia="en-PH"/>
              </w:rPr>
              <w:t>0.416**</w:t>
            </w:r>
          </w:p>
        </w:tc>
        <w:tc>
          <w:tcPr>
            <w:tcW w:w="1710" w:type="dxa"/>
            <w:tcBorders>
              <w:bottom w:val="single" w:sz="4" w:space="0" w:color="auto"/>
            </w:tcBorders>
            <w:noWrap/>
            <w:vAlign w:val="center"/>
            <w:hideMark/>
          </w:tcPr>
          <w:p w14:paraId="27C1D254" w14:textId="77777777" w:rsidR="001E51D5" w:rsidRPr="00054A5F" w:rsidRDefault="001E51D5" w:rsidP="001E51D5">
            <w:pPr>
              <w:jc w:val="center"/>
              <w:rPr>
                <w:rFonts w:ascii="Arial" w:hAnsi="Arial" w:cs="Arial"/>
                <w:lang w:eastAsia="en-PH"/>
              </w:rPr>
            </w:pPr>
            <w:r w:rsidRPr="00054A5F">
              <w:rPr>
                <w:rFonts w:ascii="Arial" w:hAnsi="Arial" w:cs="Arial"/>
                <w:lang w:eastAsia="en-PH"/>
              </w:rPr>
              <w:t>0.469**</w:t>
            </w:r>
          </w:p>
        </w:tc>
        <w:tc>
          <w:tcPr>
            <w:tcW w:w="1980" w:type="dxa"/>
            <w:tcBorders>
              <w:bottom w:val="single" w:sz="4" w:space="0" w:color="auto"/>
            </w:tcBorders>
            <w:noWrap/>
            <w:vAlign w:val="center"/>
            <w:hideMark/>
          </w:tcPr>
          <w:p w14:paraId="51AEB58F" w14:textId="77777777" w:rsidR="001E51D5" w:rsidRPr="00054A5F" w:rsidRDefault="001E51D5" w:rsidP="001E51D5">
            <w:pPr>
              <w:jc w:val="center"/>
              <w:rPr>
                <w:rFonts w:ascii="Arial" w:hAnsi="Arial" w:cs="Arial"/>
                <w:lang w:eastAsia="en-PH"/>
              </w:rPr>
            </w:pPr>
            <w:r w:rsidRPr="00054A5F">
              <w:rPr>
                <w:rFonts w:ascii="Arial" w:hAnsi="Arial" w:cs="Arial"/>
                <w:lang w:eastAsia="en-PH"/>
              </w:rPr>
              <w:t>0.52**</w:t>
            </w:r>
          </w:p>
        </w:tc>
      </w:tr>
    </w:tbl>
    <w:p w14:paraId="36E49452" w14:textId="77777777" w:rsidR="001E51D5" w:rsidRPr="00054A5F" w:rsidRDefault="001E51D5" w:rsidP="001E51D5">
      <w:pPr>
        <w:rPr>
          <w:rFonts w:ascii="Arial" w:hAnsi="Arial" w:cs="Arial"/>
          <w:bCs/>
          <w:color w:val="1F1F1F"/>
          <w:sz w:val="16"/>
          <w:szCs w:val="16"/>
          <w:lang w:eastAsia="en-PH"/>
        </w:rPr>
      </w:pPr>
      <w:r w:rsidRPr="00054A5F">
        <w:rPr>
          <w:rFonts w:ascii="Arial" w:hAnsi="Arial" w:cs="Arial"/>
          <w:bCs/>
          <w:color w:val="1F1F1F"/>
          <w:sz w:val="16"/>
          <w:szCs w:val="16"/>
          <w:lang w:eastAsia="en-PH"/>
        </w:rPr>
        <w:t>Legend: ** highly significant        *significant                ns-not significant</w:t>
      </w:r>
    </w:p>
    <w:p w14:paraId="7A1AEA66" w14:textId="77777777" w:rsidR="001E51D5" w:rsidRPr="00054A5F" w:rsidRDefault="001E51D5" w:rsidP="001E51D5">
      <w:pPr>
        <w:ind w:firstLine="720"/>
        <w:rPr>
          <w:rFonts w:ascii="Arial" w:hAnsi="Arial" w:cs="Arial"/>
          <w:bCs/>
          <w:color w:val="1F1F1F"/>
          <w:lang w:eastAsia="en-PH"/>
        </w:rPr>
      </w:pPr>
    </w:p>
    <w:p w14:paraId="759F385F" w14:textId="77777777" w:rsidR="001E51D5" w:rsidRPr="00054A5F" w:rsidRDefault="001E51D5" w:rsidP="00A44D52">
      <w:pPr>
        <w:jc w:val="both"/>
        <w:rPr>
          <w:rFonts w:ascii="Arial" w:hAnsi="Arial" w:cs="Arial"/>
          <w:lang w:eastAsia="en-PH"/>
        </w:rPr>
      </w:pPr>
      <w:r w:rsidRPr="00054A5F">
        <w:rPr>
          <w:rFonts w:ascii="Arial" w:hAnsi="Arial" w:cs="Arial"/>
          <w:lang w:eastAsia="en-PH"/>
        </w:rPr>
        <w:t>Table 19 illustrates the significant relationship between the identified pedagogical determinants and the three dimensions of student learning retention. All four pedagogical factors—Active Learning Strategies, Use of Instructional Multimedia, Frequency of Formative Assessments, and Differentiated Instruction—yielded p-values of 0.000 or 0.003, all of which are substantially below the 0.05 alpha level of significance. The data reveals that Differentiated Instruction and Frequency of Formative Assessments maintain the strongest correlations with the Application of Skills in New Contexts, yielding Spearman Correlation rho values of 0.520 and 0.515, respectively. Additionally, the Use of Instructional Multimedia and Differentiated Instruction demonstrated robust positive correlations with Conceptual Understanding (0.461 and 0.469). These results indicate a direct proportional relationship: as the frequency and quality of these pedagogical practices increase, student retention levels significantly rise. Since the computed p-values for all tested variables are less than the significance level (alpha = 0.05), the null hypotheses stating that there is no significant relationship between pedagogical determinants and student learning retention are hereby rejected. There is sufficient empirical evidence to conclude that these pedagogical factors are significant predictors of improved learning retention.</w:t>
      </w:r>
    </w:p>
    <w:p w14:paraId="7842954F" w14:textId="77777777" w:rsidR="001E51D5" w:rsidRPr="00054A5F" w:rsidRDefault="001E51D5" w:rsidP="00A44D52">
      <w:pPr>
        <w:jc w:val="both"/>
        <w:rPr>
          <w:rFonts w:ascii="Arial" w:hAnsi="Arial" w:cs="Arial"/>
          <w:bCs/>
          <w:lang w:eastAsia="en-PH"/>
        </w:rPr>
      </w:pPr>
      <w:r w:rsidRPr="00054A5F">
        <w:rPr>
          <w:rFonts w:ascii="Arial" w:hAnsi="Arial" w:cs="Arial"/>
          <w:bCs/>
          <w:lang w:eastAsia="en-PH"/>
        </w:rPr>
        <w:t xml:space="preserve">It implies that the instructional choices made by teachers are not merely supplementary but are foundational drivers of how well Junior High School students retain and apply information. </w:t>
      </w:r>
      <w:r w:rsidRPr="00054A5F">
        <w:rPr>
          <w:rFonts w:ascii="Arial" w:hAnsi="Arial" w:cs="Arial"/>
          <w:bCs/>
          <w:lang w:eastAsia="en-PH"/>
        </w:rPr>
        <w:lastRenderedPageBreak/>
        <w:t>The consistently significant results across all variables suggest that a "multi-pronged" teaching approach—one that balances digital tools, active engagement, and constant feedback—is the most effective way to combat the "forgetting curve." Specifically, the high correlation between Differentiated instruction and the Application of skills implies that when teachers meet students at their individual ability levels, those students become significantly more capable of transferring their classroom knowledge to real-world scenarios. This statistical evidence confirms that the success of the proposed Learning Retention Enhancement Program depends heavily on the consistent and high-quality implementation of these four specific pedagogical pillars.</w:t>
      </w:r>
    </w:p>
    <w:p w14:paraId="2D670132" w14:textId="77777777" w:rsidR="00A44D52" w:rsidRPr="00054A5F" w:rsidRDefault="00A44D52" w:rsidP="00A44D52">
      <w:pPr>
        <w:jc w:val="both"/>
        <w:rPr>
          <w:rFonts w:ascii="Arial" w:hAnsi="Arial" w:cs="Arial"/>
          <w:lang w:eastAsia="en-PH"/>
        </w:rPr>
      </w:pPr>
    </w:p>
    <w:p w14:paraId="63A59AA0" w14:textId="77777777" w:rsidR="001E51D5" w:rsidRPr="00054A5F" w:rsidRDefault="001E51D5" w:rsidP="00A44D52">
      <w:pPr>
        <w:jc w:val="both"/>
        <w:rPr>
          <w:rFonts w:ascii="Arial" w:hAnsi="Arial" w:cs="Arial"/>
          <w:sz w:val="16"/>
          <w:szCs w:val="16"/>
          <w:lang w:eastAsia="en-PH"/>
        </w:rPr>
      </w:pPr>
      <w:r w:rsidRPr="00054A5F">
        <w:rPr>
          <w:rFonts w:ascii="Arial" w:hAnsi="Arial" w:cs="Arial"/>
          <w:lang w:eastAsia="en-PH"/>
        </w:rPr>
        <w:t>This aligns with the study of how multiple pedagogical determinants jointly predict junior high students’ learning retention and transfer, highlighting active learning, multimedia use, formative assessments, and differentiated instruction as significant factors in sustaining and applying knowledge (p-values &lt; .05; strongest links to application of skills observed for differentiated instruction and formative assessments). These findings corroborate broader educational research showing that integrated, student-centered teaching practices enhance retention and transfer, especially when digital tools, active engagement, timely feedback, and differentiation are combined. The convergence across studies suggests that a multi-pronged approach is essential to counter forgetting and to support real-world skill transfer in junior high contexts.</w:t>
      </w:r>
    </w:p>
    <w:p w14:paraId="6329E68E" w14:textId="77777777" w:rsidR="001E51D5" w:rsidRPr="00054A5F" w:rsidRDefault="001E51D5" w:rsidP="0093337B">
      <w:pPr>
        <w:jc w:val="both"/>
        <w:rPr>
          <w:rFonts w:ascii="Arial" w:eastAsia="Calibri" w:hAnsi="Arial" w:cs="Arial"/>
          <w:bCs/>
          <w:sz w:val="12"/>
          <w:szCs w:val="12"/>
          <w:shd w:val="clear" w:color="auto" w:fill="FFFFFF"/>
        </w:rPr>
      </w:pPr>
    </w:p>
    <w:p w14:paraId="597ECE25" w14:textId="77777777" w:rsidR="001E51D5" w:rsidRPr="00054A5F" w:rsidRDefault="001E51D5" w:rsidP="001E51D5">
      <w:pPr>
        <w:rPr>
          <w:rFonts w:ascii="Arial" w:eastAsia="Calibri" w:hAnsi="Arial" w:cs="Arial"/>
          <w:bCs/>
          <w:sz w:val="16"/>
          <w:szCs w:val="16"/>
          <w:shd w:val="clear" w:color="auto" w:fill="FFFFFF"/>
        </w:rPr>
      </w:pPr>
    </w:p>
    <w:p w14:paraId="70B7453E" w14:textId="77777777" w:rsidR="001E51D5" w:rsidRPr="00054A5F" w:rsidRDefault="0093337B" w:rsidP="001E51D5">
      <w:pPr>
        <w:rPr>
          <w:rFonts w:ascii="Arial" w:hAnsi="Arial" w:cs="Arial"/>
          <w:b/>
          <w:lang w:eastAsia="en-PH"/>
        </w:rPr>
      </w:pPr>
      <w:r w:rsidRPr="00054A5F">
        <w:rPr>
          <w:rFonts w:ascii="Arial" w:hAnsi="Arial" w:cs="Arial"/>
          <w:b/>
          <w:lang w:eastAsia="en-PH"/>
        </w:rPr>
        <w:t>3</w:t>
      </w:r>
      <w:r w:rsidR="001E51D5" w:rsidRPr="00054A5F">
        <w:rPr>
          <w:rFonts w:ascii="Arial" w:hAnsi="Arial" w:cs="Arial"/>
          <w:b/>
          <w:lang w:eastAsia="en-PH"/>
        </w:rPr>
        <w:t>.6. Significant Relationship Between the Level of Student-Related Determinants Affecting Learning Retention as Perceived by Teachers and the Perceived Level of Learning Retention Among Junior High School Students</w:t>
      </w:r>
    </w:p>
    <w:p w14:paraId="41E859A1" w14:textId="77777777" w:rsidR="00A44D52" w:rsidRPr="00054A5F" w:rsidRDefault="00A44D52" w:rsidP="00A44D52">
      <w:pPr>
        <w:jc w:val="both"/>
        <w:rPr>
          <w:rFonts w:ascii="Arial" w:hAnsi="Arial" w:cs="Arial"/>
          <w:bCs/>
        </w:rPr>
      </w:pPr>
    </w:p>
    <w:p w14:paraId="09C343F1" w14:textId="77777777" w:rsidR="001E51D5" w:rsidRPr="00054A5F" w:rsidRDefault="001E51D5" w:rsidP="00A44D52">
      <w:pPr>
        <w:jc w:val="both"/>
        <w:rPr>
          <w:rFonts w:ascii="Arial" w:hAnsi="Arial" w:cs="Arial"/>
          <w:bCs/>
          <w:lang w:eastAsia="en-PH"/>
        </w:rPr>
      </w:pPr>
      <w:r w:rsidRPr="00054A5F">
        <w:rPr>
          <w:rFonts w:ascii="Arial" w:hAnsi="Arial" w:cs="Arial"/>
          <w:bCs/>
        </w:rPr>
        <w:t>This section presents the statistical analysis of the relationship between student-related determinants and the perceived level of student learning retention, utilizing the Spearman Rank Correlation Coefficient to determine the strength and significance of these associations across various cognitive dimensions.</w:t>
      </w:r>
    </w:p>
    <w:p w14:paraId="23122ED9" w14:textId="77777777" w:rsidR="001E51D5" w:rsidRPr="00054A5F" w:rsidRDefault="001E51D5" w:rsidP="001E51D5">
      <w:pPr>
        <w:rPr>
          <w:rFonts w:ascii="Arial" w:hAnsi="Arial" w:cs="Arial"/>
          <w:b/>
          <w:lang w:eastAsia="en-PH"/>
        </w:rPr>
      </w:pPr>
    </w:p>
    <w:p w14:paraId="0B9BFA73" w14:textId="77777777" w:rsidR="001E51D5" w:rsidRPr="00054A5F" w:rsidRDefault="001E51D5" w:rsidP="001E51D5">
      <w:pPr>
        <w:ind w:left="850" w:hanging="850"/>
        <w:rPr>
          <w:rFonts w:ascii="Arial" w:hAnsi="Arial" w:cs="Arial"/>
          <w:b/>
          <w:lang w:eastAsia="en-PH"/>
        </w:rPr>
      </w:pPr>
      <w:r w:rsidRPr="00054A5F">
        <w:rPr>
          <w:rFonts w:ascii="Arial" w:hAnsi="Arial" w:cs="Arial"/>
          <w:b/>
          <w:lang w:eastAsia="en-PH"/>
        </w:rPr>
        <w:t>Table 20. Significant Relationship Between the Level of Student-Related Determinants Affecting Learning Retention as Perceived by Teachers and the Perceived Level of Learning Retention Among Junior High School Students</w:t>
      </w:r>
    </w:p>
    <w:tbl>
      <w:tblPr>
        <w:tblW w:w="8118" w:type="dxa"/>
        <w:tblLook w:val="04A0" w:firstRow="1" w:lastRow="0" w:firstColumn="1" w:lastColumn="0" w:noHBand="0" w:noVBand="1"/>
      </w:tblPr>
      <w:tblGrid>
        <w:gridCol w:w="1818"/>
        <w:gridCol w:w="1980"/>
        <w:gridCol w:w="1800"/>
        <w:gridCol w:w="2520"/>
      </w:tblGrid>
      <w:tr w:rsidR="001E51D5" w:rsidRPr="00054A5F" w14:paraId="29266730" w14:textId="77777777" w:rsidTr="0093337B">
        <w:trPr>
          <w:trHeight w:val="409"/>
        </w:trPr>
        <w:tc>
          <w:tcPr>
            <w:tcW w:w="1818" w:type="dxa"/>
            <w:vMerge w:val="restart"/>
            <w:tcBorders>
              <w:top w:val="single" w:sz="4" w:space="0" w:color="auto"/>
            </w:tcBorders>
            <w:vAlign w:val="center"/>
            <w:hideMark/>
          </w:tcPr>
          <w:p w14:paraId="79E3C96B" w14:textId="77777777" w:rsidR="001E51D5" w:rsidRPr="00054A5F" w:rsidRDefault="001E51D5" w:rsidP="001E51D5">
            <w:pPr>
              <w:jc w:val="center"/>
              <w:rPr>
                <w:rFonts w:ascii="Arial" w:hAnsi="Arial" w:cs="Arial"/>
                <w:lang w:eastAsia="en-PH"/>
              </w:rPr>
            </w:pPr>
            <w:r w:rsidRPr="00054A5F">
              <w:rPr>
                <w:rFonts w:ascii="Arial" w:hAnsi="Arial" w:cs="Arial"/>
                <w:lang w:eastAsia="en-PH"/>
              </w:rPr>
              <w:t>Variables</w:t>
            </w:r>
          </w:p>
          <w:p w14:paraId="32B2FE31" w14:textId="77777777" w:rsidR="001E51D5" w:rsidRPr="00054A5F" w:rsidRDefault="001E51D5" w:rsidP="001E51D5">
            <w:pPr>
              <w:jc w:val="center"/>
              <w:rPr>
                <w:rFonts w:ascii="Arial" w:hAnsi="Arial" w:cs="Arial"/>
                <w:lang w:eastAsia="en-PH"/>
              </w:rPr>
            </w:pPr>
          </w:p>
        </w:tc>
        <w:tc>
          <w:tcPr>
            <w:tcW w:w="1980" w:type="dxa"/>
            <w:tcBorders>
              <w:top w:val="single" w:sz="4" w:space="0" w:color="auto"/>
            </w:tcBorders>
            <w:vAlign w:val="center"/>
            <w:hideMark/>
          </w:tcPr>
          <w:p w14:paraId="17CE5C12"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Knowledge Recall</w:t>
            </w:r>
          </w:p>
        </w:tc>
        <w:tc>
          <w:tcPr>
            <w:tcW w:w="1800" w:type="dxa"/>
            <w:tcBorders>
              <w:top w:val="single" w:sz="4" w:space="0" w:color="auto"/>
            </w:tcBorders>
            <w:vAlign w:val="center"/>
            <w:hideMark/>
          </w:tcPr>
          <w:p w14:paraId="62AECFD7"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Conceptual Understanding</w:t>
            </w:r>
          </w:p>
        </w:tc>
        <w:tc>
          <w:tcPr>
            <w:tcW w:w="2520" w:type="dxa"/>
            <w:tcBorders>
              <w:top w:val="single" w:sz="4" w:space="0" w:color="auto"/>
            </w:tcBorders>
            <w:vAlign w:val="center"/>
            <w:hideMark/>
          </w:tcPr>
          <w:p w14:paraId="676858E0" w14:textId="77777777" w:rsidR="001E51D5" w:rsidRPr="00054A5F" w:rsidRDefault="001E51D5" w:rsidP="001E51D5">
            <w:pPr>
              <w:jc w:val="center"/>
              <w:rPr>
                <w:rFonts w:ascii="Arial" w:hAnsi="Arial" w:cs="Arial"/>
                <w:b/>
                <w:bCs/>
                <w:lang w:eastAsia="en-PH"/>
              </w:rPr>
            </w:pPr>
            <w:r w:rsidRPr="00054A5F">
              <w:rPr>
                <w:rFonts w:ascii="Arial" w:hAnsi="Arial" w:cs="Arial"/>
                <w:b/>
                <w:bCs/>
                <w:lang w:eastAsia="en-PH"/>
              </w:rPr>
              <w:t xml:space="preserve">Application </w:t>
            </w:r>
            <w:r w:rsidR="0093337B" w:rsidRPr="00054A5F">
              <w:rPr>
                <w:rFonts w:ascii="Arial" w:hAnsi="Arial" w:cs="Arial"/>
                <w:b/>
                <w:bCs/>
                <w:lang w:eastAsia="en-PH"/>
              </w:rPr>
              <w:t>o</w:t>
            </w:r>
            <w:r w:rsidRPr="00054A5F">
              <w:rPr>
                <w:rFonts w:ascii="Arial" w:hAnsi="Arial" w:cs="Arial"/>
                <w:b/>
                <w:bCs/>
                <w:lang w:eastAsia="en-PH"/>
              </w:rPr>
              <w:t xml:space="preserve">f Skills </w:t>
            </w:r>
            <w:proofErr w:type="gramStart"/>
            <w:r w:rsidRPr="00054A5F">
              <w:rPr>
                <w:rFonts w:ascii="Arial" w:hAnsi="Arial" w:cs="Arial"/>
                <w:b/>
                <w:bCs/>
                <w:lang w:eastAsia="en-PH"/>
              </w:rPr>
              <w:t>In</w:t>
            </w:r>
            <w:proofErr w:type="gramEnd"/>
            <w:r w:rsidRPr="00054A5F">
              <w:rPr>
                <w:rFonts w:ascii="Arial" w:hAnsi="Arial" w:cs="Arial"/>
                <w:b/>
                <w:bCs/>
                <w:lang w:eastAsia="en-PH"/>
              </w:rPr>
              <w:t xml:space="preserve"> New Contexts</w:t>
            </w:r>
          </w:p>
        </w:tc>
      </w:tr>
      <w:tr w:rsidR="001E51D5" w:rsidRPr="00054A5F" w14:paraId="0A500CF8" w14:textId="77777777" w:rsidTr="0093337B">
        <w:trPr>
          <w:trHeight w:val="315"/>
        </w:trPr>
        <w:tc>
          <w:tcPr>
            <w:tcW w:w="1818" w:type="dxa"/>
            <w:vMerge/>
            <w:tcBorders>
              <w:bottom w:val="single" w:sz="4" w:space="0" w:color="auto"/>
            </w:tcBorders>
            <w:vAlign w:val="bottom"/>
            <w:hideMark/>
          </w:tcPr>
          <w:p w14:paraId="41515FCC" w14:textId="77777777" w:rsidR="001E51D5" w:rsidRPr="00054A5F" w:rsidRDefault="001E51D5" w:rsidP="001E51D5">
            <w:pPr>
              <w:rPr>
                <w:rFonts w:ascii="Arial" w:hAnsi="Arial" w:cs="Arial"/>
                <w:lang w:eastAsia="en-PH"/>
              </w:rPr>
            </w:pPr>
          </w:p>
        </w:tc>
        <w:tc>
          <w:tcPr>
            <w:tcW w:w="1980" w:type="dxa"/>
            <w:tcBorders>
              <w:bottom w:val="single" w:sz="4" w:space="0" w:color="auto"/>
            </w:tcBorders>
            <w:vAlign w:val="center"/>
            <w:hideMark/>
          </w:tcPr>
          <w:p w14:paraId="69D4FA43" w14:textId="77777777" w:rsidR="001E51D5" w:rsidRPr="00054A5F" w:rsidRDefault="001E51D5" w:rsidP="001E51D5">
            <w:pPr>
              <w:jc w:val="center"/>
              <w:rPr>
                <w:rFonts w:ascii="Arial" w:hAnsi="Arial" w:cs="Arial"/>
                <w:lang w:eastAsia="en-PH"/>
              </w:rPr>
            </w:pPr>
            <w:r w:rsidRPr="00054A5F">
              <w:rPr>
                <w:rFonts w:ascii="Arial" w:hAnsi="Arial" w:cs="Arial"/>
                <w:lang w:eastAsia="en-PH"/>
              </w:rPr>
              <w:t>Spearman Correlation Value</w:t>
            </w:r>
          </w:p>
        </w:tc>
        <w:tc>
          <w:tcPr>
            <w:tcW w:w="1800" w:type="dxa"/>
            <w:tcBorders>
              <w:bottom w:val="single" w:sz="4" w:space="0" w:color="auto"/>
            </w:tcBorders>
            <w:vAlign w:val="center"/>
            <w:hideMark/>
          </w:tcPr>
          <w:p w14:paraId="2A91BE6C" w14:textId="77777777" w:rsidR="001E51D5" w:rsidRPr="00054A5F" w:rsidRDefault="001E51D5" w:rsidP="001E51D5">
            <w:pPr>
              <w:jc w:val="center"/>
              <w:rPr>
                <w:rFonts w:ascii="Arial" w:hAnsi="Arial" w:cs="Arial"/>
                <w:lang w:eastAsia="en-PH"/>
              </w:rPr>
            </w:pPr>
            <w:r w:rsidRPr="00054A5F">
              <w:rPr>
                <w:rFonts w:ascii="Arial" w:hAnsi="Arial" w:cs="Arial"/>
                <w:lang w:eastAsia="en-PH"/>
              </w:rPr>
              <w:t>Spearman Correlation Value</w:t>
            </w:r>
          </w:p>
        </w:tc>
        <w:tc>
          <w:tcPr>
            <w:tcW w:w="2520" w:type="dxa"/>
            <w:tcBorders>
              <w:bottom w:val="single" w:sz="4" w:space="0" w:color="auto"/>
            </w:tcBorders>
            <w:vAlign w:val="center"/>
            <w:hideMark/>
          </w:tcPr>
          <w:p w14:paraId="34430628" w14:textId="77777777" w:rsidR="001E51D5" w:rsidRPr="00054A5F" w:rsidRDefault="001E51D5" w:rsidP="001E51D5">
            <w:pPr>
              <w:jc w:val="center"/>
              <w:rPr>
                <w:rFonts w:ascii="Arial" w:hAnsi="Arial" w:cs="Arial"/>
                <w:lang w:eastAsia="en-PH"/>
              </w:rPr>
            </w:pPr>
            <w:r w:rsidRPr="00054A5F">
              <w:rPr>
                <w:rFonts w:ascii="Arial" w:hAnsi="Arial" w:cs="Arial"/>
                <w:lang w:eastAsia="en-PH"/>
              </w:rPr>
              <w:t>Spearman Correlation Value</w:t>
            </w:r>
          </w:p>
        </w:tc>
      </w:tr>
      <w:tr w:rsidR="001E51D5" w:rsidRPr="00054A5F" w14:paraId="04D89EB9" w14:textId="77777777" w:rsidTr="0093337B">
        <w:trPr>
          <w:trHeight w:val="237"/>
        </w:trPr>
        <w:tc>
          <w:tcPr>
            <w:tcW w:w="1818" w:type="dxa"/>
            <w:tcBorders>
              <w:top w:val="single" w:sz="4" w:space="0" w:color="auto"/>
            </w:tcBorders>
            <w:vAlign w:val="center"/>
            <w:hideMark/>
          </w:tcPr>
          <w:p w14:paraId="3C0E30CE" w14:textId="77777777" w:rsidR="001E51D5" w:rsidRPr="00054A5F" w:rsidRDefault="001E51D5" w:rsidP="001E51D5">
            <w:pPr>
              <w:rPr>
                <w:rFonts w:ascii="Arial" w:hAnsi="Arial" w:cs="Arial"/>
                <w:lang w:eastAsia="en-PH"/>
              </w:rPr>
            </w:pPr>
            <w:r w:rsidRPr="00054A5F">
              <w:rPr>
                <w:rFonts w:ascii="Arial" w:hAnsi="Arial" w:cs="Arial"/>
                <w:lang w:eastAsia="en-PH"/>
              </w:rPr>
              <w:t>Prior knowledge</w:t>
            </w:r>
          </w:p>
        </w:tc>
        <w:tc>
          <w:tcPr>
            <w:tcW w:w="1980" w:type="dxa"/>
            <w:tcBorders>
              <w:top w:val="single" w:sz="4" w:space="0" w:color="auto"/>
            </w:tcBorders>
            <w:noWrap/>
            <w:vAlign w:val="center"/>
            <w:hideMark/>
          </w:tcPr>
          <w:p w14:paraId="077316D9" w14:textId="77777777" w:rsidR="001E51D5" w:rsidRPr="00054A5F" w:rsidRDefault="001E51D5" w:rsidP="001E51D5">
            <w:pPr>
              <w:jc w:val="center"/>
              <w:rPr>
                <w:rFonts w:ascii="Arial" w:hAnsi="Arial" w:cs="Arial"/>
                <w:lang w:eastAsia="en-PH"/>
              </w:rPr>
            </w:pPr>
            <w:r w:rsidRPr="00054A5F">
              <w:rPr>
                <w:rFonts w:ascii="Arial" w:hAnsi="Arial" w:cs="Arial"/>
                <w:lang w:eastAsia="en-PH"/>
              </w:rPr>
              <w:t>.687</w:t>
            </w:r>
            <w:r w:rsidRPr="00054A5F">
              <w:rPr>
                <w:rFonts w:ascii="Arial" w:hAnsi="Arial" w:cs="Arial"/>
                <w:vertAlign w:val="superscript"/>
                <w:lang w:eastAsia="en-PH"/>
              </w:rPr>
              <w:t>**</w:t>
            </w:r>
          </w:p>
        </w:tc>
        <w:tc>
          <w:tcPr>
            <w:tcW w:w="1800" w:type="dxa"/>
            <w:tcBorders>
              <w:top w:val="single" w:sz="4" w:space="0" w:color="auto"/>
            </w:tcBorders>
            <w:noWrap/>
            <w:vAlign w:val="center"/>
            <w:hideMark/>
          </w:tcPr>
          <w:p w14:paraId="6540254C" w14:textId="77777777" w:rsidR="001E51D5" w:rsidRPr="00054A5F" w:rsidRDefault="001E51D5" w:rsidP="001E51D5">
            <w:pPr>
              <w:jc w:val="center"/>
              <w:rPr>
                <w:rFonts w:ascii="Arial" w:hAnsi="Arial" w:cs="Arial"/>
                <w:lang w:eastAsia="en-PH"/>
              </w:rPr>
            </w:pPr>
            <w:r w:rsidRPr="00054A5F">
              <w:rPr>
                <w:rFonts w:ascii="Arial" w:hAnsi="Arial" w:cs="Arial"/>
                <w:lang w:eastAsia="en-PH"/>
              </w:rPr>
              <w:t>.677</w:t>
            </w:r>
            <w:r w:rsidRPr="00054A5F">
              <w:rPr>
                <w:rFonts w:ascii="Arial" w:hAnsi="Arial" w:cs="Arial"/>
                <w:vertAlign w:val="superscript"/>
                <w:lang w:eastAsia="en-PH"/>
              </w:rPr>
              <w:t>**</w:t>
            </w:r>
          </w:p>
        </w:tc>
        <w:tc>
          <w:tcPr>
            <w:tcW w:w="2520" w:type="dxa"/>
            <w:tcBorders>
              <w:top w:val="single" w:sz="4" w:space="0" w:color="auto"/>
            </w:tcBorders>
            <w:noWrap/>
            <w:vAlign w:val="center"/>
            <w:hideMark/>
          </w:tcPr>
          <w:p w14:paraId="68E3C3BA" w14:textId="77777777" w:rsidR="001E51D5" w:rsidRPr="00054A5F" w:rsidRDefault="001E51D5" w:rsidP="001E51D5">
            <w:pPr>
              <w:jc w:val="center"/>
              <w:rPr>
                <w:rFonts w:ascii="Arial" w:hAnsi="Arial" w:cs="Arial"/>
                <w:lang w:eastAsia="en-PH"/>
              </w:rPr>
            </w:pPr>
            <w:r w:rsidRPr="00054A5F">
              <w:rPr>
                <w:rFonts w:ascii="Arial" w:hAnsi="Arial" w:cs="Arial"/>
                <w:lang w:eastAsia="en-PH"/>
              </w:rPr>
              <w:t>.673</w:t>
            </w:r>
            <w:r w:rsidRPr="00054A5F">
              <w:rPr>
                <w:rFonts w:ascii="Arial" w:hAnsi="Arial" w:cs="Arial"/>
                <w:vertAlign w:val="superscript"/>
                <w:lang w:eastAsia="en-PH"/>
              </w:rPr>
              <w:t>**</w:t>
            </w:r>
          </w:p>
        </w:tc>
      </w:tr>
      <w:tr w:rsidR="001E51D5" w:rsidRPr="00054A5F" w14:paraId="3890AD58" w14:textId="77777777" w:rsidTr="0093337B">
        <w:trPr>
          <w:trHeight w:val="237"/>
        </w:trPr>
        <w:tc>
          <w:tcPr>
            <w:tcW w:w="1818" w:type="dxa"/>
            <w:vAlign w:val="center"/>
            <w:hideMark/>
          </w:tcPr>
          <w:p w14:paraId="054DE51E" w14:textId="77777777" w:rsidR="001E51D5" w:rsidRPr="00054A5F" w:rsidRDefault="001E51D5" w:rsidP="001E51D5">
            <w:pPr>
              <w:rPr>
                <w:rFonts w:ascii="Arial" w:hAnsi="Arial" w:cs="Arial"/>
                <w:lang w:eastAsia="en-PH"/>
              </w:rPr>
            </w:pPr>
            <w:r w:rsidRPr="00054A5F">
              <w:rPr>
                <w:rFonts w:ascii="Arial" w:hAnsi="Arial" w:cs="Arial"/>
                <w:lang w:eastAsia="en-PH"/>
              </w:rPr>
              <w:t>Intrinsic motivation</w:t>
            </w:r>
          </w:p>
        </w:tc>
        <w:tc>
          <w:tcPr>
            <w:tcW w:w="1980" w:type="dxa"/>
            <w:noWrap/>
            <w:vAlign w:val="center"/>
            <w:hideMark/>
          </w:tcPr>
          <w:p w14:paraId="185B756F" w14:textId="77777777" w:rsidR="001E51D5" w:rsidRPr="00054A5F" w:rsidRDefault="001E51D5" w:rsidP="001E51D5">
            <w:pPr>
              <w:jc w:val="center"/>
              <w:rPr>
                <w:rFonts w:ascii="Arial" w:hAnsi="Arial" w:cs="Arial"/>
                <w:lang w:eastAsia="en-PH"/>
              </w:rPr>
            </w:pPr>
            <w:r w:rsidRPr="00054A5F">
              <w:rPr>
                <w:rFonts w:ascii="Arial" w:hAnsi="Arial" w:cs="Arial"/>
                <w:lang w:eastAsia="en-PH"/>
              </w:rPr>
              <w:t>.649</w:t>
            </w:r>
            <w:r w:rsidRPr="00054A5F">
              <w:rPr>
                <w:rFonts w:ascii="Arial" w:hAnsi="Arial" w:cs="Arial"/>
                <w:vertAlign w:val="superscript"/>
                <w:lang w:eastAsia="en-PH"/>
              </w:rPr>
              <w:t>**</w:t>
            </w:r>
          </w:p>
        </w:tc>
        <w:tc>
          <w:tcPr>
            <w:tcW w:w="1800" w:type="dxa"/>
            <w:noWrap/>
            <w:vAlign w:val="center"/>
            <w:hideMark/>
          </w:tcPr>
          <w:p w14:paraId="07B4EC62" w14:textId="77777777" w:rsidR="001E51D5" w:rsidRPr="00054A5F" w:rsidRDefault="001E51D5" w:rsidP="001E51D5">
            <w:pPr>
              <w:jc w:val="center"/>
              <w:rPr>
                <w:rFonts w:ascii="Arial" w:hAnsi="Arial" w:cs="Arial"/>
                <w:lang w:eastAsia="en-PH"/>
              </w:rPr>
            </w:pPr>
            <w:r w:rsidRPr="00054A5F">
              <w:rPr>
                <w:rFonts w:ascii="Arial" w:hAnsi="Arial" w:cs="Arial"/>
                <w:lang w:eastAsia="en-PH"/>
              </w:rPr>
              <w:t>.618</w:t>
            </w:r>
            <w:r w:rsidRPr="00054A5F">
              <w:rPr>
                <w:rFonts w:ascii="Arial" w:hAnsi="Arial" w:cs="Arial"/>
                <w:vertAlign w:val="superscript"/>
                <w:lang w:eastAsia="en-PH"/>
              </w:rPr>
              <w:t>**</w:t>
            </w:r>
          </w:p>
        </w:tc>
        <w:tc>
          <w:tcPr>
            <w:tcW w:w="2520" w:type="dxa"/>
            <w:noWrap/>
            <w:vAlign w:val="center"/>
            <w:hideMark/>
          </w:tcPr>
          <w:p w14:paraId="42DD22E6" w14:textId="77777777" w:rsidR="001E51D5" w:rsidRPr="00054A5F" w:rsidRDefault="001E51D5" w:rsidP="001E51D5">
            <w:pPr>
              <w:jc w:val="center"/>
              <w:rPr>
                <w:rFonts w:ascii="Arial" w:hAnsi="Arial" w:cs="Arial"/>
                <w:lang w:eastAsia="en-PH"/>
              </w:rPr>
            </w:pPr>
            <w:r w:rsidRPr="00054A5F">
              <w:rPr>
                <w:rFonts w:ascii="Arial" w:hAnsi="Arial" w:cs="Arial"/>
                <w:lang w:eastAsia="en-PH"/>
              </w:rPr>
              <w:t>.650</w:t>
            </w:r>
            <w:r w:rsidRPr="00054A5F">
              <w:rPr>
                <w:rFonts w:ascii="Arial" w:hAnsi="Arial" w:cs="Arial"/>
                <w:vertAlign w:val="superscript"/>
                <w:lang w:eastAsia="en-PH"/>
              </w:rPr>
              <w:t>**</w:t>
            </w:r>
          </w:p>
        </w:tc>
      </w:tr>
      <w:tr w:rsidR="001E51D5" w:rsidRPr="00054A5F" w14:paraId="77319913" w14:textId="77777777" w:rsidTr="0093337B">
        <w:trPr>
          <w:trHeight w:val="159"/>
        </w:trPr>
        <w:tc>
          <w:tcPr>
            <w:tcW w:w="1818" w:type="dxa"/>
            <w:tcBorders>
              <w:bottom w:val="single" w:sz="4" w:space="0" w:color="auto"/>
            </w:tcBorders>
            <w:vAlign w:val="center"/>
            <w:hideMark/>
          </w:tcPr>
          <w:p w14:paraId="2156D001" w14:textId="77777777" w:rsidR="001E51D5" w:rsidRPr="00054A5F" w:rsidRDefault="001E51D5" w:rsidP="001E51D5">
            <w:pPr>
              <w:rPr>
                <w:rFonts w:ascii="Arial" w:hAnsi="Arial" w:cs="Arial"/>
                <w:lang w:eastAsia="en-PH"/>
              </w:rPr>
            </w:pPr>
            <w:r w:rsidRPr="00054A5F">
              <w:rPr>
                <w:rFonts w:ascii="Arial" w:hAnsi="Arial" w:cs="Arial"/>
                <w:lang w:eastAsia="en-PH"/>
              </w:rPr>
              <w:t>Study habits</w:t>
            </w:r>
          </w:p>
        </w:tc>
        <w:tc>
          <w:tcPr>
            <w:tcW w:w="1980" w:type="dxa"/>
            <w:tcBorders>
              <w:bottom w:val="single" w:sz="4" w:space="0" w:color="auto"/>
            </w:tcBorders>
            <w:noWrap/>
            <w:vAlign w:val="center"/>
            <w:hideMark/>
          </w:tcPr>
          <w:p w14:paraId="1A767156" w14:textId="77777777" w:rsidR="001E51D5" w:rsidRPr="00054A5F" w:rsidRDefault="001E51D5" w:rsidP="001E51D5">
            <w:pPr>
              <w:jc w:val="center"/>
              <w:rPr>
                <w:rFonts w:ascii="Arial" w:hAnsi="Arial" w:cs="Arial"/>
                <w:lang w:eastAsia="en-PH"/>
              </w:rPr>
            </w:pPr>
            <w:r w:rsidRPr="00054A5F">
              <w:rPr>
                <w:rFonts w:ascii="Arial" w:hAnsi="Arial" w:cs="Arial"/>
                <w:lang w:eastAsia="en-PH"/>
              </w:rPr>
              <w:t>.810</w:t>
            </w:r>
            <w:r w:rsidRPr="00054A5F">
              <w:rPr>
                <w:rFonts w:ascii="Arial" w:hAnsi="Arial" w:cs="Arial"/>
                <w:vertAlign w:val="superscript"/>
                <w:lang w:eastAsia="en-PH"/>
              </w:rPr>
              <w:t>**</w:t>
            </w:r>
          </w:p>
        </w:tc>
        <w:tc>
          <w:tcPr>
            <w:tcW w:w="1800" w:type="dxa"/>
            <w:tcBorders>
              <w:bottom w:val="single" w:sz="4" w:space="0" w:color="auto"/>
            </w:tcBorders>
            <w:noWrap/>
            <w:vAlign w:val="center"/>
            <w:hideMark/>
          </w:tcPr>
          <w:p w14:paraId="4CE6A1D8" w14:textId="77777777" w:rsidR="001E51D5" w:rsidRPr="00054A5F" w:rsidRDefault="001E51D5" w:rsidP="001E51D5">
            <w:pPr>
              <w:jc w:val="center"/>
              <w:rPr>
                <w:rFonts w:ascii="Arial" w:hAnsi="Arial" w:cs="Arial"/>
                <w:lang w:eastAsia="en-PH"/>
              </w:rPr>
            </w:pPr>
            <w:r w:rsidRPr="00054A5F">
              <w:rPr>
                <w:rFonts w:ascii="Arial" w:hAnsi="Arial" w:cs="Arial"/>
                <w:lang w:eastAsia="en-PH"/>
              </w:rPr>
              <w:t>.782</w:t>
            </w:r>
            <w:r w:rsidRPr="00054A5F">
              <w:rPr>
                <w:rFonts w:ascii="Arial" w:hAnsi="Arial" w:cs="Arial"/>
                <w:vertAlign w:val="superscript"/>
                <w:lang w:eastAsia="en-PH"/>
              </w:rPr>
              <w:t>**</w:t>
            </w:r>
          </w:p>
        </w:tc>
        <w:tc>
          <w:tcPr>
            <w:tcW w:w="2520" w:type="dxa"/>
            <w:tcBorders>
              <w:bottom w:val="single" w:sz="4" w:space="0" w:color="auto"/>
            </w:tcBorders>
            <w:noWrap/>
            <w:vAlign w:val="center"/>
            <w:hideMark/>
          </w:tcPr>
          <w:p w14:paraId="46DBBEC0" w14:textId="77777777" w:rsidR="001E51D5" w:rsidRPr="00054A5F" w:rsidRDefault="001E51D5" w:rsidP="001E51D5">
            <w:pPr>
              <w:jc w:val="center"/>
              <w:rPr>
                <w:rFonts w:ascii="Arial" w:hAnsi="Arial" w:cs="Arial"/>
                <w:lang w:eastAsia="en-PH"/>
              </w:rPr>
            </w:pPr>
            <w:r w:rsidRPr="00054A5F">
              <w:rPr>
                <w:rFonts w:ascii="Arial" w:hAnsi="Arial" w:cs="Arial"/>
                <w:lang w:eastAsia="en-PH"/>
              </w:rPr>
              <w:t>.790</w:t>
            </w:r>
            <w:r w:rsidRPr="00054A5F">
              <w:rPr>
                <w:rFonts w:ascii="Arial" w:hAnsi="Arial" w:cs="Arial"/>
                <w:vertAlign w:val="superscript"/>
                <w:lang w:eastAsia="en-PH"/>
              </w:rPr>
              <w:t>**</w:t>
            </w:r>
          </w:p>
        </w:tc>
      </w:tr>
      <w:tr w:rsidR="001E51D5" w:rsidRPr="00054A5F" w14:paraId="5825D0A0" w14:textId="77777777" w:rsidTr="0093337B">
        <w:trPr>
          <w:trHeight w:val="159"/>
        </w:trPr>
        <w:tc>
          <w:tcPr>
            <w:tcW w:w="1818" w:type="dxa"/>
            <w:tcBorders>
              <w:top w:val="single" w:sz="4" w:space="0" w:color="auto"/>
              <w:bottom w:val="single" w:sz="4" w:space="0" w:color="auto"/>
            </w:tcBorders>
            <w:vAlign w:val="center"/>
            <w:hideMark/>
          </w:tcPr>
          <w:p w14:paraId="44CA5920" w14:textId="77777777" w:rsidR="001E51D5" w:rsidRPr="00054A5F" w:rsidRDefault="001E51D5" w:rsidP="001E51D5">
            <w:pPr>
              <w:rPr>
                <w:rFonts w:ascii="Arial" w:hAnsi="Arial" w:cs="Arial"/>
                <w:lang w:eastAsia="en-PH"/>
              </w:rPr>
            </w:pPr>
            <w:r w:rsidRPr="00054A5F">
              <w:rPr>
                <w:rFonts w:ascii="Arial" w:hAnsi="Arial" w:cs="Arial"/>
                <w:lang w:eastAsia="en-PH"/>
              </w:rPr>
              <w:t>Attention span</w:t>
            </w:r>
          </w:p>
        </w:tc>
        <w:tc>
          <w:tcPr>
            <w:tcW w:w="1980" w:type="dxa"/>
            <w:tcBorders>
              <w:top w:val="single" w:sz="4" w:space="0" w:color="auto"/>
              <w:bottom w:val="single" w:sz="4" w:space="0" w:color="auto"/>
            </w:tcBorders>
            <w:noWrap/>
            <w:vAlign w:val="center"/>
            <w:hideMark/>
          </w:tcPr>
          <w:p w14:paraId="21C9F7C5" w14:textId="77777777" w:rsidR="001E51D5" w:rsidRPr="00054A5F" w:rsidRDefault="001E51D5" w:rsidP="001E51D5">
            <w:pPr>
              <w:jc w:val="center"/>
              <w:rPr>
                <w:rFonts w:ascii="Arial" w:hAnsi="Arial" w:cs="Arial"/>
                <w:lang w:eastAsia="en-PH"/>
              </w:rPr>
            </w:pPr>
            <w:r w:rsidRPr="00054A5F">
              <w:rPr>
                <w:rFonts w:ascii="Arial" w:hAnsi="Arial" w:cs="Arial"/>
                <w:lang w:eastAsia="en-PH"/>
              </w:rPr>
              <w:t>.868</w:t>
            </w:r>
            <w:r w:rsidRPr="00054A5F">
              <w:rPr>
                <w:rFonts w:ascii="Arial" w:hAnsi="Arial" w:cs="Arial"/>
                <w:vertAlign w:val="superscript"/>
                <w:lang w:eastAsia="en-PH"/>
              </w:rPr>
              <w:t>**</w:t>
            </w:r>
          </w:p>
        </w:tc>
        <w:tc>
          <w:tcPr>
            <w:tcW w:w="1800" w:type="dxa"/>
            <w:tcBorders>
              <w:top w:val="single" w:sz="4" w:space="0" w:color="auto"/>
              <w:bottom w:val="single" w:sz="4" w:space="0" w:color="auto"/>
            </w:tcBorders>
            <w:noWrap/>
            <w:vAlign w:val="center"/>
            <w:hideMark/>
          </w:tcPr>
          <w:p w14:paraId="5C32FD8F" w14:textId="77777777" w:rsidR="001E51D5" w:rsidRPr="00054A5F" w:rsidRDefault="001E51D5" w:rsidP="001E51D5">
            <w:pPr>
              <w:jc w:val="center"/>
              <w:rPr>
                <w:rFonts w:ascii="Arial" w:hAnsi="Arial" w:cs="Arial"/>
                <w:lang w:eastAsia="en-PH"/>
              </w:rPr>
            </w:pPr>
            <w:r w:rsidRPr="00054A5F">
              <w:rPr>
                <w:rFonts w:ascii="Arial" w:hAnsi="Arial" w:cs="Arial"/>
                <w:lang w:eastAsia="en-PH"/>
              </w:rPr>
              <w:t>.769</w:t>
            </w:r>
            <w:r w:rsidRPr="00054A5F">
              <w:rPr>
                <w:rFonts w:ascii="Arial" w:hAnsi="Arial" w:cs="Arial"/>
                <w:vertAlign w:val="superscript"/>
                <w:lang w:eastAsia="en-PH"/>
              </w:rPr>
              <w:t>**</w:t>
            </w:r>
          </w:p>
        </w:tc>
        <w:tc>
          <w:tcPr>
            <w:tcW w:w="2520" w:type="dxa"/>
            <w:tcBorders>
              <w:top w:val="single" w:sz="4" w:space="0" w:color="auto"/>
              <w:bottom w:val="single" w:sz="4" w:space="0" w:color="auto"/>
            </w:tcBorders>
            <w:noWrap/>
            <w:vAlign w:val="center"/>
            <w:hideMark/>
          </w:tcPr>
          <w:p w14:paraId="2B362B3F" w14:textId="77777777" w:rsidR="001E51D5" w:rsidRPr="00054A5F" w:rsidRDefault="001E51D5" w:rsidP="001E51D5">
            <w:pPr>
              <w:jc w:val="center"/>
              <w:rPr>
                <w:rFonts w:ascii="Arial" w:hAnsi="Arial" w:cs="Arial"/>
                <w:lang w:eastAsia="en-PH"/>
              </w:rPr>
            </w:pPr>
            <w:r w:rsidRPr="00054A5F">
              <w:rPr>
                <w:rFonts w:ascii="Arial" w:hAnsi="Arial" w:cs="Arial"/>
                <w:lang w:eastAsia="en-PH"/>
              </w:rPr>
              <w:t>.816</w:t>
            </w:r>
            <w:r w:rsidRPr="00054A5F">
              <w:rPr>
                <w:rFonts w:ascii="Arial" w:hAnsi="Arial" w:cs="Arial"/>
                <w:vertAlign w:val="superscript"/>
                <w:lang w:eastAsia="en-PH"/>
              </w:rPr>
              <w:t>**</w:t>
            </w:r>
          </w:p>
        </w:tc>
      </w:tr>
    </w:tbl>
    <w:p w14:paraId="3DC16191" w14:textId="77777777" w:rsidR="001E51D5" w:rsidRPr="00054A5F" w:rsidRDefault="001E51D5" w:rsidP="00A44D52">
      <w:pPr>
        <w:jc w:val="both"/>
        <w:rPr>
          <w:rFonts w:ascii="Arial" w:hAnsi="Arial" w:cs="Arial"/>
          <w:lang w:eastAsia="en-PH"/>
        </w:rPr>
      </w:pPr>
      <w:r w:rsidRPr="00054A5F">
        <w:rPr>
          <w:rFonts w:ascii="Arial" w:hAnsi="Arial" w:cs="Arial"/>
          <w:lang w:eastAsia="en-PH"/>
        </w:rPr>
        <w:t xml:space="preserve">Table 20 presents the significant relationship between the level of student-related determinants and the perceived level of learning retention among Junior High School students. All tested variables—prior knowledge, intrinsic motivation, study habits, and attention span—yielded p-values of 0.000, indicating a statistically significant relationship with knowledge recall, conceptual understanding, and the application of skills at the 0.01 level. Notably, attention span shows the strongest correlation with knowledge recall (r = 0.868) and the application of skills (r = 0.816), while study habits demonstrate a very high correlation across all three dimensions, particularly with knowledge recall (r = 0.810). Even the variables with slightly lower coefficients, such as intrinsic motivation and prior knowledge, maintain strong positive correlations ranging from 0.618 to 0.687. Given that the computed p-values for all student-related determinants are 0.000, which is significantly lower than the alpha level of 0.05 </w:t>
      </w:r>
      <w:r w:rsidRPr="00054A5F">
        <w:rPr>
          <w:rFonts w:ascii="Arial" w:hAnsi="Arial" w:cs="Arial"/>
          <w:lang w:eastAsia="en-PH"/>
        </w:rPr>
        <w:lastRenderedPageBreak/>
        <w:t>(and even 0.01), the null hypotheses stating that there is no significant relationship between student-related determinants and the level of learning retention are rejected. The findings provide robust evidence that these student-related factors are critical drivers of long-term academic retention.</w:t>
      </w:r>
    </w:p>
    <w:p w14:paraId="3EC8D08B" w14:textId="77777777" w:rsidR="00A44D52" w:rsidRPr="00054A5F" w:rsidRDefault="00A44D52" w:rsidP="00A44D52">
      <w:pPr>
        <w:jc w:val="both"/>
        <w:rPr>
          <w:rFonts w:ascii="Arial" w:hAnsi="Arial" w:cs="Arial"/>
          <w:bCs/>
          <w:lang w:eastAsia="en-PH"/>
        </w:rPr>
      </w:pPr>
    </w:p>
    <w:p w14:paraId="38F5284F" w14:textId="77777777" w:rsidR="001E51D5" w:rsidRPr="00054A5F" w:rsidRDefault="001E51D5" w:rsidP="00A44D52">
      <w:pPr>
        <w:jc w:val="both"/>
        <w:rPr>
          <w:rFonts w:ascii="Arial" w:hAnsi="Arial" w:cs="Arial"/>
          <w:bCs/>
          <w:lang w:eastAsia="en-PH"/>
        </w:rPr>
      </w:pPr>
      <w:r w:rsidRPr="00054A5F">
        <w:rPr>
          <w:rFonts w:ascii="Arial" w:hAnsi="Arial" w:cs="Arial"/>
          <w:bCs/>
          <w:lang w:eastAsia="en-PH"/>
        </w:rPr>
        <w:t>It implies that student-related psychological and behavioral factors are not just background elements but are primary engines that drive the success of learning retention. The exceptionally high correlation values for attention span and study habits suggest that a student's ability to remain focused and their disciplined approach to review are the most critical predictors of whether information is successfully encoded and retrieved. This statistical evidence confirms that any instructional intervention, such as the Learning Retention Enhancement Program, will have limited impact if it does not directly address and improve the students' internal capacity to focus and their external habits of consistent study. Essentially, the data proves that strengthening a student's "learning discipline" is just as important as the teacher's delivery of the subject matter.</w:t>
      </w:r>
    </w:p>
    <w:p w14:paraId="301820F0" w14:textId="77777777" w:rsidR="00A44D52" w:rsidRPr="00054A5F" w:rsidRDefault="00A44D52" w:rsidP="00A44D52">
      <w:pPr>
        <w:jc w:val="both"/>
        <w:rPr>
          <w:rFonts w:ascii="Arial" w:hAnsi="Arial" w:cs="Arial"/>
          <w:lang w:eastAsia="en-PH"/>
        </w:rPr>
      </w:pPr>
    </w:p>
    <w:p w14:paraId="28B4608B"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how student-centered determinants shape learning retention in junior high contexts, highlighting the robust and overlapping roles of prior knowledge, intrinsic motivation, study habits, and attention span in predicting retention outcomes across knowledge recall, conceptual understanding, and application of skills. The reported strong correlations for attention span and study habits, along with uniformly significant p-values, corroborate the broader literature linking cognitive engagement and consistent study routines to durable learning, and suggest that interventions aiming to enhance retention should address attentional control and disciplined study behaviors in addition to content delivery.</w:t>
      </w:r>
    </w:p>
    <w:p w14:paraId="2AE887AB" w14:textId="77777777" w:rsidR="001E51D5" w:rsidRPr="00054A5F" w:rsidRDefault="001E51D5" w:rsidP="0093337B">
      <w:pPr>
        <w:jc w:val="both"/>
        <w:rPr>
          <w:rFonts w:ascii="Arial" w:hAnsi="Arial" w:cs="Arial"/>
          <w:lang w:eastAsia="en-PH"/>
        </w:rPr>
      </w:pPr>
    </w:p>
    <w:p w14:paraId="35A9766D" w14:textId="77777777" w:rsidR="001E51D5" w:rsidRPr="00054A5F" w:rsidRDefault="0093337B" w:rsidP="001E51D5">
      <w:pPr>
        <w:rPr>
          <w:rFonts w:ascii="Arial" w:hAnsi="Arial" w:cs="Arial"/>
          <w:b/>
          <w:lang w:eastAsia="en-PH"/>
        </w:rPr>
      </w:pPr>
      <w:r w:rsidRPr="00054A5F">
        <w:rPr>
          <w:rFonts w:ascii="Arial" w:hAnsi="Arial" w:cs="Arial"/>
          <w:b/>
          <w:lang w:eastAsia="en-PH"/>
        </w:rPr>
        <w:t>3</w:t>
      </w:r>
      <w:r w:rsidR="001E51D5" w:rsidRPr="00054A5F">
        <w:rPr>
          <w:rFonts w:ascii="Arial" w:hAnsi="Arial" w:cs="Arial"/>
          <w:b/>
          <w:lang w:eastAsia="en-PH"/>
        </w:rPr>
        <w:t>.7. Differences in the Perceived Determinants of Learning Retention When Respondents are Grouped According to their Profile Variables</w:t>
      </w:r>
    </w:p>
    <w:p w14:paraId="4130FC21" w14:textId="77777777" w:rsidR="00A44D52" w:rsidRPr="00054A5F" w:rsidRDefault="00A44D52" w:rsidP="00A44D52">
      <w:pPr>
        <w:jc w:val="both"/>
        <w:rPr>
          <w:rFonts w:ascii="Arial" w:hAnsi="Arial" w:cs="Arial"/>
          <w:bCs/>
        </w:rPr>
      </w:pPr>
    </w:p>
    <w:p w14:paraId="0F45513D" w14:textId="77777777" w:rsidR="001E51D5" w:rsidRPr="00054A5F" w:rsidRDefault="001E51D5" w:rsidP="00A44D52">
      <w:pPr>
        <w:jc w:val="both"/>
        <w:rPr>
          <w:rFonts w:ascii="Arial" w:hAnsi="Arial" w:cs="Arial"/>
          <w:bCs/>
        </w:rPr>
      </w:pPr>
      <w:r w:rsidRPr="00054A5F">
        <w:rPr>
          <w:rFonts w:ascii="Arial" w:hAnsi="Arial" w:cs="Arial"/>
          <w:bCs/>
        </w:rPr>
        <w:t>This section presents the statistical analysis of the differences in the perceived determinants of learning retention when respondents are grouped according to their profile variables, utilizing the Kruskal-</w:t>
      </w:r>
      <w:proofErr w:type="gramStart"/>
      <w:r w:rsidRPr="00054A5F">
        <w:rPr>
          <w:rFonts w:ascii="Arial" w:hAnsi="Arial" w:cs="Arial"/>
          <w:bCs/>
        </w:rPr>
        <w:t>Wallis</w:t>
      </w:r>
      <w:proofErr w:type="gramEnd"/>
      <w:r w:rsidRPr="00054A5F">
        <w:rPr>
          <w:rFonts w:ascii="Arial" w:hAnsi="Arial" w:cs="Arial"/>
          <w:bCs/>
        </w:rPr>
        <w:t xml:space="preserve"> test to determine if demographic factors like age, gender, and experience significantly influence these perceptions.</w:t>
      </w:r>
    </w:p>
    <w:p w14:paraId="714A3D11" w14:textId="77777777" w:rsidR="00A44D52" w:rsidRPr="00054A5F" w:rsidRDefault="00A44D52" w:rsidP="00A44D52">
      <w:pPr>
        <w:jc w:val="both"/>
        <w:rPr>
          <w:rFonts w:ascii="Arial" w:hAnsi="Arial" w:cs="Arial"/>
          <w:bCs/>
          <w:lang w:eastAsia="en-PH"/>
        </w:rPr>
      </w:pPr>
    </w:p>
    <w:p w14:paraId="48159FF3" w14:textId="77777777" w:rsidR="00A44D52" w:rsidRPr="00054A5F" w:rsidRDefault="00A44D52" w:rsidP="00A44D52">
      <w:pPr>
        <w:jc w:val="both"/>
        <w:rPr>
          <w:rFonts w:ascii="Arial" w:hAnsi="Arial" w:cs="Arial"/>
          <w:bCs/>
          <w:lang w:eastAsia="en-PH"/>
        </w:rPr>
      </w:pPr>
    </w:p>
    <w:p w14:paraId="00A600FA" w14:textId="77777777" w:rsidR="00A44D52" w:rsidRPr="00054A5F" w:rsidRDefault="00A44D52" w:rsidP="00A44D52">
      <w:pPr>
        <w:jc w:val="both"/>
        <w:rPr>
          <w:rFonts w:ascii="Arial" w:hAnsi="Arial" w:cs="Arial"/>
          <w:bCs/>
          <w:lang w:eastAsia="en-PH"/>
        </w:rPr>
      </w:pPr>
    </w:p>
    <w:p w14:paraId="7B80262C" w14:textId="77777777" w:rsidR="00A44D52" w:rsidRPr="00054A5F" w:rsidRDefault="00A44D52" w:rsidP="00A44D52">
      <w:pPr>
        <w:jc w:val="both"/>
        <w:rPr>
          <w:rFonts w:ascii="Arial" w:hAnsi="Arial" w:cs="Arial"/>
          <w:bCs/>
          <w:lang w:eastAsia="en-PH"/>
        </w:rPr>
      </w:pPr>
    </w:p>
    <w:p w14:paraId="7E455E64" w14:textId="77777777" w:rsidR="00A44D52" w:rsidRPr="00054A5F" w:rsidRDefault="00A44D52" w:rsidP="00A44D52">
      <w:pPr>
        <w:jc w:val="both"/>
        <w:rPr>
          <w:rFonts w:ascii="Arial" w:hAnsi="Arial" w:cs="Arial"/>
          <w:bCs/>
          <w:lang w:eastAsia="en-PH"/>
        </w:rPr>
      </w:pPr>
    </w:p>
    <w:p w14:paraId="46432A2C" w14:textId="77777777" w:rsidR="00A44D52" w:rsidRPr="00054A5F" w:rsidRDefault="00A44D52" w:rsidP="00A44D52">
      <w:pPr>
        <w:jc w:val="both"/>
        <w:rPr>
          <w:rFonts w:ascii="Arial" w:hAnsi="Arial" w:cs="Arial"/>
          <w:bCs/>
          <w:lang w:eastAsia="en-PH"/>
        </w:rPr>
      </w:pPr>
    </w:p>
    <w:p w14:paraId="19B5BFF7" w14:textId="77777777" w:rsidR="00A44D52" w:rsidRPr="00054A5F" w:rsidRDefault="00A44D52" w:rsidP="00A44D52">
      <w:pPr>
        <w:jc w:val="both"/>
        <w:rPr>
          <w:rFonts w:ascii="Arial" w:hAnsi="Arial" w:cs="Arial"/>
          <w:bCs/>
          <w:lang w:eastAsia="en-PH"/>
        </w:rPr>
      </w:pPr>
    </w:p>
    <w:p w14:paraId="6C92225F" w14:textId="77777777" w:rsidR="00A44D52" w:rsidRPr="00054A5F" w:rsidRDefault="00A44D52" w:rsidP="00A44D52">
      <w:pPr>
        <w:jc w:val="both"/>
        <w:rPr>
          <w:rFonts w:ascii="Arial" w:hAnsi="Arial" w:cs="Arial"/>
          <w:bCs/>
          <w:lang w:eastAsia="en-PH"/>
        </w:rPr>
      </w:pPr>
    </w:p>
    <w:p w14:paraId="3D3D86D4" w14:textId="77777777" w:rsidR="001E51D5" w:rsidRPr="00054A5F" w:rsidRDefault="001E51D5" w:rsidP="0093337B">
      <w:pPr>
        <w:jc w:val="both"/>
        <w:rPr>
          <w:rFonts w:ascii="Arial" w:hAnsi="Arial" w:cs="Arial"/>
          <w:b/>
          <w:lang w:eastAsia="en-PH"/>
        </w:rPr>
      </w:pPr>
    </w:p>
    <w:p w14:paraId="7C6A57A4" w14:textId="77777777" w:rsidR="001E51D5" w:rsidRPr="00054A5F" w:rsidRDefault="001E51D5" w:rsidP="001E51D5">
      <w:pPr>
        <w:ind w:left="850" w:hanging="850"/>
        <w:rPr>
          <w:rFonts w:ascii="Arial" w:hAnsi="Arial" w:cs="Arial"/>
          <w:b/>
          <w:lang w:eastAsia="en-PH"/>
        </w:rPr>
      </w:pPr>
      <w:r w:rsidRPr="00054A5F">
        <w:rPr>
          <w:rFonts w:ascii="Arial" w:hAnsi="Arial" w:cs="Arial"/>
          <w:b/>
          <w:lang w:eastAsia="en-PH"/>
        </w:rPr>
        <w:t>Table 21. Differences in the Perceived Determinants of Learning Retention When Respondents Are Grouped According to Their Profile Variables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7"/>
        <w:gridCol w:w="808"/>
        <w:gridCol w:w="938"/>
        <w:gridCol w:w="1026"/>
        <w:gridCol w:w="1028"/>
        <w:gridCol w:w="941"/>
        <w:gridCol w:w="856"/>
        <w:gridCol w:w="685"/>
        <w:gridCol w:w="759"/>
      </w:tblGrid>
      <w:tr w:rsidR="001E51D5" w:rsidRPr="00054A5F" w14:paraId="1FEF2369" w14:textId="77777777" w:rsidTr="0093337B">
        <w:trPr>
          <w:trHeight w:val="314"/>
        </w:trPr>
        <w:tc>
          <w:tcPr>
            <w:tcW w:w="705" w:type="pct"/>
            <w:noWrap/>
            <w:vAlign w:val="center"/>
            <w:hideMark/>
          </w:tcPr>
          <w:p w14:paraId="16B12C9C" w14:textId="77777777" w:rsidR="001E51D5" w:rsidRPr="00054A5F" w:rsidRDefault="001E51D5" w:rsidP="001E51D5">
            <w:pPr>
              <w:jc w:val="center"/>
              <w:rPr>
                <w:rFonts w:ascii="Arial" w:hAnsi="Arial" w:cs="Arial"/>
                <w:b/>
                <w:sz w:val="16"/>
                <w:lang w:eastAsia="en-PH"/>
              </w:rPr>
            </w:pPr>
          </w:p>
        </w:tc>
        <w:tc>
          <w:tcPr>
            <w:tcW w:w="2318" w:type="pct"/>
            <w:gridSpan w:val="4"/>
            <w:noWrap/>
            <w:vAlign w:val="center"/>
            <w:hideMark/>
          </w:tcPr>
          <w:p w14:paraId="2609243B"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Level of Teacher-Identified Pedagogical Determinants</w:t>
            </w:r>
          </w:p>
        </w:tc>
        <w:tc>
          <w:tcPr>
            <w:tcW w:w="1976" w:type="pct"/>
            <w:gridSpan w:val="4"/>
            <w:noWrap/>
            <w:vAlign w:val="center"/>
            <w:hideMark/>
          </w:tcPr>
          <w:p w14:paraId="47BFB0D1"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Level of Student-Related Determinants</w:t>
            </w:r>
          </w:p>
        </w:tc>
      </w:tr>
      <w:tr w:rsidR="001E51D5" w:rsidRPr="00054A5F" w14:paraId="381D64EB" w14:textId="77777777" w:rsidTr="0093337B">
        <w:trPr>
          <w:trHeight w:val="314"/>
        </w:trPr>
        <w:tc>
          <w:tcPr>
            <w:tcW w:w="705" w:type="pct"/>
            <w:vMerge w:val="restart"/>
            <w:vAlign w:val="center"/>
            <w:hideMark/>
          </w:tcPr>
          <w:p w14:paraId="342E32AF" w14:textId="77777777" w:rsidR="001E51D5" w:rsidRPr="00054A5F" w:rsidRDefault="001E51D5" w:rsidP="001E51D5">
            <w:pPr>
              <w:jc w:val="center"/>
              <w:rPr>
                <w:rFonts w:ascii="Arial" w:hAnsi="Arial" w:cs="Arial"/>
                <w:b/>
                <w:color w:val="1F1F1F"/>
                <w:sz w:val="16"/>
                <w:lang w:eastAsia="en-PH"/>
              </w:rPr>
            </w:pPr>
            <w:r w:rsidRPr="00054A5F">
              <w:rPr>
                <w:rFonts w:ascii="Arial" w:hAnsi="Arial" w:cs="Arial"/>
                <w:b/>
                <w:color w:val="1F1F1F"/>
                <w:sz w:val="16"/>
                <w:lang w:eastAsia="en-PH"/>
              </w:rPr>
              <w:t>Variables</w:t>
            </w:r>
          </w:p>
          <w:p w14:paraId="6B5B3E9C" w14:textId="77777777" w:rsidR="001E51D5" w:rsidRPr="00054A5F" w:rsidRDefault="001E51D5" w:rsidP="001E51D5">
            <w:pPr>
              <w:jc w:val="center"/>
              <w:rPr>
                <w:rFonts w:ascii="Arial" w:hAnsi="Arial" w:cs="Arial"/>
                <w:b/>
                <w:color w:val="1F1F1F"/>
                <w:sz w:val="16"/>
                <w:lang w:eastAsia="en-PH"/>
              </w:rPr>
            </w:pPr>
          </w:p>
        </w:tc>
        <w:tc>
          <w:tcPr>
            <w:tcW w:w="493" w:type="pct"/>
            <w:noWrap/>
            <w:vAlign w:val="center"/>
            <w:hideMark/>
          </w:tcPr>
          <w:p w14:paraId="267DDB1D"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Active Learning Strategies</w:t>
            </w:r>
          </w:p>
        </w:tc>
        <w:tc>
          <w:tcPr>
            <w:tcW w:w="572" w:type="pct"/>
            <w:noWrap/>
            <w:vAlign w:val="center"/>
            <w:hideMark/>
          </w:tcPr>
          <w:p w14:paraId="454BA580"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Use of Instructional Multimedia</w:t>
            </w:r>
          </w:p>
        </w:tc>
        <w:tc>
          <w:tcPr>
            <w:tcW w:w="626" w:type="pct"/>
            <w:noWrap/>
            <w:vAlign w:val="center"/>
            <w:hideMark/>
          </w:tcPr>
          <w:p w14:paraId="021901A9"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Frequency of Formative Assessments</w:t>
            </w:r>
          </w:p>
        </w:tc>
        <w:tc>
          <w:tcPr>
            <w:tcW w:w="627" w:type="pct"/>
            <w:noWrap/>
            <w:vAlign w:val="center"/>
            <w:hideMark/>
          </w:tcPr>
          <w:p w14:paraId="146161ED"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Differentiated Instruction</w:t>
            </w:r>
          </w:p>
        </w:tc>
        <w:tc>
          <w:tcPr>
            <w:tcW w:w="574" w:type="pct"/>
            <w:noWrap/>
            <w:vAlign w:val="center"/>
            <w:hideMark/>
          </w:tcPr>
          <w:p w14:paraId="76F6770C"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Prior Knowledge</w:t>
            </w:r>
          </w:p>
        </w:tc>
        <w:tc>
          <w:tcPr>
            <w:tcW w:w="522" w:type="pct"/>
            <w:noWrap/>
            <w:vAlign w:val="center"/>
            <w:hideMark/>
          </w:tcPr>
          <w:p w14:paraId="6841EFCF"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Intrinsic Motivation</w:t>
            </w:r>
          </w:p>
        </w:tc>
        <w:tc>
          <w:tcPr>
            <w:tcW w:w="418" w:type="pct"/>
            <w:noWrap/>
            <w:vAlign w:val="center"/>
            <w:hideMark/>
          </w:tcPr>
          <w:p w14:paraId="4499BA21"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Study Habits</w:t>
            </w:r>
          </w:p>
        </w:tc>
        <w:tc>
          <w:tcPr>
            <w:tcW w:w="463" w:type="pct"/>
            <w:noWrap/>
            <w:vAlign w:val="center"/>
            <w:hideMark/>
          </w:tcPr>
          <w:p w14:paraId="58866D56" w14:textId="77777777" w:rsidR="001E51D5" w:rsidRPr="00054A5F" w:rsidRDefault="001E51D5" w:rsidP="001E51D5">
            <w:pPr>
              <w:jc w:val="center"/>
              <w:rPr>
                <w:rFonts w:ascii="Arial" w:hAnsi="Arial" w:cs="Arial"/>
                <w:b/>
                <w:sz w:val="16"/>
                <w:lang w:eastAsia="en-PH"/>
              </w:rPr>
            </w:pPr>
            <w:r w:rsidRPr="00054A5F">
              <w:rPr>
                <w:rFonts w:ascii="Arial" w:hAnsi="Arial" w:cs="Arial"/>
                <w:b/>
                <w:sz w:val="16"/>
                <w:lang w:eastAsia="en-PH"/>
              </w:rPr>
              <w:t>Attention Span</w:t>
            </w:r>
          </w:p>
        </w:tc>
      </w:tr>
      <w:tr w:rsidR="001E51D5" w:rsidRPr="00054A5F" w14:paraId="22E4A704" w14:textId="77777777" w:rsidTr="0093337B">
        <w:trPr>
          <w:trHeight w:val="314"/>
        </w:trPr>
        <w:tc>
          <w:tcPr>
            <w:tcW w:w="705" w:type="pct"/>
            <w:vMerge/>
            <w:vAlign w:val="center"/>
            <w:hideMark/>
          </w:tcPr>
          <w:p w14:paraId="5AB55BB1" w14:textId="77777777" w:rsidR="001E51D5" w:rsidRPr="00054A5F" w:rsidRDefault="001E51D5" w:rsidP="001E51D5">
            <w:pPr>
              <w:rPr>
                <w:rFonts w:ascii="Arial" w:hAnsi="Arial" w:cs="Arial"/>
                <w:bCs/>
                <w:color w:val="1F1F1F"/>
                <w:sz w:val="16"/>
                <w:lang w:eastAsia="en-PH"/>
              </w:rPr>
            </w:pPr>
          </w:p>
        </w:tc>
        <w:tc>
          <w:tcPr>
            <w:tcW w:w="493" w:type="pct"/>
            <w:noWrap/>
            <w:vAlign w:val="center"/>
            <w:hideMark/>
          </w:tcPr>
          <w:p w14:paraId="7A8B8AB6"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c>
          <w:tcPr>
            <w:tcW w:w="572" w:type="pct"/>
            <w:noWrap/>
            <w:vAlign w:val="center"/>
            <w:hideMark/>
          </w:tcPr>
          <w:p w14:paraId="56555A28"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c>
          <w:tcPr>
            <w:tcW w:w="626" w:type="pct"/>
            <w:noWrap/>
            <w:vAlign w:val="center"/>
            <w:hideMark/>
          </w:tcPr>
          <w:p w14:paraId="23709C0E"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c>
          <w:tcPr>
            <w:tcW w:w="627" w:type="pct"/>
            <w:noWrap/>
            <w:vAlign w:val="center"/>
            <w:hideMark/>
          </w:tcPr>
          <w:p w14:paraId="321F91AA"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c>
          <w:tcPr>
            <w:tcW w:w="574" w:type="pct"/>
            <w:noWrap/>
            <w:vAlign w:val="center"/>
            <w:hideMark/>
          </w:tcPr>
          <w:p w14:paraId="0023F2AA"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c>
          <w:tcPr>
            <w:tcW w:w="522" w:type="pct"/>
            <w:noWrap/>
            <w:vAlign w:val="center"/>
            <w:hideMark/>
          </w:tcPr>
          <w:p w14:paraId="7E21174E"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c>
          <w:tcPr>
            <w:tcW w:w="418" w:type="pct"/>
            <w:noWrap/>
            <w:vAlign w:val="center"/>
            <w:hideMark/>
          </w:tcPr>
          <w:p w14:paraId="56880A57"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c>
          <w:tcPr>
            <w:tcW w:w="463" w:type="pct"/>
            <w:noWrap/>
            <w:vAlign w:val="center"/>
            <w:hideMark/>
          </w:tcPr>
          <w:p w14:paraId="3C018F56"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P-value</w:t>
            </w:r>
          </w:p>
        </w:tc>
      </w:tr>
      <w:tr w:rsidR="001E51D5" w:rsidRPr="00054A5F" w14:paraId="18D762BD" w14:textId="77777777" w:rsidTr="0093337B">
        <w:trPr>
          <w:trHeight w:val="294"/>
        </w:trPr>
        <w:tc>
          <w:tcPr>
            <w:tcW w:w="705" w:type="pct"/>
            <w:vAlign w:val="center"/>
            <w:hideMark/>
          </w:tcPr>
          <w:p w14:paraId="38E816F3" w14:textId="77777777" w:rsidR="001E51D5" w:rsidRPr="00054A5F" w:rsidRDefault="001E51D5" w:rsidP="001E51D5">
            <w:pPr>
              <w:rPr>
                <w:rFonts w:ascii="Arial" w:hAnsi="Arial" w:cs="Arial"/>
                <w:bCs/>
                <w:color w:val="1F1F1F"/>
                <w:sz w:val="16"/>
                <w:lang w:eastAsia="en-PH"/>
              </w:rPr>
            </w:pPr>
            <w:r w:rsidRPr="00054A5F">
              <w:rPr>
                <w:rFonts w:ascii="Arial" w:hAnsi="Arial" w:cs="Arial"/>
                <w:bCs/>
                <w:color w:val="1F1F1F"/>
                <w:sz w:val="16"/>
                <w:lang w:eastAsia="en-PH"/>
              </w:rPr>
              <w:t>Age</w:t>
            </w:r>
          </w:p>
        </w:tc>
        <w:tc>
          <w:tcPr>
            <w:tcW w:w="493" w:type="pct"/>
            <w:vAlign w:val="center"/>
            <w:hideMark/>
          </w:tcPr>
          <w:p w14:paraId="3AC54198"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0.251</w:t>
            </w:r>
            <w:r w:rsidRPr="00054A5F">
              <w:rPr>
                <w:rFonts w:ascii="Arial" w:hAnsi="Arial" w:cs="Arial"/>
                <w:bCs/>
                <w:color w:val="1F1F1F"/>
                <w:sz w:val="16"/>
                <w:vertAlign w:val="superscript"/>
                <w:lang w:eastAsia="en-PH"/>
              </w:rPr>
              <w:t>ns</w:t>
            </w:r>
          </w:p>
        </w:tc>
        <w:tc>
          <w:tcPr>
            <w:tcW w:w="572" w:type="pct"/>
            <w:vAlign w:val="center"/>
            <w:hideMark/>
          </w:tcPr>
          <w:p w14:paraId="3C722B7A"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0.322</w:t>
            </w:r>
            <w:r w:rsidRPr="00054A5F">
              <w:rPr>
                <w:rFonts w:ascii="Arial" w:hAnsi="Arial" w:cs="Arial"/>
                <w:bCs/>
                <w:color w:val="1F1F1F"/>
                <w:sz w:val="16"/>
                <w:vertAlign w:val="superscript"/>
                <w:lang w:eastAsia="en-PH"/>
              </w:rPr>
              <w:t>ns</w:t>
            </w:r>
          </w:p>
        </w:tc>
        <w:tc>
          <w:tcPr>
            <w:tcW w:w="626" w:type="pct"/>
            <w:vAlign w:val="center"/>
            <w:hideMark/>
          </w:tcPr>
          <w:p w14:paraId="02FAB733"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0.461</w:t>
            </w:r>
            <w:r w:rsidRPr="00054A5F">
              <w:rPr>
                <w:rFonts w:ascii="Arial" w:hAnsi="Arial" w:cs="Arial"/>
                <w:bCs/>
                <w:color w:val="1F1F1F"/>
                <w:sz w:val="16"/>
                <w:vertAlign w:val="superscript"/>
                <w:lang w:eastAsia="en-PH"/>
              </w:rPr>
              <w:t>ns</w:t>
            </w:r>
          </w:p>
        </w:tc>
        <w:tc>
          <w:tcPr>
            <w:tcW w:w="627" w:type="pct"/>
            <w:vAlign w:val="center"/>
            <w:hideMark/>
          </w:tcPr>
          <w:p w14:paraId="6752C4C4"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0.432</w:t>
            </w:r>
            <w:r w:rsidRPr="00054A5F">
              <w:rPr>
                <w:rFonts w:ascii="Arial" w:hAnsi="Arial" w:cs="Arial"/>
                <w:bCs/>
                <w:color w:val="1F1F1F"/>
                <w:sz w:val="16"/>
                <w:vertAlign w:val="superscript"/>
                <w:lang w:eastAsia="en-PH"/>
              </w:rPr>
              <w:t>ns</w:t>
            </w:r>
          </w:p>
        </w:tc>
        <w:tc>
          <w:tcPr>
            <w:tcW w:w="574" w:type="pct"/>
            <w:vAlign w:val="center"/>
            <w:hideMark/>
          </w:tcPr>
          <w:p w14:paraId="6D53779B"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0.162</w:t>
            </w:r>
            <w:r w:rsidRPr="00054A5F">
              <w:rPr>
                <w:rFonts w:ascii="Arial" w:hAnsi="Arial" w:cs="Arial"/>
                <w:bCs/>
                <w:color w:val="1F1F1F"/>
                <w:sz w:val="16"/>
                <w:vertAlign w:val="superscript"/>
                <w:lang w:eastAsia="en-PH"/>
              </w:rPr>
              <w:t>ns</w:t>
            </w:r>
          </w:p>
        </w:tc>
        <w:tc>
          <w:tcPr>
            <w:tcW w:w="522" w:type="pct"/>
            <w:vAlign w:val="center"/>
            <w:hideMark/>
          </w:tcPr>
          <w:p w14:paraId="36207570"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0.526</w:t>
            </w:r>
            <w:r w:rsidRPr="00054A5F">
              <w:rPr>
                <w:rFonts w:ascii="Arial" w:hAnsi="Arial" w:cs="Arial"/>
                <w:bCs/>
                <w:color w:val="1F1F1F"/>
                <w:sz w:val="16"/>
                <w:vertAlign w:val="superscript"/>
                <w:lang w:eastAsia="en-PH"/>
              </w:rPr>
              <w:t>ns</w:t>
            </w:r>
          </w:p>
        </w:tc>
        <w:tc>
          <w:tcPr>
            <w:tcW w:w="418" w:type="pct"/>
            <w:vAlign w:val="center"/>
            <w:hideMark/>
          </w:tcPr>
          <w:p w14:paraId="1646148B"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0.574</w:t>
            </w:r>
            <w:r w:rsidRPr="00054A5F">
              <w:rPr>
                <w:rFonts w:ascii="Arial" w:hAnsi="Arial" w:cs="Arial"/>
                <w:bCs/>
                <w:color w:val="1F1F1F"/>
                <w:sz w:val="16"/>
                <w:vertAlign w:val="superscript"/>
                <w:lang w:eastAsia="en-PH"/>
              </w:rPr>
              <w:t>ns</w:t>
            </w:r>
          </w:p>
        </w:tc>
        <w:tc>
          <w:tcPr>
            <w:tcW w:w="463" w:type="pct"/>
            <w:vAlign w:val="center"/>
            <w:hideMark/>
          </w:tcPr>
          <w:p w14:paraId="198EDD95"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0.77</w:t>
            </w:r>
            <w:r w:rsidRPr="00054A5F">
              <w:rPr>
                <w:rFonts w:ascii="Arial" w:hAnsi="Arial" w:cs="Arial"/>
                <w:bCs/>
                <w:color w:val="1F1F1F"/>
                <w:sz w:val="16"/>
                <w:vertAlign w:val="superscript"/>
                <w:lang w:eastAsia="en-PH"/>
              </w:rPr>
              <w:t>ns</w:t>
            </w:r>
          </w:p>
        </w:tc>
      </w:tr>
      <w:tr w:rsidR="001E51D5" w:rsidRPr="00054A5F" w14:paraId="260B7EC5" w14:textId="77777777" w:rsidTr="0093337B">
        <w:trPr>
          <w:trHeight w:val="294"/>
        </w:trPr>
        <w:tc>
          <w:tcPr>
            <w:tcW w:w="705" w:type="pct"/>
            <w:vAlign w:val="center"/>
            <w:hideMark/>
          </w:tcPr>
          <w:p w14:paraId="19F3BCB0" w14:textId="77777777" w:rsidR="001E51D5" w:rsidRPr="00054A5F" w:rsidRDefault="001E51D5" w:rsidP="001E51D5">
            <w:pPr>
              <w:rPr>
                <w:rFonts w:ascii="Arial" w:hAnsi="Arial" w:cs="Arial"/>
                <w:bCs/>
                <w:color w:val="1F1F1F"/>
                <w:sz w:val="16"/>
                <w:lang w:eastAsia="en-PH"/>
              </w:rPr>
            </w:pPr>
            <w:r w:rsidRPr="00054A5F">
              <w:rPr>
                <w:rFonts w:ascii="Arial" w:hAnsi="Arial" w:cs="Arial"/>
                <w:bCs/>
                <w:color w:val="1F1F1F"/>
                <w:sz w:val="16"/>
                <w:lang w:eastAsia="en-PH"/>
              </w:rPr>
              <w:t>Gender</w:t>
            </w:r>
          </w:p>
        </w:tc>
        <w:tc>
          <w:tcPr>
            <w:tcW w:w="493" w:type="pct"/>
            <w:vAlign w:val="center"/>
            <w:hideMark/>
          </w:tcPr>
          <w:p w14:paraId="369A5F1D"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0.473</w:t>
            </w:r>
            <w:r w:rsidRPr="00054A5F">
              <w:rPr>
                <w:rFonts w:ascii="Arial" w:hAnsi="Arial" w:cs="Arial"/>
                <w:bCs/>
                <w:color w:val="1F1F1F"/>
                <w:sz w:val="16"/>
                <w:vertAlign w:val="superscript"/>
                <w:lang w:eastAsia="en-PH"/>
              </w:rPr>
              <w:t>ns</w:t>
            </w:r>
          </w:p>
        </w:tc>
        <w:tc>
          <w:tcPr>
            <w:tcW w:w="572" w:type="pct"/>
            <w:vAlign w:val="center"/>
            <w:hideMark/>
          </w:tcPr>
          <w:p w14:paraId="5B3FB7B2"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0.907</w:t>
            </w:r>
            <w:r w:rsidRPr="00054A5F">
              <w:rPr>
                <w:rFonts w:ascii="Arial" w:hAnsi="Arial" w:cs="Arial"/>
                <w:bCs/>
                <w:color w:val="1F1F1F"/>
                <w:sz w:val="16"/>
                <w:vertAlign w:val="superscript"/>
                <w:lang w:eastAsia="en-PH"/>
              </w:rPr>
              <w:t>ns</w:t>
            </w:r>
          </w:p>
        </w:tc>
        <w:tc>
          <w:tcPr>
            <w:tcW w:w="626" w:type="pct"/>
            <w:vAlign w:val="center"/>
            <w:hideMark/>
          </w:tcPr>
          <w:p w14:paraId="3677118A"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0.791</w:t>
            </w:r>
            <w:r w:rsidRPr="00054A5F">
              <w:rPr>
                <w:rFonts w:ascii="Arial" w:hAnsi="Arial" w:cs="Arial"/>
                <w:bCs/>
                <w:color w:val="1F1F1F"/>
                <w:sz w:val="16"/>
                <w:vertAlign w:val="superscript"/>
                <w:lang w:eastAsia="en-PH"/>
              </w:rPr>
              <w:t>ns</w:t>
            </w:r>
          </w:p>
        </w:tc>
        <w:tc>
          <w:tcPr>
            <w:tcW w:w="627" w:type="pct"/>
            <w:vAlign w:val="center"/>
            <w:hideMark/>
          </w:tcPr>
          <w:p w14:paraId="10E8A7DD"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0.348</w:t>
            </w:r>
            <w:r w:rsidRPr="00054A5F">
              <w:rPr>
                <w:rFonts w:ascii="Arial" w:hAnsi="Arial" w:cs="Arial"/>
                <w:bCs/>
                <w:color w:val="1F1F1F"/>
                <w:sz w:val="16"/>
                <w:vertAlign w:val="superscript"/>
                <w:lang w:eastAsia="en-PH"/>
              </w:rPr>
              <w:t>ns</w:t>
            </w:r>
          </w:p>
        </w:tc>
        <w:tc>
          <w:tcPr>
            <w:tcW w:w="574" w:type="pct"/>
            <w:vAlign w:val="center"/>
            <w:hideMark/>
          </w:tcPr>
          <w:p w14:paraId="487C7CC3"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0.778</w:t>
            </w:r>
            <w:r w:rsidRPr="00054A5F">
              <w:rPr>
                <w:rFonts w:ascii="Arial" w:hAnsi="Arial" w:cs="Arial"/>
                <w:bCs/>
                <w:color w:val="1F1F1F"/>
                <w:sz w:val="16"/>
                <w:vertAlign w:val="superscript"/>
                <w:lang w:eastAsia="en-PH"/>
              </w:rPr>
              <w:t>ns</w:t>
            </w:r>
          </w:p>
        </w:tc>
        <w:tc>
          <w:tcPr>
            <w:tcW w:w="522" w:type="pct"/>
            <w:vAlign w:val="center"/>
            <w:hideMark/>
          </w:tcPr>
          <w:p w14:paraId="6ACB1682"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0.925</w:t>
            </w:r>
            <w:r w:rsidRPr="00054A5F">
              <w:rPr>
                <w:rFonts w:ascii="Arial" w:hAnsi="Arial" w:cs="Arial"/>
                <w:bCs/>
                <w:color w:val="1F1F1F"/>
                <w:sz w:val="16"/>
                <w:vertAlign w:val="superscript"/>
                <w:lang w:eastAsia="en-PH"/>
              </w:rPr>
              <w:t>ns</w:t>
            </w:r>
          </w:p>
        </w:tc>
        <w:tc>
          <w:tcPr>
            <w:tcW w:w="418" w:type="pct"/>
            <w:vAlign w:val="center"/>
            <w:hideMark/>
          </w:tcPr>
          <w:p w14:paraId="0C2B78FC"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0.935</w:t>
            </w:r>
            <w:r w:rsidRPr="00054A5F">
              <w:rPr>
                <w:rFonts w:ascii="Arial" w:hAnsi="Arial" w:cs="Arial"/>
                <w:bCs/>
                <w:color w:val="1F1F1F"/>
                <w:sz w:val="16"/>
                <w:vertAlign w:val="superscript"/>
                <w:lang w:eastAsia="en-PH"/>
              </w:rPr>
              <w:t>ns</w:t>
            </w:r>
          </w:p>
        </w:tc>
        <w:tc>
          <w:tcPr>
            <w:tcW w:w="463" w:type="pct"/>
            <w:vAlign w:val="center"/>
            <w:hideMark/>
          </w:tcPr>
          <w:p w14:paraId="7ACD037B"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0.69</w:t>
            </w:r>
            <w:r w:rsidRPr="00054A5F">
              <w:rPr>
                <w:rFonts w:ascii="Arial" w:hAnsi="Arial" w:cs="Arial"/>
                <w:bCs/>
                <w:color w:val="1F1F1F"/>
                <w:sz w:val="16"/>
                <w:vertAlign w:val="superscript"/>
                <w:lang w:eastAsia="en-PH"/>
              </w:rPr>
              <w:t>ns</w:t>
            </w:r>
          </w:p>
        </w:tc>
      </w:tr>
      <w:tr w:rsidR="001E51D5" w:rsidRPr="00054A5F" w14:paraId="1F2DA65C" w14:textId="77777777" w:rsidTr="0093337B">
        <w:trPr>
          <w:trHeight w:val="567"/>
        </w:trPr>
        <w:tc>
          <w:tcPr>
            <w:tcW w:w="705" w:type="pct"/>
            <w:vAlign w:val="center"/>
            <w:hideMark/>
          </w:tcPr>
          <w:p w14:paraId="220B136D" w14:textId="77777777" w:rsidR="001E51D5" w:rsidRPr="00054A5F" w:rsidRDefault="001E51D5" w:rsidP="001E51D5">
            <w:pPr>
              <w:rPr>
                <w:rFonts w:ascii="Arial" w:hAnsi="Arial" w:cs="Arial"/>
                <w:bCs/>
                <w:color w:val="1F1F1F"/>
                <w:sz w:val="16"/>
                <w:lang w:eastAsia="en-PH"/>
              </w:rPr>
            </w:pPr>
            <w:r w:rsidRPr="00054A5F">
              <w:rPr>
                <w:rFonts w:ascii="Arial" w:hAnsi="Arial" w:cs="Arial"/>
                <w:bCs/>
                <w:color w:val="1F1F1F"/>
                <w:sz w:val="16"/>
                <w:lang w:eastAsia="en-PH"/>
              </w:rPr>
              <w:lastRenderedPageBreak/>
              <w:t>Teaching Experience</w:t>
            </w:r>
          </w:p>
        </w:tc>
        <w:tc>
          <w:tcPr>
            <w:tcW w:w="493" w:type="pct"/>
            <w:vAlign w:val="center"/>
            <w:hideMark/>
          </w:tcPr>
          <w:p w14:paraId="1DF4F77E"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0.325</w:t>
            </w:r>
            <w:r w:rsidRPr="00054A5F">
              <w:rPr>
                <w:rFonts w:ascii="Arial" w:hAnsi="Arial" w:cs="Arial"/>
                <w:bCs/>
                <w:color w:val="1F1F1F"/>
                <w:sz w:val="16"/>
                <w:vertAlign w:val="superscript"/>
                <w:lang w:eastAsia="en-PH"/>
              </w:rPr>
              <w:t>ns</w:t>
            </w:r>
          </w:p>
        </w:tc>
        <w:tc>
          <w:tcPr>
            <w:tcW w:w="572" w:type="pct"/>
            <w:vAlign w:val="center"/>
            <w:hideMark/>
          </w:tcPr>
          <w:p w14:paraId="59C76DC5"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0.225</w:t>
            </w:r>
            <w:r w:rsidRPr="00054A5F">
              <w:rPr>
                <w:rFonts w:ascii="Arial" w:hAnsi="Arial" w:cs="Arial"/>
                <w:bCs/>
                <w:color w:val="1F1F1F"/>
                <w:sz w:val="16"/>
                <w:vertAlign w:val="superscript"/>
                <w:lang w:eastAsia="en-PH"/>
              </w:rPr>
              <w:t>ns</w:t>
            </w:r>
          </w:p>
        </w:tc>
        <w:tc>
          <w:tcPr>
            <w:tcW w:w="626" w:type="pct"/>
            <w:vAlign w:val="center"/>
            <w:hideMark/>
          </w:tcPr>
          <w:p w14:paraId="52CB05F7"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0.631</w:t>
            </w:r>
            <w:r w:rsidRPr="00054A5F">
              <w:rPr>
                <w:rFonts w:ascii="Arial" w:hAnsi="Arial" w:cs="Arial"/>
                <w:bCs/>
                <w:color w:val="1F1F1F"/>
                <w:sz w:val="16"/>
                <w:vertAlign w:val="superscript"/>
                <w:lang w:eastAsia="en-PH"/>
              </w:rPr>
              <w:t>ns</w:t>
            </w:r>
          </w:p>
        </w:tc>
        <w:tc>
          <w:tcPr>
            <w:tcW w:w="627" w:type="pct"/>
            <w:vAlign w:val="center"/>
            <w:hideMark/>
          </w:tcPr>
          <w:p w14:paraId="51B0C80B"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0.348</w:t>
            </w:r>
            <w:r w:rsidRPr="00054A5F">
              <w:rPr>
                <w:rFonts w:ascii="Arial" w:hAnsi="Arial" w:cs="Arial"/>
                <w:bCs/>
                <w:color w:val="1F1F1F"/>
                <w:sz w:val="16"/>
                <w:vertAlign w:val="superscript"/>
                <w:lang w:eastAsia="en-PH"/>
              </w:rPr>
              <w:t>ns</w:t>
            </w:r>
          </w:p>
        </w:tc>
        <w:tc>
          <w:tcPr>
            <w:tcW w:w="574" w:type="pct"/>
            <w:vAlign w:val="center"/>
            <w:hideMark/>
          </w:tcPr>
          <w:p w14:paraId="05F73CBE"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0.669</w:t>
            </w:r>
            <w:r w:rsidRPr="00054A5F">
              <w:rPr>
                <w:rFonts w:ascii="Arial" w:hAnsi="Arial" w:cs="Arial"/>
                <w:bCs/>
                <w:color w:val="1F1F1F"/>
                <w:sz w:val="16"/>
                <w:vertAlign w:val="superscript"/>
                <w:lang w:eastAsia="en-PH"/>
              </w:rPr>
              <w:t>ns</w:t>
            </w:r>
          </w:p>
        </w:tc>
        <w:tc>
          <w:tcPr>
            <w:tcW w:w="522" w:type="pct"/>
            <w:vAlign w:val="center"/>
            <w:hideMark/>
          </w:tcPr>
          <w:p w14:paraId="78E20A54"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0.699</w:t>
            </w:r>
            <w:r w:rsidRPr="00054A5F">
              <w:rPr>
                <w:rFonts w:ascii="Arial" w:hAnsi="Arial" w:cs="Arial"/>
                <w:bCs/>
                <w:color w:val="1F1F1F"/>
                <w:sz w:val="16"/>
                <w:vertAlign w:val="superscript"/>
                <w:lang w:eastAsia="en-PH"/>
              </w:rPr>
              <w:t>ns</w:t>
            </w:r>
          </w:p>
        </w:tc>
        <w:tc>
          <w:tcPr>
            <w:tcW w:w="418" w:type="pct"/>
            <w:vAlign w:val="center"/>
            <w:hideMark/>
          </w:tcPr>
          <w:p w14:paraId="12B33965"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0.724</w:t>
            </w:r>
            <w:r w:rsidRPr="00054A5F">
              <w:rPr>
                <w:rFonts w:ascii="Arial" w:hAnsi="Arial" w:cs="Arial"/>
                <w:bCs/>
                <w:color w:val="1F1F1F"/>
                <w:sz w:val="16"/>
                <w:vertAlign w:val="superscript"/>
                <w:lang w:eastAsia="en-PH"/>
              </w:rPr>
              <w:t>ns</w:t>
            </w:r>
          </w:p>
        </w:tc>
        <w:tc>
          <w:tcPr>
            <w:tcW w:w="463" w:type="pct"/>
            <w:vAlign w:val="center"/>
            <w:hideMark/>
          </w:tcPr>
          <w:p w14:paraId="00AD9B5B"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0.976</w:t>
            </w:r>
            <w:r w:rsidRPr="00054A5F">
              <w:rPr>
                <w:rFonts w:ascii="Arial" w:hAnsi="Arial" w:cs="Arial"/>
                <w:bCs/>
                <w:color w:val="1F1F1F"/>
                <w:sz w:val="16"/>
                <w:vertAlign w:val="superscript"/>
                <w:lang w:eastAsia="en-PH"/>
              </w:rPr>
              <w:t>ns</w:t>
            </w:r>
          </w:p>
        </w:tc>
      </w:tr>
      <w:tr w:rsidR="001E51D5" w:rsidRPr="00054A5F" w14:paraId="365CF84B" w14:textId="77777777" w:rsidTr="0093337B">
        <w:trPr>
          <w:trHeight w:val="567"/>
        </w:trPr>
        <w:tc>
          <w:tcPr>
            <w:tcW w:w="705" w:type="pct"/>
            <w:vAlign w:val="center"/>
            <w:hideMark/>
          </w:tcPr>
          <w:p w14:paraId="3553E905" w14:textId="77777777" w:rsidR="001E51D5" w:rsidRPr="00054A5F" w:rsidRDefault="001E51D5" w:rsidP="001E51D5">
            <w:pPr>
              <w:rPr>
                <w:rFonts w:ascii="Arial" w:hAnsi="Arial" w:cs="Arial"/>
                <w:bCs/>
                <w:color w:val="1F1F1F"/>
                <w:sz w:val="16"/>
                <w:lang w:eastAsia="en-PH"/>
              </w:rPr>
            </w:pPr>
            <w:r w:rsidRPr="00054A5F">
              <w:rPr>
                <w:rFonts w:ascii="Arial" w:hAnsi="Arial" w:cs="Arial"/>
                <w:bCs/>
                <w:color w:val="1F1F1F"/>
                <w:sz w:val="16"/>
                <w:lang w:eastAsia="en-PH"/>
              </w:rPr>
              <w:t>Educational Attainment</w:t>
            </w:r>
          </w:p>
        </w:tc>
        <w:tc>
          <w:tcPr>
            <w:tcW w:w="493" w:type="pct"/>
            <w:vAlign w:val="center"/>
            <w:hideMark/>
          </w:tcPr>
          <w:p w14:paraId="6F1F42BD"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0.743</w:t>
            </w:r>
            <w:r w:rsidRPr="00054A5F">
              <w:rPr>
                <w:rFonts w:ascii="Arial" w:hAnsi="Arial" w:cs="Arial"/>
                <w:bCs/>
                <w:color w:val="1F1F1F"/>
                <w:sz w:val="16"/>
                <w:vertAlign w:val="superscript"/>
                <w:lang w:eastAsia="en-PH"/>
              </w:rPr>
              <w:t>ns</w:t>
            </w:r>
          </w:p>
        </w:tc>
        <w:tc>
          <w:tcPr>
            <w:tcW w:w="572" w:type="pct"/>
            <w:vAlign w:val="center"/>
            <w:hideMark/>
          </w:tcPr>
          <w:p w14:paraId="1D502DA8"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0.898</w:t>
            </w:r>
            <w:r w:rsidRPr="00054A5F">
              <w:rPr>
                <w:rFonts w:ascii="Arial" w:hAnsi="Arial" w:cs="Arial"/>
                <w:bCs/>
                <w:color w:val="1F1F1F"/>
                <w:sz w:val="16"/>
                <w:vertAlign w:val="superscript"/>
                <w:lang w:eastAsia="en-PH"/>
              </w:rPr>
              <w:t>ns</w:t>
            </w:r>
          </w:p>
        </w:tc>
        <w:tc>
          <w:tcPr>
            <w:tcW w:w="626" w:type="pct"/>
            <w:vAlign w:val="center"/>
            <w:hideMark/>
          </w:tcPr>
          <w:p w14:paraId="27F451EF"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0.388</w:t>
            </w:r>
            <w:r w:rsidRPr="00054A5F">
              <w:rPr>
                <w:rFonts w:ascii="Arial" w:hAnsi="Arial" w:cs="Arial"/>
                <w:bCs/>
                <w:color w:val="1F1F1F"/>
                <w:sz w:val="16"/>
                <w:vertAlign w:val="superscript"/>
                <w:lang w:eastAsia="en-PH"/>
              </w:rPr>
              <w:t>ns</w:t>
            </w:r>
          </w:p>
        </w:tc>
        <w:tc>
          <w:tcPr>
            <w:tcW w:w="627" w:type="pct"/>
            <w:vAlign w:val="center"/>
            <w:hideMark/>
          </w:tcPr>
          <w:p w14:paraId="62F817BD"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0.311</w:t>
            </w:r>
            <w:r w:rsidRPr="00054A5F">
              <w:rPr>
                <w:rFonts w:ascii="Arial" w:hAnsi="Arial" w:cs="Arial"/>
                <w:bCs/>
                <w:color w:val="1F1F1F"/>
                <w:sz w:val="16"/>
                <w:vertAlign w:val="superscript"/>
                <w:lang w:eastAsia="en-PH"/>
              </w:rPr>
              <w:t>ns</w:t>
            </w:r>
          </w:p>
        </w:tc>
        <w:tc>
          <w:tcPr>
            <w:tcW w:w="574" w:type="pct"/>
            <w:vAlign w:val="center"/>
            <w:hideMark/>
          </w:tcPr>
          <w:p w14:paraId="62B3864C"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0.487</w:t>
            </w:r>
            <w:r w:rsidRPr="00054A5F">
              <w:rPr>
                <w:rFonts w:ascii="Arial" w:hAnsi="Arial" w:cs="Arial"/>
                <w:bCs/>
                <w:color w:val="1F1F1F"/>
                <w:sz w:val="16"/>
                <w:vertAlign w:val="superscript"/>
                <w:lang w:eastAsia="en-PH"/>
              </w:rPr>
              <w:t>ns</w:t>
            </w:r>
          </w:p>
        </w:tc>
        <w:tc>
          <w:tcPr>
            <w:tcW w:w="522" w:type="pct"/>
            <w:vAlign w:val="center"/>
            <w:hideMark/>
          </w:tcPr>
          <w:p w14:paraId="1C340D3E"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0.545</w:t>
            </w:r>
            <w:r w:rsidRPr="00054A5F">
              <w:rPr>
                <w:rFonts w:ascii="Arial" w:hAnsi="Arial" w:cs="Arial"/>
                <w:bCs/>
                <w:color w:val="1F1F1F"/>
                <w:sz w:val="16"/>
                <w:vertAlign w:val="superscript"/>
                <w:lang w:eastAsia="en-PH"/>
              </w:rPr>
              <w:t>ns</w:t>
            </w:r>
          </w:p>
        </w:tc>
        <w:tc>
          <w:tcPr>
            <w:tcW w:w="418" w:type="pct"/>
            <w:vAlign w:val="center"/>
            <w:hideMark/>
          </w:tcPr>
          <w:p w14:paraId="13ECD220"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0.434</w:t>
            </w:r>
            <w:r w:rsidRPr="00054A5F">
              <w:rPr>
                <w:rFonts w:ascii="Arial" w:hAnsi="Arial" w:cs="Arial"/>
                <w:bCs/>
                <w:color w:val="1F1F1F"/>
                <w:sz w:val="16"/>
                <w:vertAlign w:val="superscript"/>
                <w:lang w:eastAsia="en-PH"/>
              </w:rPr>
              <w:t>ns</w:t>
            </w:r>
          </w:p>
        </w:tc>
        <w:tc>
          <w:tcPr>
            <w:tcW w:w="463" w:type="pct"/>
            <w:vAlign w:val="center"/>
            <w:hideMark/>
          </w:tcPr>
          <w:p w14:paraId="7F45DDDA"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0.392</w:t>
            </w:r>
            <w:r w:rsidRPr="00054A5F">
              <w:rPr>
                <w:rFonts w:ascii="Arial" w:hAnsi="Arial" w:cs="Arial"/>
                <w:bCs/>
                <w:color w:val="1F1F1F"/>
                <w:sz w:val="16"/>
                <w:vertAlign w:val="superscript"/>
                <w:lang w:eastAsia="en-PH"/>
              </w:rPr>
              <w:t>ns</w:t>
            </w:r>
          </w:p>
        </w:tc>
      </w:tr>
      <w:tr w:rsidR="001E51D5" w:rsidRPr="00054A5F" w14:paraId="059A3B79" w14:textId="77777777" w:rsidTr="0093337B">
        <w:trPr>
          <w:trHeight w:val="314"/>
        </w:trPr>
        <w:tc>
          <w:tcPr>
            <w:tcW w:w="705" w:type="pct"/>
            <w:noWrap/>
            <w:vAlign w:val="bottom"/>
            <w:hideMark/>
          </w:tcPr>
          <w:p w14:paraId="27AE3814" w14:textId="77777777" w:rsidR="001E51D5" w:rsidRPr="00054A5F" w:rsidRDefault="001E51D5" w:rsidP="001E51D5">
            <w:pPr>
              <w:rPr>
                <w:rFonts w:ascii="Arial" w:hAnsi="Arial" w:cs="Arial"/>
                <w:bCs/>
                <w:sz w:val="16"/>
                <w:lang w:eastAsia="en-PH"/>
              </w:rPr>
            </w:pPr>
            <w:r w:rsidRPr="00054A5F">
              <w:rPr>
                <w:rFonts w:ascii="Arial" w:hAnsi="Arial" w:cs="Arial"/>
                <w:bCs/>
                <w:sz w:val="16"/>
                <w:lang w:eastAsia="en-PH"/>
              </w:rPr>
              <w:t>Subject specialization</w:t>
            </w:r>
          </w:p>
        </w:tc>
        <w:tc>
          <w:tcPr>
            <w:tcW w:w="493" w:type="pct"/>
            <w:vAlign w:val="center"/>
            <w:hideMark/>
          </w:tcPr>
          <w:p w14:paraId="61AA2125"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0.666</w:t>
            </w:r>
            <w:r w:rsidRPr="00054A5F">
              <w:rPr>
                <w:rFonts w:ascii="Arial" w:hAnsi="Arial" w:cs="Arial"/>
                <w:bCs/>
                <w:color w:val="1F1F1F"/>
                <w:sz w:val="16"/>
                <w:vertAlign w:val="superscript"/>
                <w:lang w:eastAsia="en-PH"/>
              </w:rPr>
              <w:t>ns</w:t>
            </w:r>
          </w:p>
        </w:tc>
        <w:tc>
          <w:tcPr>
            <w:tcW w:w="572" w:type="pct"/>
            <w:vAlign w:val="center"/>
            <w:hideMark/>
          </w:tcPr>
          <w:p w14:paraId="56C66607"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0.388</w:t>
            </w:r>
            <w:r w:rsidRPr="00054A5F">
              <w:rPr>
                <w:rFonts w:ascii="Arial" w:hAnsi="Arial" w:cs="Arial"/>
                <w:bCs/>
                <w:color w:val="1F1F1F"/>
                <w:sz w:val="16"/>
                <w:vertAlign w:val="superscript"/>
                <w:lang w:eastAsia="en-PH"/>
              </w:rPr>
              <w:t>ns</w:t>
            </w:r>
          </w:p>
        </w:tc>
        <w:tc>
          <w:tcPr>
            <w:tcW w:w="626" w:type="pct"/>
            <w:vAlign w:val="center"/>
            <w:hideMark/>
          </w:tcPr>
          <w:p w14:paraId="1444EF5D"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0.607</w:t>
            </w:r>
            <w:r w:rsidRPr="00054A5F">
              <w:rPr>
                <w:rFonts w:ascii="Arial" w:hAnsi="Arial" w:cs="Arial"/>
                <w:bCs/>
                <w:color w:val="1F1F1F"/>
                <w:sz w:val="16"/>
                <w:vertAlign w:val="superscript"/>
                <w:lang w:eastAsia="en-PH"/>
              </w:rPr>
              <w:t>ns</w:t>
            </w:r>
          </w:p>
        </w:tc>
        <w:tc>
          <w:tcPr>
            <w:tcW w:w="627" w:type="pct"/>
            <w:vAlign w:val="center"/>
            <w:hideMark/>
          </w:tcPr>
          <w:p w14:paraId="339F8DF0"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0.499</w:t>
            </w:r>
            <w:r w:rsidRPr="00054A5F">
              <w:rPr>
                <w:rFonts w:ascii="Arial" w:hAnsi="Arial" w:cs="Arial"/>
                <w:bCs/>
                <w:color w:val="1F1F1F"/>
                <w:sz w:val="16"/>
                <w:vertAlign w:val="superscript"/>
                <w:lang w:eastAsia="en-PH"/>
              </w:rPr>
              <w:t>ns</w:t>
            </w:r>
          </w:p>
        </w:tc>
        <w:tc>
          <w:tcPr>
            <w:tcW w:w="574" w:type="pct"/>
            <w:vAlign w:val="center"/>
            <w:hideMark/>
          </w:tcPr>
          <w:p w14:paraId="0B151126"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0.72</w:t>
            </w:r>
            <w:r w:rsidRPr="00054A5F">
              <w:rPr>
                <w:rFonts w:ascii="Arial" w:hAnsi="Arial" w:cs="Arial"/>
                <w:bCs/>
                <w:color w:val="1F1F1F"/>
                <w:sz w:val="16"/>
                <w:vertAlign w:val="superscript"/>
                <w:lang w:eastAsia="en-PH"/>
              </w:rPr>
              <w:t>ns</w:t>
            </w:r>
          </w:p>
        </w:tc>
        <w:tc>
          <w:tcPr>
            <w:tcW w:w="522" w:type="pct"/>
            <w:vAlign w:val="center"/>
            <w:hideMark/>
          </w:tcPr>
          <w:p w14:paraId="423F93EE"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0.455</w:t>
            </w:r>
            <w:r w:rsidRPr="00054A5F">
              <w:rPr>
                <w:rFonts w:ascii="Arial" w:hAnsi="Arial" w:cs="Arial"/>
                <w:bCs/>
                <w:color w:val="1F1F1F"/>
                <w:sz w:val="16"/>
                <w:vertAlign w:val="superscript"/>
                <w:lang w:eastAsia="en-PH"/>
              </w:rPr>
              <w:t>ns</w:t>
            </w:r>
          </w:p>
        </w:tc>
        <w:tc>
          <w:tcPr>
            <w:tcW w:w="418" w:type="pct"/>
            <w:vAlign w:val="center"/>
            <w:hideMark/>
          </w:tcPr>
          <w:p w14:paraId="1C1AE2FC"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0.694</w:t>
            </w:r>
            <w:r w:rsidRPr="00054A5F">
              <w:rPr>
                <w:rFonts w:ascii="Arial" w:hAnsi="Arial" w:cs="Arial"/>
                <w:bCs/>
                <w:color w:val="1F1F1F"/>
                <w:sz w:val="16"/>
                <w:vertAlign w:val="superscript"/>
                <w:lang w:eastAsia="en-PH"/>
              </w:rPr>
              <w:t>ns</w:t>
            </w:r>
          </w:p>
        </w:tc>
        <w:tc>
          <w:tcPr>
            <w:tcW w:w="463" w:type="pct"/>
            <w:vAlign w:val="center"/>
            <w:hideMark/>
          </w:tcPr>
          <w:p w14:paraId="4E82A900" w14:textId="77777777" w:rsidR="001E51D5" w:rsidRPr="00054A5F" w:rsidRDefault="001E51D5" w:rsidP="001E51D5">
            <w:pPr>
              <w:rPr>
                <w:rFonts w:ascii="Arial" w:hAnsi="Arial" w:cs="Arial"/>
                <w:bCs/>
                <w:color w:val="1F1F1F"/>
                <w:sz w:val="16"/>
                <w:vertAlign w:val="superscript"/>
                <w:lang w:eastAsia="en-PH"/>
              </w:rPr>
            </w:pPr>
            <w:r w:rsidRPr="00054A5F">
              <w:rPr>
                <w:rFonts w:ascii="Arial" w:hAnsi="Arial" w:cs="Arial"/>
                <w:bCs/>
                <w:color w:val="1F1F1F"/>
                <w:sz w:val="16"/>
                <w:lang w:eastAsia="en-PH"/>
              </w:rPr>
              <w:t>0.344</w:t>
            </w:r>
            <w:r w:rsidRPr="00054A5F">
              <w:rPr>
                <w:rFonts w:ascii="Arial" w:hAnsi="Arial" w:cs="Arial"/>
                <w:bCs/>
                <w:color w:val="1F1F1F"/>
                <w:sz w:val="16"/>
                <w:vertAlign w:val="superscript"/>
                <w:lang w:eastAsia="en-PH"/>
              </w:rPr>
              <w:t>ns</w:t>
            </w:r>
          </w:p>
        </w:tc>
      </w:tr>
    </w:tbl>
    <w:p w14:paraId="08E8359A" w14:textId="77777777" w:rsidR="001E51D5" w:rsidRPr="00054A5F" w:rsidRDefault="001E51D5" w:rsidP="001E51D5">
      <w:pPr>
        <w:rPr>
          <w:rFonts w:ascii="Arial" w:hAnsi="Arial" w:cs="Arial"/>
          <w:bCs/>
          <w:lang w:eastAsia="en-PH"/>
        </w:rPr>
      </w:pPr>
      <w:r w:rsidRPr="00054A5F">
        <w:rPr>
          <w:rFonts w:ascii="Arial" w:hAnsi="Arial" w:cs="Arial"/>
          <w:bCs/>
          <w:lang w:eastAsia="en-PH"/>
        </w:rPr>
        <w:t>Legend: ** Highly Significant                  *Significant                            ns-not significant</w:t>
      </w:r>
    </w:p>
    <w:p w14:paraId="4F5D019A" w14:textId="77777777" w:rsidR="00A44D52" w:rsidRPr="00054A5F" w:rsidRDefault="00A44D52" w:rsidP="00A44D52">
      <w:pPr>
        <w:jc w:val="both"/>
        <w:rPr>
          <w:rFonts w:ascii="Arial" w:eastAsia="Calibri" w:hAnsi="Arial" w:cs="Arial"/>
          <w:bCs/>
          <w:sz w:val="16"/>
          <w:szCs w:val="16"/>
          <w:shd w:val="clear" w:color="auto" w:fill="FFFFFF"/>
        </w:rPr>
      </w:pPr>
    </w:p>
    <w:p w14:paraId="3E1354AD" w14:textId="77777777" w:rsidR="001E51D5" w:rsidRPr="00054A5F" w:rsidRDefault="001E51D5" w:rsidP="00A44D52">
      <w:pPr>
        <w:jc w:val="both"/>
        <w:rPr>
          <w:rFonts w:ascii="Arial" w:hAnsi="Arial" w:cs="Arial"/>
          <w:color w:val="1F1F1F"/>
          <w:lang w:eastAsia="en-PH"/>
        </w:rPr>
      </w:pPr>
      <w:r w:rsidRPr="00054A5F">
        <w:rPr>
          <w:rFonts w:ascii="Arial" w:hAnsi="Arial" w:cs="Arial"/>
          <w:color w:val="1F1F1F"/>
          <w:lang w:eastAsia="en-PH"/>
        </w:rPr>
        <w:t>Table 21 presents the results of the Kruskal-</w:t>
      </w:r>
      <w:proofErr w:type="gramStart"/>
      <w:r w:rsidRPr="00054A5F">
        <w:rPr>
          <w:rFonts w:ascii="Arial" w:hAnsi="Arial" w:cs="Arial"/>
          <w:color w:val="1F1F1F"/>
          <w:lang w:eastAsia="en-PH"/>
        </w:rPr>
        <w:t>Wallis</w:t>
      </w:r>
      <w:proofErr w:type="gramEnd"/>
      <w:r w:rsidRPr="00054A5F">
        <w:rPr>
          <w:rFonts w:ascii="Arial" w:hAnsi="Arial" w:cs="Arial"/>
          <w:color w:val="1F1F1F"/>
          <w:lang w:eastAsia="en-PH"/>
        </w:rPr>
        <w:t xml:space="preserve"> test, which was employed to determine if significant differences exist in the perceived determinants of learning retention when teachers are grouped according to their demographic profiles. The analysis reveals that across all categories—Age, Gender, Teaching Experience, Educational Attainment, and Subject Specialization—the computed p-values consistently exceed the </w:t>
      </w:r>
      <w:r w:rsidRPr="00054A5F">
        <w:rPr>
          <w:rFonts w:ascii="Arial" w:hAnsi="Arial" w:cs="Arial"/>
          <w:color w:val="1F1F1F"/>
          <w:bdr w:val="none" w:sz="0" w:space="0" w:color="auto" w:frame="1"/>
          <w:lang w:eastAsia="en-PH"/>
        </w:rPr>
        <w:t>0.05</w:t>
      </w:r>
      <w:r w:rsidRPr="00054A5F">
        <w:rPr>
          <w:rFonts w:ascii="Arial" w:hAnsi="Arial" w:cs="Arial"/>
          <w:color w:val="1F1F1F"/>
          <w:lang w:eastAsia="en-PH"/>
        </w:rPr>
        <w:t xml:space="preserve"> alpha level of significance. Specifically, the p-values for pedagogical determinants range from </w:t>
      </w:r>
      <w:r w:rsidRPr="00054A5F">
        <w:rPr>
          <w:rFonts w:ascii="Arial" w:hAnsi="Arial" w:cs="Arial"/>
          <w:color w:val="1F1F1F"/>
          <w:bdr w:val="none" w:sz="0" w:space="0" w:color="auto" w:frame="1"/>
          <w:lang w:eastAsia="en-PH"/>
        </w:rPr>
        <w:t>.225 to .907</w:t>
      </w:r>
      <w:r w:rsidRPr="00054A5F">
        <w:rPr>
          <w:rFonts w:ascii="Arial" w:hAnsi="Arial" w:cs="Arial"/>
          <w:color w:val="1F1F1F"/>
          <w:lang w:eastAsia="en-PH"/>
        </w:rPr>
        <w:t xml:space="preserve">, while those for student-related determinants range from </w:t>
      </w:r>
      <w:r w:rsidRPr="00054A5F">
        <w:rPr>
          <w:rFonts w:ascii="Arial" w:hAnsi="Arial" w:cs="Arial"/>
          <w:color w:val="1F1F1F"/>
          <w:bdr w:val="none" w:sz="0" w:space="0" w:color="auto" w:frame="1"/>
          <w:lang w:eastAsia="en-PH"/>
        </w:rPr>
        <w:t>.162 to .976</w:t>
      </w:r>
      <w:r w:rsidRPr="00054A5F">
        <w:rPr>
          <w:rFonts w:ascii="Arial" w:hAnsi="Arial" w:cs="Arial"/>
          <w:color w:val="1F1F1F"/>
          <w:lang w:eastAsia="en-PH"/>
        </w:rPr>
        <w:t xml:space="preserve">. Because these values are all higher than the established threshold, the results are interpreted as </w:t>
      </w:r>
      <w:r w:rsidRPr="00054A5F">
        <w:rPr>
          <w:rFonts w:ascii="Arial" w:hAnsi="Arial" w:cs="Arial"/>
          <w:color w:val="1F1F1F"/>
          <w:bdr w:val="none" w:sz="0" w:space="0" w:color="auto" w:frame="1"/>
          <w:lang w:eastAsia="en-PH"/>
        </w:rPr>
        <w:t>"Not Significant."</w:t>
      </w:r>
      <w:r w:rsidRPr="00054A5F">
        <w:rPr>
          <w:rFonts w:ascii="Arial" w:hAnsi="Arial" w:cs="Arial"/>
          <w:color w:val="1F1F1F"/>
          <w:lang w:eastAsia="en-PH"/>
        </w:rPr>
        <w:t xml:space="preserve"> This suggests that the respondents’ perceptions regarding the factors affecting student learning retention remain consistent, regardless of their professional background or personal demographics. Given that the p-values for all profile variables are greater than the significance level (</w:t>
      </w:r>
      <w:r w:rsidRPr="00054A5F">
        <w:rPr>
          <w:rFonts w:ascii="Arial" w:hAnsi="Arial" w:cs="Arial"/>
          <w:color w:val="1F1F1F"/>
          <w:bdr w:val="none" w:sz="0" w:space="0" w:color="auto" w:frame="1"/>
          <w:lang w:eastAsia="en-PH"/>
        </w:rPr>
        <w:t>alpha = 0.05</w:t>
      </w:r>
      <w:r w:rsidRPr="00054A5F">
        <w:rPr>
          <w:rFonts w:ascii="Arial" w:hAnsi="Arial" w:cs="Arial"/>
          <w:color w:val="1F1F1F"/>
          <w:lang w:eastAsia="en-PH"/>
        </w:rPr>
        <w:t xml:space="preserve">), the </w:t>
      </w:r>
      <w:r w:rsidRPr="00054A5F">
        <w:rPr>
          <w:rFonts w:ascii="Arial" w:hAnsi="Arial" w:cs="Arial"/>
          <w:color w:val="1F1F1F"/>
          <w:bdr w:val="none" w:sz="0" w:space="0" w:color="auto" w:frame="1"/>
          <w:lang w:eastAsia="en-PH"/>
        </w:rPr>
        <w:t xml:space="preserve">null hypotheses </w:t>
      </w:r>
      <w:r w:rsidRPr="00054A5F">
        <w:rPr>
          <w:rFonts w:ascii="Arial" w:hAnsi="Arial" w:cs="Arial"/>
          <w:color w:val="1F1F1F"/>
          <w:lang w:eastAsia="en-PH"/>
        </w:rPr>
        <w:t xml:space="preserve">stating that there is no significant difference in the perceived determinants of learning retention when grouped according to teacher profiles are </w:t>
      </w:r>
      <w:r w:rsidRPr="00054A5F">
        <w:rPr>
          <w:rFonts w:ascii="Arial" w:hAnsi="Arial" w:cs="Arial"/>
          <w:color w:val="1F1F1F"/>
          <w:bdr w:val="none" w:sz="0" w:space="0" w:color="auto" w:frame="1"/>
          <w:lang w:eastAsia="en-PH"/>
        </w:rPr>
        <w:t>accepted</w:t>
      </w:r>
      <w:r w:rsidRPr="00054A5F">
        <w:rPr>
          <w:rFonts w:ascii="Arial" w:hAnsi="Arial" w:cs="Arial"/>
          <w:color w:val="1F1F1F"/>
          <w:lang w:eastAsia="en-PH"/>
        </w:rPr>
        <w:t xml:space="preserve"> (or failed to be rejected). Consequently, it is concluded that demographic factors do not statistically influence how teachers evaluate these determinants.</w:t>
      </w:r>
    </w:p>
    <w:p w14:paraId="06A441A0" w14:textId="77777777" w:rsidR="00A44D52" w:rsidRPr="00054A5F" w:rsidRDefault="00A44D52" w:rsidP="00A44D52">
      <w:pPr>
        <w:jc w:val="both"/>
        <w:rPr>
          <w:rFonts w:ascii="Arial" w:hAnsi="Arial" w:cs="Arial"/>
          <w:bCs/>
        </w:rPr>
      </w:pPr>
    </w:p>
    <w:p w14:paraId="66764341" w14:textId="77777777" w:rsidR="001E51D5" w:rsidRPr="00054A5F" w:rsidRDefault="001E51D5" w:rsidP="00A44D52">
      <w:pPr>
        <w:jc w:val="both"/>
        <w:rPr>
          <w:rFonts w:ascii="Arial" w:hAnsi="Arial" w:cs="Arial"/>
          <w:bCs/>
        </w:rPr>
      </w:pPr>
      <w:r w:rsidRPr="00054A5F">
        <w:rPr>
          <w:rFonts w:ascii="Arial" w:hAnsi="Arial" w:cs="Arial"/>
          <w:bCs/>
        </w:rPr>
        <w:t>It implies that the challenges and perceptions regarding learning retention are universal among the teaching faculty, regardless of their individual backgrounds or professional standing. The lack of significant difference suggests that whether a teacher is a seasoned veteran or a new professional, or whether they specialize in TLE or Mathematics, they observe the same patterns in student attention, study habits, and the effectiveness of active learning. This consensus provides a strong justification for a unified school-wide intervention, as a single, standardized Learning Retention Enhancement Program would likely be applicable and relevant to all departments and age brackets within the institution without needing heavy demographic customization.</w:t>
      </w:r>
    </w:p>
    <w:p w14:paraId="61FF144A" w14:textId="77777777" w:rsidR="00A44D52" w:rsidRPr="00054A5F" w:rsidRDefault="00A44D52" w:rsidP="00A44D52">
      <w:pPr>
        <w:jc w:val="both"/>
        <w:rPr>
          <w:rFonts w:ascii="Arial" w:hAnsi="Arial" w:cs="Arial"/>
          <w:lang w:eastAsia="en-PH"/>
        </w:rPr>
      </w:pPr>
    </w:p>
    <w:p w14:paraId="11BA4882" w14:textId="77777777" w:rsidR="001E51D5" w:rsidRPr="00054A5F" w:rsidRDefault="001E51D5" w:rsidP="00A44D52">
      <w:pPr>
        <w:jc w:val="both"/>
        <w:rPr>
          <w:rFonts w:ascii="Arial" w:hAnsi="Arial" w:cs="Arial"/>
          <w:lang w:eastAsia="en-PH"/>
        </w:rPr>
      </w:pPr>
      <w:r w:rsidRPr="00054A5F">
        <w:rPr>
          <w:rFonts w:ascii="Arial" w:hAnsi="Arial" w:cs="Arial"/>
          <w:lang w:eastAsia="en-PH"/>
        </w:rPr>
        <w:t>This aligns with the study of teacher-perceived determinants of learning retention, where demographic profile variables show no significant differences in perceived learning-retention determinants, suggesting universal applicability of retention interventions across groups. The Kruskal-</w:t>
      </w:r>
      <w:proofErr w:type="gramStart"/>
      <w:r w:rsidRPr="00054A5F">
        <w:rPr>
          <w:rFonts w:ascii="Arial" w:hAnsi="Arial" w:cs="Arial"/>
          <w:lang w:eastAsia="en-PH"/>
        </w:rPr>
        <w:t>Wallis</w:t>
      </w:r>
      <w:proofErr w:type="gramEnd"/>
      <w:r w:rsidRPr="00054A5F">
        <w:rPr>
          <w:rFonts w:ascii="Arial" w:hAnsi="Arial" w:cs="Arial"/>
          <w:lang w:eastAsia="en-PH"/>
        </w:rPr>
        <w:t xml:space="preserve"> analysis reported non-significant p-values (&gt;0.05) for both pedagogical and student-related determinants across age, gender, teaching experience, educational attainment, and subject specialization, reinforcing the claim of universal perceptions among teachers (Naser, 2024). </w:t>
      </w:r>
    </w:p>
    <w:p w14:paraId="327C4CBD" w14:textId="77777777" w:rsidR="001E51D5" w:rsidRPr="00054A5F" w:rsidRDefault="001E51D5" w:rsidP="001E51D5">
      <w:pPr>
        <w:rPr>
          <w:rFonts w:ascii="Arial" w:eastAsia="Calibri" w:hAnsi="Arial" w:cs="Arial"/>
          <w:bCs/>
          <w:shd w:val="clear" w:color="auto" w:fill="FFFFFF"/>
        </w:rPr>
      </w:pPr>
    </w:p>
    <w:p w14:paraId="6598BA43" w14:textId="77777777" w:rsidR="001E51D5" w:rsidRPr="00054A5F" w:rsidRDefault="001E51D5" w:rsidP="00441B6F">
      <w:pPr>
        <w:pStyle w:val="Head1"/>
        <w:spacing w:after="0"/>
        <w:jc w:val="both"/>
        <w:rPr>
          <w:rFonts w:ascii="Arial" w:hAnsi="Arial" w:cs="Arial"/>
        </w:rPr>
      </w:pPr>
    </w:p>
    <w:p w14:paraId="2F2E80BF" w14:textId="77777777" w:rsidR="00B01FCD" w:rsidRPr="00054A5F" w:rsidRDefault="00000F8F" w:rsidP="00441B6F">
      <w:pPr>
        <w:pStyle w:val="ConcHead"/>
        <w:spacing w:after="0"/>
        <w:jc w:val="both"/>
        <w:rPr>
          <w:rFonts w:ascii="Arial" w:hAnsi="Arial" w:cs="Arial"/>
        </w:rPr>
      </w:pPr>
      <w:r w:rsidRPr="00054A5F">
        <w:rPr>
          <w:rFonts w:ascii="Arial" w:hAnsi="Arial" w:cs="Arial"/>
        </w:rPr>
        <w:t xml:space="preserve">4. </w:t>
      </w:r>
      <w:r w:rsidR="00B01FCD" w:rsidRPr="00054A5F">
        <w:rPr>
          <w:rFonts w:ascii="Arial" w:hAnsi="Arial" w:cs="Arial"/>
        </w:rPr>
        <w:t>Conclusion</w:t>
      </w:r>
    </w:p>
    <w:p w14:paraId="260DE226" w14:textId="77777777" w:rsidR="00790ADA" w:rsidRPr="00054A5F" w:rsidRDefault="00790ADA" w:rsidP="00441B6F">
      <w:pPr>
        <w:pStyle w:val="ConcHead"/>
        <w:spacing w:after="0"/>
        <w:jc w:val="both"/>
        <w:rPr>
          <w:rFonts w:ascii="Arial" w:hAnsi="Arial" w:cs="Arial"/>
        </w:rPr>
      </w:pPr>
    </w:p>
    <w:p w14:paraId="7DA99F92" w14:textId="77777777" w:rsidR="00790ADA" w:rsidRPr="00054A5F" w:rsidRDefault="00071BD5" w:rsidP="00441B6F">
      <w:pPr>
        <w:pStyle w:val="Body"/>
        <w:spacing w:after="0"/>
        <w:rPr>
          <w:rFonts w:ascii="Arial" w:hAnsi="Arial" w:cs="Arial"/>
        </w:rPr>
      </w:pPr>
      <w:r w:rsidRPr="00054A5F">
        <w:rPr>
          <w:rFonts w:ascii="Arial" w:hAnsi="Arial" w:cs="Arial"/>
        </w:rPr>
        <w:t>T</w:t>
      </w:r>
      <w:r w:rsidR="001365F4" w:rsidRPr="00054A5F">
        <w:rPr>
          <w:rFonts w:ascii="Arial" w:hAnsi="Arial" w:cs="Arial"/>
        </w:rPr>
        <w:t xml:space="preserve">he findings indicate that the teaching workforce is predominantly composed of female, early-career educators specializing in Technology and Livelihood Education (TLE), with many actively pursuing graduate studies to enhance their professional qualifications. Teachers commonly employ interactive instructional approaches, such as problem-solving activities, although the use of digital gamification and student-led metacognitive strategies remains limited. While students generally demonstrate high intrinsic motivation, their retention of learning is often hindered by poor study habits and short attention spans. Furthermore, </w:t>
      </w:r>
      <w:r w:rsidR="001365F4" w:rsidRPr="00054A5F">
        <w:rPr>
          <w:rFonts w:ascii="Arial" w:hAnsi="Arial" w:cs="Arial"/>
        </w:rPr>
        <w:lastRenderedPageBreak/>
        <w:t>students encounter difficulties in independently recalling information and applying technical skills, particularly in mathematics and grammar, to practical, real-world situations. The study also reveals that differentiated instruction and formative assessment practices play a significant role in strengthening long-term knowledge retention and mastery. Among the factors examined, student attention span and study habits emerged as the strongest predictors of successful academic recall. Notably, teachers’ perceptions regarding the determinants of student retention were consistent across demographic groups, regardless of age or years of teaching experience. However, systemic challenges, including limited resources and time constraints, continue to compel many educators to rely heavily on lecture-based teaching methods rather than implementing more effective cognitive retention strategies.</w:t>
      </w:r>
    </w:p>
    <w:p w14:paraId="6F5BA716" w14:textId="77777777" w:rsidR="001365F4" w:rsidRPr="00054A5F" w:rsidRDefault="001365F4" w:rsidP="00441B6F">
      <w:pPr>
        <w:pStyle w:val="Body"/>
        <w:spacing w:after="0"/>
        <w:rPr>
          <w:rFonts w:ascii="Arial" w:hAnsi="Arial" w:cs="Arial"/>
        </w:rPr>
      </w:pPr>
    </w:p>
    <w:p w14:paraId="38F276B5" w14:textId="77777777" w:rsidR="00860000" w:rsidRPr="00054A5F" w:rsidRDefault="00860000" w:rsidP="00441B6F">
      <w:pPr>
        <w:pStyle w:val="ReferHead"/>
        <w:spacing w:after="0"/>
        <w:jc w:val="both"/>
        <w:rPr>
          <w:rFonts w:ascii="Arial" w:hAnsi="Arial" w:cs="Arial"/>
          <w:bCs/>
        </w:rPr>
      </w:pPr>
      <w:r w:rsidRPr="00054A5F">
        <w:rPr>
          <w:rFonts w:ascii="Arial" w:hAnsi="Arial" w:cs="Arial"/>
          <w:bCs/>
        </w:rPr>
        <w:t>Competing interests</w:t>
      </w:r>
    </w:p>
    <w:p w14:paraId="48C0C8AF" w14:textId="77777777" w:rsidR="00860000" w:rsidRPr="00054A5F" w:rsidRDefault="00860000" w:rsidP="00441B6F">
      <w:pPr>
        <w:pStyle w:val="ReferHead"/>
        <w:spacing w:after="0"/>
        <w:jc w:val="both"/>
        <w:rPr>
          <w:rFonts w:ascii="Arial" w:hAnsi="Arial" w:cs="Arial"/>
          <w:sz w:val="24"/>
        </w:rPr>
      </w:pPr>
    </w:p>
    <w:p w14:paraId="26DFADA1" w14:textId="77777777" w:rsidR="005C2B64" w:rsidRPr="00054A5F" w:rsidRDefault="005C2B64" w:rsidP="00441B6F">
      <w:pPr>
        <w:pStyle w:val="ReferHead"/>
        <w:spacing w:after="0"/>
        <w:jc w:val="both"/>
        <w:rPr>
          <w:rFonts w:ascii="Arial" w:hAnsi="Arial" w:cs="Arial"/>
          <w:b w:val="0"/>
          <w:sz w:val="20"/>
        </w:rPr>
      </w:pPr>
      <w:r w:rsidRPr="00054A5F">
        <w:rPr>
          <w:rFonts w:ascii="Arial" w:hAnsi="Arial" w:cs="Arial"/>
          <w:b w:val="0"/>
          <w:caps w:val="0"/>
          <w:sz w:val="20"/>
        </w:rPr>
        <w:t>Authors have declared that no competing interests exist</w:t>
      </w:r>
      <w:r w:rsidRPr="00054A5F">
        <w:rPr>
          <w:rFonts w:ascii="Arial" w:hAnsi="Arial" w:cs="Arial"/>
          <w:b w:val="0"/>
          <w:sz w:val="20"/>
        </w:rPr>
        <w:t>.</w:t>
      </w:r>
    </w:p>
    <w:p w14:paraId="6E14BAF9" w14:textId="77777777" w:rsidR="00371FB6" w:rsidRPr="00054A5F" w:rsidRDefault="00371FB6" w:rsidP="00441B6F">
      <w:pPr>
        <w:pStyle w:val="ReferHead"/>
        <w:spacing w:after="0"/>
        <w:jc w:val="both"/>
        <w:rPr>
          <w:rFonts w:ascii="Arial" w:hAnsi="Arial" w:cs="Arial"/>
          <w:b w:val="0"/>
          <w:caps w:val="0"/>
          <w:sz w:val="20"/>
        </w:rPr>
      </w:pPr>
    </w:p>
    <w:p w14:paraId="2C55D938" w14:textId="77777777" w:rsidR="005C2B64" w:rsidRPr="00054A5F" w:rsidRDefault="005C2B64" w:rsidP="00441B6F">
      <w:pPr>
        <w:pStyle w:val="ReferHead"/>
        <w:spacing w:after="0"/>
        <w:jc w:val="both"/>
        <w:rPr>
          <w:rFonts w:ascii="Arial" w:hAnsi="Arial" w:cs="Arial"/>
          <w:b w:val="0"/>
          <w:caps w:val="0"/>
          <w:sz w:val="20"/>
        </w:rPr>
      </w:pPr>
    </w:p>
    <w:p w14:paraId="577CD09E" w14:textId="77777777" w:rsidR="005C784C" w:rsidRPr="00054A5F" w:rsidRDefault="005C784C" w:rsidP="00441B6F">
      <w:pPr>
        <w:pStyle w:val="ReferHead"/>
        <w:spacing w:after="0"/>
        <w:jc w:val="both"/>
        <w:rPr>
          <w:rFonts w:ascii="Arial" w:hAnsi="Arial" w:cs="Arial"/>
          <w:b w:val="0"/>
          <w:caps w:val="0"/>
          <w:sz w:val="20"/>
        </w:rPr>
      </w:pPr>
    </w:p>
    <w:p w14:paraId="6A5C2A31" w14:textId="77777777" w:rsidR="005C784C" w:rsidRPr="00054A5F" w:rsidRDefault="005C784C" w:rsidP="00441B6F">
      <w:pPr>
        <w:pStyle w:val="ReferHead"/>
        <w:spacing w:after="0"/>
        <w:jc w:val="both"/>
        <w:rPr>
          <w:rFonts w:ascii="Arial" w:hAnsi="Arial" w:cs="Arial"/>
          <w:bCs/>
        </w:rPr>
      </w:pPr>
      <w:r w:rsidRPr="00054A5F">
        <w:rPr>
          <w:rFonts w:ascii="Arial" w:hAnsi="Arial" w:cs="Arial"/>
          <w:bCs/>
        </w:rPr>
        <w:t>Ethical approval</w:t>
      </w:r>
    </w:p>
    <w:p w14:paraId="6CCB901C" w14:textId="77777777" w:rsidR="003A217D" w:rsidRPr="00054A5F" w:rsidRDefault="003A217D" w:rsidP="003A217D">
      <w:pPr>
        <w:rPr>
          <w:rFonts w:ascii="Arial" w:hAnsi="Arial" w:cs="Arial"/>
          <w:b/>
          <w:bCs/>
          <w:lang w:eastAsia="en-PH"/>
        </w:rPr>
      </w:pPr>
    </w:p>
    <w:p w14:paraId="58647B1B" w14:textId="77777777" w:rsidR="003A217D" w:rsidRPr="00054A5F" w:rsidRDefault="003A217D" w:rsidP="00071BD5">
      <w:pPr>
        <w:jc w:val="both"/>
        <w:rPr>
          <w:rFonts w:ascii="Arial" w:hAnsi="Arial" w:cs="Arial"/>
          <w:lang w:eastAsia="en-PH"/>
        </w:rPr>
      </w:pPr>
      <w:r w:rsidRPr="00054A5F">
        <w:rPr>
          <w:rFonts w:ascii="Arial" w:hAnsi="Arial" w:cs="Arial"/>
          <w:lang w:eastAsia="en-PH"/>
        </w:rPr>
        <w:t xml:space="preserve">In conducting this study, the researcher must adhere to strict ethical standards to ensure the protection and dignity of all participants. The principle of informed consent is paramount; every teacher-respondent must be fully briefed on the study's objectives, the nature of their involvement, and how the data will be utilized before they voluntarily agree to participate. Because the study explores perceptions within a professional workplace, anonymity and confidentiality must be guaranteed to protect the teachers from any potential administrative repercussions or social discomfort. All personal identifiers will be removed during the data analysis phase, and findings will be reported in an aggregate or coded format to ensure that specific individuals or their professional standing at Bartolome and Manuela </w:t>
      </w:r>
      <w:proofErr w:type="spellStart"/>
      <w:r w:rsidRPr="00054A5F">
        <w:rPr>
          <w:rFonts w:ascii="Arial" w:hAnsi="Arial" w:cs="Arial"/>
          <w:lang w:eastAsia="en-PH"/>
        </w:rPr>
        <w:t>Pañares</w:t>
      </w:r>
      <w:proofErr w:type="spellEnd"/>
      <w:r w:rsidRPr="00054A5F">
        <w:rPr>
          <w:rFonts w:ascii="Arial" w:hAnsi="Arial" w:cs="Arial"/>
          <w:lang w:eastAsia="en-PH"/>
        </w:rPr>
        <w:t xml:space="preserve"> Memorial National High School cannot be compromised.</w:t>
      </w:r>
    </w:p>
    <w:p w14:paraId="21D39B3E" w14:textId="77777777" w:rsidR="00071BD5" w:rsidRPr="00054A5F" w:rsidRDefault="00071BD5" w:rsidP="00071BD5">
      <w:pPr>
        <w:jc w:val="both"/>
        <w:rPr>
          <w:rFonts w:ascii="Arial" w:hAnsi="Arial" w:cs="Arial"/>
          <w:lang w:eastAsia="en-PH"/>
        </w:rPr>
      </w:pPr>
    </w:p>
    <w:p w14:paraId="4DF76A98" w14:textId="77777777" w:rsidR="003A217D" w:rsidRPr="00054A5F" w:rsidRDefault="003A217D" w:rsidP="00071BD5">
      <w:pPr>
        <w:jc w:val="both"/>
        <w:rPr>
          <w:rFonts w:ascii="Arial" w:hAnsi="Arial" w:cs="Arial"/>
          <w:lang w:eastAsia="en-PH"/>
        </w:rPr>
      </w:pPr>
      <w:r w:rsidRPr="00054A5F">
        <w:rPr>
          <w:rFonts w:ascii="Arial" w:hAnsi="Arial" w:cs="Arial"/>
          <w:lang w:eastAsia="en-PH"/>
        </w:rPr>
        <w:t>Furthermore, the researchers must uphold the principle of beneficence and non-maleficence, ensuring that the study poses no psychological or professional risk to the participants. The data collection process, whether through interviews or surveys, should be conducted at the convenience of the teachers to respect their instructional time and prevent "research fatigue." To maintain integrity and transparency, the researchers are obligated to present the findings honestly, avoiding any manipulation of data to fit a specific theoretical bias. Finally, the proposed Learning Retention Enhancement Program resulting from the study should be shared with the school community, ensuring that the research serves a reciprocal purpose of providing practical benefits to the institution and its students rather than being a purely extractive academic exercise.</w:t>
      </w:r>
    </w:p>
    <w:p w14:paraId="5700C302" w14:textId="77777777" w:rsidR="009179E3" w:rsidRDefault="009179E3" w:rsidP="00450144">
      <w:pPr>
        <w:rPr>
          <w:rFonts w:ascii="Times New Roman" w:hAnsi="Times New Roman"/>
          <w:b/>
        </w:rPr>
      </w:pPr>
    </w:p>
    <w:p w14:paraId="6FB29A6A" w14:textId="05A99D36" w:rsidR="00450144" w:rsidRPr="00054A5F" w:rsidRDefault="00450144" w:rsidP="00450144">
      <w:pPr>
        <w:rPr>
          <w:rFonts w:ascii="Times New Roman" w:hAnsi="Times New Roman"/>
          <w:b/>
        </w:rPr>
      </w:pPr>
      <w:r w:rsidRPr="00054A5F">
        <w:rPr>
          <w:rFonts w:ascii="Times New Roman" w:hAnsi="Times New Roman"/>
          <w:b/>
        </w:rPr>
        <w:t>Declaration of AI Use</w:t>
      </w:r>
    </w:p>
    <w:p w14:paraId="31DAD1A4" w14:textId="77777777" w:rsidR="00450144" w:rsidRPr="00054A5F" w:rsidRDefault="00450144" w:rsidP="00450144">
      <w:pPr>
        <w:rPr>
          <w:rFonts w:ascii="Times New Roman" w:hAnsi="Times New Roman"/>
          <w:b/>
        </w:rPr>
      </w:pPr>
    </w:p>
    <w:p w14:paraId="32A9413E" w14:textId="77777777" w:rsidR="00450144" w:rsidRPr="00054A5F" w:rsidRDefault="00450144" w:rsidP="00450144">
      <w:pPr>
        <w:rPr>
          <w:rFonts w:ascii="Times New Roman" w:hAnsi="Times New Roman"/>
          <w:b/>
        </w:rPr>
      </w:pPr>
    </w:p>
    <w:p w14:paraId="2238B800" w14:textId="77777777" w:rsidR="00450144" w:rsidRPr="00054A5F" w:rsidRDefault="00450144" w:rsidP="00450144">
      <w:pPr>
        <w:rPr>
          <w:rFonts w:ascii="Times New Roman" w:hAnsi="Times New Roman"/>
          <w:b/>
        </w:rPr>
      </w:pPr>
    </w:p>
    <w:p w14:paraId="74F78E9F" w14:textId="77777777" w:rsidR="00450144" w:rsidRPr="00054A5F" w:rsidRDefault="00450144" w:rsidP="00450144">
      <w:pPr>
        <w:rPr>
          <w:rFonts w:ascii="Arial" w:hAnsi="Arial" w:cs="Arial"/>
        </w:rPr>
      </w:pPr>
      <w:r w:rsidRPr="00054A5F">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B39FCAD" w14:textId="77777777" w:rsidR="00450144" w:rsidRPr="00054A5F" w:rsidRDefault="00450144" w:rsidP="00071BD5">
      <w:pPr>
        <w:jc w:val="both"/>
        <w:rPr>
          <w:rFonts w:ascii="Arial" w:hAnsi="Arial" w:cs="Arial"/>
          <w:lang w:eastAsia="en-PH"/>
        </w:rPr>
      </w:pPr>
    </w:p>
    <w:p w14:paraId="27C13797" w14:textId="77777777" w:rsidR="00860000" w:rsidRPr="00054A5F" w:rsidRDefault="00860000" w:rsidP="00441B6F">
      <w:pPr>
        <w:pStyle w:val="ReferHead"/>
        <w:spacing w:after="0"/>
        <w:jc w:val="both"/>
        <w:rPr>
          <w:rFonts w:ascii="Arial" w:hAnsi="Arial" w:cs="Arial"/>
        </w:rPr>
      </w:pPr>
    </w:p>
    <w:p w14:paraId="3A7E64B0" w14:textId="77777777" w:rsidR="00B01FCD" w:rsidRPr="00054A5F" w:rsidRDefault="00B01FCD" w:rsidP="00441B6F">
      <w:pPr>
        <w:pStyle w:val="ReferHead"/>
        <w:spacing w:after="0"/>
        <w:jc w:val="both"/>
        <w:rPr>
          <w:rFonts w:ascii="Arial" w:hAnsi="Arial" w:cs="Arial"/>
        </w:rPr>
      </w:pPr>
      <w:r w:rsidRPr="00054A5F">
        <w:rPr>
          <w:rFonts w:ascii="Arial" w:hAnsi="Arial" w:cs="Arial"/>
        </w:rPr>
        <w:t>References</w:t>
      </w:r>
    </w:p>
    <w:p w14:paraId="1DE97CB2" w14:textId="77777777" w:rsidR="00790ADA" w:rsidRPr="00054A5F" w:rsidRDefault="00790ADA" w:rsidP="00441B6F">
      <w:pPr>
        <w:pStyle w:val="ReferHead"/>
        <w:spacing w:after="0"/>
        <w:jc w:val="both"/>
        <w:rPr>
          <w:rFonts w:ascii="Arial" w:hAnsi="Arial" w:cs="Arial"/>
        </w:rPr>
      </w:pPr>
    </w:p>
    <w:p w14:paraId="21617A74"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bookmarkStart w:id="1" w:name="OLE_LINK1"/>
      <w:r w:rsidRPr="00054A5F">
        <w:rPr>
          <w:rFonts w:eastAsia="Times New Roman"/>
          <w:color w:val="000000" w:themeColor="text1"/>
          <w:sz w:val="20"/>
          <w:szCs w:val="20"/>
          <w:lang w:eastAsia="en-PH"/>
        </w:rPr>
        <w:t xml:space="preserve">A Review on State of the Art in Flipped Classroom Technology </w:t>
      </w:r>
      <w:proofErr w:type="gramStart"/>
      <w:r w:rsidRPr="00054A5F">
        <w:rPr>
          <w:rFonts w:eastAsia="Times New Roman"/>
          <w:color w:val="000000" w:themeColor="text1"/>
          <w:sz w:val="20"/>
          <w:szCs w:val="20"/>
          <w:lang w:eastAsia="en-PH"/>
        </w:rPr>
        <w:t>A</w:t>
      </w:r>
      <w:proofErr w:type="gramEnd"/>
      <w:r w:rsidRPr="00054A5F">
        <w:rPr>
          <w:rFonts w:eastAsia="Times New Roman"/>
          <w:color w:val="000000" w:themeColor="text1"/>
          <w:sz w:val="20"/>
          <w:szCs w:val="20"/>
          <w:lang w:eastAsia="en-PH"/>
        </w:rPr>
        <w:t xml:space="preserve"> Blended E-Learning. (2021). International Journal of Emerging Trends in Engineering Research, 9(7), 973–982. https://doi.org/10.30534/ijeter/2021/22972021</w:t>
      </w:r>
      <w:bookmarkEnd w:id="1"/>
    </w:p>
    <w:p w14:paraId="33A37A0D"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val="de-DE" w:eastAsia="en-PH"/>
        </w:rPr>
        <w:t xml:space="preserve">Alfajaro, J. R. A., &amp; Alfajaro, J. C. (2023). </w:t>
      </w:r>
      <w:r w:rsidRPr="00054A5F">
        <w:rPr>
          <w:rFonts w:eastAsia="Times New Roman"/>
          <w:color w:val="000000" w:themeColor="text1"/>
          <w:sz w:val="20"/>
          <w:szCs w:val="20"/>
          <w:lang w:eastAsia="en-PH"/>
        </w:rPr>
        <w:t xml:space="preserve">Teachers’ Working Conditions and Engagement in Their Productivity. International Journal of Research Publications, 122(1). </w:t>
      </w:r>
      <w:hyperlink r:id="rId14" w:history="1">
        <w:r w:rsidRPr="00054A5F">
          <w:rPr>
            <w:rStyle w:val="Hyperlink"/>
            <w:rFonts w:eastAsia="Times New Roman"/>
            <w:color w:val="000000" w:themeColor="text1"/>
            <w:sz w:val="20"/>
            <w:szCs w:val="20"/>
            <w:u w:val="none"/>
            <w:lang w:eastAsia="en-PH"/>
          </w:rPr>
          <w:t>https://doi.org/10.47119/ijrp1001221420234624</w:t>
        </w:r>
      </w:hyperlink>
    </w:p>
    <w:p w14:paraId="218E0A42"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Balatero, M. F. T., &amp; </w:t>
      </w:r>
      <w:proofErr w:type="spellStart"/>
      <w:r w:rsidRPr="00054A5F">
        <w:rPr>
          <w:rFonts w:eastAsia="Times New Roman"/>
          <w:color w:val="000000" w:themeColor="text1"/>
          <w:sz w:val="20"/>
          <w:szCs w:val="20"/>
          <w:lang w:eastAsia="en-PH"/>
        </w:rPr>
        <w:t>Bauyot</w:t>
      </w:r>
      <w:proofErr w:type="spellEnd"/>
      <w:r w:rsidRPr="00054A5F">
        <w:rPr>
          <w:rFonts w:eastAsia="Times New Roman"/>
          <w:color w:val="000000" w:themeColor="text1"/>
          <w:sz w:val="20"/>
          <w:szCs w:val="20"/>
          <w:lang w:eastAsia="en-PH"/>
        </w:rPr>
        <w:t xml:space="preserve">, M. M. (2024). Enhancing Teacher Motivation: Leadership Strategies in </w:t>
      </w:r>
      <w:proofErr w:type="spellStart"/>
      <w:r w:rsidRPr="00054A5F">
        <w:rPr>
          <w:rFonts w:eastAsia="Times New Roman"/>
          <w:color w:val="000000" w:themeColor="text1"/>
          <w:sz w:val="20"/>
          <w:szCs w:val="20"/>
          <w:lang w:eastAsia="en-PH"/>
        </w:rPr>
        <w:t>Panabo</w:t>
      </w:r>
      <w:proofErr w:type="spellEnd"/>
      <w:r w:rsidRPr="00054A5F">
        <w:rPr>
          <w:rFonts w:eastAsia="Times New Roman"/>
          <w:color w:val="000000" w:themeColor="text1"/>
          <w:sz w:val="20"/>
          <w:szCs w:val="20"/>
          <w:lang w:eastAsia="en-PH"/>
        </w:rPr>
        <w:t xml:space="preserve"> City Public Senior High Schools. Asian Journal of Education and Social Studies, 50(7), 286–299. https://doi.org/10.9734/ajess/2024/v50i71463</w:t>
      </w:r>
    </w:p>
    <w:p w14:paraId="612C4F08"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Barotas</w:t>
      </w:r>
      <w:proofErr w:type="spellEnd"/>
      <w:r w:rsidRPr="00054A5F">
        <w:rPr>
          <w:rFonts w:eastAsia="Times New Roman"/>
          <w:color w:val="000000" w:themeColor="text1"/>
          <w:sz w:val="20"/>
          <w:szCs w:val="20"/>
          <w:lang w:eastAsia="en-PH"/>
        </w:rPr>
        <w:t>, C. C., &amp; Daza, S. (2025). Chemistry Learning and Inquiry through Real-World Exploration (CLAIRE) Approach and Grade 9 Critical Thinking Skills and Knowledge Retention. Journal of Interdisciplinary Perspectives, 3(8). https://doi.org/10.69569/jip.2025.351</w:t>
      </w:r>
    </w:p>
    <w:p w14:paraId="7BE0C390"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val="en-PH" w:eastAsia="en-PH"/>
        </w:rPr>
      </w:pPr>
      <w:r w:rsidRPr="00054A5F">
        <w:rPr>
          <w:rFonts w:eastAsia="Times New Roman"/>
          <w:color w:val="000000" w:themeColor="text1"/>
          <w:sz w:val="20"/>
          <w:szCs w:val="20"/>
          <w:lang w:eastAsia="en-PH"/>
        </w:rPr>
        <w:t xml:space="preserve">Bhatti, M. A., </w:t>
      </w:r>
      <w:proofErr w:type="spellStart"/>
      <w:r w:rsidRPr="00054A5F">
        <w:rPr>
          <w:rFonts w:eastAsia="Times New Roman"/>
          <w:color w:val="000000" w:themeColor="text1"/>
          <w:sz w:val="20"/>
          <w:szCs w:val="20"/>
          <w:lang w:eastAsia="en-PH"/>
        </w:rPr>
        <w:t>Doghan</w:t>
      </w:r>
      <w:proofErr w:type="spellEnd"/>
      <w:r w:rsidRPr="00054A5F">
        <w:rPr>
          <w:rFonts w:eastAsia="Times New Roman"/>
          <w:color w:val="000000" w:themeColor="text1"/>
          <w:sz w:val="20"/>
          <w:szCs w:val="20"/>
          <w:lang w:eastAsia="en-PH"/>
        </w:rPr>
        <w:t xml:space="preserve">, M. A. A., Saat, S. A. M., Juhari, A. S., &amp; </w:t>
      </w:r>
      <w:proofErr w:type="spellStart"/>
      <w:r w:rsidRPr="00054A5F">
        <w:rPr>
          <w:rFonts w:eastAsia="Times New Roman"/>
          <w:color w:val="000000" w:themeColor="text1"/>
          <w:sz w:val="20"/>
          <w:szCs w:val="20"/>
          <w:lang w:eastAsia="en-PH"/>
        </w:rPr>
        <w:t>Alshagawi</w:t>
      </w:r>
      <w:proofErr w:type="spellEnd"/>
      <w:r w:rsidRPr="00054A5F">
        <w:rPr>
          <w:rFonts w:eastAsia="Times New Roman"/>
          <w:color w:val="000000" w:themeColor="text1"/>
          <w:sz w:val="20"/>
          <w:szCs w:val="20"/>
          <w:lang w:eastAsia="en-PH"/>
        </w:rPr>
        <w:t xml:space="preserve">, M. (2021). Entrepreneurial intentions among women: does entrepreneurial training and education matters? (Pre- and post-evaluation of psychological attributes and its effects on entrepreneurial intention). Journal of Small Business and Enterprise Development, 28(2), 167–184. </w:t>
      </w:r>
      <w:r w:rsidRPr="00054A5F">
        <w:rPr>
          <w:rFonts w:eastAsia="Times New Roman"/>
          <w:color w:val="000000" w:themeColor="text1"/>
          <w:sz w:val="20"/>
          <w:szCs w:val="20"/>
          <w:lang w:val="en-PH" w:eastAsia="en-PH"/>
        </w:rPr>
        <w:t>https://doi.org/10.1108/jsbed-09-2019-0305</w:t>
      </w:r>
    </w:p>
    <w:p w14:paraId="78BB6D76"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val="de-DE" w:eastAsia="en-PH"/>
        </w:rPr>
        <w:t xml:space="preserve">Chen, S., Sermeno, R., Hodge, K., Agenbroad, A., Schweitzer, A. M., Tsao, L. L., &amp; Roe, A. (2024). </w:t>
      </w:r>
      <w:r w:rsidRPr="00054A5F">
        <w:rPr>
          <w:rFonts w:eastAsia="Times New Roman"/>
          <w:color w:val="000000" w:themeColor="text1"/>
          <w:sz w:val="20"/>
          <w:szCs w:val="20"/>
          <w:lang w:eastAsia="en-PH"/>
        </w:rPr>
        <w:t>Young Children’s Self-Regulated Learning Benefited from a Metacognition-Driven Science Education Intervention for Early Childhood Teachers. Education Sciences, 14(6), 565. https://doi.org/10.3390/educsci14060565</w:t>
      </w:r>
    </w:p>
    <w:p w14:paraId="49633556"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Clores, L. J., &amp; España, R. C. N. (2023). Assessment of Teachers’ Instructional Practices: Towards Proposing an Innovative Instructional Model for Teaching-Learning Material in Chemistry. Journal of Practical Studies in Education, 4(4), 1–19. https://doi.org/10.46809/jpse.v4i4.69</w:t>
      </w:r>
    </w:p>
    <w:p w14:paraId="7E020C9D"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Cortés</w:t>
      </w:r>
      <w:r w:rsidRPr="00054A5F">
        <w:rPr>
          <w:rFonts w:ascii="Cambria Math" w:eastAsia="Times New Roman" w:hAnsi="Cambria Math" w:cs="Cambria Math"/>
          <w:color w:val="000000" w:themeColor="text1"/>
          <w:sz w:val="20"/>
          <w:szCs w:val="20"/>
          <w:lang w:eastAsia="en-PH"/>
        </w:rPr>
        <w:t>‐</w:t>
      </w:r>
      <w:r w:rsidRPr="00054A5F">
        <w:rPr>
          <w:rFonts w:eastAsia="Times New Roman"/>
          <w:color w:val="000000" w:themeColor="text1"/>
          <w:sz w:val="20"/>
          <w:szCs w:val="20"/>
          <w:lang w:eastAsia="en-PH"/>
        </w:rPr>
        <w:t xml:space="preserve">Pérez, I., </w:t>
      </w:r>
      <w:proofErr w:type="spellStart"/>
      <w:r w:rsidRPr="00054A5F">
        <w:rPr>
          <w:rFonts w:eastAsia="Times New Roman"/>
          <w:color w:val="000000" w:themeColor="text1"/>
          <w:sz w:val="20"/>
          <w:szCs w:val="20"/>
          <w:lang w:eastAsia="en-PH"/>
        </w:rPr>
        <w:t>Zagalaz</w:t>
      </w:r>
      <w:proofErr w:type="spellEnd"/>
      <w:r w:rsidRPr="00054A5F">
        <w:rPr>
          <w:rFonts w:ascii="Cambria Math" w:eastAsia="Times New Roman" w:hAnsi="Cambria Math" w:cs="Cambria Math"/>
          <w:color w:val="000000" w:themeColor="text1"/>
          <w:sz w:val="20"/>
          <w:szCs w:val="20"/>
          <w:lang w:eastAsia="en-PH"/>
        </w:rPr>
        <w:t>‐</w:t>
      </w:r>
      <w:r w:rsidRPr="00054A5F">
        <w:rPr>
          <w:rFonts w:eastAsia="Times New Roman"/>
          <w:color w:val="000000" w:themeColor="text1"/>
          <w:sz w:val="20"/>
          <w:szCs w:val="20"/>
          <w:lang w:eastAsia="en-PH"/>
        </w:rPr>
        <w:t>Anula, N., López</w:t>
      </w:r>
      <w:r w:rsidRPr="00054A5F">
        <w:rPr>
          <w:rFonts w:ascii="Cambria Math" w:eastAsia="Times New Roman" w:hAnsi="Cambria Math" w:cs="Cambria Math"/>
          <w:color w:val="000000" w:themeColor="text1"/>
          <w:sz w:val="20"/>
          <w:szCs w:val="20"/>
          <w:lang w:eastAsia="en-PH"/>
        </w:rPr>
        <w:t>‐</w:t>
      </w:r>
      <w:r w:rsidRPr="00054A5F">
        <w:rPr>
          <w:rFonts w:eastAsia="Times New Roman"/>
          <w:color w:val="000000" w:themeColor="text1"/>
          <w:sz w:val="20"/>
          <w:szCs w:val="20"/>
          <w:lang w:eastAsia="en-PH"/>
        </w:rPr>
        <w:t>Ruiz, M. del C., Díaz</w:t>
      </w:r>
      <w:r w:rsidRPr="00054A5F">
        <w:rPr>
          <w:rFonts w:ascii="Cambria Math" w:eastAsia="Times New Roman" w:hAnsi="Cambria Math" w:cs="Cambria Math"/>
          <w:color w:val="000000" w:themeColor="text1"/>
          <w:sz w:val="20"/>
          <w:szCs w:val="20"/>
          <w:lang w:eastAsia="en-PH"/>
        </w:rPr>
        <w:t>‐</w:t>
      </w:r>
      <w:r w:rsidRPr="00054A5F">
        <w:rPr>
          <w:rFonts w:eastAsia="Times New Roman"/>
          <w:color w:val="000000" w:themeColor="text1"/>
          <w:sz w:val="20"/>
          <w:szCs w:val="20"/>
          <w:lang w:eastAsia="en-PH"/>
        </w:rPr>
        <w:t>Fernández, Á., Obrero</w:t>
      </w:r>
      <w:r w:rsidRPr="00054A5F">
        <w:rPr>
          <w:rFonts w:ascii="Cambria Math" w:eastAsia="Times New Roman" w:hAnsi="Cambria Math" w:cs="Cambria Math"/>
          <w:color w:val="000000" w:themeColor="text1"/>
          <w:sz w:val="20"/>
          <w:szCs w:val="20"/>
          <w:lang w:eastAsia="en-PH"/>
        </w:rPr>
        <w:t>‐</w:t>
      </w:r>
      <w:r w:rsidRPr="00054A5F">
        <w:rPr>
          <w:rFonts w:eastAsia="Times New Roman"/>
          <w:color w:val="000000" w:themeColor="text1"/>
          <w:sz w:val="20"/>
          <w:szCs w:val="20"/>
          <w:lang w:eastAsia="en-PH"/>
        </w:rPr>
        <w:t>Gaitán, E., &amp; Osuna</w:t>
      </w:r>
      <w:r w:rsidRPr="00054A5F">
        <w:rPr>
          <w:rFonts w:ascii="Cambria Math" w:eastAsia="Times New Roman" w:hAnsi="Cambria Math" w:cs="Cambria Math"/>
          <w:color w:val="000000" w:themeColor="text1"/>
          <w:sz w:val="20"/>
          <w:szCs w:val="20"/>
          <w:lang w:eastAsia="en-PH"/>
        </w:rPr>
        <w:t>‐</w:t>
      </w:r>
      <w:r w:rsidRPr="00054A5F">
        <w:rPr>
          <w:rFonts w:eastAsia="Times New Roman"/>
          <w:color w:val="000000" w:themeColor="text1"/>
          <w:sz w:val="20"/>
          <w:szCs w:val="20"/>
          <w:lang w:eastAsia="en-PH"/>
        </w:rPr>
        <w:t xml:space="preserve">Pérez, M. C. (2023). Study Based on Gamification of Tests through </w:t>
      </w:r>
      <w:proofErr w:type="spellStart"/>
      <w:proofErr w:type="gramStart"/>
      <w:r w:rsidRPr="00054A5F">
        <w:rPr>
          <w:rFonts w:eastAsia="Times New Roman"/>
          <w:color w:val="000000" w:themeColor="text1"/>
          <w:sz w:val="20"/>
          <w:szCs w:val="20"/>
          <w:lang w:eastAsia="en-PH"/>
        </w:rPr>
        <w:t>Kahoot!TM</w:t>
      </w:r>
      <w:proofErr w:type="spellEnd"/>
      <w:proofErr w:type="gramEnd"/>
      <w:r w:rsidRPr="00054A5F">
        <w:rPr>
          <w:rFonts w:eastAsia="Times New Roman"/>
          <w:color w:val="000000" w:themeColor="text1"/>
          <w:sz w:val="20"/>
          <w:szCs w:val="20"/>
          <w:lang w:eastAsia="en-PH"/>
        </w:rPr>
        <w:t xml:space="preserve"> and Reward Game Cards as </w:t>
      </w:r>
      <w:proofErr w:type="spellStart"/>
      <w:r w:rsidRPr="00054A5F">
        <w:rPr>
          <w:rFonts w:eastAsia="Times New Roman"/>
          <w:color w:val="000000" w:themeColor="text1"/>
          <w:sz w:val="20"/>
          <w:szCs w:val="20"/>
          <w:lang w:eastAsia="en-PH"/>
        </w:rPr>
        <w:t>anInnovative</w:t>
      </w:r>
      <w:proofErr w:type="spellEnd"/>
      <w:r w:rsidRPr="00054A5F">
        <w:rPr>
          <w:rFonts w:eastAsia="Times New Roman"/>
          <w:color w:val="000000" w:themeColor="text1"/>
          <w:sz w:val="20"/>
          <w:szCs w:val="20"/>
          <w:lang w:eastAsia="en-PH"/>
        </w:rPr>
        <w:t xml:space="preserve"> Tool in Physiotherapy Students: A Preliminary Study. Healthcare, 11(4), 578. </w:t>
      </w:r>
      <w:hyperlink r:id="rId15" w:history="1">
        <w:r w:rsidRPr="00054A5F">
          <w:rPr>
            <w:rStyle w:val="Hyperlink"/>
            <w:rFonts w:eastAsia="Times New Roman"/>
            <w:color w:val="000000" w:themeColor="text1"/>
            <w:sz w:val="20"/>
            <w:szCs w:val="20"/>
            <w:u w:val="none"/>
            <w:lang w:eastAsia="en-PH"/>
          </w:rPr>
          <w:t>https://doi.org/10.3390/healthcare11040578</w:t>
        </w:r>
      </w:hyperlink>
    </w:p>
    <w:p w14:paraId="2FAAE436"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Dagondon</w:t>
      </w:r>
      <w:proofErr w:type="spellEnd"/>
      <w:r w:rsidRPr="00054A5F">
        <w:rPr>
          <w:rFonts w:eastAsia="Times New Roman"/>
          <w:color w:val="000000" w:themeColor="text1"/>
          <w:sz w:val="20"/>
          <w:szCs w:val="20"/>
          <w:lang w:eastAsia="en-PH"/>
        </w:rPr>
        <w:t>, L. M. B. (2025). Unfulfilled Potential: A Document Analysis of Spiral Progression and Curriculum Coherence in Philippine Junior High School Science. Journal of Education and Learning Reviews, 2(6), 89–102. https://doi.org/10.60027/jelr.2025.2206</w:t>
      </w:r>
    </w:p>
    <w:p w14:paraId="4A01CB27"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Datnow</w:t>
      </w:r>
      <w:proofErr w:type="spellEnd"/>
      <w:r w:rsidRPr="00054A5F">
        <w:rPr>
          <w:rFonts w:eastAsia="Times New Roman"/>
          <w:color w:val="000000" w:themeColor="text1"/>
          <w:sz w:val="20"/>
          <w:szCs w:val="20"/>
          <w:lang w:eastAsia="en-PH"/>
        </w:rPr>
        <w:t>, A., Guerra, A. W., Cohen, S. R., Kennedy, B. C., &amp; Lee, J. J. (2023). Teacher Sensemaking in an Early Education Research–Practice Partnership. Teachers College Record the Voice of Scholarship in Education, 125(2), 66–98. https://doi.org/10.1177/01614681231161391</w:t>
      </w:r>
    </w:p>
    <w:p w14:paraId="41DB6159"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Dicdiquin, J. B., </w:t>
      </w:r>
      <w:proofErr w:type="spellStart"/>
      <w:r w:rsidRPr="00054A5F">
        <w:rPr>
          <w:rFonts w:eastAsia="Times New Roman"/>
          <w:color w:val="000000" w:themeColor="text1"/>
          <w:sz w:val="20"/>
          <w:szCs w:val="20"/>
          <w:lang w:eastAsia="en-PH"/>
        </w:rPr>
        <w:t>Mobo</w:t>
      </w:r>
      <w:proofErr w:type="spellEnd"/>
      <w:r w:rsidRPr="00054A5F">
        <w:rPr>
          <w:rFonts w:eastAsia="Times New Roman"/>
          <w:color w:val="000000" w:themeColor="text1"/>
          <w:sz w:val="20"/>
          <w:szCs w:val="20"/>
          <w:lang w:eastAsia="en-PH"/>
        </w:rPr>
        <w:t xml:space="preserve">, F. D., &amp; </w:t>
      </w:r>
      <w:proofErr w:type="spellStart"/>
      <w:r w:rsidRPr="00054A5F">
        <w:rPr>
          <w:rFonts w:eastAsia="Times New Roman"/>
          <w:color w:val="000000" w:themeColor="text1"/>
          <w:sz w:val="20"/>
          <w:szCs w:val="20"/>
          <w:lang w:eastAsia="en-PH"/>
        </w:rPr>
        <w:t>Cutillas</w:t>
      </w:r>
      <w:proofErr w:type="spellEnd"/>
      <w:r w:rsidRPr="00054A5F">
        <w:rPr>
          <w:rFonts w:eastAsia="Times New Roman"/>
          <w:color w:val="000000" w:themeColor="text1"/>
          <w:sz w:val="20"/>
          <w:szCs w:val="20"/>
          <w:lang w:eastAsia="en-PH"/>
        </w:rPr>
        <w:t xml:space="preserve">, A. L. (2023). Evaluating the Effectiveness of Professional Development Programs for Junior High School Mathematics Teachers in Improving Mathematics Instruction in the K to 12 Curriculum in the Philippines. International Journal of Multidisciplinary Applied </w:t>
      </w:r>
      <w:proofErr w:type="spellStart"/>
      <w:r w:rsidRPr="00054A5F">
        <w:rPr>
          <w:rFonts w:eastAsia="Times New Roman"/>
          <w:color w:val="000000" w:themeColor="text1"/>
          <w:sz w:val="20"/>
          <w:szCs w:val="20"/>
          <w:lang w:eastAsia="en-PH"/>
        </w:rPr>
        <w:t>Businessand</w:t>
      </w:r>
      <w:proofErr w:type="spellEnd"/>
      <w:r w:rsidRPr="00054A5F">
        <w:rPr>
          <w:rFonts w:eastAsia="Times New Roman"/>
          <w:color w:val="000000" w:themeColor="text1"/>
          <w:sz w:val="20"/>
          <w:szCs w:val="20"/>
          <w:lang w:eastAsia="en-PH"/>
        </w:rPr>
        <w:t xml:space="preserve"> Education Research, 4(4), 1143–153. https://doi.org/10.11594/ijmaber.04.04.12</w:t>
      </w:r>
    </w:p>
    <w:p w14:paraId="1832666E"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Dionglay</w:t>
      </w:r>
      <w:proofErr w:type="spellEnd"/>
      <w:r w:rsidRPr="00054A5F">
        <w:rPr>
          <w:rFonts w:eastAsia="Times New Roman"/>
          <w:color w:val="000000" w:themeColor="text1"/>
          <w:sz w:val="20"/>
          <w:szCs w:val="20"/>
          <w:lang w:eastAsia="en-PH"/>
        </w:rPr>
        <w:t>, P. V., &amp; Callo, E. C. (2024). Learning Recovery Plan (LRP) in Addressing earning Gaps of Effective and Efficient Learning Outcomes after Pandemic among Different School in the Division of San Pablo. International Journal of Multidisciplinary Applied Business and Education Research, 5(10), 3933–3944. https://doi.org/10.11594/ijmaber.05.10.12</w:t>
      </w:r>
    </w:p>
    <w:p w14:paraId="60904E4B"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Dorimana</w:t>
      </w:r>
      <w:proofErr w:type="spellEnd"/>
      <w:r w:rsidRPr="00054A5F">
        <w:rPr>
          <w:rFonts w:eastAsia="Times New Roman"/>
          <w:color w:val="000000" w:themeColor="text1"/>
          <w:sz w:val="20"/>
          <w:szCs w:val="20"/>
          <w:lang w:eastAsia="en-PH"/>
        </w:rPr>
        <w:t xml:space="preserve">, A., </w:t>
      </w:r>
      <w:proofErr w:type="spellStart"/>
      <w:r w:rsidRPr="00054A5F">
        <w:rPr>
          <w:rFonts w:eastAsia="Times New Roman"/>
          <w:color w:val="000000" w:themeColor="text1"/>
          <w:sz w:val="20"/>
          <w:szCs w:val="20"/>
          <w:lang w:eastAsia="en-PH"/>
        </w:rPr>
        <w:t>Uworwabayeho</w:t>
      </w:r>
      <w:proofErr w:type="spellEnd"/>
      <w:r w:rsidRPr="00054A5F">
        <w:rPr>
          <w:rFonts w:eastAsia="Times New Roman"/>
          <w:color w:val="000000" w:themeColor="text1"/>
          <w:sz w:val="20"/>
          <w:szCs w:val="20"/>
          <w:lang w:eastAsia="en-PH"/>
        </w:rPr>
        <w:t xml:space="preserve">, A., &amp; </w:t>
      </w:r>
      <w:proofErr w:type="spellStart"/>
      <w:r w:rsidRPr="00054A5F">
        <w:rPr>
          <w:rFonts w:eastAsia="Times New Roman"/>
          <w:color w:val="000000" w:themeColor="text1"/>
          <w:sz w:val="20"/>
          <w:szCs w:val="20"/>
          <w:lang w:eastAsia="en-PH"/>
        </w:rPr>
        <w:t>Nizeyimana</w:t>
      </w:r>
      <w:proofErr w:type="spellEnd"/>
      <w:r w:rsidRPr="00054A5F">
        <w:rPr>
          <w:rFonts w:eastAsia="Times New Roman"/>
          <w:color w:val="000000" w:themeColor="text1"/>
          <w:sz w:val="20"/>
          <w:szCs w:val="20"/>
          <w:lang w:eastAsia="en-PH"/>
        </w:rPr>
        <w:t xml:space="preserve">, G. (2022). Teacher-student interactions for enhanced learning in upper secondary mathematics classroom. International Journal </w:t>
      </w:r>
      <w:r w:rsidRPr="00054A5F">
        <w:rPr>
          <w:rFonts w:eastAsia="Times New Roman"/>
          <w:color w:val="000000" w:themeColor="text1"/>
          <w:sz w:val="20"/>
          <w:szCs w:val="20"/>
          <w:lang w:eastAsia="en-PH"/>
        </w:rPr>
        <w:lastRenderedPageBreak/>
        <w:t>of Evaluation and Research in Education (</w:t>
      </w:r>
      <w:proofErr w:type="spellStart"/>
      <w:r w:rsidRPr="00054A5F">
        <w:rPr>
          <w:rFonts w:eastAsia="Times New Roman"/>
          <w:color w:val="000000" w:themeColor="text1"/>
          <w:sz w:val="20"/>
          <w:szCs w:val="20"/>
          <w:lang w:eastAsia="en-PH"/>
        </w:rPr>
        <w:t>Ijere</w:t>
      </w:r>
      <w:proofErr w:type="spellEnd"/>
      <w:r w:rsidRPr="00054A5F">
        <w:rPr>
          <w:rFonts w:eastAsia="Times New Roman"/>
          <w:color w:val="000000" w:themeColor="text1"/>
          <w:sz w:val="20"/>
          <w:szCs w:val="20"/>
          <w:lang w:eastAsia="en-PH"/>
        </w:rPr>
        <w:t>), 11(2), 507. https://doi.org/10.11591/ijere.v11i2.22152</w:t>
      </w:r>
    </w:p>
    <w:p w14:paraId="1B188643"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Falode</w:t>
      </w:r>
      <w:proofErr w:type="spellEnd"/>
      <w:r w:rsidRPr="00054A5F">
        <w:rPr>
          <w:rFonts w:eastAsia="Times New Roman"/>
          <w:color w:val="000000" w:themeColor="text1"/>
          <w:sz w:val="20"/>
          <w:szCs w:val="20"/>
          <w:lang w:eastAsia="en-PH"/>
        </w:rPr>
        <w:t>, O. C., &amp; Mohammed, I. A. (2023). Improving students’ geography achievement using computer simulation and animation packages in flipped classroom settings. Journal of Digital Educational Technology, 3(2), ep2303. https://doi.org/10.30935/jdet/13106</w:t>
      </w:r>
    </w:p>
    <w:p w14:paraId="16E38B37"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Ginting, D., Woods, R., Barella, Y., </w:t>
      </w:r>
      <w:proofErr w:type="spellStart"/>
      <w:r w:rsidRPr="00054A5F">
        <w:rPr>
          <w:rFonts w:eastAsia="Times New Roman"/>
          <w:color w:val="000000" w:themeColor="text1"/>
          <w:sz w:val="20"/>
          <w:szCs w:val="20"/>
          <w:lang w:eastAsia="en-PH"/>
        </w:rPr>
        <w:t>Limanta</w:t>
      </w:r>
      <w:proofErr w:type="spellEnd"/>
      <w:r w:rsidRPr="00054A5F">
        <w:rPr>
          <w:rFonts w:eastAsia="Times New Roman"/>
          <w:color w:val="000000" w:themeColor="text1"/>
          <w:sz w:val="20"/>
          <w:szCs w:val="20"/>
          <w:lang w:eastAsia="en-PH"/>
        </w:rPr>
        <w:t xml:space="preserve">, L. S., </w:t>
      </w:r>
      <w:proofErr w:type="spellStart"/>
      <w:r w:rsidRPr="00054A5F">
        <w:rPr>
          <w:rFonts w:eastAsia="Times New Roman"/>
          <w:color w:val="000000" w:themeColor="text1"/>
          <w:sz w:val="20"/>
          <w:szCs w:val="20"/>
          <w:lang w:eastAsia="en-PH"/>
        </w:rPr>
        <w:t>Madkur</w:t>
      </w:r>
      <w:proofErr w:type="spellEnd"/>
      <w:r w:rsidRPr="00054A5F">
        <w:rPr>
          <w:rFonts w:eastAsia="Times New Roman"/>
          <w:color w:val="000000" w:themeColor="text1"/>
          <w:sz w:val="20"/>
          <w:szCs w:val="20"/>
          <w:lang w:eastAsia="en-PH"/>
        </w:rPr>
        <w:t>, A., &amp; How, H. E. (2024). The Effects of Digital Storytelling on the Retention and Transferability of Student Knowledge. Sage Open, 14(3). https://doi.org/10.1177/21582440241271267</w:t>
      </w:r>
    </w:p>
    <w:p w14:paraId="32606C69"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Glaser, J., &amp; Richter, T. (2023). The Testing Effect in the Lecture Hall: Does it Transfer to Content Studied but Not Practiced? Teaching of Psychology, 52(1), 17–26. </w:t>
      </w:r>
      <w:hyperlink r:id="rId16" w:history="1">
        <w:r w:rsidRPr="00054A5F">
          <w:rPr>
            <w:rStyle w:val="Hyperlink"/>
            <w:color w:val="000000" w:themeColor="text1"/>
            <w:sz w:val="20"/>
            <w:szCs w:val="20"/>
            <w:u w:val="none"/>
          </w:rPr>
          <w:t>https://doi.org/10.1177/00986283231218943</w:t>
        </w:r>
      </w:hyperlink>
    </w:p>
    <w:p w14:paraId="382BD129"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Handayani</w:t>
      </w:r>
      <w:proofErr w:type="spellEnd"/>
      <w:r w:rsidRPr="00054A5F">
        <w:rPr>
          <w:rFonts w:eastAsia="Times New Roman"/>
          <w:color w:val="000000" w:themeColor="text1"/>
          <w:sz w:val="20"/>
          <w:szCs w:val="20"/>
          <w:lang w:eastAsia="en-PH"/>
        </w:rPr>
        <w:t xml:space="preserve">, B. S., &amp; Purwati, N. (2022). The effectiveness of brain-based learning model (BBL) integrated with the whole brain teaching (WBT) model toward students’ retention. </w:t>
      </w:r>
      <w:proofErr w:type="spellStart"/>
      <w:r w:rsidRPr="00054A5F">
        <w:rPr>
          <w:rFonts w:eastAsia="Times New Roman"/>
          <w:color w:val="000000" w:themeColor="text1"/>
          <w:sz w:val="20"/>
          <w:szCs w:val="20"/>
          <w:lang w:eastAsia="en-PH"/>
        </w:rPr>
        <w:t>Biosfer</w:t>
      </w:r>
      <w:proofErr w:type="spellEnd"/>
      <w:r w:rsidRPr="00054A5F">
        <w:rPr>
          <w:rFonts w:eastAsia="Times New Roman"/>
          <w:color w:val="000000" w:themeColor="text1"/>
          <w:sz w:val="20"/>
          <w:szCs w:val="20"/>
          <w:lang w:eastAsia="en-PH"/>
        </w:rPr>
        <w:t xml:space="preserve">, 15(1), 36–43. </w:t>
      </w:r>
      <w:hyperlink r:id="rId17" w:history="1">
        <w:r w:rsidRPr="00054A5F">
          <w:rPr>
            <w:rStyle w:val="Hyperlink"/>
            <w:rFonts w:eastAsia="Times New Roman"/>
            <w:color w:val="000000" w:themeColor="text1"/>
            <w:sz w:val="20"/>
            <w:szCs w:val="20"/>
            <w:u w:val="none"/>
            <w:lang w:eastAsia="en-PH"/>
          </w:rPr>
          <w:t>https://doi.org/10.21009/biosferjpb.26030</w:t>
        </w:r>
      </w:hyperlink>
    </w:p>
    <w:p w14:paraId="0403E3A5"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Howley, D., Dyson, B., &amp; Baek, S. (2024). All the better for it: Exploring one teacher-researcher’s evolving efforts to promote meaningful physical education. European Physical Education Review, 31(1), 70–86. https://doi.org/10.1177/1356336x241247757</w:t>
      </w:r>
    </w:p>
    <w:p w14:paraId="2440EAF0"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Kurniawan, D. D., </w:t>
      </w:r>
      <w:proofErr w:type="spellStart"/>
      <w:r w:rsidRPr="00054A5F">
        <w:rPr>
          <w:rFonts w:eastAsia="Times New Roman"/>
          <w:color w:val="000000" w:themeColor="text1"/>
          <w:sz w:val="20"/>
          <w:szCs w:val="20"/>
          <w:lang w:eastAsia="en-PH"/>
        </w:rPr>
        <w:t>Nopembri</w:t>
      </w:r>
      <w:proofErr w:type="spellEnd"/>
      <w:r w:rsidRPr="00054A5F">
        <w:rPr>
          <w:rFonts w:eastAsia="Times New Roman"/>
          <w:color w:val="000000" w:themeColor="text1"/>
          <w:sz w:val="20"/>
          <w:szCs w:val="20"/>
          <w:lang w:eastAsia="en-PH"/>
        </w:rPr>
        <w:t>, S., &amp; Purnomo, E. (2022). Survey of Junior High School Athletic Learning Quality. International Journal of Human Movement and Sports Sciences, 10(5), 1075–1084. https://doi.org/10.13189/saj.2022.100526</w:t>
      </w:r>
    </w:p>
    <w:p w14:paraId="6981C34A"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Kwarteng, M. (2025). Practical Application of Piaget’s Cognitive Theory and Vygotsky’s Sociocultural Theory in Classroom Pedagogy. Journal of Studies in Education, 15(2), 68. https://doi.org/10.5296/jse.v15i2.22703</w:t>
      </w:r>
    </w:p>
    <w:p w14:paraId="322DE060"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Lasut</w:t>
      </w:r>
      <w:proofErr w:type="spellEnd"/>
      <w:r w:rsidRPr="00054A5F">
        <w:rPr>
          <w:rFonts w:eastAsia="Times New Roman"/>
          <w:color w:val="000000" w:themeColor="text1"/>
          <w:sz w:val="20"/>
          <w:szCs w:val="20"/>
          <w:lang w:eastAsia="en-PH"/>
        </w:rPr>
        <w:t xml:space="preserve">, E. M. M., &amp; </w:t>
      </w:r>
      <w:proofErr w:type="spellStart"/>
      <w:r w:rsidRPr="00054A5F">
        <w:rPr>
          <w:rFonts w:eastAsia="Times New Roman"/>
          <w:color w:val="000000" w:themeColor="text1"/>
          <w:sz w:val="20"/>
          <w:szCs w:val="20"/>
          <w:lang w:eastAsia="en-PH"/>
        </w:rPr>
        <w:t>Maramis</w:t>
      </w:r>
      <w:proofErr w:type="spellEnd"/>
      <w:r w:rsidRPr="00054A5F">
        <w:rPr>
          <w:rFonts w:eastAsia="Times New Roman"/>
          <w:color w:val="000000" w:themeColor="text1"/>
          <w:sz w:val="20"/>
          <w:szCs w:val="20"/>
          <w:lang w:eastAsia="en-PH"/>
        </w:rPr>
        <w:t xml:space="preserve">, J. G. (2024). Parents’ Involvement during Science Online Learning of Junior High School Students and Their Learning Outcome. </w:t>
      </w:r>
      <w:proofErr w:type="spellStart"/>
      <w:r w:rsidRPr="00054A5F">
        <w:rPr>
          <w:rFonts w:eastAsia="Times New Roman"/>
          <w:color w:val="000000" w:themeColor="text1"/>
          <w:sz w:val="20"/>
          <w:szCs w:val="20"/>
          <w:lang w:eastAsia="en-PH"/>
        </w:rPr>
        <w:t>Jurnal</w:t>
      </w:r>
      <w:proofErr w:type="spellEnd"/>
      <w:r w:rsidRPr="00054A5F">
        <w:rPr>
          <w:rFonts w:eastAsia="Times New Roman"/>
          <w:color w:val="000000" w:themeColor="text1"/>
          <w:sz w:val="20"/>
          <w:szCs w:val="20"/>
          <w:lang w:eastAsia="en-PH"/>
        </w:rPr>
        <w:t xml:space="preserve"> </w:t>
      </w:r>
      <w:proofErr w:type="spellStart"/>
      <w:r w:rsidRPr="00054A5F">
        <w:rPr>
          <w:rFonts w:eastAsia="Times New Roman"/>
          <w:color w:val="000000" w:themeColor="text1"/>
          <w:sz w:val="20"/>
          <w:szCs w:val="20"/>
          <w:lang w:eastAsia="en-PH"/>
        </w:rPr>
        <w:t>Penelitian</w:t>
      </w:r>
      <w:proofErr w:type="spellEnd"/>
      <w:r w:rsidRPr="00054A5F">
        <w:rPr>
          <w:rFonts w:eastAsia="Times New Roman"/>
          <w:color w:val="000000" w:themeColor="text1"/>
          <w:sz w:val="20"/>
          <w:szCs w:val="20"/>
          <w:lang w:eastAsia="en-PH"/>
        </w:rPr>
        <w:t xml:space="preserve"> Pendidikan </w:t>
      </w:r>
      <w:proofErr w:type="spellStart"/>
      <w:r w:rsidRPr="00054A5F">
        <w:rPr>
          <w:rFonts w:eastAsia="Times New Roman"/>
          <w:color w:val="000000" w:themeColor="text1"/>
          <w:sz w:val="20"/>
          <w:szCs w:val="20"/>
          <w:lang w:eastAsia="en-PH"/>
        </w:rPr>
        <w:t>Ipa</w:t>
      </w:r>
      <w:proofErr w:type="spellEnd"/>
      <w:r w:rsidRPr="00054A5F">
        <w:rPr>
          <w:rFonts w:eastAsia="Times New Roman"/>
          <w:color w:val="000000" w:themeColor="text1"/>
          <w:sz w:val="20"/>
          <w:szCs w:val="20"/>
          <w:lang w:eastAsia="en-PH"/>
        </w:rPr>
        <w:t>, 10(</w:t>
      </w:r>
      <w:proofErr w:type="spellStart"/>
      <w:r w:rsidRPr="00054A5F">
        <w:rPr>
          <w:rFonts w:eastAsia="Times New Roman"/>
          <w:color w:val="000000" w:themeColor="text1"/>
          <w:sz w:val="20"/>
          <w:szCs w:val="20"/>
          <w:lang w:eastAsia="en-PH"/>
        </w:rPr>
        <w:t>SpecialIssue</w:t>
      </w:r>
      <w:proofErr w:type="spellEnd"/>
      <w:r w:rsidRPr="00054A5F">
        <w:rPr>
          <w:rFonts w:eastAsia="Times New Roman"/>
          <w:color w:val="000000" w:themeColor="text1"/>
          <w:sz w:val="20"/>
          <w:szCs w:val="20"/>
          <w:lang w:eastAsia="en-PH"/>
        </w:rPr>
        <w:t>), 514–520. https://doi.org/10.29303/jppipa.v10ispecialissue.8317</w:t>
      </w:r>
    </w:p>
    <w:p w14:paraId="25058B55"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Ledesma, J. (2025). Implementation and Effectiveness of National Learning Camp (NLC): Their Influence on Learners’ Performance. Implementation and Effectiveness of National Learning Camp (NLC): Their Influence on Learners’ Performance, 2(1), 1–10. https://doi.org/10.69481/ienlledesma</w:t>
      </w:r>
    </w:p>
    <w:p w14:paraId="60BF0827"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Martin, N. A., </w:t>
      </w:r>
      <w:proofErr w:type="spellStart"/>
      <w:r w:rsidRPr="00054A5F">
        <w:rPr>
          <w:rFonts w:eastAsia="Times New Roman"/>
          <w:color w:val="000000" w:themeColor="text1"/>
          <w:sz w:val="20"/>
          <w:szCs w:val="20"/>
          <w:lang w:eastAsia="en-PH"/>
        </w:rPr>
        <w:t>Ventayen</w:t>
      </w:r>
      <w:proofErr w:type="spellEnd"/>
      <w:r w:rsidRPr="00054A5F">
        <w:rPr>
          <w:rFonts w:eastAsia="Times New Roman"/>
          <w:color w:val="000000" w:themeColor="text1"/>
          <w:sz w:val="20"/>
          <w:szCs w:val="20"/>
          <w:lang w:eastAsia="en-PH"/>
        </w:rPr>
        <w:t xml:space="preserve">, R. J. M., Patacsil, D. H., &amp; Patacsil, E. H. (2021). The development of game </w:t>
      </w:r>
      <w:proofErr w:type="spellStart"/>
      <w:r w:rsidRPr="00054A5F">
        <w:rPr>
          <w:rFonts w:eastAsia="Times New Roman"/>
          <w:color w:val="000000" w:themeColor="text1"/>
          <w:sz w:val="20"/>
          <w:szCs w:val="20"/>
          <w:lang w:eastAsia="en-PH"/>
        </w:rPr>
        <w:t>estrategia</w:t>
      </w:r>
      <w:proofErr w:type="spellEnd"/>
      <w:r w:rsidRPr="00054A5F">
        <w:rPr>
          <w:rFonts w:eastAsia="Times New Roman"/>
          <w:color w:val="000000" w:themeColor="text1"/>
          <w:sz w:val="20"/>
          <w:szCs w:val="20"/>
          <w:lang w:eastAsia="en-PH"/>
        </w:rPr>
        <w:t xml:space="preserve"> in the senior high school learning competencies: basis for digital intelligence (phase one). Journal of Physics Conference Series, 1860(1), 012021. https://doi.org/10.1088/1742-6596/1860/1/012021</w:t>
      </w:r>
    </w:p>
    <w:p w14:paraId="1BA8BCED"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Monteiro, V., Carvalho, C., &amp; Santos, N. N. (2021). Creating a Supportive Classroom Environment Through Effective Feedback: Effects on Students’ School Identification and Behavioral Engagement. Frontiers in Education, 6. https://doi.org/10.3389/feduc.2021.661736</w:t>
      </w:r>
    </w:p>
    <w:p w14:paraId="33649422"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Naidoo, D., &amp; Mabaso, M. (2023). Social constructivist pedagogy in business studies classrooms – teachers’ experiences and practices. Perspectives in Education, 41(2), 62–76. https://doi.org/10.38140/pie.v41i2.7151</w:t>
      </w:r>
    </w:p>
    <w:p w14:paraId="3493B37F"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Novitasari</w:t>
      </w:r>
      <w:proofErr w:type="spellEnd"/>
      <w:r w:rsidRPr="00054A5F">
        <w:rPr>
          <w:rFonts w:eastAsia="Times New Roman"/>
          <w:color w:val="000000" w:themeColor="text1"/>
          <w:sz w:val="20"/>
          <w:szCs w:val="20"/>
          <w:lang w:eastAsia="en-PH"/>
        </w:rPr>
        <w:t xml:space="preserve">, D., Petrus, I., &amp; </w:t>
      </w:r>
      <w:proofErr w:type="spellStart"/>
      <w:r w:rsidRPr="00054A5F">
        <w:rPr>
          <w:rFonts w:eastAsia="Times New Roman"/>
          <w:color w:val="000000" w:themeColor="text1"/>
          <w:sz w:val="20"/>
          <w:szCs w:val="20"/>
          <w:lang w:eastAsia="en-PH"/>
        </w:rPr>
        <w:t>Vianty</w:t>
      </w:r>
      <w:proofErr w:type="spellEnd"/>
      <w:r w:rsidRPr="00054A5F">
        <w:rPr>
          <w:rFonts w:eastAsia="Times New Roman"/>
          <w:color w:val="000000" w:themeColor="text1"/>
          <w:sz w:val="20"/>
          <w:szCs w:val="20"/>
          <w:lang w:eastAsia="en-PH"/>
        </w:rPr>
        <w:t>, M. (2022). The Implementation of Scientific Approach of the 2013 Curriculum at State Junior High Schools. English Review Journal of English Education, 10(2), 521–532. https://doi.org/10.25134/erjee.v10i2.6252</w:t>
      </w:r>
    </w:p>
    <w:p w14:paraId="2159CC21"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val="de-DE" w:eastAsia="en-PH"/>
        </w:rPr>
      </w:pPr>
      <w:r w:rsidRPr="00054A5F">
        <w:rPr>
          <w:rFonts w:eastAsia="Times New Roman"/>
          <w:color w:val="000000" w:themeColor="text1"/>
          <w:sz w:val="20"/>
          <w:szCs w:val="20"/>
          <w:lang w:eastAsia="en-PH"/>
        </w:rPr>
        <w:t xml:space="preserve">Pan, H.-L. W. (2023). Advancing Student Learning Power by Operating Classrooms as Learning Communities: Mediated Effects of Engagement Activities and Social Relations. Sustainability, 15(3), 2461. </w:t>
      </w:r>
      <w:r w:rsidRPr="00054A5F">
        <w:rPr>
          <w:rFonts w:eastAsia="Times New Roman"/>
          <w:color w:val="000000" w:themeColor="text1"/>
          <w:sz w:val="20"/>
          <w:szCs w:val="20"/>
          <w:lang w:val="de-DE" w:eastAsia="en-PH"/>
        </w:rPr>
        <w:t>https://doi.org/10.3390/su15032461</w:t>
      </w:r>
    </w:p>
    <w:p w14:paraId="0CF8E249"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val="de-DE" w:eastAsia="en-PH"/>
        </w:rPr>
        <w:t xml:space="preserve">Pangan, E. T., Belches, H., &amp; Fernandez, E. (2025). </w:t>
      </w:r>
      <w:r w:rsidRPr="00054A5F">
        <w:rPr>
          <w:rFonts w:eastAsia="Times New Roman"/>
          <w:color w:val="000000" w:themeColor="text1"/>
          <w:sz w:val="20"/>
          <w:szCs w:val="20"/>
          <w:lang w:eastAsia="en-PH"/>
        </w:rPr>
        <w:t xml:space="preserve">Adaptation to </w:t>
      </w:r>
      <w:proofErr w:type="spellStart"/>
      <w:r w:rsidRPr="00054A5F">
        <w:rPr>
          <w:rFonts w:eastAsia="Times New Roman"/>
          <w:color w:val="000000" w:themeColor="text1"/>
          <w:sz w:val="20"/>
          <w:szCs w:val="20"/>
          <w:lang w:eastAsia="en-PH"/>
        </w:rPr>
        <w:t>CurriculumRevisions</w:t>
      </w:r>
      <w:proofErr w:type="spellEnd"/>
      <w:r w:rsidRPr="00054A5F">
        <w:rPr>
          <w:rFonts w:eastAsia="Times New Roman"/>
          <w:color w:val="000000" w:themeColor="text1"/>
          <w:sz w:val="20"/>
          <w:szCs w:val="20"/>
          <w:lang w:eastAsia="en-PH"/>
        </w:rPr>
        <w:t>: A Phenomenological Study. Psychology and Education a Multidisciplinary Journal, 45(5), 593–608. https://doi.org/10.70838/pemj.450503</w:t>
      </w:r>
    </w:p>
    <w:p w14:paraId="430DCB42"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Rustia, C. (2025). Unpacking Learning Action Cell: A Systematic Review of Challenges and Opportunities of Key Players </w:t>
      </w:r>
      <w:proofErr w:type="gramStart"/>
      <w:r w:rsidRPr="00054A5F">
        <w:rPr>
          <w:rFonts w:eastAsia="Times New Roman"/>
          <w:color w:val="000000" w:themeColor="text1"/>
          <w:sz w:val="20"/>
          <w:szCs w:val="20"/>
          <w:lang w:eastAsia="en-PH"/>
        </w:rPr>
        <w:t>In</w:t>
      </w:r>
      <w:proofErr w:type="gramEnd"/>
      <w:r w:rsidRPr="00054A5F">
        <w:rPr>
          <w:rFonts w:eastAsia="Times New Roman"/>
          <w:color w:val="000000" w:themeColor="text1"/>
          <w:sz w:val="20"/>
          <w:szCs w:val="20"/>
          <w:lang w:eastAsia="en-PH"/>
        </w:rPr>
        <w:t xml:space="preserve"> Basic Education. Unpacking Learning Action Cell: A </w:t>
      </w:r>
      <w:r w:rsidRPr="00054A5F">
        <w:rPr>
          <w:rFonts w:eastAsia="Times New Roman"/>
          <w:color w:val="000000" w:themeColor="text1"/>
          <w:sz w:val="20"/>
          <w:szCs w:val="20"/>
          <w:lang w:eastAsia="en-PH"/>
        </w:rPr>
        <w:lastRenderedPageBreak/>
        <w:t>Systematic Review of Challenges and Opportunities of Key Players in Basic Education, 2(2), 305–315. https://doi.org/10.69481/ulac</w:t>
      </w:r>
    </w:p>
    <w:p w14:paraId="033B7A6C"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Slamet, S., Yanto, H., Wardani, S., &amp; Yulianto, A. (2023). Implementation of </w:t>
      </w:r>
      <w:proofErr w:type="spellStart"/>
      <w:r w:rsidRPr="00054A5F">
        <w:rPr>
          <w:rFonts w:eastAsia="Times New Roman"/>
          <w:color w:val="000000" w:themeColor="text1"/>
          <w:sz w:val="20"/>
          <w:szCs w:val="20"/>
          <w:lang w:eastAsia="en-PH"/>
        </w:rPr>
        <w:t>QualityAssurance</w:t>
      </w:r>
      <w:proofErr w:type="spellEnd"/>
      <w:r w:rsidRPr="00054A5F">
        <w:rPr>
          <w:rFonts w:eastAsia="Times New Roman"/>
          <w:color w:val="000000" w:themeColor="text1"/>
          <w:sz w:val="20"/>
          <w:szCs w:val="20"/>
          <w:lang w:eastAsia="en-PH"/>
        </w:rPr>
        <w:t xml:space="preserve"> in </w:t>
      </w:r>
      <w:proofErr w:type="spellStart"/>
      <w:r w:rsidRPr="00054A5F">
        <w:rPr>
          <w:rFonts w:eastAsia="Times New Roman"/>
          <w:color w:val="000000" w:themeColor="text1"/>
          <w:sz w:val="20"/>
          <w:szCs w:val="20"/>
          <w:lang w:eastAsia="en-PH"/>
        </w:rPr>
        <w:t>Smp</w:t>
      </w:r>
      <w:proofErr w:type="spellEnd"/>
      <w:r w:rsidRPr="00054A5F">
        <w:rPr>
          <w:rFonts w:eastAsia="Times New Roman"/>
          <w:color w:val="000000" w:themeColor="text1"/>
          <w:sz w:val="20"/>
          <w:szCs w:val="20"/>
          <w:lang w:eastAsia="en-PH"/>
        </w:rPr>
        <w:t xml:space="preserve"> </w:t>
      </w:r>
      <w:proofErr w:type="gramStart"/>
      <w:r w:rsidRPr="00054A5F">
        <w:rPr>
          <w:rFonts w:eastAsia="Times New Roman"/>
          <w:color w:val="000000" w:themeColor="text1"/>
          <w:sz w:val="20"/>
          <w:szCs w:val="20"/>
          <w:lang w:eastAsia="en-PH"/>
        </w:rPr>
        <w:t>With</w:t>
      </w:r>
      <w:proofErr w:type="gramEnd"/>
      <w:r w:rsidRPr="00054A5F">
        <w:rPr>
          <w:rFonts w:eastAsia="Times New Roman"/>
          <w:color w:val="000000" w:themeColor="text1"/>
          <w:sz w:val="20"/>
          <w:szCs w:val="20"/>
          <w:lang w:eastAsia="en-PH"/>
        </w:rPr>
        <w:t xml:space="preserve"> School Committees and Participatory Management: A Case Study in Junior High Schools in Indonesia. Revista De </w:t>
      </w:r>
      <w:proofErr w:type="spellStart"/>
      <w:r w:rsidRPr="00054A5F">
        <w:rPr>
          <w:rFonts w:eastAsia="Times New Roman"/>
          <w:color w:val="000000" w:themeColor="text1"/>
          <w:sz w:val="20"/>
          <w:szCs w:val="20"/>
          <w:lang w:eastAsia="en-PH"/>
        </w:rPr>
        <w:t>Gestão</w:t>
      </w:r>
      <w:proofErr w:type="spellEnd"/>
      <w:r w:rsidRPr="00054A5F">
        <w:rPr>
          <w:rFonts w:eastAsia="Times New Roman"/>
          <w:color w:val="000000" w:themeColor="text1"/>
          <w:sz w:val="20"/>
          <w:szCs w:val="20"/>
          <w:lang w:eastAsia="en-PH"/>
        </w:rPr>
        <w:t xml:space="preserve"> Social E Ambiental, 18(2), e03715. https://doi.org/10.24857/rgsa.v18n2-043</w:t>
      </w:r>
    </w:p>
    <w:p w14:paraId="1BD433BD"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Suryati</w:t>
      </w:r>
      <w:proofErr w:type="spellEnd"/>
      <w:r w:rsidRPr="00054A5F">
        <w:rPr>
          <w:rFonts w:eastAsia="Times New Roman"/>
          <w:color w:val="000000" w:themeColor="text1"/>
          <w:sz w:val="20"/>
          <w:szCs w:val="20"/>
          <w:lang w:eastAsia="en-PH"/>
        </w:rPr>
        <w:t xml:space="preserve">, I., Ratih, K., &amp; </w:t>
      </w:r>
      <w:proofErr w:type="spellStart"/>
      <w:r w:rsidRPr="00054A5F">
        <w:rPr>
          <w:rFonts w:eastAsia="Times New Roman"/>
          <w:color w:val="000000" w:themeColor="text1"/>
          <w:sz w:val="20"/>
          <w:szCs w:val="20"/>
          <w:lang w:eastAsia="en-PH"/>
        </w:rPr>
        <w:t>Maryadi</w:t>
      </w:r>
      <w:proofErr w:type="spellEnd"/>
      <w:r w:rsidRPr="00054A5F">
        <w:rPr>
          <w:rFonts w:eastAsia="Times New Roman"/>
          <w:color w:val="000000" w:themeColor="text1"/>
          <w:sz w:val="20"/>
          <w:szCs w:val="20"/>
          <w:lang w:eastAsia="en-PH"/>
        </w:rPr>
        <w:t xml:space="preserve">, M. (2023). Teachers’ Challenges in Implementing Differentiated Instruction in Teaching English at Junior High School. </w:t>
      </w:r>
      <w:proofErr w:type="spellStart"/>
      <w:r w:rsidRPr="00054A5F">
        <w:rPr>
          <w:rFonts w:eastAsia="Times New Roman"/>
          <w:color w:val="000000" w:themeColor="text1"/>
          <w:sz w:val="20"/>
          <w:szCs w:val="20"/>
          <w:lang w:eastAsia="en-PH"/>
        </w:rPr>
        <w:t>Eduvest</w:t>
      </w:r>
      <w:proofErr w:type="spellEnd"/>
      <w:r w:rsidRPr="00054A5F">
        <w:rPr>
          <w:rFonts w:eastAsia="Times New Roman"/>
          <w:color w:val="000000" w:themeColor="text1"/>
          <w:sz w:val="20"/>
          <w:szCs w:val="20"/>
          <w:lang w:eastAsia="en-PH"/>
        </w:rPr>
        <w:t xml:space="preserve"> - Journal of Universal Studies, 3(9), 1693–1708. https://doi.org/10.59188/eduvest.v3i9.871</w:t>
      </w:r>
    </w:p>
    <w:p w14:paraId="36D19D79"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r w:rsidRPr="00054A5F">
        <w:rPr>
          <w:rFonts w:eastAsia="Times New Roman"/>
          <w:color w:val="000000" w:themeColor="text1"/>
          <w:sz w:val="20"/>
          <w:szCs w:val="20"/>
          <w:lang w:eastAsia="en-PH"/>
        </w:rPr>
        <w:t xml:space="preserve">Wati, K. R. L., </w:t>
      </w:r>
      <w:proofErr w:type="spellStart"/>
      <w:r w:rsidRPr="00054A5F">
        <w:rPr>
          <w:rFonts w:eastAsia="Times New Roman"/>
          <w:color w:val="000000" w:themeColor="text1"/>
          <w:sz w:val="20"/>
          <w:szCs w:val="20"/>
          <w:lang w:eastAsia="en-PH"/>
        </w:rPr>
        <w:t>Distrik</w:t>
      </w:r>
      <w:proofErr w:type="spellEnd"/>
      <w:r w:rsidRPr="00054A5F">
        <w:rPr>
          <w:rFonts w:eastAsia="Times New Roman"/>
          <w:color w:val="000000" w:themeColor="text1"/>
          <w:sz w:val="20"/>
          <w:szCs w:val="20"/>
          <w:lang w:eastAsia="en-PH"/>
        </w:rPr>
        <w:t xml:space="preserve">, I. W., &amp; </w:t>
      </w:r>
      <w:proofErr w:type="spellStart"/>
      <w:r w:rsidRPr="00054A5F">
        <w:rPr>
          <w:rFonts w:eastAsia="Times New Roman"/>
          <w:color w:val="000000" w:themeColor="text1"/>
          <w:sz w:val="20"/>
          <w:szCs w:val="20"/>
          <w:lang w:eastAsia="en-PH"/>
        </w:rPr>
        <w:t>Viyanti</w:t>
      </w:r>
      <w:proofErr w:type="spellEnd"/>
      <w:r w:rsidRPr="00054A5F">
        <w:rPr>
          <w:rFonts w:eastAsia="Times New Roman"/>
          <w:color w:val="000000" w:themeColor="text1"/>
          <w:sz w:val="20"/>
          <w:szCs w:val="20"/>
          <w:lang w:eastAsia="en-PH"/>
        </w:rPr>
        <w:t xml:space="preserve">. (2025). A Needs Analysis of E-LKPD (Electronic Student Worksheets) in Dynamic Electricity Learning to Stimulate Critical and Creative Thinking Skills. </w:t>
      </w:r>
      <w:proofErr w:type="spellStart"/>
      <w:r w:rsidRPr="00054A5F">
        <w:rPr>
          <w:rFonts w:eastAsia="Times New Roman"/>
          <w:color w:val="000000" w:themeColor="text1"/>
          <w:sz w:val="20"/>
          <w:szCs w:val="20"/>
          <w:lang w:eastAsia="en-PH"/>
        </w:rPr>
        <w:t>Jurnal</w:t>
      </w:r>
      <w:proofErr w:type="spellEnd"/>
      <w:r w:rsidRPr="00054A5F">
        <w:rPr>
          <w:rFonts w:eastAsia="Times New Roman"/>
          <w:color w:val="000000" w:themeColor="text1"/>
          <w:sz w:val="20"/>
          <w:szCs w:val="20"/>
          <w:lang w:eastAsia="en-PH"/>
        </w:rPr>
        <w:t xml:space="preserve"> </w:t>
      </w:r>
      <w:proofErr w:type="spellStart"/>
      <w:r w:rsidRPr="00054A5F">
        <w:rPr>
          <w:rFonts w:eastAsia="Times New Roman"/>
          <w:color w:val="000000" w:themeColor="text1"/>
          <w:sz w:val="20"/>
          <w:szCs w:val="20"/>
          <w:lang w:eastAsia="en-PH"/>
        </w:rPr>
        <w:t>Penelitian</w:t>
      </w:r>
      <w:proofErr w:type="spellEnd"/>
      <w:r w:rsidRPr="00054A5F">
        <w:rPr>
          <w:rFonts w:eastAsia="Times New Roman"/>
          <w:color w:val="000000" w:themeColor="text1"/>
          <w:sz w:val="20"/>
          <w:szCs w:val="20"/>
          <w:lang w:eastAsia="en-PH"/>
        </w:rPr>
        <w:t xml:space="preserve"> Pendidikan </w:t>
      </w:r>
      <w:proofErr w:type="spellStart"/>
      <w:r w:rsidRPr="00054A5F">
        <w:rPr>
          <w:rFonts w:eastAsia="Times New Roman"/>
          <w:color w:val="000000" w:themeColor="text1"/>
          <w:sz w:val="20"/>
          <w:szCs w:val="20"/>
          <w:lang w:eastAsia="en-PH"/>
        </w:rPr>
        <w:t>Ipa</w:t>
      </w:r>
      <w:proofErr w:type="spellEnd"/>
      <w:r w:rsidRPr="00054A5F">
        <w:rPr>
          <w:rFonts w:eastAsia="Times New Roman"/>
          <w:color w:val="000000" w:themeColor="text1"/>
          <w:sz w:val="20"/>
          <w:szCs w:val="20"/>
          <w:lang w:eastAsia="en-PH"/>
        </w:rPr>
        <w:t>, 11(9), 620–631. https://doi.org/10.29303/jppipa.v11i9.11095</w:t>
      </w:r>
    </w:p>
    <w:p w14:paraId="22930433" w14:textId="77777777" w:rsidR="001365F4" w:rsidRPr="00054A5F" w:rsidRDefault="001365F4" w:rsidP="001365F4">
      <w:pPr>
        <w:pStyle w:val="ListParagraph"/>
        <w:numPr>
          <w:ilvl w:val="0"/>
          <w:numId w:val="34"/>
        </w:numPr>
        <w:spacing w:line="240" w:lineRule="auto"/>
        <w:jc w:val="both"/>
        <w:rPr>
          <w:rFonts w:eastAsia="Times New Roman"/>
          <w:color w:val="000000" w:themeColor="text1"/>
          <w:sz w:val="20"/>
          <w:szCs w:val="20"/>
          <w:lang w:eastAsia="en-PH"/>
        </w:rPr>
      </w:pPr>
      <w:proofErr w:type="spellStart"/>
      <w:r w:rsidRPr="00054A5F">
        <w:rPr>
          <w:rFonts w:eastAsia="Times New Roman"/>
          <w:color w:val="000000" w:themeColor="text1"/>
          <w:sz w:val="20"/>
          <w:szCs w:val="20"/>
          <w:lang w:eastAsia="en-PH"/>
        </w:rPr>
        <w:t>Widiyawati</w:t>
      </w:r>
      <w:proofErr w:type="spellEnd"/>
      <w:r w:rsidRPr="00054A5F">
        <w:rPr>
          <w:rFonts w:eastAsia="Times New Roman"/>
          <w:color w:val="000000" w:themeColor="text1"/>
          <w:sz w:val="20"/>
          <w:szCs w:val="20"/>
          <w:lang w:eastAsia="en-PH"/>
        </w:rPr>
        <w:t xml:space="preserve">, Y., </w:t>
      </w:r>
      <w:proofErr w:type="spellStart"/>
      <w:r w:rsidRPr="00054A5F">
        <w:rPr>
          <w:rFonts w:eastAsia="Times New Roman"/>
          <w:color w:val="000000" w:themeColor="text1"/>
          <w:sz w:val="20"/>
          <w:szCs w:val="20"/>
          <w:lang w:eastAsia="en-PH"/>
        </w:rPr>
        <w:t>Nurwahidah</w:t>
      </w:r>
      <w:proofErr w:type="spellEnd"/>
      <w:r w:rsidRPr="00054A5F">
        <w:rPr>
          <w:rFonts w:eastAsia="Times New Roman"/>
          <w:color w:val="000000" w:themeColor="text1"/>
          <w:sz w:val="20"/>
          <w:szCs w:val="20"/>
          <w:lang w:eastAsia="en-PH"/>
        </w:rPr>
        <w:t xml:space="preserve">, I., Sari, D. S., </w:t>
      </w:r>
      <w:proofErr w:type="spellStart"/>
      <w:r w:rsidRPr="00054A5F">
        <w:rPr>
          <w:rFonts w:eastAsia="Times New Roman"/>
          <w:color w:val="000000" w:themeColor="text1"/>
          <w:sz w:val="20"/>
          <w:szCs w:val="20"/>
          <w:lang w:eastAsia="en-PH"/>
        </w:rPr>
        <w:t>Masykuri</w:t>
      </w:r>
      <w:proofErr w:type="spellEnd"/>
      <w:r w:rsidRPr="00054A5F">
        <w:rPr>
          <w:rFonts w:eastAsia="Times New Roman"/>
          <w:color w:val="000000" w:themeColor="text1"/>
          <w:sz w:val="20"/>
          <w:szCs w:val="20"/>
          <w:lang w:eastAsia="en-PH"/>
        </w:rPr>
        <w:t xml:space="preserve">, M., &amp; </w:t>
      </w:r>
      <w:proofErr w:type="spellStart"/>
      <w:r w:rsidRPr="00054A5F">
        <w:rPr>
          <w:rFonts w:eastAsia="Times New Roman"/>
          <w:color w:val="000000" w:themeColor="text1"/>
          <w:sz w:val="20"/>
          <w:szCs w:val="20"/>
          <w:lang w:eastAsia="en-PH"/>
        </w:rPr>
        <w:t>Budiyanto</w:t>
      </w:r>
      <w:proofErr w:type="spellEnd"/>
      <w:r w:rsidRPr="00054A5F">
        <w:rPr>
          <w:rFonts w:eastAsia="Times New Roman"/>
          <w:color w:val="000000" w:themeColor="text1"/>
          <w:sz w:val="20"/>
          <w:szCs w:val="20"/>
          <w:lang w:eastAsia="en-PH"/>
        </w:rPr>
        <w:t>, C. W. (2021). The 21 st century science learning: HOTS and digital literacy among junior high school students in Semarang, Indonesia. Journal of Physics Conference Series, 1842(1), 012081. https://doi.org/10.1088/1742-6596/1842/1/012081</w:t>
      </w:r>
    </w:p>
    <w:p w14:paraId="7D14D8D0" w14:textId="77777777" w:rsidR="001365F4" w:rsidRPr="005C2B64" w:rsidRDefault="001365F4" w:rsidP="001365F4">
      <w:pPr>
        <w:autoSpaceDE w:val="0"/>
        <w:autoSpaceDN w:val="0"/>
        <w:adjustRightInd w:val="0"/>
        <w:spacing w:after="240"/>
        <w:rPr>
          <w:rFonts w:ascii="Arial" w:hAnsi="Arial" w:cs="Arial"/>
          <w:b/>
          <w:bCs/>
          <w:lang w:val="en-PH"/>
        </w:rPr>
      </w:pPr>
    </w:p>
    <w:p w14:paraId="23CE9DEC" w14:textId="77777777" w:rsidR="004D4277" w:rsidRPr="005C2B64" w:rsidRDefault="004D4277" w:rsidP="001365F4">
      <w:pPr>
        <w:pStyle w:val="DefAcrHead"/>
        <w:spacing w:after="0"/>
        <w:jc w:val="both"/>
        <w:rPr>
          <w:rFonts w:ascii="Arial" w:hAnsi="Arial" w:cs="Arial"/>
        </w:rPr>
        <w:sectPr w:rsidR="004D4277" w:rsidRPr="005C2B64" w:rsidSect="009179E3">
          <w:headerReference w:type="even" r:id="rId18"/>
          <w:headerReference w:type="default" r:id="rId19"/>
          <w:footerReference w:type="default" r:id="rId20"/>
          <w:headerReference w:type="first" r:id="rId21"/>
          <w:type w:val="continuous"/>
          <w:pgSz w:w="12240" w:h="15840"/>
          <w:pgMar w:top="1440" w:right="2016" w:bottom="2016" w:left="2016" w:header="720" w:footer="1123" w:gutter="0"/>
          <w:cols w:space="720"/>
          <w:docGrid w:linePitch="272"/>
        </w:sectPr>
      </w:pPr>
    </w:p>
    <w:p w14:paraId="488D320A" w14:textId="77777777" w:rsidR="00B01FCD" w:rsidRPr="005C2B64" w:rsidRDefault="00B01FCD" w:rsidP="00441B6F">
      <w:pPr>
        <w:pStyle w:val="Appendix"/>
        <w:spacing w:after="0"/>
        <w:jc w:val="both"/>
        <w:rPr>
          <w:rFonts w:ascii="Arial" w:hAnsi="Arial" w:cs="Arial"/>
          <w:b w:val="0"/>
        </w:rPr>
      </w:pPr>
    </w:p>
    <w:sectPr w:rsidR="00B01FCD" w:rsidRPr="005C2B64" w:rsidSect="009179E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8CC14" w14:textId="77777777" w:rsidR="005B18FD" w:rsidRDefault="005B18FD" w:rsidP="00C37E61">
      <w:r>
        <w:separator/>
      </w:r>
    </w:p>
  </w:endnote>
  <w:endnote w:type="continuationSeparator" w:id="0">
    <w:p w14:paraId="7664BB3F" w14:textId="77777777" w:rsidR="005B18FD" w:rsidRDefault="005B18F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1B60" w14:textId="77777777" w:rsidR="009179E3" w:rsidRDefault="00917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BD9D" w14:textId="77777777" w:rsidR="009179E3" w:rsidRDefault="009179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683E" w14:textId="5D7BFF3B" w:rsidR="005C2B64" w:rsidRPr="009179E3" w:rsidRDefault="005C2B64" w:rsidP="009179E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AF1F" w14:textId="77777777" w:rsidR="005C2B64" w:rsidRPr="00C37E61" w:rsidRDefault="005C2B64"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50CDD" w14:textId="77777777" w:rsidR="005B18FD" w:rsidRDefault="005B18FD" w:rsidP="00C37E61">
      <w:r>
        <w:separator/>
      </w:r>
    </w:p>
  </w:footnote>
  <w:footnote w:type="continuationSeparator" w:id="0">
    <w:p w14:paraId="17CD46B7" w14:textId="77777777" w:rsidR="005B18FD" w:rsidRDefault="005B18F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7CA6" w14:textId="3BB11873" w:rsidR="009179E3" w:rsidRDefault="009179E3">
    <w:pPr>
      <w:pStyle w:val="Header"/>
    </w:pPr>
    <w:r>
      <w:rPr>
        <w:noProof/>
      </w:rPr>
      <w:pict w14:anchorId="13122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4E29" w14:textId="78059B9C" w:rsidR="009179E3" w:rsidRDefault="009179E3">
    <w:pPr>
      <w:pStyle w:val="Header"/>
    </w:pPr>
    <w:r>
      <w:rPr>
        <w:noProof/>
      </w:rPr>
      <w:pict w14:anchorId="61B1AB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55F3" w14:textId="586F95E6" w:rsidR="005C2B64" w:rsidRPr="00296529" w:rsidRDefault="009179E3" w:rsidP="00296529">
    <w:pPr>
      <w:ind w:left="2160"/>
      <w:jc w:val="center"/>
      <w:rPr>
        <w:rFonts w:ascii="Times New Roman" w:eastAsia="Calibri" w:hAnsi="Times New Roman"/>
        <w:i/>
        <w:sz w:val="18"/>
        <w:szCs w:val="22"/>
      </w:rPr>
    </w:pPr>
    <w:r>
      <w:rPr>
        <w:noProof/>
      </w:rPr>
      <w:pict w14:anchorId="3DF41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669637FF" w14:textId="77777777" w:rsidR="005C2B64" w:rsidRPr="00296529" w:rsidRDefault="005C2B6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BEF210E" w14:textId="77777777" w:rsidR="005C2B64" w:rsidRPr="00296529" w:rsidRDefault="005C2B6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FD3F3C0" w14:textId="77777777" w:rsidR="005C2B64" w:rsidRPr="00296529" w:rsidRDefault="005C2B6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13AC22C" w14:textId="77777777" w:rsidR="005C2B64" w:rsidRDefault="005C2B6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637FF61" w14:textId="77777777" w:rsidR="005C2B64" w:rsidRDefault="005C2B6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D4D0D92" w14:textId="77777777" w:rsidR="005C2B64" w:rsidRDefault="005C2B64">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8270B" w14:textId="02BE014A" w:rsidR="009179E3" w:rsidRDefault="009179E3">
    <w:pPr>
      <w:pStyle w:val="Header"/>
    </w:pPr>
    <w:r>
      <w:rPr>
        <w:noProof/>
      </w:rPr>
      <w:pict w14:anchorId="092C47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45ACAEF">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DEEC" w14:textId="3044E117" w:rsidR="009179E3" w:rsidRDefault="009179E3">
    <w:pPr>
      <w:pStyle w:val="Header"/>
    </w:pPr>
    <w:r>
      <w:rPr>
        <w:noProof/>
      </w:rPr>
      <w:pict w14:anchorId="003299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2D986DF">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A635" w14:textId="5CD0BE23" w:rsidR="009179E3" w:rsidRPr="00296529" w:rsidRDefault="009179E3" w:rsidP="00296529">
    <w:pPr>
      <w:ind w:left="2160"/>
      <w:jc w:val="center"/>
      <w:rPr>
        <w:rFonts w:ascii="Times New Roman" w:eastAsia="Calibri" w:hAnsi="Times New Roman"/>
        <w:i/>
        <w:sz w:val="18"/>
        <w:szCs w:val="22"/>
      </w:rPr>
    </w:pPr>
    <w:r>
      <w:rPr>
        <w:noProof/>
      </w:rPr>
      <w:pict w14:anchorId="7A1042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971867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BDE6B6B">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5B44441" w14:textId="77777777" w:rsidR="009179E3" w:rsidRPr="00296529" w:rsidRDefault="009179E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FAB34F9" w14:textId="77777777" w:rsidR="009179E3" w:rsidRPr="00296529" w:rsidRDefault="009179E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61C199D" w14:textId="77777777" w:rsidR="009179E3" w:rsidRPr="00296529" w:rsidRDefault="009179E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F0F57C1" w14:textId="77777777" w:rsidR="009179E3" w:rsidRDefault="009179E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AA6580A" w14:textId="77777777" w:rsidR="009179E3" w:rsidRDefault="009179E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A8C31B4" w14:textId="77777777" w:rsidR="009179E3" w:rsidRDefault="009179E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656DE24"/>
    <w:multiLevelType w:val="singleLevel"/>
    <w:tmpl w:val="0656DE24"/>
    <w:lvl w:ilvl="0">
      <w:start w:val="4"/>
      <w:numFmt w:val="decimal"/>
      <w:suff w:val="space"/>
      <w:lvlText w:val="%1."/>
      <w:lvlJc w:val="left"/>
      <w:pPr>
        <w:ind w:left="-720"/>
      </w:pPr>
    </w:lvl>
  </w:abstractNum>
  <w:abstractNum w:abstractNumId="4" w15:restartNumberingAfterBreak="0">
    <w:nsid w:val="070BBDE2"/>
    <w:multiLevelType w:val="multilevel"/>
    <w:tmpl w:val="070BBDE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0F4B50D0"/>
    <w:multiLevelType w:val="multilevel"/>
    <w:tmpl w:val="0C64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1F715852"/>
    <w:multiLevelType w:val="multilevel"/>
    <w:tmpl w:val="8A30D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365A67"/>
    <w:multiLevelType w:val="hybridMultilevel"/>
    <w:tmpl w:val="B8B6CCB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2E0C4344"/>
    <w:multiLevelType w:val="hybridMultilevel"/>
    <w:tmpl w:val="4AFE6DF8"/>
    <w:lvl w:ilvl="0" w:tplc="34090001">
      <w:start w:val="1"/>
      <w:numFmt w:val="bullet"/>
      <w:lvlText w:val=""/>
      <w:lvlJc w:val="left"/>
      <w:pPr>
        <w:ind w:left="2910" w:hanging="360"/>
      </w:pPr>
      <w:rPr>
        <w:rFonts w:ascii="Symbol" w:hAnsi="Symbol" w:hint="default"/>
      </w:rPr>
    </w:lvl>
    <w:lvl w:ilvl="1" w:tplc="34090003" w:tentative="1">
      <w:start w:val="1"/>
      <w:numFmt w:val="bullet"/>
      <w:lvlText w:val="o"/>
      <w:lvlJc w:val="left"/>
      <w:pPr>
        <w:ind w:left="3630" w:hanging="360"/>
      </w:pPr>
      <w:rPr>
        <w:rFonts w:ascii="Courier New" w:hAnsi="Courier New" w:cs="Courier New" w:hint="default"/>
      </w:rPr>
    </w:lvl>
    <w:lvl w:ilvl="2" w:tplc="34090005" w:tentative="1">
      <w:start w:val="1"/>
      <w:numFmt w:val="bullet"/>
      <w:lvlText w:val=""/>
      <w:lvlJc w:val="left"/>
      <w:pPr>
        <w:ind w:left="4350" w:hanging="360"/>
      </w:pPr>
      <w:rPr>
        <w:rFonts w:ascii="Wingdings" w:hAnsi="Wingdings" w:hint="default"/>
      </w:rPr>
    </w:lvl>
    <w:lvl w:ilvl="3" w:tplc="34090001" w:tentative="1">
      <w:start w:val="1"/>
      <w:numFmt w:val="bullet"/>
      <w:lvlText w:val=""/>
      <w:lvlJc w:val="left"/>
      <w:pPr>
        <w:ind w:left="5070" w:hanging="360"/>
      </w:pPr>
      <w:rPr>
        <w:rFonts w:ascii="Symbol" w:hAnsi="Symbol" w:hint="default"/>
      </w:rPr>
    </w:lvl>
    <w:lvl w:ilvl="4" w:tplc="34090003" w:tentative="1">
      <w:start w:val="1"/>
      <w:numFmt w:val="bullet"/>
      <w:lvlText w:val="o"/>
      <w:lvlJc w:val="left"/>
      <w:pPr>
        <w:ind w:left="5790" w:hanging="360"/>
      </w:pPr>
      <w:rPr>
        <w:rFonts w:ascii="Courier New" w:hAnsi="Courier New" w:cs="Courier New" w:hint="default"/>
      </w:rPr>
    </w:lvl>
    <w:lvl w:ilvl="5" w:tplc="34090005" w:tentative="1">
      <w:start w:val="1"/>
      <w:numFmt w:val="bullet"/>
      <w:lvlText w:val=""/>
      <w:lvlJc w:val="left"/>
      <w:pPr>
        <w:ind w:left="6510" w:hanging="360"/>
      </w:pPr>
      <w:rPr>
        <w:rFonts w:ascii="Wingdings" w:hAnsi="Wingdings" w:hint="default"/>
      </w:rPr>
    </w:lvl>
    <w:lvl w:ilvl="6" w:tplc="34090001" w:tentative="1">
      <w:start w:val="1"/>
      <w:numFmt w:val="bullet"/>
      <w:lvlText w:val=""/>
      <w:lvlJc w:val="left"/>
      <w:pPr>
        <w:ind w:left="7230" w:hanging="360"/>
      </w:pPr>
      <w:rPr>
        <w:rFonts w:ascii="Symbol" w:hAnsi="Symbol" w:hint="default"/>
      </w:rPr>
    </w:lvl>
    <w:lvl w:ilvl="7" w:tplc="34090003" w:tentative="1">
      <w:start w:val="1"/>
      <w:numFmt w:val="bullet"/>
      <w:lvlText w:val="o"/>
      <w:lvlJc w:val="left"/>
      <w:pPr>
        <w:ind w:left="7950" w:hanging="360"/>
      </w:pPr>
      <w:rPr>
        <w:rFonts w:ascii="Courier New" w:hAnsi="Courier New" w:cs="Courier New" w:hint="default"/>
      </w:rPr>
    </w:lvl>
    <w:lvl w:ilvl="8" w:tplc="34090005" w:tentative="1">
      <w:start w:val="1"/>
      <w:numFmt w:val="bullet"/>
      <w:lvlText w:val=""/>
      <w:lvlJc w:val="left"/>
      <w:pPr>
        <w:ind w:left="8670" w:hanging="360"/>
      </w:pPr>
      <w:rPr>
        <w:rFonts w:ascii="Wingdings" w:hAnsi="Wingdings" w:hint="default"/>
      </w:rPr>
    </w:lvl>
  </w:abstractNum>
  <w:abstractNum w:abstractNumId="19"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4206130E"/>
    <w:multiLevelType w:val="hybridMultilevel"/>
    <w:tmpl w:val="82C65FB2"/>
    <w:lvl w:ilvl="0" w:tplc="34090001">
      <w:start w:val="1"/>
      <w:numFmt w:val="bullet"/>
      <w:lvlText w:val=""/>
      <w:lvlJc w:val="left"/>
      <w:pPr>
        <w:ind w:left="720" w:hanging="360"/>
      </w:pPr>
      <w:rPr>
        <w:rFonts w:ascii="Symbol" w:hAnsi="Symbol"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E0640F"/>
    <w:multiLevelType w:val="hybridMultilevel"/>
    <w:tmpl w:val="89AE3BB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5C92115E"/>
    <w:multiLevelType w:val="hybridMultilevel"/>
    <w:tmpl w:val="3984E50A"/>
    <w:lvl w:ilvl="0" w:tplc="FDAC40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67881D8C"/>
    <w:multiLevelType w:val="multilevel"/>
    <w:tmpl w:val="67881D8C"/>
    <w:lvl w:ilvl="0">
      <w:start w:val="2"/>
      <w:numFmt w:val="decimal"/>
      <w:lvlText w:val="%1."/>
      <w:lvlJc w:val="left"/>
      <w:pPr>
        <w:ind w:left="360" w:hanging="360"/>
      </w:pPr>
      <w:rPr>
        <w:rFonts w:hint="default"/>
        <w:b/>
      </w:rPr>
    </w:lvl>
    <w:lvl w:ilvl="1">
      <w:start w:val="3"/>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2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6C8C061E"/>
    <w:multiLevelType w:val="multilevel"/>
    <w:tmpl w:val="DB58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3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3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A32103"/>
    <w:multiLevelType w:val="multilevel"/>
    <w:tmpl w:val="7DA32103"/>
    <w:lvl w:ilvl="0">
      <w:start w:val="1"/>
      <w:numFmt w:val="decimal"/>
      <w:pStyle w:val="MDPI37itemize"/>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0"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78704626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18260222">
    <w:abstractNumId w:val="22"/>
  </w:num>
  <w:num w:numId="3" w16cid:durableId="2002809958">
    <w:abstractNumId w:val="34"/>
  </w:num>
  <w:num w:numId="4" w16cid:durableId="137947101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44446402">
    <w:abstractNumId w:val="10"/>
  </w:num>
  <w:num w:numId="6" w16cid:durableId="1872112429">
    <w:abstractNumId w:val="8"/>
  </w:num>
  <w:num w:numId="7" w16cid:durableId="825705188">
    <w:abstractNumId w:val="1"/>
  </w:num>
  <w:num w:numId="8" w16cid:durableId="603079190">
    <w:abstractNumId w:val="17"/>
  </w:num>
  <w:num w:numId="9" w16cid:durableId="335571128">
    <w:abstractNumId w:val="36"/>
  </w:num>
  <w:num w:numId="10" w16cid:durableId="1984845727">
    <w:abstractNumId w:val="2"/>
  </w:num>
  <w:num w:numId="11" w16cid:durableId="269893661">
    <w:abstractNumId w:val="28"/>
  </w:num>
  <w:num w:numId="12" w16cid:durableId="1699046676">
    <w:abstractNumId w:val="5"/>
  </w:num>
  <w:num w:numId="13" w16cid:durableId="1698853621">
    <w:abstractNumId w:val="26"/>
  </w:num>
  <w:num w:numId="14" w16cid:durableId="2083529590">
    <w:abstractNumId w:val="11"/>
  </w:num>
  <w:num w:numId="15" w16cid:durableId="2056394397">
    <w:abstractNumId w:val="32"/>
  </w:num>
  <w:num w:numId="16" w16cid:durableId="1263953111">
    <w:abstractNumId w:val="7"/>
  </w:num>
  <w:num w:numId="17" w16cid:durableId="214395766">
    <w:abstractNumId w:val="33"/>
  </w:num>
  <w:num w:numId="18" w16cid:durableId="351155033">
    <w:abstractNumId w:val="20"/>
  </w:num>
  <w:num w:numId="19" w16cid:durableId="1628002570">
    <w:abstractNumId w:val="40"/>
  </w:num>
  <w:num w:numId="20" w16cid:durableId="1985037596">
    <w:abstractNumId w:val="16"/>
  </w:num>
  <w:num w:numId="21" w16cid:durableId="242569354">
    <w:abstractNumId w:val="13"/>
  </w:num>
  <w:num w:numId="22" w16cid:durableId="894240658">
    <w:abstractNumId w:val="19"/>
  </w:num>
  <w:num w:numId="23" w16cid:durableId="1909537465">
    <w:abstractNumId w:val="30"/>
  </w:num>
  <w:num w:numId="24" w16cid:durableId="795568445">
    <w:abstractNumId w:val="37"/>
  </w:num>
  <w:num w:numId="25" w16cid:durableId="1116556189">
    <w:abstractNumId w:val="6"/>
  </w:num>
  <w:num w:numId="26" w16cid:durableId="901447769">
    <w:abstractNumId w:val="23"/>
  </w:num>
  <w:num w:numId="27" w16cid:durableId="761876710">
    <w:abstractNumId w:val="31"/>
  </w:num>
  <w:num w:numId="28" w16cid:durableId="1510490054">
    <w:abstractNumId w:val="38"/>
  </w:num>
  <w:num w:numId="29" w16cid:durableId="1619871997">
    <w:abstractNumId w:val="35"/>
  </w:num>
  <w:num w:numId="30" w16cid:durableId="260457472">
    <w:abstractNumId w:val="14"/>
  </w:num>
  <w:num w:numId="31" w16cid:durableId="521016156">
    <w:abstractNumId w:val="39"/>
  </w:num>
  <w:num w:numId="32" w16cid:durableId="1476070234">
    <w:abstractNumId w:val="3"/>
  </w:num>
  <w:num w:numId="33" w16cid:durableId="1196040423">
    <w:abstractNumId w:val="27"/>
  </w:num>
  <w:num w:numId="34" w16cid:durableId="410279412">
    <w:abstractNumId w:val="4"/>
  </w:num>
  <w:num w:numId="35" w16cid:durableId="1537541623">
    <w:abstractNumId w:val="18"/>
  </w:num>
  <w:num w:numId="36" w16cid:durableId="236061156">
    <w:abstractNumId w:val="29"/>
  </w:num>
  <w:num w:numId="37" w16cid:durableId="1856770342">
    <w:abstractNumId w:val="25"/>
  </w:num>
  <w:num w:numId="38" w16cid:durableId="1749615185">
    <w:abstractNumId w:val="9"/>
  </w:num>
  <w:num w:numId="39" w16cid:durableId="1609848797">
    <w:abstractNumId w:val="12"/>
  </w:num>
  <w:num w:numId="40" w16cid:durableId="106048023">
    <w:abstractNumId w:val="24"/>
  </w:num>
  <w:num w:numId="41" w16cid:durableId="1277369278">
    <w:abstractNumId w:val="21"/>
  </w:num>
  <w:num w:numId="42" w16cid:durableId="14611508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54A5F"/>
    <w:rsid w:val="00071BD5"/>
    <w:rsid w:val="000A47FA"/>
    <w:rsid w:val="000A65D3"/>
    <w:rsid w:val="000B1E33"/>
    <w:rsid w:val="000D689F"/>
    <w:rsid w:val="000E7B7B"/>
    <w:rsid w:val="000E7D62"/>
    <w:rsid w:val="00103357"/>
    <w:rsid w:val="00123C9F"/>
    <w:rsid w:val="00126190"/>
    <w:rsid w:val="00130F17"/>
    <w:rsid w:val="001320BF"/>
    <w:rsid w:val="001365F4"/>
    <w:rsid w:val="00163BC4"/>
    <w:rsid w:val="00191062"/>
    <w:rsid w:val="00192B72"/>
    <w:rsid w:val="001A29D8"/>
    <w:rsid w:val="001A5CAA"/>
    <w:rsid w:val="001B0427"/>
    <w:rsid w:val="001B48F2"/>
    <w:rsid w:val="001D3A51"/>
    <w:rsid w:val="001E10D2"/>
    <w:rsid w:val="001E25B4"/>
    <w:rsid w:val="001E44FE"/>
    <w:rsid w:val="001E51D5"/>
    <w:rsid w:val="00200595"/>
    <w:rsid w:val="00204835"/>
    <w:rsid w:val="00212F7C"/>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21E98"/>
    <w:rsid w:val="0033343E"/>
    <w:rsid w:val="003512C2"/>
    <w:rsid w:val="00361707"/>
    <w:rsid w:val="00371FB6"/>
    <w:rsid w:val="003763C1"/>
    <w:rsid w:val="00376BBE"/>
    <w:rsid w:val="0039224F"/>
    <w:rsid w:val="003A217D"/>
    <w:rsid w:val="003A43A4"/>
    <w:rsid w:val="003A7E18"/>
    <w:rsid w:val="003C4C86"/>
    <w:rsid w:val="003C6258"/>
    <w:rsid w:val="003E2904"/>
    <w:rsid w:val="00401927"/>
    <w:rsid w:val="0041027F"/>
    <w:rsid w:val="00412475"/>
    <w:rsid w:val="00423789"/>
    <w:rsid w:val="00440F43"/>
    <w:rsid w:val="00441B6F"/>
    <w:rsid w:val="00446221"/>
    <w:rsid w:val="00450144"/>
    <w:rsid w:val="00450E62"/>
    <w:rsid w:val="004539DB"/>
    <w:rsid w:val="00471A80"/>
    <w:rsid w:val="004D305E"/>
    <w:rsid w:val="004D4277"/>
    <w:rsid w:val="00502516"/>
    <w:rsid w:val="00503904"/>
    <w:rsid w:val="00505F06"/>
    <w:rsid w:val="00506828"/>
    <w:rsid w:val="0053056E"/>
    <w:rsid w:val="00554FDA"/>
    <w:rsid w:val="005B18FD"/>
    <w:rsid w:val="005C2B64"/>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04201"/>
    <w:rsid w:val="007369E6"/>
    <w:rsid w:val="00746E59"/>
    <w:rsid w:val="00754C9A"/>
    <w:rsid w:val="0075599A"/>
    <w:rsid w:val="00761D52"/>
    <w:rsid w:val="0077749E"/>
    <w:rsid w:val="00790ADA"/>
    <w:rsid w:val="007B0332"/>
    <w:rsid w:val="007D2288"/>
    <w:rsid w:val="007D5DA0"/>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179E3"/>
    <w:rsid w:val="00927834"/>
    <w:rsid w:val="0093337B"/>
    <w:rsid w:val="009500A6"/>
    <w:rsid w:val="00952F60"/>
    <w:rsid w:val="00957C18"/>
    <w:rsid w:val="009659BA"/>
    <w:rsid w:val="00983040"/>
    <w:rsid w:val="009A7909"/>
    <w:rsid w:val="009B3FB9"/>
    <w:rsid w:val="009C2465"/>
    <w:rsid w:val="009D35A0"/>
    <w:rsid w:val="009D7EB7"/>
    <w:rsid w:val="009E048A"/>
    <w:rsid w:val="009E08E9"/>
    <w:rsid w:val="009E169A"/>
    <w:rsid w:val="009E3DB9"/>
    <w:rsid w:val="009E6E35"/>
    <w:rsid w:val="009F0EDA"/>
    <w:rsid w:val="00A03B96"/>
    <w:rsid w:val="00A05B19"/>
    <w:rsid w:val="00A1134E"/>
    <w:rsid w:val="00A24E7E"/>
    <w:rsid w:val="00A258C3"/>
    <w:rsid w:val="00A347C0"/>
    <w:rsid w:val="00A44D52"/>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0616"/>
    <w:rsid w:val="00C27F5F"/>
    <w:rsid w:val="00C30A0F"/>
    <w:rsid w:val="00C37E61"/>
    <w:rsid w:val="00C70F1B"/>
    <w:rsid w:val="00C71A47"/>
    <w:rsid w:val="00C7464C"/>
    <w:rsid w:val="00C85588"/>
    <w:rsid w:val="00CD6755"/>
    <w:rsid w:val="00CD6856"/>
    <w:rsid w:val="00CE0089"/>
    <w:rsid w:val="00CE793C"/>
    <w:rsid w:val="00CF193C"/>
    <w:rsid w:val="00D173F1"/>
    <w:rsid w:val="00D74CB0"/>
    <w:rsid w:val="00D8295D"/>
    <w:rsid w:val="00DC2A65"/>
    <w:rsid w:val="00DE15F0"/>
    <w:rsid w:val="00DE5663"/>
    <w:rsid w:val="00DE78AA"/>
    <w:rsid w:val="00DF42E7"/>
    <w:rsid w:val="00E053D0"/>
    <w:rsid w:val="00E15994"/>
    <w:rsid w:val="00E3114E"/>
    <w:rsid w:val="00E31A70"/>
    <w:rsid w:val="00E35B02"/>
    <w:rsid w:val="00E56B0B"/>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69F0"/>
    <w:rsid w:val="00F53273"/>
    <w:rsid w:val="00F53BBF"/>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82E1A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1E51D5"/>
    <w:pPr>
      <w:keepNext/>
      <w:keepLines/>
      <w:spacing w:before="360" w:after="80" w:line="260" w:lineRule="atLeast"/>
      <w:jc w:val="both"/>
      <w:outlineLvl w:val="1"/>
    </w:pPr>
    <w:rPr>
      <w:rFonts w:ascii="Palatino Linotype" w:eastAsia="Palatino Linotype" w:hAnsi="Palatino Linotype" w:cs="Palatino Linotype"/>
      <w:b/>
      <w:color w:val="000000"/>
      <w:sz w:val="36"/>
      <w:szCs w:val="36"/>
      <w:lang w:eastAsia="zh-CN"/>
    </w:rPr>
  </w:style>
  <w:style w:type="paragraph" w:styleId="Heading3">
    <w:name w:val="heading 3"/>
    <w:basedOn w:val="Normal"/>
    <w:next w:val="Normal"/>
    <w:link w:val="Heading3Char"/>
    <w:uiPriority w:val="9"/>
    <w:semiHidden/>
    <w:unhideWhenUsed/>
    <w:qFormat/>
    <w:rsid w:val="001E51D5"/>
    <w:pPr>
      <w:keepNext/>
      <w:keepLines/>
      <w:spacing w:before="280" w:after="80" w:line="260" w:lineRule="atLeast"/>
      <w:jc w:val="both"/>
      <w:outlineLvl w:val="2"/>
    </w:pPr>
    <w:rPr>
      <w:rFonts w:ascii="Palatino Linotype" w:eastAsia="Palatino Linotype" w:hAnsi="Palatino Linotype" w:cs="Palatino Linotype"/>
      <w:b/>
      <w:color w:val="000000"/>
      <w:sz w:val="28"/>
      <w:szCs w:val="28"/>
      <w:lang w:eastAsia="zh-CN"/>
    </w:rPr>
  </w:style>
  <w:style w:type="paragraph" w:styleId="Heading4">
    <w:name w:val="heading 4"/>
    <w:basedOn w:val="Normal"/>
    <w:next w:val="Normal"/>
    <w:link w:val="Heading4Char"/>
    <w:uiPriority w:val="9"/>
    <w:semiHidden/>
    <w:unhideWhenUsed/>
    <w:qFormat/>
    <w:rsid w:val="001E51D5"/>
    <w:pPr>
      <w:keepNext/>
      <w:keepLines/>
      <w:spacing w:before="240" w:after="40" w:line="260" w:lineRule="atLeast"/>
      <w:jc w:val="both"/>
      <w:outlineLvl w:val="3"/>
    </w:pPr>
    <w:rPr>
      <w:rFonts w:ascii="Palatino Linotype" w:eastAsia="Palatino Linotype" w:hAnsi="Palatino Linotype" w:cs="Palatino Linotype"/>
      <w:b/>
      <w:color w:val="000000"/>
      <w:sz w:val="24"/>
      <w:szCs w:val="24"/>
      <w:lang w:eastAsia="zh-CN"/>
    </w:rPr>
  </w:style>
  <w:style w:type="paragraph" w:styleId="Heading5">
    <w:name w:val="heading 5"/>
    <w:basedOn w:val="Normal"/>
    <w:next w:val="Normal"/>
    <w:link w:val="Heading5Char"/>
    <w:uiPriority w:val="9"/>
    <w:semiHidden/>
    <w:unhideWhenUsed/>
    <w:qFormat/>
    <w:rsid w:val="001E51D5"/>
    <w:pPr>
      <w:keepNext/>
      <w:keepLines/>
      <w:spacing w:before="220" w:after="40" w:line="260" w:lineRule="atLeast"/>
      <w:jc w:val="both"/>
      <w:outlineLvl w:val="4"/>
    </w:pPr>
    <w:rPr>
      <w:rFonts w:ascii="Palatino Linotype" w:eastAsia="Palatino Linotype" w:hAnsi="Palatino Linotype" w:cs="Palatino Linotype"/>
      <w:b/>
      <w:color w:val="000000"/>
      <w:sz w:val="22"/>
      <w:szCs w:val="22"/>
      <w:lang w:eastAsia="zh-CN"/>
    </w:rPr>
  </w:style>
  <w:style w:type="paragraph" w:styleId="Heading6">
    <w:name w:val="heading 6"/>
    <w:basedOn w:val="Normal"/>
    <w:next w:val="Normal"/>
    <w:link w:val="Heading6Char"/>
    <w:uiPriority w:val="9"/>
    <w:semiHidden/>
    <w:unhideWhenUsed/>
    <w:qFormat/>
    <w:rsid w:val="001E51D5"/>
    <w:pPr>
      <w:keepNext/>
      <w:keepLines/>
      <w:spacing w:before="200" w:after="40" w:line="260" w:lineRule="atLeast"/>
      <w:jc w:val="both"/>
      <w:outlineLvl w:val="5"/>
    </w:pPr>
    <w:rPr>
      <w:rFonts w:ascii="Palatino Linotype" w:eastAsia="Palatino Linotype" w:hAnsi="Palatino Linotype" w:cs="Palatino Linotype"/>
      <w:b/>
      <w:color w:val="00000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MainHead">
    <w:name w:val="Main Head"/>
    <w:basedOn w:val="Normal"/>
    <w:rsid w:val="00423789"/>
    <w:pPr>
      <w:keepNext/>
      <w:spacing w:after="240"/>
    </w:pPr>
    <w:rPr>
      <w:b/>
      <w:caps/>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uiPriority w:val="10"/>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2">
    <w:name w:val="Head2"/>
    <w:basedOn w:val="Normal"/>
    <w:next w:val="Body"/>
    <w:rsid w:val="00423789"/>
    <w:pPr>
      <w:keepNext/>
      <w:spacing w:after="240"/>
    </w:pPr>
    <w:rPr>
      <w:caps/>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link w:val="FooterChar"/>
    <w:uiPriority w:val="99"/>
    <w:qFormat/>
    <w:rsid w:val="00423789"/>
    <w:pPr>
      <w:tabs>
        <w:tab w:val="center" w:pos="4320"/>
        <w:tab w:val="right" w:pos="8640"/>
      </w:tabs>
    </w:pPr>
  </w:style>
  <w:style w:type="character" w:customStyle="1" w:styleId="FooterChar">
    <w:name w:val="Footer Char"/>
    <w:link w:val="Footer"/>
    <w:uiPriority w:val="99"/>
    <w:qFormat/>
    <w:rsid w:val="001E51D5"/>
    <w:rPr>
      <w:rFonts w:ascii="Helvetica" w:hAnsi="Helvetica"/>
    </w:rPr>
  </w:style>
  <w:style w:type="paragraph" w:customStyle="1" w:styleId="Head40">
    <w:name w:val="Head 4"/>
    <w:basedOn w:val="Head3"/>
    <w:rsid w:val="00423789"/>
    <w:rPr>
      <w:u w:val="none"/>
    </w:rPr>
  </w:style>
  <w:style w:type="paragraph" w:styleId="Header">
    <w:name w:val="header"/>
    <w:basedOn w:val="Normal"/>
    <w:link w:val="HeaderChar"/>
    <w:uiPriority w:val="99"/>
    <w:qFormat/>
    <w:rsid w:val="00423789"/>
    <w:pPr>
      <w:tabs>
        <w:tab w:val="center" w:pos="4320"/>
        <w:tab w:val="right" w:pos="8640"/>
      </w:tabs>
    </w:pPr>
  </w:style>
  <w:style w:type="character" w:customStyle="1" w:styleId="HeaderChar">
    <w:name w:val="Header Char"/>
    <w:link w:val="Header"/>
    <w:uiPriority w:val="99"/>
    <w:qFormat/>
    <w:rsid w:val="001E51D5"/>
    <w:rPr>
      <w:rFonts w:ascii="Helvetica" w:hAnsi="Helvetica"/>
    </w:r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qForma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qFormat/>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nhideWhenUsed/>
    <w:rsid w:val="00746E59"/>
    <w:rPr>
      <w:sz w:val="16"/>
      <w:szCs w:val="16"/>
    </w:rPr>
  </w:style>
  <w:style w:type="paragraph" w:styleId="CommentText">
    <w:name w:val="annotation text"/>
    <w:basedOn w:val="Normal"/>
    <w:link w:val="CommentTextChar"/>
    <w:unhideWhenUsed/>
    <w:rsid w:val="00746E59"/>
    <w:rPr>
      <w:rFonts w:ascii="Times New Roman" w:hAnsi="Times New Roman"/>
      <w:lang w:val="nb-NO" w:eastAsia="nb-NO"/>
    </w:rPr>
  </w:style>
  <w:style w:type="character" w:customStyle="1" w:styleId="CommentTextChar">
    <w:name w:val="Comment Text Char"/>
    <w:basedOn w:val="DefaultParagraphFont"/>
    <w:link w:val="CommentText"/>
    <w:rsid w:val="00746E59"/>
    <w:rPr>
      <w:lang w:val="nb-NO" w:eastAsia="nb-NO"/>
    </w:rPr>
  </w:style>
  <w:style w:type="paragraph" w:styleId="BalloonText">
    <w:name w:val="Balloon Text"/>
    <w:basedOn w:val="Normal"/>
    <w:link w:val="BalloonTextChar"/>
    <w:uiPriority w:val="99"/>
    <w:qFormat/>
    <w:rsid w:val="00746E59"/>
    <w:rPr>
      <w:rFonts w:ascii="Tahoma" w:hAnsi="Tahoma" w:cs="Tahoma"/>
      <w:sz w:val="16"/>
      <w:szCs w:val="16"/>
    </w:rPr>
  </w:style>
  <w:style w:type="character" w:customStyle="1" w:styleId="BalloonTextChar">
    <w:name w:val="Balloon Text Char"/>
    <w:basedOn w:val="DefaultParagraphFont"/>
    <w:link w:val="BalloonText"/>
    <w:uiPriority w:val="99"/>
    <w:qForma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uiPriority w:val="99"/>
    <w:qForma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MDPI21heading1">
    <w:name w:val="MDPI_2.1_heading1"/>
    <w:qFormat/>
    <w:rsid w:val="00503904"/>
    <w:pPr>
      <w:adjustRightInd w:val="0"/>
      <w:snapToGrid w:val="0"/>
      <w:spacing w:before="240" w:after="60" w:line="228" w:lineRule="auto"/>
      <w:ind w:left="2608"/>
      <w:jc w:val="both"/>
      <w:outlineLvl w:val="0"/>
    </w:pPr>
    <w:rPr>
      <w:rFonts w:ascii="Palatino Linotype" w:hAnsi="Palatino Linotype" w:cs="Palatino Linotype"/>
      <w:b/>
      <w:snapToGrid w:val="0"/>
      <w:color w:val="000000"/>
      <w:szCs w:val="22"/>
      <w:lang w:eastAsia="de-DE" w:bidi="en-US"/>
    </w:rPr>
  </w:style>
  <w:style w:type="paragraph" w:styleId="Caption">
    <w:name w:val="caption"/>
    <w:basedOn w:val="Normal"/>
    <w:next w:val="Normal"/>
    <w:uiPriority w:val="35"/>
    <w:unhideWhenUsed/>
    <w:qFormat/>
    <w:rsid w:val="001E51D5"/>
    <w:pPr>
      <w:spacing w:after="200"/>
    </w:pPr>
    <w:rPr>
      <w:rFonts w:asciiTheme="minorHAnsi" w:eastAsiaTheme="minorHAnsi" w:hAnsiTheme="minorHAnsi" w:cstheme="minorBidi"/>
      <w:i/>
      <w:iCs/>
      <w:color w:val="1F497D" w:themeColor="text2"/>
      <w:kern w:val="2"/>
      <w:sz w:val="18"/>
      <w:szCs w:val="18"/>
      <w:lang w:val="en-PH"/>
    </w:rPr>
  </w:style>
  <w:style w:type="character" w:customStyle="1" w:styleId="Heading2Char">
    <w:name w:val="Heading 2 Char"/>
    <w:basedOn w:val="DefaultParagraphFont"/>
    <w:link w:val="Heading2"/>
    <w:uiPriority w:val="9"/>
    <w:semiHidden/>
    <w:rsid w:val="001E51D5"/>
    <w:rPr>
      <w:rFonts w:ascii="Palatino Linotype" w:eastAsia="Palatino Linotype" w:hAnsi="Palatino Linotype" w:cs="Palatino Linotype"/>
      <w:b/>
      <w:color w:val="000000"/>
      <w:sz w:val="36"/>
      <w:szCs w:val="36"/>
      <w:lang w:eastAsia="zh-CN"/>
    </w:rPr>
  </w:style>
  <w:style w:type="character" w:customStyle="1" w:styleId="Heading3Char">
    <w:name w:val="Heading 3 Char"/>
    <w:basedOn w:val="DefaultParagraphFont"/>
    <w:link w:val="Heading3"/>
    <w:uiPriority w:val="9"/>
    <w:semiHidden/>
    <w:rsid w:val="001E51D5"/>
    <w:rPr>
      <w:rFonts w:ascii="Palatino Linotype" w:eastAsia="Palatino Linotype" w:hAnsi="Palatino Linotype" w:cs="Palatino Linotype"/>
      <w:b/>
      <w:color w:val="000000"/>
      <w:sz w:val="28"/>
      <w:szCs w:val="28"/>
      <w:lang w:eastAsia="zh-CN"/>
    </w:rPr>
  </w:style>
  <w:style w:type="character" w:customStyle="1" w:styleId="Heading4Char">
    <w:name w:val="Heading 4 Char"/>
    <w:basedOn w:val="DefaultParagraphFont"/>
    <w:link w:val="Heading4"/>
    <w:uiPriority w:val="9"/>
    <w:semiHidden/>
    <w:rsid w:val="001E51D5"/>
    <w:rPr>
      <w:rFonts w:ascii="Palatino Linotype" w:eastAsia="Palatino Linotype" w:hAnsi="Palatino Linotype" w:cs="Palatino Linotype"/>
      <w:b/>
      <w:color w:val="000000"/>
      <w:sz w:val="24"/>
      <w:szCs w:val="24"/>
      <w:lang w:eastAsia="zh-CN"/>
    </w:rPr>
  </w:style>
  <w:style w:type="character" w:customStyle="1" w:styleId="Heading5Char">
    <w:name w:val="Heading 5 Char"/>
    <w:basedOn w:val="DefaultParagraphFont"/>
    <w:link w:val="Heading5"/>
    <w:uiPriority w:val="9"/>
    <w:semiHidden/>
    <w:rsid w:val="001E51D5"/>
    <w:rPr>
      <w:rFonts w:ascii="Palatino Linotype" w:eastAsia="Palatino Linotype" w:hAnsi="Palatino Linotype" w:cs="Palatino Linotype"/>
      <w:b/>
      <w:color w:val="000000"/>
      <w:sz w:val="22"/>
      <w:szCs w:val="22"/>
      <w:lang w:eastAsia="zh-CN"/>
    </w:rPr>
  </w:style>
  <w:style w:type="character" w:customStyle="1" w:styleId="Heading6Char">
    <w:name w:val="Heading 6 Char"/>
    <w:basedOn w:val="DefaultParagraphFont"/>
    <w:link w:val="Heading6"/>
    <w:uiPriority w:val="9"/>
    <w:semiHidden/>
    <w:rsid w:val="001E51D5"/>
    <w:rPr>
      <w:rFonts w:ascii="Palatino Linotype" w:eastAsia="Palatino Linotype" w:hAnsi="Palatino Linotype" w:cs="Palatino Linotype"/>
      <w:b/>
      <w:color w:val="000000"/>
      <w:lang w:eastAsia="zh-CN"/>
    </w:rPr>
  </w:style>
  <w:style w:type="paragraph" w:styleId="BodyText">
    <w:name w:val="Body Text"/>
    <w:link w:val="BodyTextChar"/>
    <w:rsid w:val="001E51D5"/>
    <w:pPr>
      <w:spacing w:after="120" w:line="340" w:lineRule="atLeast"/>
      <w:jc w:val="both"/>
    </w:pPr>
    <w:rPr>
      <w:rFonts w:ascii="Palatino Linotype" w:eastAsia="Palatino Linotype" w:hAnsi="Palatino Linotype" w:cs="Palatino Linotype"/>
      <w:color w:val="000000"/>
      <w:sz w:val="24"/>
      <w:lang w:eastAsia="de-DE"/>
    </w:rPr>
  </w:style>
  <w:style w:type="character" w:customStyle="1" w:styleId="BodyTextChar">
    <w:name w:val="Body Text Char"/>
    <w:basedOn w:val="DefaultParagraphFont"/>
    <w:link w:val="BodyText"/>
    <w:rsid w:val="001E51D5"/>
    <w:rPr>
      <w:rFonts w:ascii="Palatino Linotype" w:eastAsia="Palatino Linotype" w:hAnsi="Palatino Linotype" w:cs="Palatino Linotype"/>
      <w:color w:val="000000"/>
      <w:sz w:val="24"/>
      <w:lang w:eastAsia="de-DE"/>
    </w:rPr>
  </w:style>
  <w:style w:type="paragraph" w:styleId="CommentSubject">
    <w:name w:val="annotation subject"/>
    <w:basedOn w:val="CommentText"/>
    <w:next w:val="CommentText"/>
    <w:link w:val="CommentSubjectChar"/>
    <w:rsid w:val="001E51D5"/>
    <w:pPr>
      <w:spacing w:line="260" w:lineRule="atLeast"/>
      <w:jc w:val="both"/>
    </w:pPr>
    <w:rPr>
      <w:rFonts w:ascii="Palatino Linotype" w:eastAsia="Palatino Linotype" w:hAnsi="Palatino Linotype" w:cs="Palatino Linotype"/>
      <w:b/>
      <w:bCs/>
      <w:color w:val="000000"/>
      <w:lang w:val="en-US" w:eastAsia="zh-CN"/>
    </w:rPr>
  </w:style>
  <w:style w:type="character" w:customStyle="1" w:styleId="CommentSubjectChar">
    <w:name w:val="Comment Subject Char"/>
    <w:basedOn w:val="CommentTextChar"/>
    <w:link w:val="CommentSubject"/>
    <w:rsid w:val="001E51D5"/>
    <w:rPr>
      <w:rFonts w:ascii="Palatino Linotype" w:eastAsia="Palatino Linotype" w:hAnsi="Palatino Linotype" w:cs="Palatino Linotype"/>
      <w:b/>
      <w:bCs/>
      <w:color w:val="000000"/>
      <w:lang w:val="nb-NO" w:eastAsia="zh-CN"/>
    </w:rPr>
  </w:style>
  <w:style w:type="character" w:styleId="EndnoteReference">
    <w:name w:val="endnote reference"/>
    <w:rsid w:val="001E51D5"/>
    <w:rPr>
      <w:vertAlign w:val="superscript"/>
    </w:rPr>
  </w:style>
  <w:style w:type="character" w:customStyle="1" w:styleId="EndnoteTextChar">
    <w:name w:val="Endnote Text Char"/>
    <w:basedOn w:val="DefaultParagraphFont"/>
    <w:link w:val="EndnoteText"/>
    <w:semiHidden/>
    <w:rsid w:val="001E51D5"/>
    <w:rPr>
      <w:rFonts w:ascii="Palatino Linotype" w:eastAsia="Palatino Linotype" w:hAnsi="Palatino Linotype" w:cs="Palatino Linotype"/>
      <w:color w:val="000000"/>
      <w:lang w:eastAsia="zh-CN"/>
    </w:rPr>
  </w:style>
  <w:style w:type="paragraph" w:styleId="EndnoteText">
    <w:name w:val="endnote text"/>
    <w:basedOn w:val="Normal"/>
    <w:link w:val="EndnoteTextChar"/>
    <w:semiHidden/>
    <w:unhideWhenUsed/>
    <w:rsid w:val="001E51D5"/>
    <w:pPr>
      <w:jc w:val="both"/>
    </w:pPr>
    <w:rPr>
      <w:rFonts w:ascii="Palatino Linotype" w:eastAsia="Palatino Linotype" w:hAnsi="Palatino Linotype" w:cs="Palatino Linotype"/>
      <w:color w:val="000000"/>
      <w:lang w:eastAsia="zh-CN"/>
    </w:rPr>
  </w:style>
  <w:style w:type="character" w:customStyle="1" w:styleId="FootnoteTextChar">
    <w:name w:val="Footnote Text Char"/>
    <w:basedOn w:val="DefaultParagraphFont"/>
    <w:link w:val="FootnoteText"/>
    <w:semiHidden/>
    <w:rsid w:val="001E51D5"/>
    <w:rPr>
      <w:rFonts w:ascii="Palatino Linotype" w:eastAsia="Palatino Linotype" w:hAnsi="Palatino Linotype" w:cs="Palatino Linotype"/>
      <w:color w:val="000000"/>
      <w:lang w:eastAsia="zh-CN"/>
    </w:rPr>
  </w:style>
  <w:style w:type="paragraph" w:styleId="FootnoteText">
    <w:name w:val="footnote text"/>
    <w:basedOn w:val="Normal"/>
    <w:link w:val="FootnoteTextChar"/>
    <w:semiHidden/>
    <w:unhideWhenUsed/>
    <w:rsid w:val="001E51D5"/>
    <w:pPr>
      <w:jc w:val="both"/>
    </w:pPr>
    <w:rPr>
      <w:rFonts w:ascii="Palatino Linotype" w:eastAsia="Palatino Linotype" w:hAnsi="Palatino Linotype" w:cs="Palatino Linotype"/>
      <w:color w:val="000000"/>
      <w:lang w:eastAsia="zh-CN"/>
    </w:rPr>
  </w:style>
  <w:style w:type="paragraph" w:styleId="NormalWeb">
    <w:name w:val="Normal (Web)"/>
    <w:basedOn w:val="Normal"/>
    <w:uiPriority w:val="99"/>
    <w:rsid w:val="001E51D5"/>
    <w:pPr>
      <w:spacing w:line="260" w:lineRule="atLeast"/>
      <w:jc w:val="both"/>
    </w:pPr>
    <w:rPr>
      <w:rFonts w:ascii="Palatino Linotype" w:eastAsia="Palatino Linotype" w:hAnsi="Palatino Linotype" w:cs="Palatino Linotype"/>
      <w:color w:val="000000"/>
      <w:szCs w:val="24"/>
      <w:lang w:eastAsia="zh-CN"/>
    </w:rPr>
  </w:style>
  <w:style w:type="character" w:styleId="PageNumber">
    <w:name w:val="page number"/>
    <w:rsid w:val="001E51D5"/>
  </w:style>
  <w:style w:type="character" w:styleId="Strong">
    <w:name w:val="Strong"/>
    <w:basedOn w:val="DefaultParagraphFont"/>
    <w:uiPriority w:val="22"/>
    <w:qFormat/>
    <w:rsid w:val="001E51D5"/>
    <w:rPr>
      <w:b/>
      <w:bCs/>
    </w:rPr>
  </w:style>
  <w:style w:type="paragraph" w:styleId="Subtitle">
    <w:name w:val="Subtitle"/>
    <w:basedOn w:val="Normal"/>
    <w:next w:val="Normal"/>
    <w:link w:val="SubtitleChar"/>
    <w:uiPriority w:val="11"/>
    <w:qFormat/>
    <w:rsid w:val="001E51D5"/>
    <w:pPr>
      <w:keepNext/>
      <w:keepLines/>
      <w:spacing w:before="360" w:after="80" w:line="260" w:lineRule="atLeast"/>
      <w:jc w:val="both"/>
    </w:pPr>
    <w:rPr>
      <w:rFonts w:ascii="Georgia" w:eastAsia="Georgia" w:hAnsi="Georgia" w:cs="Georgia"/>
      <w:i/>
      <w:color w:val="666666"/>
      <w:sz w:val="48"/>
      <w:szCs w:val="48"/>
      <w:lang w:eastAsia="zh-CN"/>
    </w:rPr>
  </w:style>
  <w:style w:type="character" w:customStyle="1" w:styleId="SubtitleChar">
    <w:name w:val="Subtitle Char"/>
    <w:basedOn w:val="DefaultParagraphFont"/>
    <w:link w:val="Subtitle"/>
    <w:uiPriority w:val="11"/>
    <w:rsid w:val="001E51D5"/>
    <w:rPr>
      <w:rFonts w:ascii="Georgia" w:eastAsia="Georgia" w:hAnsi="Georgia" w:cs="Georgia"/>
      <w:i/>
      <w:color w:val="666666"/>
      <w:sz w:val="48"/>
      <w:szCs w:val="48"/>
      <w:lang w:eastAsia="zh-CN"/>
    </w:rPr>
  </w:style>
  <w:style w:type="paragraph" w:customStyle="1" w:styleId="MDPI11articletype">
    <w:name w:val="MDPI_1.1_article_type"/>
    <w:next w:val="Normal"/>
    <w:qFormat/>
    <w:rsid w:val="001E51D5"/>
    <w:pPr>
      <w:adjustRightInd w:val="0"/>
      <w:snapToGrid w:val="0"/>
      <w:spacing w:before="240"/>
      <w:jc w:val="both"/>
    </w:pPr>
    <w:rPr>
      <w:rFonts w:ascii="Palatino Linotype" w:hAnsi="Palatino Linotype" w:cs="Palatino Linotype"/>
      <w:i/>
      <w:snapToGrid w:val="0"/>
      <w:color w:val="000000"/>
      <w:szCs w:val="22"/>
      <w:lang w:eastAsia="de-DE" w:bidi="en-US"/>
    </w:rPr>
  </w:style>
  <w:style w:type="paragraph" w:customStyle="1" w:styleId="MDPI12title">
    <w:name w:val="MDPI_1.2_title"/>
    <w:next w:val="Normal"/>
    <w:qFormat/>
    <w:rsid w:val="001E51D5"/>
    <w:pPr>
      <w:adjustRightInd w:val="0"/>
      <w:snapToGrid w:val="0"/>
      <w:spacing w:after="240" w:line="240" w:lineRule="atLeast"/>
      <w:jc w:val="both"/>
    </w:pPr>
    <w:rPr>
      <w:rFonts w:ascii="Palatino Linotype" w:hAnsi="Palatino Linotype" w:cs="Palatino Linotype"/>
      <w:b/>
      <w:snapToGrid w:val="0"/>
      <w:color w:val="000000"/>
      <w:sz w:val="36"/>
      <w:lang w:eastAsia="de-DE" w:bidi="en-US"/>
    </w:rPr>
  </w:style>
  <w:style w:type="paragraph" w:customStyle="1" w:styleId="MDPI13authornames">
    <w:name w:val="MDPI_1.3_authornames"/>
    <w:next w:val="Normal"/>
    <w:qFormat/>
    <w:rsid w:val="001E51D5"/>
    <w:pPr>
      <w:adjustRightInd w:val="0"/>
      <w:snapToGrid w:val="0"/>
      <w:spacing w:after="360" w:line="260" w:lineRule="atLeast"/>
      <w:jc w:val="both"/>
    </w:pPr>
    <w:rPr>
      <w:rFonts w:ascii="Palatino Linotype" w:hAnsi="Palatino Linotype" w:cs="Palatino Linotype"/>
      <w:b/>
      <w:color w:val="000000"/>
      <w:szCs w:val="22"/>
      <w:lang w:eastAsia="de-DE" w:bidi="en-US"/>
    </w:rPr>
  </w:style>
  <w:style w:type="paragraph" w:customStyle="1" w:styleId="MDPI14history">
    <w:name w:val="MDPI_1.4_history"/>
    <w:basedOn w:val="Normal"/>
    <w:next w:val="Normal"/>
    <w:qFormat/>
    <w:rsid w:val="001E51D5"/>
    <w:pPr>
      <w:adjustRightInd w:val="0"/>
      <w:snapToGrid w:val="0"/>
      <w:spacing w:line="240" w:lineRule="atLeast"/>
      <w:ind w:right="113"/>
    </w:pPr>
    <w:rPr>
      <w:rFonts w:ascii="Palatino Linotype" w:hAnsi="Palatino Linotype" w:cs="Palatino Linotype"/>
      <w:color w:val="000000"/>
      <w:sz w:val="14"/>
      <w:lang w:eastAsia="de-DE" w:bidi="en-US"/>
    </w:rPr>
  </w:style>
  <w:style w:type="paragraph" w:customStyle="1" w:styleId="MDPI16affiliation">
    <w:name w:val="MDPI_1.6_affiliation"/>
    <w:qFormat/>
    <w:rsid w:val="001E51D5"/>
    <w:pPr>
      <w:adjustRightInd w:val="0"/>
      <w:snapToGrid w:val="0"/>
      <w:spacing w:line="200" w:lineRule="atLeast"/>
      <w:ind w:left="2806" w:hanging="198"/>
      <w:jc w:val="both"/>
    </w:pPr>
    <w:rPr>
      <w:rFonts w:ascii="Palatino Linotype" w:hAnsi="Palatino Linotype" w:cs="Palatino Linotype"/>
      <w:color w:val="000000"/>
      <w:sz w:val="16"/>
      <w:szCs w:val="18"/>
      <w:lang w:eastAsia="de-DE" w:bidi="en-US"/>
    </w:rPr>
  </w:style>
  <w:style w:type="paragraph" w:customStyle="1" w:styleId="MDPI17abstract">
    <w:name w:val="MDPI_1.7_abstract"/>
    <w:next w:val="Normal"/>
    <w:qFormat/>
    <w:rsid w:val="001E51D5"/>
    <w:pPr>
      <w:adjustRightInd w:val="0"/>
      <w:snapToGrid w:val="0"/>
      <w:spacing w:before="240" w:line="260" w:lineRule="atLeast"/>
      <w:ind w:left="2608"/>
      <w:jc w:val="both"/>
    </w:pPr>
    <w:rPr>
      <w:rFonts w:ascii="Palatino Linotype" w:hAnsi="Palatino Linotype" w:cs="Palatino Linotype"/>
      <w:color w:val="000000"/>
      <w:sz w:val="18"/>
      <w:szCs w:val="22"/>
      <w:lang w:eastAsia="de-DE" w:bidi="en-US"/>
    </w:rPr>
  </w:style>
  <w:style w:type="paragraph" w:customStyle="1" w:styleId="MDPI18keywords">
    <w:name w:val="MDPI_1.8_keywords"/>
    <w:next w:val="Normal"/>
    <w:qFormat/>
    <w:rsid w:val="001E51D5"/>
    <w:pPr>
      <w:adjustRightInd w:val="0"/>
      <w:snapToGrid w:val="0"/>
      <w:spacing w:before="240" w:line="260" w:lineRule="atLeast"/>
      <w:ind w:left="2608"/>
      <w:jc w:val="both"/>
    </w:pPr>
    <w:rPr>
      <w:rFonts w:ascii="Palatino Linotype" w:hAnsi="Palatino Linotype" w:cs="Palatino Linotype"/>
      <w:snapToGrid w:val="0"/>
      <w:color w:val="000000"/>
      <w:sz w:val="18"/>
      <w:szCs w:val="22"/>
      <w:lang w:eastAsia="de-DE" w:bidi="en-US"/>
    </w:rPr>
  </w:style>
  <w:style w:type="paragraph" w:customStyle="1" w:styleId="MDPI19line">
    <w:name w:val="MDPI_1.9_line"/>
    <w:qFormat/>
    <w:rsid w:val="001E51D5"/>
    <w:pPr>
      <w:pBdr>
        <w:bottom w:val="single" w:sz="6" w:space="1" w:color="auto"/>
      </w:pBdr>
      <w:adjustRightInd w:val="0"/>
      <w:snapToGrid w:val="0"/>
      <w:spacing w:after="480" w:line="260" w:lineRule="atLeast"/>
      <w:ind w:left="2608"/>
      <w:jc w:val="both"/>
    </w:pPr>
    <w:rPr>
      <w:rFonts w:ascii="Palatino Linotype" w:hAnsi="Palatino Linotype" w:cs="Cordia New"/>
      <w:color w:val="000000"/>
      <w:szCs w:val="24"/>
      <w:lang w:eastAsia="de-DE" w:bidi="en-US"/>
    </w:rPr>
  </w:style>
  <w:style w:type="paragraph" w:customStyle="1" w:styleId="MDPIheaderjournallogo">
    <w:name w:val="MDPI_header_journal_logo"/>
    <w:qFormat/>
    <w:rsid w:val="001E51D5"/>
    <w:pPr>
      <w:adjustRightInd w:val="0"/>
      <w:snapToGrid w:val="0"/>
      <w:spacing w:line="260" w:lineRule="atLeast"/>
      <w:jc w:val="both"/>
    </w:pPr>
    <w:rPr>
      <w:rFonts w:ascii="Palatino Linotype" w:hAnsi="Palatino Linotype" w:cs="Palatino Linotype"/>
      <w:i/>
      <w:color w:val="000000"/>
      <w:sz w:val="24"/>
      <w:szCs w:val="22"/>
      <w:lang w:eastAsia="de-CH"/>
    </w:rPr>
  </w:style>
  <w:style w:type="paragraph" w:customStyle="1" w:styleId="MDPI32textnoindent">
    <w:name w:val="MDPI_3.2_text_no_indent"/>
    <w:basedOn w:val="MDPI31text"/>
    <w:qFormat/>
    <w:rsid w:val="001E51D5"/>
    <w:pPr>
      <w:ind w:firstLine="0"/>
    </w:pPr>
  </w:style>
  <w:style w:type="paragraph" w:customStyle="1" w:styleId="MDPI31text">
    <w:name w:val="MDPI_3.1_text"/>
    <w:qFormat/>
    <w:rsid w:val="001E51D5"/>
    <w:pPr>
      <w:adjustRightInd w:val="0"/>
      <w:snapToGrid w:val="0"/>
      <w:spacing w:line="228" w:lineRule="auto"/>
      <w:ind w:left="2608" w:firstLine="425"/>
      <w:jc w:val="both"/>
    </w:pPr>
    <w:rPr>
      <w:rFonts w:ascii="Palatino Linotype" w:hAnsi="Palatino Linotype" w:cs="Palatino Linotype"/>
      <w:snapToGrid w:val="0"/>
      <w:color w:val="000000"/>
      <w:szCs w:val="22"/>
      <w:lang w:eastAsia="de-DE" w:bidi="en-US"/>
    </w:rPr>
  </w:style>
  <w:style w:type="paragraph" w:customStyle="1" w:styleId="MDPI33textspaceafter">
    <w:name w:val="MDPI_3.3_text_space_after"/>
    <w:qFormat/>
    <w:rsid w:val="001E51D5"/>
    <w:pPr>
      <w:adjustRightInd w:val="0"/>
      <w:snapToGrid w:val="0"/>
      <w:spacing w:after="240" w:line="228" w:lineRule="auto"/>
      <w:ind w:left="2608"/>
      <w:jc w:val="both"/>
    </w:pPr>
    <w:rPr>
      <w:rFonts w:ascii="Palatino Linotype" w:hAnsi="Palatino Linotype" w:cs="Palatino Linotype"/>
      <w:snapToGrid w:val="0"/>
      <w:color w:val="000000"/>
      <w:szCs w:val="22"/>
      <w:lang w:eastAsia="de-DE" w:bidi="en-US"/>
    </w:rPr>
  </w:style>
  <w:style w:type="paragraph" w:customStyle="1" w:styleId="MDPI35textbeforelist">
    <w:name w:val="MDPI_3.5_text_before_list"/>
    <w:qFormat/>
    <w:rsid w:val="001E51D5"/>
    <w:pPr>
      <w:adjustRightInd w:val="0"/>
      <w:snapToGrid w:val="0"/>
      <w:spacing w:line="228" w:lineRule="auto"/>
      <w:ind w:left="2608" w:firstLine="425"/>
      <w:jc w:val="both"/>
    </w:pPr>
    <w:rPr>
      <w:rFonts w:ascii="Palatino Linotype" w:hAnsi="Palatino Linotype" w:cs="Palatino Linotype"/>
      <w:snapToGrid w:val="0"/>
      <w:color w:val="000000"/>
      <w:szCs w:val="22"/>
      <w:lang w:eastAsia="de-DE" w:bidi="en-US"/>
    </w:rPr>
  </w:style>
  <w:style w:type="paragraph" w:customStyle="1" w:styleId="MDPI36textafterlist">
    <w:name w:val="MDPI_3.6_text_after_list"/>
    <w:qFormat/>
    <w:rsid w:val="001E51D5"/>
    <w:pPr>
      <w:adjustRightInd w:val="0"/>
      <w:snapToGrid w:val="0"/>
      <w:spacing w:before="120" w:line="228" w:lineRule="auto"/>
      <w:ind w:left="2608"/>
      <w:jc w:val="both"/>
    </w:pPr>
    <w:rPr>
      <w:rFonts w:ascii="Palatino Linotype" w:hAnsi="Palatino Linotype" w:cs="Palatino Linotype"/>
      <w:snapToGrid w:val="0"/>
      <w:color w:val="000000"/>
      <w:szCs w:val="22"/>
      <w:lang w:eastAsia="de-DE" w:bidi="en-US"/>
    </w:rPr>
  </w:style>
  <w:style w:type="paragraph" w:customStyle="1" w:styleId="MDPI37itemize">
    <w:name w:val="MDPI_3.7_itemize"/>
    <w:qFormat/>
    <w:rsid w:val="001E51D5"/>
    <w:pPr>
      <w:numPr>
        <w:numId w:val="31"/>
      </w:numPr>
      <w:adjustRightInd w:val="0"/>
      <w:snapToGrid w:val="0"/>
      <w:spacing w:line="228" w:lineRule="auto"/>
      <w:jc w:val="both"/>
    </w:pPr>
    <w:rPr>
      <w:rFonts w:ascii="Palatino Linotype" w:hAnsi="Palatino Linotype" w:cs="Palatino Linotype"/>
      <w:color w:val="000000"/>
      <w:szCs w:val="22"/>
      <w:lang w:eastAsia="de-DE" w:bidi="en-US"/>
    </w:rPr>
  </w:style>
  <w:style w:type="paragraph" w:customStyle="1" w:styleId="MDPI38bullet">
    <w:name w:val="MDPI_3.8_bullet"/>
    <w:qFormat/>
    <w:rsid w:val="001E51D5"/>
    <w:pPr>
      <w:tabs>
        <w:tab w:val="left" w:pos="720"/>
      </w:tabs>
      <w:adjustRightInd w:val="0"/>
      <w:snapToGrid w:val="0"/>
      <w:spacing w:line="228" w:lineRule="auto"/>
      <w:ind w:left="720" w:hanging="720"/>
      <w:jc w:val="both"/>
    </w:pPr>
    <w:rPr>
      <w:rFonts w:ascii="Palatino Linotype" w:hAnsi="Palatino Linotype" w:cs="Palatino Linotype"/>
      <w:color w:val="000000"/>
      <w:szCs w:val="22"/>
      <w:lang w:eastAsia="de-DE" w:bidi="en-US"/>
    </w:rPr>
  </w:style>
  <w:style w:type="paragraph" w:customStyle="1" w:styleId="MDPI39equation">
    <w:name w:val="MDPI_3.9_equation"/>
    <w:qFormat/>
    <w:rsid w:val="001E51D5"/>
    <w:pPr>
      <w:adjustRightInd w:val="0"/>
      <w:snapToGrid w:val="0"/>
      <w:spacing w:before="120" w:after="120" w:line="260" w:lineRule="atLeast"/>
      <w:ind w:left="709"/>
      <w:jc w:val="center"/>
    </w:pPr>
    <w:rPr>
      <w:rFonts w:ascii="Palatino Linotype" w:hAnsi="Palatino Linotype" w:cs="Palatino Linotype"/>
      <w:snapToGrid w:val="0"/>
      <w:color w:val="000000"/>
      <w:szCs w:val="22"/>
      <w:lang w:eastAsia="de-DE" w:bidi="en-US"/>
    </w:rPr>
  </w:style>
  <w:style w:type="paragraph" w:customStyle="1" w:styleId="MDPI3aequationnumber">
    <w:name w:val="MDPI_3.a_equation_number"/>
    <w:qFormat/>
    <w:rsid w:val="001E51D5"/>
    <w:pPr>
      <w:spacing w:before="120" w:after="120"/>
      <w:jc w:val="right"/>
    </w:pPr>
    <w:rPr>
      <w:rFonts w:ascii="Palatino Linotype" w:hAnsi="Palatino Linotype" w:cs="Palatino Linotype"/>
      <w:snapToGrid w:val="0"/>
      <w:color w:val="000000"/>
      <w:szCs w:val="22"/>
      <w:lang w:eastAsia="de-DE" w:bidi="en-US"/>
    </w:rPr>
  </w:style>
  <w:style w:type="paragraph" w:customStyle="1" w:styleId="MDPI41tablecaption">
    <w:name w:val="MDPI_4.1_table_caption"/>
    <w:qFormat/>
    <w:rsid w:val="001E51D5"/>
    <w:pPr>
      <w:adjustRightInd w:val="0"/>
      <w:snapToGrid w:val="0"/>
      <w:spacing w:before="240" w:after="120" w:line="228" w:lineRule="auto"/>
      <w:ind w:left="2608"/>
      <w:jc w:val="both"/>
    </w:pPr>
    <w:rPr>
      <w:rFonts w:ascii="Palatino Linotype" w:hAnsi="Palatino Linotype" w:cs="Cordia New"/>
      <w:color w:val="000000"/>
      <w:sz w:val="18"/>
      <w:szCs w:val="22"/>
      <w:lang w:eastAsia="de-DE" w:bidi="en-US"/>
    </w:rPr>
  </w:style>
  <w:style w:type="paragraph" w:customStyle="1" w:styleId="MDPI42tablebody">
    <w:name w:val="MDPI_4.2_table_body"/>
    <w:qFormat/>
    <w:rsid w:val="001E51D5"/>
    <w:pPr>
      <w:adjustRightInd w:val="0"/>
      <w:snapToGrid w:val="0"/>
      <w:spacing w:line="260" w:lineRule="atLeast"/>
      <w:jc w:val="center"/>
    </w:pPr>
    <w:rPr>
      <w:rFonts w:ascii="Palatino Linotype" w:hAnsi="Palatino Linotype" w:cs="Palatino Linotype"/>
      <w:snapToGrid w:val="0"/>
      <w:color w:val="000000"/>
      <w:lang w:eastAsia="de-DE" w:bidi="en-US"/>
    </w:rPr>
  </w:style>
  <w:style w:type="paragraph" w:customStyle="1" w:styleId="MDPI43tablefooter">
    <w:name w:val="MDPI_4.3_table_footer"/>
    <w:next w:val="MDPI31text"/>
    <w:qFormat/>
    <w:rsid w:val="001E51D5"/>
    <w:pPr>
      <w:adjustRightInd w:val="0"/>
      <w:snapToGrid w:val="0"/>
      <w:spacing w:line="228" w:lineRule="auto"/>
      <w:ind w:left="2608"/>
      <w:jc w:val="both"/>
    </w:pPr>
    <w:rPr>
      <w:rFonts w:ascii="Palatino Linotype" w:hAnsi="Palatino Linotype" w:cs="Cordia New"/>
      <w:color w:val="000000"/>
      <w:sz w:val="18"/>
      <w:szCs w:val="22"/>
      <w:lang w:eastAsia="de-DE" w:bidi="en-US"/>
    </w:rPr>
  </w:style>
  <w:style w:type="paragraph" w:customStyle="1" w:styleId="MDPI51figurecaption">
    <w:name w:val="MDPI_5.1_figure_caption"/>
    <w:qFormat/>
    <w:rsid w:val="001E51D5"/>
    <w:pPr>
      <w:adjustRightInd w:val="0"/>
      <w:snapToGrid w:val="0"/>
      <w:spacing w:before="120" w:after="240" w:line="228" w:lineRule="auto"/>
      <w:ind w:left="2608"/>
      <w:jc w:val="both"/>
    </w:pPr>
    <w:rPr>
      <w:rFonts w:ascii="Palatino Linotype" w:hAnsi="Palatino Linotype" w:cs="Palatino Linotype"/>
      <w:color w:val="000000"/>
      <w:sz w:val="18"/>
      <w:lang w:eastAsia="de-DE" w:bidi="en-US"/>
    </w:rPr>
  </w:style>
  <w:style w:type="paragraph" w:customStyle="1" w:styleId="MDPI52figure">
    <w:name w:val="MDPI_5.2_figure"/>
    <w:qFormat/>
    <w:rsid w:val="001E51D5"/>
    <w:pPr>
      <w:adjustRightInd w:val="0"/>
      <w:snapToGrid w:val="0"/>
      <w:spacing w:before="240" w:after="120"/>
      <w:jc w:val="center"/>
    </w:pPr>
    <w:rPr>
      <w:rFonts w:ascii="Palatino Linotype" w:hAnsi="Palatino Linotype" w:cs="Palatino Linotype"/>
      <w:snapToGrid w:val="0"/>
      <w:color w:val="000000"/>
      <w:lang w:eastAsia="de-DE" w:bidi="en-US"/>
    </w:rPr>
  </w:style>
  <w:style w:type="paragraph" w:customStyle="1" w:styleId="MDPI23heading3">
    <w:name w:val="MDPI_2.3_heading3"/>
    <w:qFormat/>
    <w:rsid w:val="001E51D5"/>
    <w:pPr>
      <w:adjustRightInd w:val="0"/>
      <w:snapToGrid w:val="0"/>
      <w:spacing w:before="60" w:after="60" w:line="228" w:lineRule="auto"/>
      <w:ind w:left="2608"/>
      <w:jc w:val="both"/>
      <w:outlineLvl w:val="2"/>
    </w:pPr>
    <w:rPr>
      <w:rFonts w:ascii="Palatino Linotype" w:hAnsi="Palatino Linotype" w:cs="Palatino Linotype"/>
      <w:snapToGrid w:val="0"/>
      <w:color w:val="000000"/>
      <w:szCs w:val="22"/>
      <w:lang w:eastAsia="de-DE" w:bidi="en-US"/>
    </w:rPr>
  </w:style>
  <w:style w:type="paragraph" w:customStyle="1" w:styleId="MDPI22heading2">
    <w:name w:val="MDPI_2.2_heading2"/>
    <w:qFormat/>
    <w:rsid w:val="001E51D5"/>
    <w:pPr>
      <w:adjustRightInd w:val="0"/>
      <w:snapToGrid w:val="0"/>
      <w:spacing w:before="60" w:after="60" w:line="228" w:lineRule="auto"/>
      <w:ind w:left="2608"/>
      <w:jc w:val="both"/>
      <w:outlineLvl w:val="1"/>
    </w:pPr>
    <w:rPr>
      <w:rFonts w:ascii="Palatino Linotype" w:hAnsi="Palatino Linotype" w:cs="Palatino Linotype"/>
      <w:i/>
      <w:snapToGrid w:val="0"/>
      <w:color w:val="000000"/>
      <w:szCs w:val="22"/>
      <w:lang w:eastAsia="de-DE" w:bidi="en-US"/>
    </w:rPr>
  </w:style>
  <w:style w:type="paragraph" w:customStyle="1" w:styleId="MDPI71References">
    <w:name w:val="MDPI_7.1_References"/>
    <w:qFormat/>
    <w:rsid w:val="001E51D5"/>
    <w:pPr>
      <w:tabs>
        <w:tab w:val="left" w:pos="720"/>
      </w:tabs>
      <w:adjustRightInd w:val="0"/>
      <w:snapToGrid w:val="0"/>
      <w:spacing w:line="228" w:lineRule="auto"/>
      <w:ind w:left="720" w:hanging="720"/>
      <w:jc w:val="both"/>
    </w:pPr>
    <w:rPr>
      <w:rFonts w:ascii="Palatino Linotype" w:hAnsi="Palatino Linotype" w:cs="Palatino Linotype"/>
      <w:color w:val="000000"/>
      <w:sz w:val="18"/>
      <w:lang w:eastAsia="de-DE" w:bidi="en-US"/>
    </w:rPr>
  </w:style>
  <w:style w:type="paragraph" w:customStyle="1" w:styleId="MDPI34textspacebefore">
    <w:name w:val="MDPI_3.4_text_space_before"/>
    <w:qFormat/>
    <w:rsid w:val="001E51D5"/>
    <w:pPr>
      <w:adjustRightInd w:val="0"/>
      <w:snapToGrid w:val="0"/>
      <w:spacing w:before="240" w:line="228" w:lineRule="auto"/>
      <w:ind w:left="2608"/>
      <w:jc w:val="both"/>
    </w:pPr>
    <w:rPr>
      <w:rFonts w:ascii="Palatino Linotype" w:hAnsi="Palatino Linotype" w:cs="Palatino Linotype"/>
      <w:snapToGrid w:val="0"/>
      <w:color w:val="000000"/>
      <w:szCs w:val="22"/>
      <w:lang w:eastAsia="de-DE" w:bidi="en-US"/>
    </w:rPr>
  </w:style>
  <w:style w:type="paragraph" w:customStyle="1" w:styleId="MDPI81theorem">
    <w:name w:val="MDPI_8.1_theorem"/>
    <w:qFormat/>
    <w:rsid w:val="001E51D5"/>
    <w:pPr>
      <w:adjustRightInd w:val="0"/>
      <w:snapToGrid w:val="0"/>
      <w:spacing w:line="228" w:lineRule="auto"/>
      <w:ind w:left="2608"/>
      <w:jc w:val="both"/>
    </w:pPr>
    <w:rPr>
      <w:rFonts w:ascii="Palatino Linotype" w:hAnsi="Palatino Linotype" w:cs="Palatino Linotype"/>
      <w:i/>
      <w:snapToGrid w:val="0"/>
      <w:color w:val="000000"/>
      <w:szCs w:val="22"/>
      <w:lang w:eastAsia="de-DE" w:bidi="en-US"/>
    </w:rPr>
  </w:style>
  <w:style w:type="paragraph" w:customStyle="1" w:styleId="MDPI82proof">
    <w:name w:val="MDPI_8.2_proof"/>
    <w:qFormat/>
    <w:rsid w:val="001E51D5"/>
    <w:pPr>
      <w:adjustRightInd w:val="0"/>
      <w:snapToGrid w:val="0"/>
      <w:spacing w:line="228" w:lineRule="auto"/>
      <w:ind w:left="2608"/>
      <w:jc w:val="both"/>
    </w:pPr>
    <w:rPr>
      <w:rFonts w:ascii="Palatino Linotype" w:hAnsi="Palatino Linotype" w:cs="Palatino Linotype"/>
      <w:snapToGrid w:val="0"/>
      <w:color w:val="000000"/>
      <w:szCs w:val="22"/>
      <w:lang w:eastAsia="de-DE" w:bidi="en-US"/>
    </w:rPr>
  </w:style>
  <w:style w:type="paragraph" w:customStyle="1" w:styleId="MDPI61Citation">
    <w:name w:val="MDPI_6.1_Citation"/>
    <w:qFormat/>
    <w:rsid w:val="001E51D5"/>
    <w:pPr>
      <w:adjustRightInd w:val="0"/>
      <w:snapToGrid w:val="0"/>
      <w:spacing w:line="240" w:lineRule="atLeast"/>
      <w:ind w:right="113"/>
      <w:jc w:val="both"/>
    </w:pPr>
    <w:rPr>
      <w:rFonts w:ascii="Palatino Linotype" w:eastAsia="Palatino Linotype" w:hAnsi="Palatino Linotype" w:cs="Cordia New"/>
      <w:sz w:val="14"/>
      <w:szCs w:val="22"/>
      <w:lang w:eastAsia="zh-CN"/>
    </w:rPr>
  </w:style>
  <w:style w:type="paragraph" w:customStyle="1" w:styleId="MDPI62BackMatter">
    <w:name w:val="MDPI_6.2_BackMatter"/>
    <w:qFormat/>
    <w:rsid w:val="001E51D5"/>
    <w:pPr>
      <w:adjustRightInd w:val="0"/>
      <w:snapToGrid w:val="0"/>
      <w:spacing w:after="120" w:line="228" w:lineRule="auto"/>
      <w:ind w:left="2608"/>
      <w:jc w:val="both"/>
    </w:pPr>
    <w:rPr>
      <w:rFonts w:ascii="Palatino Linotype" w:hAnsi="Palatino Linotype" w:cs="Palatino Linotype"/>
      <w:snapToGrid w:val="0"/>
      <w:color w:val="000000"/>
      <w:sz w:val="18"/>
      <w:lang w:bidi="en-US"/>
    </w:rPr>
  </w:style>
  <w:style w:type="paragraph" w:customStyle="1" w:styleId="MDPI63Notes">
    <w:name w:val="MDPI_6.3_Notes"/>
    <w:qFormat/>
    <w:rsid w:val="001E51D5"/>
    <w:pPr>
      <w:adjustRightInd w:val="0"/>
      <w:snapToGrid w:val="0"/>
      <w:spacing w:after="120" w:line="240" w:lineRule="atLeast"/>
      <w:ind w:right="113"/>
      <w:jc w:val="both"/>
    </w:pPr>
    <w:rPr>
      <w:rFonts w:ascii="Palatino Linotype" w:eastAsia="Palatino Linotype" w:hAnsi="Palatino Linotype" w:cs="Palatino Linotype"/>
      <w:snapToGrid w:val="0"/>
      <w:color w:val="000000"/>
      <w:sz w:val="14"/>
      <w:lang w:bidi="en-US"/>
    </w:rPr>
  </w:style>
  <w:style w:type="paragraph" w:customStyle="1" w:styleId="MDPI15academiceditor">
    <w:name w:val="MDPI_1.5_academic_editor"/>
    <w:qFormat/>
    <w:rsid w:val="001E51D5"/>
    <w:pPr>
      <w:adjustRightInd w:val="0"/>
      <w:snapToGrid w:val="0"/>
      <w:spacing w:before="240" w:line="240" w:lineRule="atLeast"/>
      <w:ind w:right="113"/>
      <w:jc w:val="both"/>
    </w:pPr>
    <w:rPr>
      <w:rFonts w:ascii="Palatino Linotype" w:hAnsi="Palatino Linotype" w:cs="Palatino Linotype"/>
      <w:color w:val="000000"/>
      <w:sz w:val="14"/>
      <w:szCs w:val="22"/>
      <w:lang w:eastAsia="de-DE" w:bidi="en-US"/>
    </w:rPr>
  </w:style>
  <w:style w:type="paragraph" w:customStyle="1" w:styleId="MDPI19classification">
    <w:name w:val="MDPI_1.9_classification"/>
    <w:qFormat/>
    <w:rsid w:val="001E51D5"/>
    <w:pPr>
      <w:spacing w:before="240" w:line="260" w:lineRule="atLeast"/>
      <w:ind w:left="113"/>
      <w:jc w:val="both"/>
    </w:pPr>
    <w:rPr>
      <w:rFonts w:ascii="Palatino Linotype" w:hAnsi="Palatino Linotype" w:cs="Palatino Linotype"/>
      <w:b/>
      <w:color w:val="000000"/>
      <w:szCs w:val="22"/>
      <w:lang w:eastAsia="de-DE" w:bidi="en-US"/>
    </w:rPr>
  </w:style>
  <w:style w:type="paragraph" w:customStyle="1" w:styleId="MDPI411onetablecaption">
    <w:name w:val="MDPI_4.1.1_one_table_caption"/>
    <w:qFormat/>
    <w:rsid w:val="001E51D5"/>
    <w:pPr>
      <w:adjustRightInd w:val="0"/>
      <w:snapToGrid w:val="0"/>
      <w:spacing w:before="240" w:after="120" w:line="260" w:lineRule="atLeast"/>
      <w:jc w:val="center"/>
    </w:pPr>
    <w:rPr>
      <w:rFonts w:ascii="Palatino Linotype" w:eastAsia="Palatino Linotype" w:hAnsi="Palatino Linotype" w:cs="Cordia New"/>
      <w:color w:val="000000"/>
      <w:sz w:val="18"/>
      <w:szCs w:val="22"/>
      <w:lang w:eastAsia="zh-CN" w:bidi="en-US"/>
    </w:rPr>
  </w:style>
  <w:style w:type="paragraph" w:customStyle="1" w:styleId="MDPI511onefigurecaption">
    <w:name w:val="MDPI_5.1.1_one_figure_caption"/>
    <w:qFormat/>
    <w:rsid w:val="001E51D5"/>
    <w:pPr>
      <w:adjustRightInd w:val="0"/>
      <w:snapToGrid w:val="0"/>
      <w:spacing w:before="240" w:after="120" w:line="260" w:lineRule="atLeast"/>
      <w:jc w:val="center"/>
    </w:pPr>
    <w:rPr>
      <w:rFonts w:ascii="Palatino Linotype" w:eastAsia="Palatino Linotype" w:hAnsi="Palatino Linotype" w:cs="Palatino Linotype"/>
      <w:color w:val="000000"/>
      <w:sz w:val="18"/>
      <w:lang w:eastAsia="zh-CN" w:bidi="en-US"/>
    </w:rPr>
  </w:style>
  <w:style w:type="paragraph" w:customStyle="1" w:styleId="MDPI72Copyright">
    <w:name w:val="MDPI_7.2_Copyright"/>
    <w:qFormat/>
    <w:rsid w:val="001E51D5"/>
    <w:pPr>
      <w:adjustRightInd w:val="0"/>
      <w:snapToGrid w:val="0"/>
      <w:spacing w:before="240" w:line="240" w:lineRule="atLeast"/>
      <w:ind w:right="113"/>
      <w:jc w:val="both"/>
    </w:pPr>
    <w:rPr>
      <w:rFonts w:ascii="Palatino Linotype" w:hAnsi="Palatino Linotype" w:cs="Palatino Linotype"/>
      <w:snapToGrid w:val="0"/>
      <w:color w:val="000000"/>
      <w:spacing w:val="-2"/>
      <w:sz w:val="14"/>
      <w:lang w:val="en-GB" w:eastAsia="en-GB"/>
    </w:rPr>
  </w:style>
  <w:style w:type="paragraph" w:customStyle="1" w:styleId="MDPI73CopyrightImage">
    <w:name w:val="MDPI_7.3_CopyrightImage"/>
    <w:rsid w:val="001E51D5"/>
    <w:pPr>
      <w:adjustRightInd w:val="0"/>
      <w:snapToGrid w:val="0"/>
      <w:spacing w:after="100" w:line="260" w:lineRule="atLeast"/>
      <w:jc w:val="right"/>
    </w:pPr>
    <w:rPr>
      <w:rFonts w:ascii="Palatino Linotype" w:hAnsi="Palatino Linotype" w:cs="Palatino Linotype"/>
      <w:color w:val="000000"/>
      <w:lang w:eastAsia="de-CH"/>
    </w:rPr>
  </w:style>
  <w:style w:type="paragraph" w:customStyle="1" w:styleId="MDPIequationFram">
    <w:name w:val="MDPI_equationFram"/>
    <w:qFormat/>
    <w:rsid w:val="001E51D5"/>
    <w:pPr>
      <w:adjustRightInd w:val="0"/>
      <w:snapToGrid w:val="0"/>
      <w:spacing w:before="120" w:after="120"/>
      <w:jc w:val="center"/>
    </w:pPr>
    <w:rPr>
      <w:rFonts w:ascii="Palatino Linotype" w:hAnsi="Palatino Linotype" w:cs="Palatino Linotype"/>
      <w:snapToGrid w:val="0"/>
      <w:color w:val="000000"/>
      <w:szCs w:val="22"/>
      <w:lang w:eastAsia="de-DE" w:bidi="en-US"/>
    </w:rPr>
  </w:style>
  <w:style w:type="paragraph" w:customStyle="1" w:styleId="MDPIfooter">
    <w:name w:val="MDPI_footer"/>
    <w:qFormat/>
    <w:rsid w:val="001E51D5"/>
    <w:pPr>
      <w:adjustRightInd w:val="0"/>
      <w:snapToGrid w:val="0"/>
      <w:spacing w:before="120" w:line="260" w:lineRule="atLeast"/>
      <w:jc w:val="center"/>
    </w:pPr>
    <w:rPr>
      <w:rFonts w:ascii="Palatino Linotype" w:hAnsi="Palatino Linotype" w:cs="Palatino Linotype"/>
      <w:color w:val="000000"/>
      <w:lang w:eastAsia="de-DE"/>
    </w:rPr>
  </w:style>
  <w:style w:type="paragraph" w:customStyle="1" w:styleId="MDPIfooterfirstpage">
    <w:name w:val="MDPI_footer_firstpage"/>
    <w:qFormat/>
    <w:rsid w:val="001E51D5"/>
    <w:pPr>
      <w:tabs>
        <w:tab w:val="right" w:pos="8845"/>
      </w:tabs>
      <w:spacing w:line="160" w:lineRule="exact"/>
      <w:jc w:val="both"/>
    </w:pPr>
    <w:rPr>
      <w:rFonts w:ascii="Palatino Linotype" w:hAnsi="Palatino Linotype" w:cs="Palatino Linotype"/>
      <w:color w:val="000000"/>
      <w:sz w:val="16"/>
      <w:lang w:eastAsia="de-DE"/>
    </w:rPr>
  </w:style>
  <w:style w:type="paragraph" w:customStyle="1" w:styleId="MDPIheader">
    <w:name w:val="MDPI_header"/>
    <w:qFormat/>
    <w:rsid w:val="001E51D5"/>
    <w:pPr>
      <w:adjustRightInd w:val="0"/>
      <w:snapToGrid w:val="0"/>
      <w:spacing w:after="240" w:line="260" w:lineRule="atLeast"/>
      <w:jc w:val="both"/>
    </w:pPr>
    <w:rPr>
      <w:rFonts w:ascii="Palatino Linotype" w:hAnsi="Palatino Linotype" w:cs="Palatino Linotype"/>
      <w:iCs/>
      <w:color w:val="000000"/>
      <w:sz w:val="16"/>
      <w:lang w:eastAsia="de-DE"/>
    </w:rPr>
  </w:style>
  <w:style w:type="paragraph" w:customStyle="1" w:styleId="MDPIheadercitation">
    <w:name w:val="MDPI_header_citation"/>
    <w:rsid w:val="001E51D5"/>
    <w:pPr>
      <w:spacing w:after="240"/>
      <w:jc w:val="both"/>
    </w:pPr>
    <w:rPr>
      <w:rFonts w:ascii="Palatino Linotype" w:hAnsi="Palatino Linotype" w:cs="Palatino Linotype"/>
      <w:snapToGrid w:val="0"/>
      <w:color w:val="000000"/>
      <w:sz w:val="18"/>
      <w:lang w:eastAsia="de-DE" w:bidi="en-US"/>
    </w:rPr>
  </w:style>
  <w:style w:type="paragraph" w:customStyle="1" w:styleId="MDPIheadermdpilogo">
    <w:name w:val="MDPI_header_mdpi_logo"/>
    <w:qFormat/>
    <w:rsid w:val="001E51D5"/>
    <w:pPr>
      <w:adjustRightInd w:val="0"/>
      <w:snapToGrid w:val="0"/>
      <w:spacing w:line="260" w:lineRule="atLeast"/>
      <w:jc w:val="right"/>
    </w:pPr>
    <w:rPr>
      <w:rFonts w:ascii="Palatino Linotype" w:hAnsi="Palatino Linotype" w:cs="Palatino Linotype"/>
      <w:color w:val="000000"/>
      <w:sz w:val="24"/>
      <w:szCs w:val="22"/>
      <w:lang w:eastAsia="de-CH"/>
    </w:rPr>
  </w:style>
  <w:style w:type="paragraph" w:customStyle="1" w:styleId="MDPItext">
    <w:name w:val="MDPI_text"/>
    <w:qFormat/>
    <w:rsid w:val="001E51D5"/>
    <w:pPr>
      <w:spacing w:line="260" w:lineRule="atLeast"/>
      <w:ind w:left="425" w:right="425" w:firstLine="284"/>
      <w:jc w:val="both"/>
    </w:pPr>
    <w:rPr>
      <w:rFonts w:cs="Palatino Linotype"/>
      <w:snapToGrid w:val="0"/>
      <w:color w:val="000000"/>
      <w:sz w:val="22"/>
      <w:szCs w:val="22"/>
      <w:lang w:eastAsia="de-DE" w:bidi="en-US"/>
    </w:rPr>
  </w:style>
  <w:style w:type="paragraph" w:customStyle="1" w:styleId="MDPItitle">
    <w:name w:val="MDPI_title"/>
    <w:qFormat/>
    <w:rsid w:val="001E51D5"/>
    <w:pPr>
      <w:adjustRightInd w:val="0"/>
      <w:snapToGrid w:val="0"/>
      <w:spacing w:after="240" w:line="260" w:lineRule="atLeast"/>
      <w:jc w:val="both"/>
    </w:pPr>
    <w:rPr>
      <w:rFonts w:ascii="Palatino Linotype" w:hAnsi="Palatino Linotype" w:cs="Palatino Linotype"/>
      <w:b/>
      <w:snapToGrid w:val="0"/>
      <w:color w:val="000000"/>
      <w:sz w:val="36"/>
      <w:lang w:eastAsia="de-DE" w:bidi="en-US"/>
    </w:rPr>
  </w:style>
  <w:style w:type="character" w:customStyle="1" w:styleId="apple-converted-space">
    <w:name w:val="apple-converted-space"/>
    <w:rsid w:val="001E51D5"/>
  </w:style>
  <w:style w:type="paragraph" w:customStyle="1" w:styleId="MsoFootnoteText0">
    <w:name w:val="MsoFootnoteText"/>
    <w:basedOn w:val="NormalWeb"/>
    <w:qFormat/>
    <w:rsid w:val="001E51D5"/>
    <w:rPr>
      <w:rFonts w:ascii="Times New Roman" w:hAnsi="Times New Roman"/>
    </w:rPr>
  </w:style>
  <w:style w:type="paragraph" w:styleId="ListParagraph">
    <w:name w:val="List Paragraph"/>
    <w:basedOn w:val="Normal"/>
    <w:uiPriority w:val="34"/>
    <w:qFormat/>
    <w:rsid w:val="001E51D5"/>
    <w:pPr>
      <w:spacing w:line="276" w:lineRule="auto"/>
      <w:ind w:left="720"/>
      <w:contextualSpacing/>
    </w:pPr>
    <w:rPr>
      <w:rFonts w:ascii="Arial" w:eastAsia="Arial" w:hAnsi="Arial" w:cs="Arial"/>
      <w:sz w:val="22"/>
      <w:szCs w:val="22"/>
    </w:rPr>
  </w:style>
  <w:style w:type="character" w:customStyle="1" w:styleId="relative">
    <w:name w:val="relative"/>
    <w:basedOn w:val="DefaultParagraphFont"/>
    <w:rsid w:val="001E51D5"/>
  </w:style>
  <w:style w:type="character" w:customStyle="1" w:styleId="url">
    <w:name w:val="url"/>
    <w:basedOn w:val="DefaultParagraphFont"/>
    <w:rsid w:val="001E51D5"/>
  </w:style>
  <w:style w:type="character" w:customStyle="1" w:styleId="label">
    <w:name w:val="label"/>
    <w:basedOn w:val="DefaultParagraphFont"/>
    <w:rsid w:val="001E51D5"/>
  </w:style>
  <w:style w:type="paragraph" w:styleId="NoSpacing">
    <w:name w:val="No Spacing"/>
    <w:uiPriority w:val="1"/>
    <w:qFormat/>
    <w:rsid w:val="001E51D5"/>
    <w:rPr>
      <w:rFonts w:asciiTheme="minorHAnsi" w:eastAsiaTheme="minorHAnsi" w:hAnsiTheme="minorHAnsi" w:cstheme="minorBidi"/>
      <w:kern w:val="2"/>
      <w:sz w:val="24"/>
      <w:szCs w:val="24"/>
    </w:rPr>
  </w:style>
  <w:style w:type="paragraph" w:styleId="Revision">
    <w:name w:val="Revision"/>
    <w:hidden/>
    <w:uiPriority w:val="99"/>
    <w:unhideWhenUsed/>
    <w:rsid w:val="001E51D5"/>
    <w:rPr>
      <w:rFonts w:ascii="Palatino Linotype" w:eastAsia="Palatino Linotype" w:hAnsi="Palatino Linotype" w:cs="Palatino Linotype"/>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21009/biosferjpb.26030" TargetMode="External"/><Relationship Id="rId2" Type="http://schemas.openxmlformats.org/officeDocument/2006/relationships/numbering" Target="numbering.xml"/><Relationship Id="rId16" Type="http://schemas.openxmlformats.org/officeDocument/2006/relationships/hyperlink" Target="https://doi.org/10.1177/00986283231218943"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390/healthcare11040578"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47119/ijrp1001221420234624"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D07F6-4CB2-495A-A093-9BAA2ABB0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39</TotalTime>
  <Pages>28</Pages>
  <Words>13883</Words>
  <Characters>79135</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92833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10</cp:revision>
  <cp:lastPrinted>1999-07-06T11:00:00Z</cp:lastPrinted>
  <dcterms:created xsi:type="dcterms:W3CDTF">2026-09-03T09:40:00Z</dcterms:created>
  <dcterms:modified xsi:type="dcterms:W3CDTF">2026-09-04T11:40:00Z</dcterms:modified>
</cp:coreProperties>
</file>