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35620" w14:textId="77777777" w:rsidR="00DD2AAA" w:rsidRPr="00A322A9" w:rsidRDefault="00DD2AAA" w:rsidP="00A322A9">
      <w:pPr>
        <w:spacing w:before="720" w:after="560" w:line="360" w:lineRule="auto"/>
        <w:jc w:val="center"/>
        <w:rPr>
          <w:rFonts w:ascii="Times New Roman" w:hAnsi="Times New Roman" w:cs="Times New Roman"/>
          <w:b/>
          <w:bCs/>
          <w:sz w:val="24"/>
          <w:szCs w:val="24"/>
        </w:rPr>
      </w:pPr>
      <w:r w:rsidRPr="00A322A9">
        <w:rPr>
          <w:rFonts w:ascii="Times New Roman" w:hAnsi="Times New Roman" w:cs="Times New Roman"/>
          <w:b/>
          <w:bCs/>
          <w:sz w:val="32"/>
          <w:szCs w:val="24"/>
        </w:rPr>
        <w:t>Used Lead-Acid Batteries from Nigeria's Off-Grid Solar Sector: Environmental Health Risks, Regulatory Gaps and Circular-Economy Responses</w:t>
      </w:r>
    </w:p>
    <w:p w14:paraId="1B80C0DE" w14:textId="77777777" w:rsidR="00E02039" w:rsidRDefault="00E02039" w:rsidP="00A322A9">
      <w:pPr>
        <w:spacing w:line="360" w:lineRule="auto"/>
        <w:rPr>
          <w:rFonts w:ascii="Times New Roman" w:hAnsi="Times New Roman" w:cs="Times New Roman"/>
          <w:b/>
          <w:bCs/>
          <w:sz w:val="24"/>
          <w:szCs w:val="24"/>
        </w:rPr>
      </w:pPr>
    </w:p>
    <w:p w14:paraId="06EFA5A5" w14:textId="406C72E6" w:rsidR="00DD2AAA" w:rsidRPr="00A322A9" w:rsidRDefault="00DD2AAA" w:rsidP="00A322A9">
      <w:pPr>
        <w:spacing w:line="360" w:lineRule="auto"/>
        <w:rPr>
          <w:rFonts w:ascii="Times New Roman" w:hAnsi="Times New Roman" w:cs="Times New Roman"/>
          <w:b/>
          <w:bCs/>
          <w:sz w:val="24"/>
          <w:szCs w:val="24"/>
        </w:rPr>
      </w:pPr>
      <w:r w:rsidRPr="00A322A9">
        <w:rPr>
          <w:rFonts w:ascii="Times New Roman" w:hAnsi="Times New Roman" w:cs="Times New Roman"/>
          <w:b/>
          <w:bCs/>
          <w:sz w:val="24"/>
          <w:szCs w:val="24"/>
        </w:rPr>
        <w:t>Abstract</w:t>
      </w:r>
    </w:p>
    <w:p w14:paraId="32B255F4" w14:textId="77777777" w:rsidR="00306F00" w:rsidRPr="00306F00" w:rsidRDefault="00DD2AAA" w:rsidP="00306F00">
      <w:pPr>
        <w:spacing w:line="360" w:lineRule="auto"/>
        <w:rPr>
          <w:rFonts w:ascii="Times New Roman" w:hAnsi="Times New Roman" w:cs="Times New Roman"/>
          <w:sz w:val="24"/>
          <w:szCs w:val="24"/>
        </w:rPr>
      </w:pPr>
      <w:r w:rsidRPr="00306F00">
        <w:rPr>
          <w:rFonts w:ascii="Times New Roman" w:hAnsi="Times New Roman" w:cs="Times New Roman"/>
          <w:sz w:val="24"/>
          <w:szCs w:val="24"/>
        </w:rPr>
        <w:t xml:space="preserve">Background: </w:t>
      </w:r>
      <w:r w:rsidR="00306F00" w:rsidRPr="00306F00">
        <w:rPr>
          <w:rFonts w:ascii="Times New Roman" w:hAnsi="Times New Roman" w:cs="Times New Roman"/>
          <w:sz w:val="24"/>
          <w:szCs w:val="24"/>
        </w:rPr>
        <w:t xml:space="preserve">The boom in Nigeria's off-grid solar market is driving the demand for more lead-acid batteries, many of which need to be replaced within two to four years. While there is a </w:t>
      </w:r>
      <w:proofErr w:type="spellStart"/>
      <w:r w:rsidR="00306F00" w:rsidRPr="00306F00">
        <w:rPr>
          <w:rFonts w:ascii="Times New Roman" w:hAnsi="Times New Roman" w:cs="Times New Roman"/>
          <w:sz w:val="24"/>
          <w:szCs w:val="24"/>
        </w:rPr>
        <w:t>well documented</w:t>
      </w:r>
      <w:proofErr w:type="spellEnd"/>
      <w:r w:rsidR="00306F00" w:rsidRPr="00306F00">
        <w:rPr>
          <w:rFonts w:ascii="Times New Roman" w:hAnsi="Times New Roman" w:cs="Times New Roman"/>
          <w:sz w:val="24"/>
          <w:szCs w:val="24"/>
        </w:rPr>
        <w:t xml:space="preserve"> problem of unsafe recycling of used lead acid batteries in Nigeria, the number of batteries recycles which result in severe lead exposure and environmental contamination from off-grid solar systems is not known. This lack of evidence restricts the ability to assess the total environmental and health impacts of the sector.</w:t>
      </w:r>
    </w:p>
    <w:p w14:paraId="7E982F27" w14:textId="77777777" w:rsidR="00DD2AAA" w:rsidRPr="00A322A9" w:rsidRDefault="00DD2AAA" w:rsidP="00A322A9">
      <w:pPr>
        <w:spacing w:line="360" w:lineRule="auto"/>
        <w:rPr>
          <w:rFonts w:ascii="Times New Roman" w:hAnsi="Times New Roman" w:cs="Times New Roman"/>
          <w:sz w:val="24"/>
          <w:szCs w:val="24"/>
        </w:rPr>
      </w:pPr>
      <w:r w:rsidRPr="00A322A9">
        <w:rPr>
          <w:rFonts w:ascii="Times New Roman" w:hAnsi="Times New Roman" w:cs="Times New Roman"/>
          <w:sz w:val="24"/>
          <w:szCs w:val="24"/>
        </w:rPr>
        <w:t>Aim: To examine how used lead-acid batteries from Nigeria's off-grid solar sector are managed, to assess the risks involved, and to evaluate the regulatory and circular-economy response.</w:t>
      </w:r>
    </w:p>
    <w:p w14:paraId="2F55F03E" w14:textId="77777777" w:rsidR="00DD2AAA" w:rsidRPr="00A322A9" w:rsidRDefault="00DD2AAA" w:rsidP="00A322A9">
      <w:pPr>
        <w:spacing w:line="360" w:lineRule="auto"/>
        <w:rPr>
          <w:rFonts w:ascii="Times New Roman" w:hAnsi="Times New Roman" w:cs="Times New Roman"/>
          <w:sz w:val="24"/>
          <w:szCs w:val="24"/>
        </w:rPr>
      </w:pPr>
      <w:r w:rsidRPr="00A322A9">
        <w:rPr>
          <w:rFonts w:ascii="Times New Roman" w:hAnsi="Times New Roman" w:cs="Times New Roman"/>
          <w:sz w:val="24"/>
          <w:szCs w:val="24"/>
        </w:rPr>
        <w:t xml:space="preserve">Methodology: This narrative review searched MEDLINE, Scopus, the Cochrane Library, and Google Scholar from inception to August 2026, and also reviewed institutional and Nigerian government sources. We categorized evidence by whether it concerned solar batteries in Nigeria, Nigerian batteries of unspecified origin, other African settings, or general lead toxicology. </w:t>
      </w:r>
    </w:p>
    <w:p w14:paraId="0EEE44C8" w14:textId="77777777" w:rsidR="00DD2AAA" w:rsidRPr="00A322A9" w:rsidRDefault="00DD2AAA" w:rsidP="00A322A9">
      <w:pPr>
        <w:spacing w:line="360" w:lineRule="auto"/>
        <w:rPr>
          <w:rFonts w:ascii="Times New Roman" w:hAnsi="Times New Roman" w:cs="Times New Roman"/>
          <w:sz w:val="24"/>
          <w:szCs w:val="24"/>
        </w:rPr>
      </w:pPr>
      <w:r w:rsidRPr="00A322A9">
        <w:rPr>
          <w:rFonts w:ascii="Times New Roman" w:hAnsi="Times New Roman" w:cs="Times New Roman"/>
          <w:sz w:val="24"/>
          <w:szCs w:val="24"/>
        </w:rPr>
        <w:t>Results</w:t>
      </w:r>
      <w:r w:rsidR="003B2930" w:rsidRPr="00A322A9">
        <w:rPr>
          <w:rFonts w:ascii="Times New Roman" w:hAnsi="Times New Roman" w:cs="Times New Roman"/>
          <w:sz w:val="24"/>
          <w:szCs w:val="24"/>
        </w:rPr>
        <w:t>:</w:t>
      </w:r>
      <w:r w:rsidRPr="00A322A9">
        <w:rPr>
          <w:rFonts w:ascii="Times New Roman" w:hAnsi="Times New Roman" w:cs="Times New Roman"/>
          <w:sz w:val="24"/>
          <w:szCs w:val="24"/>
        </w:rPr>
        <w:t xml:space="preserve"> No identified study attributes measured lead exposure to solar batteries, though Nigerian evidence is substantial for lead-acid batteries generally. Informal recycling workers show a mean blood lead level of 40.17 µg/dL against 3.61 in controls, and soil lead at recycling sites reaches 29,000 ppm outside facilities. Nigeria has battery regulations and a producer responsibility framework, so the deficit is one of enforcement rather than law.</w:t>
      </w:r>
    </w:p>
    <w:p w14:paraId="65D1605B" w14:textId="77777777" w:rsidR="00306F00" w:rsidRPr="00306F00" w:rsidRDefault="00AF4FDB" w:rsidP="00306F00">
      <w:pPr>
        <w:pStyle w:val="NormalWeb"/>
        <w:spacing w:line="360" w:lineRule="auto"/>
      </w:pPr>
      <w:r w:rsidRPr="00A322A9">
        <w:rPr>
          <w:rStyle w:val="Strong"/>
          <w:b w:val="0"/>
          <w:bCs w:val="0"/>
        </w:rPr>
        <w:t>Conclusion</w:t>
      </w:r>
      <w:r w:rsidRPr="00A322A9">
        <w:rPr>
          <w:rStyle w:val="Strong"/>
        </w:rPr>
        <w:t>:</w:t>
      </w:r>
      <w:r w:rsidR="00306F00">
        <w:t xml:space="preserve"> </w:t>
      </w:r>
      <w:r w:rsidR="00306F00" w:rsidRPr="00306F00">
        <w:t xml:space="preserve">Although severe lead exposure has been documented within the used lead-acid battery stream that receives them, the contribution of batteries originating in off-grid solar </w:t>
      </w:r>
      <w:r w:rsidR="00306F00" w:rsidRPr="00306F00">
        <w:lastRenderedPageBreak/>
        <w:t>installations remains unquantified. Assessment of the downstream health burden associated with Nigeria's off-grid expansion is therefore contingent on the introduction of source-level traceability at the point of collection.</w:t>
      </w:r>
    </w:p>
    <w:p w14:paraId="2C6A69A3" w14:textId="77777777" w:rsidR="00DD2AAA" w:rsidRPr="00A322A9" w:rsidRDefault="00DD2AAA" w:rsidP="00A322A9">
      <w:pPr>
        <w:spacing w:line="360" w:lineRule="auto"/>
        <w:rPr>
          <w:rFonts w:ascii="Times New Roman" w:hAnsi="Times New Roman" w:cs="Times New Roman"/>
          <w:sz w:val="24"/>
          <w:szCs w:val="24"/>
        </w:rPr>
      </w:pPr>
    </w:p>
    <w:p w14:paraId="09635F3F" w14:textId="77777777" w:rsidR="00DD2AAA" w:rsidRPr="00A322A9" w:rsidRDefault="00DD2AAA" w:rsidP="00A322A9">
      <w:pPr>
        <w:spacing w:line="360" w:lineRule="auto"/>
        <w:rPr>
          <w:rFonts w:ascii="Times New Roman" w:hAnsi="Times New Roman" w:cs="Times New Roman"/>
          <w:sz w:val="24"/>
          <w:szCs w:val="24"/>
        </w:rPr>
      </w:pPr>
      <w:r w:rsidRPr="00306F00">
        <w:rPr>
          <w:rFonts w:ascii="Times New Roman" w:hAnsi="Times New Roman" w:cs="Times New Roman"/>
          <w:sz w:val="24"/>
          <w:szCs w:val="24"/>
        </w:rPr>
        <w:t>Keywords</w:t>
      </w:r>
      <w:r w:rsidRPr="00A322A9">
        <w:rPr>
          <w:rFonts w:ascii="Times New Roman" w:hAnsi="Times New Roman" w:cs="Times New Roman"/>
          <w:sz w:val="24"/>
          <w:szCs w:val="24"/>
        </w:rPr>
        <w:t>: used lead-acid batteries; off-grid solar; lead exposure; Nigeria; extended producer responsibility; circular economy; informal recycling</w:t>
      </w:r>
    </w:p>
    <w:p w14:paraId="44499CDF" w14:textId="77777777" w:rsidR="00DD2AAA" w:rsidRPr="00A322A9" w:rsidRDefault="00DD2AAA" w:rsidP="00A322A9">
      <w:pPr>
        <w:spacing w:line="360" w:lineRule="auto"/>
        <w:rPr>
          <w:rFonts w:ascii="Times New Roman" w:hAnsi="Times New Roman" w:cs="Times New Roman"/>
          <w:sz w:val="24"/>
          <w:szCs w:val="24"/>
        </w:rPr>
      </w:pPr>
    </w:p>
    <w:p w14:paraId="5713FE90" w14:textId="77777777" w:rsidR="00D44451" w:rsidRPr="00A322A9" w:rsidRDefault="00D44451" w:rsidP="00A322A9">
      <w:pPr>
        <w:spacing w:line="360" w:lineRule="auto"/>
        <w:rPr>
          <w:rFonts w:ascii="Times New Roman" w:hAnsi="Times New Roman" w:cs="Times New Roman"/>
          <w:b/>
          <w:bCs/>
          <w:sz w:val="28"/>
          <w:szCs w:val="28"/>
        </w:rPr>
      </w:pPr>
    </w:p>
    <w:p w14:paraId="3519B534" w14:textId="77777777" w:rsidR="00D44451" w:rsidRPr="00A322A9" w:rsidRDefault="00D44451" w:rsidP="00A322A9">
      <w:pPr>
        <w:spacing w:line="360" w:lineRule="auto"/>
        <w:rPr>
          <w:rFonts w:ascii="Times New Roman" w:hAnsi="Times New Roman" w:cs="Times New Roman"/>
          <w:b/>
          <w:bCs/>
          <w:sz w:val="28"/>
          <w:szCs w:val="28"/>
        </w:rPr>
      </w:pPr>
    </w:p>
    <w:p w14:paraId="36494C08" w14:textId="77777777" w:rsidR="00D44451" w:rsidRPr="00A322A9" w:rsidRDefault="00D44451" w:rsidP="00A322A9">
      <w:pPr>
        <w:spacing w:line="360" w:lineRule="auto"/>
        <w:rPr>
          <w:rFonts w:ascii="Times New Roman" w:hAnsi="Times New Roman" w:cs="Times New Roman"/>
          <w:b/>
          <w:bCs/>
          <w:sz w:val="28"/>
          <w:szCs w:val="28"/>
        </w:rPr>
      </w:pPr>
    </w:p>
    <w:p w14:paraId="34F694F7" w14:textId="77777777" w:rsidR="00D44451" w:rsidRPr="00A322A9" w:rsidRDefault="00D44451" w:rsidP="00A322A9">
      <w:pPr>
        <w:spacing w:line="360" w:lineRule="auto"/>
        <w:rPr>
          <w:rFonts w:ascii="Times New Roman" w:hAnsi="Times New Roman" w:cs="Times New Roman"/>
          <w:b/>
          <w:bCs/>
          <w:sz w:val="28"/>
          <w:szCs w:val="28"/>
        </w:rPr>
      </w:pPr>
    </w:p>
    <w:p w14:paraId="72BD9B33" w14:textId="77777777" w:rsidR="00D44451" w:rsidRPr="00A322A9" w:rsidRDefault="00D44451" w:rsidP="00A322A9">
      <w:pPr>
        <w:spacing w:line="360" w:lineRule="auto"/>
        <w:rPr>
          <w:rFonts w:ascii="Times New Roman" w:hAnsi="Times New Roman" w:cs="Times New Roman"/>
          <w:b/>
          <w:bCs/>
          <w:sz w:val="28"/>
          <w:szCs w:val="28"/>
        </w:rPr>
      </w:pPr>
    </w:p>
    <w:p w14:paraId="6EF7DAB3" w14:textId="77777777" w:rsidR="00D44451" w:rsidRPr="00A322A9" w:rsidRDefault="00D44451" w:rsidP="00A322A9">
      <w:pPr>
        <w:spacing w:line="360" w:lineRule="auto"/>
        <w:rPr>
          <w:rFonts w:ascii="Times New Roman" w:hAnsi="Times New Roman" w:cs="Times New Roman"/>
          <w:b/>
          <w:bCs/>
          <w:sz w:val="28"/>
          <w:szCs w:val="28"/>
        </w:rPr>
      </w:pPr>
    </w:p>
    <w:p w14:paraId="358E09E0" w14:textId="77777777" w:rsidR="00DD2AAA" w:rsidRPr="00A322A9" w:rsidRDefault="00DD2AAA" w:rsidP="00A322A9">
      <w:pPr>
        <w:keepNext/>
        <w:spacing w:line="360" w:lineRule="auto"/>
        <w:rPr>
          <w:rFonts w:ascii="Times New Roman" w:hAnsi="Times New Roman" w:cs="Times New Roman"/>
          <w:b/>
          <w:bCs/>
          <w:sz w:val="28"/>
          <w:szCs w:val="28"/>
        </w:rPr>
      </w:pPr>
      <w:r w:rsidRPr="00A322A9">
        <w:rPr>
          <w:rFonts w:ascii="Times New Roman" w:hAnsi="Times New Roman" w:cs="Times New Roman"/>
          <w:b/>
          <w:bCs/>
          <w:sz w:val="28"/>
          <w:szCs w:val="28"/>
        </w:rPr>
        <w:t>1. Introduction</w:t>
      </w:r>
    </w:p>
    <w:p w14:paraId="251DB22A" w14:textId="77777777" w:rsidR="00DD2AAA" w:rsidRPr="00A322A9" w:rsidRDefault="00DD2AAA" w:rsidP="00A322A9">
      <w:pPr>
        <w:spacing w:line="360" w:lineRule="auto"/>
        <w:rPr>
          <w:rFonts w:ascii="Times New Roman" w:hAnsi="Times New Roman" w:cs="Times New Roman"/>
          <w:sz w:val="24"/>
          <w:szCs w:val="24"/>
        </w:rPr>
      </w:pPr>
      <w:r w:rsidRPr="00A322A9">
        <w:rPr>
          <w:rFonts w:ascii="Times New Roman" w:hAnsi="Times New Roman" w:cs="Times New Roman"/>
          <w:sz w:val="24"/>
          <w:szCs w:val="24"/>
        </w:rPr>
        <w:t xml:space="preserve">Nigeria has one of the world’s largest electricity-access deficits, with millions of households and businesses experiencing either no grid connection or an unreliable supply. Instead of grid solutions, electrification </w:t>
      </w:r>
      <w:proofErr w:type="spellStart"/>
      <w:r w:rsidRPr="00A322A9">
        <w:rPr>
          <w:rFonts w:ascii="Times New Roman" w:hAnsi="Times New Roman" w:cs="Times New Roman"/>
          <w:sz w:val="24"/>
          <w:szCs w:val="24"/>
        </w:rPr>
        <w:t>programmes</w:t>
      </w:r>
      <w:proofErr w:type="spellEnd"/>
      <w:r w:rsidRPr="00A322A9">
        <w:rPr>
          <w:rFonts w:ascii="Times New Roman" w:hAnsi="Times New Roman" w:cs="Times New Roman"/>
          <w:sz w:val="24"/>
          <w:szCs w:val="24"/>
        </w:rPr>
        <w:t xml:space="preserve"> have focused its efforts on decentralized solutions such as solar energy</w:t>
      </w:r>
      <w:r w:rsidR="009E1AEB" w:rsidRPr="00A322A9">
        <w:rPr>
          <w:rFonts w:ascii="Times New Roman" w:hAnsi="Times New Roman" w:cs="Times New Roman"/>
          <w:sz w:val="24"/>
          <w:szCs w:val="24"/>
        </w:rPr>
        <w:t xml:space="preserve"> (</w:t>
      </w:r>
      <w:r w:rsidR="009E1AEB" w:rsidRPr="00A322A9">
        <w:rPr>
          <w:rFonts w:ascii="Times New Roman" w:hAnsi="Times New Roman" w:cs="Times New Roman"/>
        </w:rPr>
        <w:t xml:space="preserve">Adeyeye &amp; </w:t>
      </w:r>
      <w:proofErr w:type="spellStart"/>
      <w:r w:rsidR="009E1AEB" w:rsidRPr="00A322A9">
        <w:rPr>
          <w:rFonts w:ascii="Times New Roman" w:hAnsi="Times New Roman" w:cs="Times New Roman"/>
        </w:rPr>
        <w:t>Mbohwa</w:t>
      </w:r>
      <w:proofErr w:type="spellEnd"/>
      <w:r w:rsidR="009E1AEB" w:rsidRPr="00A322A9">
        <w:rPr>
          <w:rFonts w:ascii="Times New Roman" w:hAnsi="Times New Roman" w:cs="Times New Roman"/>
        </w:rPr>
        <w:t>, 2026)</w:t>
      </w:r>
      <w:r w:rsidRPr="00A322A9">
        <w:rPr>
          <w:rFonts w:ascii="Times New Roman" w:hAnsi="Times New Roman" w:cs="Times New Roman"/>
          <w:sz w:val="24"/>
          <w:szCs w:val="24"/>
        </w:rPr>
        <w:t>. As of 2025, cumulative off-grid solar energy installed capacity is estimated at about 1.19 GW or 96% of total capacity (Global Solar Council, 2026). Capacity increased by 803 MW (141% over the previous year) in 2025 and battery storage grew from approximately 10 MWh to 40.6 MWh (Global Solar Council, 2026).</w:t>
      </w:r>
    </w:p>
    <w:p w14:paraId="7F48BC49" w14:textId="77777777" w:rsidR="00DD2AAA" w:rsidRPr="00A322A9" w:rsidRDefault="00DD2AAA" w:rsidP="00A322A9">
      <w:pPr>
        <w:spacing w:line="360" w:lineRule="auto"/>
        <w:rPr>
          <w:rFonts w:ascii="Times New Roman" w:hAnsi="Times New Roman" w:cs="Times New Roman"/>
          <w:sz w:val="24"/>
          <w:szCs w:val="24"/>
        </w:rPr>
      </w:pPr>
      <w:r w:rsidRPr="00A322A9">
        <w:rPr>
          <w:rFonts w:ascii="Times New Roman" w:hAnsi="Times New Roman" w:cs="Times New Roman"/>
          <w:sz w:val="24"/>
          <w:szCs w:val="24"/>
        </w:rPr>
        <w:t xml:space="preserve">Almost all of that storage is temporary. The reason why lead-acid is the preferred chemistry for solar home systems and inverter systems in Nigeria, is that it is cheaper to purchase, locally serviceable and the </w:t>
      </w:r>
      <w:proofErr w:type="gramStart"/>
      <w:r w:rsidRPr="00A322A9">
        <w:rPr>
          <w:rFonts w:ascii="Times New Roman" w:hAnsi="Times New Roman" w:cs="Times New Roman"/>
          <w:sz w:val="24"/>
          <w:szCs w:val="24"/>
        </w:rPr>
        <w:t>lithium ion</w:t>
      </w:r>
      <w:proofErr w:type="gramEnd"/>
      <w:r w:rsidRPr="00A322A9">
        <w:rPr>
          <w:rFonts w:ascii="Times New Roman" w:hAnsi="Times New Roman" w:cs="Times New Roman"/>
          <w:sz w:val="24"/>
          <w:szCs w:val="24"/>
        </w:rPr>
        <w:t xml:space="preserve"> alternative is too expensive for pay-as-you-go customers. These duty cycles lead to a battery life of 3-5 years, and sometimes shorter, in those batteries that are </w:t>
      </w:r>
      <w:r w:rsidRPr="00A322A9">
        <w:rPr>
          <w:rFonts w:ascii="Times New Roman" w:hAnsi="Times New Roman" w:cs="Times New Roman"/>
          <w:sz w:val="24"/>
          <w:szCs w:val="24"/>
        </w:rPr>
        <w:lastRenderedPageBreak/>
        <w:t>deeply discharged, not well ventilated, or are too large for the array. Each installation will thus produce a waste battery several times for the life of the panels supported.</w:t>
      </w:r>
    </w:p>
    <w:p w14:paraId="246C4437" w14:textId="77777777" w:rsidR="00DD2AAA" w:rsidRPr="00A322A9" w:rsidRDefault="00DD2AAA" w:rsidP="00A322A9">
      <w:pPr>
        <w:spacing w:line="360" w:lineRule="auto"/>
        <w:rPr>
          <w:rFonts w:ascii="Times New Roman" w:hAnsi="Times New Roman" w:cs="Times New Roman"/>
          <w:sz w:val="24"/>
          <w:szCs w:val="24"/>
        </w:rPr>
      </w:pPr>
      <w:r w:rsidRPr="00A322A9">
        <w:rPr>
          <w:rFonts w:ascii="Times New Roman" w:hAnsi="Times New Roman" w:cs="Times New Roman"/>
          <w:sz w:val="24"/>
          <w:szCs w:val="24"/>
        </w:rPr>
        <w:t>The batteries are then picked up into a known business of used lead-acid batteries (ULABs) with an appreciable scrap value and thus making collection to be efficient. Following this, a combination of informal collectors, unlicensed smelters, and registered smelters with below standard facilities handle collection (Manhart &amp; Adjei, 2026).</w:t>
      </w:r>
    </w:p>
    <w:p w14:paraId="6881CA05" w14:textId="77777777" w:rsidR="00DD2AAA" w:rsidRPr="00A322A9" w:rsidRDefault="00DD2AAA" w:rsidP="00A322A9">
      <w:pPr>
        <w:spacing w:line="360" w:lineRule="auto"/>
        <w:rPr>
          <w:rFonts w:ascii="Times New Roman" w:hAnsi="Times New Roman" w:cs="Times New Roman"/>
          <w:sz w:val="24"/>
          <w:szCs w:val="24"/>
        </w:rPr>
      </w:pPr>
      <w:r w:rsidRPr="00A322A9">
        <w:rPr>
          <w:rFonts w:ascii="Times New Roman" w:hAnsi="Times New Roman" w:cs="Times New Roman"/>
          <w:sz w:val="24"/>
          <w:szCs w:val="24"/>
        </w:rPr>
        <w:t>This poses a dilemma which has not been discussed extensively in the renewable energy literature. It is being touted as an intervention for health improvement because it replaces the use of kerosene lighting and diesel generation, and these health effects are very real. The batteries that power it, however, contribute a waste stream that has been shown to result in high levels of lead exposure.</w:t>
      </w:r>
    </w:p>
    <w:p w14:paraId="56300C10" w14:textId="77777777" w:rsidR="00DD2AAA" w:rsidRPr="00A322A9" w:rsidRDefault="00DD2AAA" w:rsidP="00A322A9">
      <w:pPr>
        <w:spacing w:line="360" w:lineRule="auto"/>
        <w:rPr>
          <w:rFonts w:ascii="Times New Roman" w:hAnsi="Times New Roman" w:cs="Times New Roman"/>
          <w:sz w:val="24"/>
          <w:szCs w:val="24"/>
        </w:rPr>
      </w:pPr>
      <w:r w:rsidRPr="00A322A9">
        <w:rPr>
          <w:rFonts w:ascii="Times New Roman" w:hAnsi="Times New Roman" w:cs="Times New Roman"/>
          <w:sz w:val="24"/>
          <w:szCs w:val="24"/>
        </w:rPr>
        <w:t xml:space="preserve">This review explores the management of used lead acid batteries, potential environmental and health risks, the current state of the regulatory response and what circular economy measures might be able to achieve. </w:t>
      </w:r>
    </w:p>
    <w:p w14:paraId="0C4BB162" w14:textId="77777777" w:rsidR="00DD2AAA" w:rsidRPr="00A322A9" w:rsidRDefault="00DD2AAA" w:rsidP="00A322A9">
      <w:pPr>
        <w:keepNext/>
        <w:spacing w:line="360" w:lineRule="auto"/>
        <w:rPr>
          <w:rFonts w:ascii="Times New Roman" w:hAnsi="Times New Roman" w:cs="Times New Roman"/>
          <w:b/>
          <w:bCs/>
          <w:sz w:val="24"/>
          <w:szCs w:val="24"/>
        </w:rPr>
      </w:pPr>
      <w:r w:rsidRPr="00A322A9">
        <w:rPr>
          <w:rFonts w:ascii="Times New Roman" w:hAnsi="Times New Roman" w:cs="Times New Roman"/>
          <w:b/>
          <w:bCs/>
          <w:sz w:val="24"/>
          <w:szCs w:val="24"/>
        </w:rPr>
        <w:t>2. Review Method</w:t>
      </w:r>
    </w:p>
    <w:p w14:paraId="4EE0C1D6" w14:textId="77777777" w:rsidR="00DD2AAA" w:rsidRPr="00A322A9" w:rsidRDefault="00DD2AAA" w:rsidP="00A322A9">
      <w:pPr>
        <w:spacing w:line="360" w:lineRule="auto"/>
        <w:rPr>
          <w:rFonts w:ascii="Times New Roman" w:hAnsi="Times New Roman" w:cs="Times New Roman"/>
          <w:sz w:val="24"/>
          <w:szCs w:val="24"/>
        </w:rPr>
      </w:pPr>
      <w:r w:rsidRPr="00A322A9">
        <w:rPr>
          <w:rFonts w:ascii="Times New Roman" w:hAnsi="Times New Roman" w:cs="Times New Roman"/>
          <w:sz w:val="24"/>
          <w:szCs w:val="24"/>
        </w:rPr>
        <w:t>This is a narrative review. We searched MEDLINE via PubMed, Scopus, and the Cochrane Library from inception to August 2026, using Google Scholar to supplement the searches and trace citations. The search was expanded to institutional repositories such as those of World Health Organization (WHO), United Nations Environment Program (UNEP), Center for Global Development and Pure Earth, as well as Nigerian government sources like the National Environmental Standards Regulatory Agency (NESREA), Federal Ministry of Environment, and Rural Electrification Agency. Reference lists of retrieved articles and restricted search were hand searched for additional articles, only in English.</w:t>
      </w:r>
    </w:p>
    <w:p w14:paraId="1F79024A" w14:textId="77777777" w:rsidR="00DD2AAA" w:rsidRPr="00A322A9" w:rsidRDefault="00DD2AAA" w:rsidP="00A322A9">
      <w:pPr>
        <w:spacing w:line="360" w:lineRule="auto"/>
        <w:rPr>
          <w:rFonts w:ascii="Times New Roman" w:hAnsi="Times New Roman" w:cs="Times New Roman"/>
          <w:sz w:val="24"/>
          <w:szCs w:val="24"/>
        </w:rPr>
      </w:pPr>
      <w:r w:rsidRPr="00A322A9">
        <w:rPr>
          <w:rFonts w:ascii="Times New Roman" w:hAnsi="Times New Roman" w:cs="Times New Roman"/>
          <w:sz w:val="24"/>
          <w:szCs w:val="24"/>
        </w:rPr>
        <w:t>Search strings were used which merged terms related to the exposure source, setting and results of interest, such as lead-acid battery AND Nigeria, battery recycling AND blood lead, informal recycling AND lead exposure, and extended producer responsibility AND batteries.</w:t>
      </w:r>
    </w:p>
    <w:p w14:paraId="005998AB" w14:textId="77777777" w:rsidR="00DD2AAA" w:rsidRPr="00A322A9" w:rsidRDefault="00DD2AAA" w:rsidP="00A322A9">
      <w:pPr>
        <w:spacing w:line="360" w:lineRule="auto"/>
        <w:rPr>
          <w:rFonts w:ascii="Times New Roman" w:hAnsi="Times New Roman" w:cs="Times New Roman"/>
          <w:sz w:val="24"/>
          <w:szCs w:val="24"/>
        </w:rPr>
      </w:pPr>
      <w:r w:rsidRPr="00A322A9">
        <w:rPr>
          <w:rFonts w:ascii="Times New Roman" w:hAnsi="Times New Roman" w:cs="Times New Roman"/>
          <w:sz w:val="24"/>
          <w:szCs w:val="24"/>
        </w:rPr>
        <w:t xml:space="preserve">The sources were chosen because they mentioned measured environmental or human exposure to lead from battery recycling, provided information on battery waste flows or end-of-life battery </w:t>
      </w:r>
      <w:r w:rsidRPr="00A322A9">
        <w:rPr>
          <w:rFonts w:ascii="Times New Roman" w:hAnsi="Times New Roman" w:cs="Times New Roman"/>
          <w:sz w:val="24"/>
          <w:szCs w:val="24"/>
        </w:rPr>
        <w:lastRenderedPageBreak/>
        <w:t>practice, or identified relevant regulations. Studies of independent sources of exposure to lead (such as artisanal gold-ore processing and leaded gasoline) were not included except to distinguish between different sources of exposure.</w:t>
      </w:r>
    </w:p>
    <w:p w14:paraId="08428C0D" w14:textId="77777777" w:rsidR="00D44451" w:rsidRPr="00A322A9" w:rsidRDefault="00D44451" w:rsidP="00A322A9">
      <w:pPr>
        <w:spacing w:line="360" w:lineRule="auto"/>
        <w:rPr>
          <w:rFonts w:ascii="Times New Roman" w:hAnsi="Times New Roman" w:cs="Times New Roman"/>
          <w:sz w:val="24"/>
          <w:szCs w:val="24"/>
        </w:rPr>
      </w:pPr>
    </w:p>
    <w:p w14:paraId="7C037D7A" w14:textId="77777777" w:rsidR="00D44451" w:rsidRPr="00A322A9" w:rsidRDefault="00D44451" w:rsidP="00A322A9">
      <w:pPr>
        <w:spacing w:line="360" w:lineRule="auto"/>
        <w:rPr>
          <w:rFonts w:ascii="Times New Roman" w:hAnsi="Times New Roman" w:cs="Times New Roman"/>
          <w:sz w:val="24"/>
          <w:szCs w:val="24"/>
        </w:rPr>
      </w:pPr>
    </w:p>
    <w:p w14:paraId="2CF1A6BA" w14:textId="77777777" w:rsidR="00DD2AAA" w:rsidRPr="00A322A9" w:rsidRDefault="00DD2AAA" w:rsidP="00A322A9">
      <w:pPr>
        <w:spacing w:line="360" w:lineRule="auto"/>
        <w:rPr>
          <w:rFonts w:ascii="Times New Roman" w:hAnsi="Times New Roman" w:cs="Times New Roman"/>
          <w:sz w:val="24"/>
          <w:szCs w:val="24"/>
        </w:rPr>
      </w:pPr>
      <w:r w:rsidRPr="00A322A9">
        <w:rPr>
          <w:rFonts w:ascii="Times New Roman" w:hAnsi="Times New Roman" w:cs="Times New Roman"/>
          <w:sz w:val="24"/>
          <w:szCs w:val="24"/>
        </w:rPr>
        <w:t>Each source was then categorized under one of four types of evidence, and indicated where it occurred:</w:t>
      </w:r>
    </w:p>
    <w:p w14:paraId="4D95EA09" w14:textId="77777777" w:rsidR="00DD2AAA" w:rsidRPr="00A322A9" w:rsidRDefault="00DD2AAA" w:rsidP="00A322A9">
      <w:pPr>
        <w:pStyle w:val="ListParagraph"/>
        <w:numPr>
          <w:ilvl w:val="0"/>
          <w:numId w:val="1"/>
        </w:numPr>
        <w:spacing w:line="360" w:lineRule="auto"/>
        <w:rPr>
          <w:rFonts w:ascii="Times New Roman" w:hAnsi="Times New Roman" w:cs="Times New Roman"/>
          <w:sz w:val="24"/>
          <w:szCs w:val="24"/>
        </w:rPr>
      </w:pPr>
      <w:r w:rsidRPr="00A322A9">
        <w:rPr>
          <w:rFonts w:ascii="Times New Roman" w:hAnsi="Times New Roman" w:cs="Times New Roman"/>
          <w:sz w:val="24"/>
          <w:szCs w:val="24"/>
        </w:rPr>
        <w:t>Nigeria's solar lead acid batteries.</w:t>
      </w:r>
    </w:p>
    <w:p w14:paraId="0B404B84" w14:textId="77777777" w:rsidR="00DD2AAA" w:rsidRPr="00A322A9" w:rsidRDefault="00DD2AAA" w:rsidP="00A322A9">
      <w:pPr>
        <w:pStyle w:val="ListParagraph"/>
        <w:numPr>
          <w:ilvl w:val="0"/>
          <w:numId w:val="1"/>
        </w:numPr>
        <w:spacing w:line="360" w:lineRule="auto"/>
        <w:rPr>
          <w:rFonts w:ascii="Times New Roman" w:hAnsi="Times New Roman" w:cs="Times New Roman"/>
          <w:sz w:val="24"/>
          <w:szCs w:val="24"/>
        </w:rPr>
      </w:pPr>
      <w:r w:rsidRPr="00A322A9">
        <w:rPr>
          <w:rFonts w:ascii="Times New Roman" w:hAnsi="Times New Roman" w:cs="Times New Roman"/>
          <w:sz w:val="24"/>
          <w:szCs w:val="24"/>
        </w:rPr>
        <w:t>Mix or unknown origin lead-acid batteries from Nigeria.</w:t>
      </w:r>
    </w:p>
    <w:p w14:paraId="3C9DBE2D" w14:textId="77777777" w:rsidR="00DD2AAA" w:rsidRPr="00A322A9" w:rsidRDefault="00DD2AAA" w:rsidP="00A322A9">
      <w:pPr>
        <w:pStyle w:val="ListParagraph"/>
        <w:numPr>
          <w:ilvl w:val="0"/>
          <w:numId w:val="1"/>
        </w:numPr>
        <w:spacing w:line="360" w:lineRule="auto"/>
        <w:rPr>
          <w:rFonts w:ascii="Times New Roman" w:hAnsi="Times New Roman" w:cs="Times New Roman"/>
          <w:sz w:val="24"/>
          <w:szCs w:val="24"/>
        </w:rPr>
      </w:pPr>
      <w:r w:rsidRPr="00A322A9">
        <w:rPr>
          <w:rFonts w:ascii="Times New Roman" w:hAnsi="Times New Roman" w:cs="Times New Roman"/>
          <w:sz w:val="24"/>
          <w:szCs w:val="24"/>
        </w:rPr>
        <w:t>Other African context of lead-acid batteries.</w:t>
      </w:r>
    </w:p>
    <w:p w14:paraId="0A95992C" w14:textId="77777777" w:rsidR="00DD2AAA" w:rsidRPr="00A322A9" w:rsidRDefault="00DD2AAA" w:rsidP="00A322A9">
      <w:pPr>
        <w:pStyle w:val="ListParagraph"/>
        <w:numPr>
          <w:ilvl w:val="0"/>
          <w:numId w:val="1"/>
        </w:numPr>
        <w:spacing w:line="360" w:lineRule="auto"/>
        <w:rPr>
          <w:rFonts w:ascii="Times New Roman" w:hAnsi="Times New Roman" w:cs="Times New Roman"/>
          <w:sz w:val="24"/>
          <w:szCs w:val="24"/>
        </w:rPr>
      </w:pPr>
      <w:r w:rsidRPr="00A322A9">
        <w:rPr>
          <w:rFonts w:ascii="Times New Roman" w:hAnsi="Times New Roman" w:cs="Times New Roman"/>
          <w:sz w:val="24"/>
          <w:szCs w:val="24"/>
        </w:rPr>
        <w:t>Toxicological data generally available on lead exposure.</w:t>
      </w:r>
    </w:p>
    <w:p w14:paraId="2821D1C7" w14:textId="77777777" w:rsidR="00DD2AAA" w:rsidRPr="00A322A9" w:rsidRDefault="00DD2AAA" w:rsidP="00A322A9">
      <w:pPr>
        <w:spacing w:line="360" w:lineRule="auto"/>
        <w:rPr>
          <w:rFonts w:ascii="Times New Roman" w:hAnsi="Times New Roman" w:cs="Times New Roman"/>
          <w:sz w:val="24"/>
          <w:szCs w:val="24"/>
        </w:rPr>
      </w:pPr>
      <w:r w:rsidRPr="00A322A9">
        <w:rPr>
          <w:rFonts w:ascii="Times New Roman" w:hAnsi="Times New Roman" w:cs="Times New Roman"/>
          <w:sz w:val="24"/>
          <w:szCs w:val="24"/>
        </w:rPr>
        <w:t>The separation is important because it is uncommon for battery recycling studies in Nigeria to describe whether the batteries studied were from vehicles, telecommunication equipment, inverter systems, or solar power plants. Evidence in the second category, then, is only evidence about the destination batteries to which the sun is taken and not evidence for any battery being solar.</w:t>
      </w:r>
    </w:p>
    <w:p w14:paraId="347979E3" w14:textId="77777777" w:rsidR="00DD2AAA" w:rsidRPr="00A322A9" w:rsidRDefault="00DD2AAA" w:rsidP="00A322A9">
      <w:pPr>
        <w:spacing w:line="360" w:lineRule="auto"/>
        <w:rPr>
          <w:rFonts w:ascii="Times New Roman" w:hAnsi="Times New Roman" w:cs="Times New Roman"/>
          <w:sz w:val="24"/>
          <w:szCs w:val="24"/>
        </w:rPr>
      </w:pPr>
      <w:r w:rsidRPr="00A322A9">
        <w:rPr>
          <w:rFonts w:ascii="Times New Roman" w:hAnsi="Times New Roman" w:cs="Times New Roman"/>
          <w:sz w:val="24"/>
          <w:szCs w:val="24"/>
        </w:rPr>
        <w:t xml:space="preserve">Throughout the review, there is a differentiation between measured contamination and projected or modeled contamination, and no use of established lead toxicology as an indicator of exposure in any Nigerian community. </w:t>
      </w:r>
    </w:p>
    <w:p w14:paraId="3345D4F4" w14:textId="77777777" w:rsidR="000E5810" w:rsidRPr="00A322A9" w:rsidRDefault="000E5810" w:rsidP="00A322A9">
      <w:pPr>
        <w:spacing w:line="360" w:lineRule="auto"/>
        <w:rPr>
          <w:rFonts w:ascii="Times New Roman" w:hAnsi="Times New Roman" w:cs="Times New Roman"/>
          <w:sz w:val="24"/>
          <w:szCs w:val="24"/>
        </w:rPr>
      </w:pPr>
    </w:p>
    <w:p w14:paraId="1907662A" w14:textId="77777777" w:rsidR="000E5810" w:rsidRPr="00A322A9" w:rsidRDefault="000E5810" w:rsidP="00A322A9">
      <w:pPr>
        <w:pStyle w:val="BodyText"/>
        <w:spacing w:line="360" w:lineRule="auto"/>
        <w:rPr>
          <w:rFonts w:ascii="Times New Roman" w:hAnsi="Times New Roman" w:cs="Times New Roman"/>
        </w:rPr>
      </w:pPr>
      <w:r>
        <w:rPr>
          <w:rFonts w:ascii="Times New Roman" w:hAnsi="Times New Roman"/>
          <w:b/>
        </w:rPr>
        <w:t>Table 1. Characteristics and relevance of evidence included in the narrative review</w:t>
      </w:r>
    </w:p>
    <w:tbl>
      <w:tblPr>
        <w:tblStyle w:val="Table"/>
        <w:tblW w:w="5000" w:type="pct"/>
        <w:tblLayout w:type="fixed"/>
        <w:tblLook w:val="0020" w:firstRow="1" w:lastRow="0" w:firstColumn="0" w:lastColumn="0" w:noHBand="0" w:noVBand="0"/>
      </w:tblPr>
      <w:tblGrid>
        <w:gridCol w:w="1133"/>
        <w:gridCol w:w="1047"/>
        <w:gridCol w:w="1497"/>
        <w:gridCol w:w="1701"/>
        <w:gridCol w:w="988"/>
        <w:gridCol w:w="1497"/>
        <w:gridCol w:w="1497"/>
      </w:tblGrid>
      <w:tr w:rsidR="00AF4FDB" w:rsidRPr="00A322A9" w14:paraId="350E1B76" w14:textId="77777777" w:rsidTr="00335A04">
        <w:trPr>
          <w:cnfStyle w:val="100000000000" w:firstRow="1" w:lastRow="0" w:firstColumn="0" w:lastColumn="0" w:oddVBand="0" w:evenVBand="0" w:oddHBand="0" w:evenHBand="0" w:firstRowFirstColumn="0" w:firstRowLastColumn="0" w:lastRowFirstColumn="0" w:lastRowLastColumn="0"/>
          <w:tblHeader/>
        </w:trPr>
        <w:tc>
          <w:tcPr>
            <w:tcW w:w="1123" w:type="dxa"/>
            <w:tcMar>
              <w:top w:w="25" w:type="dxa"/>
              <w:left w:w="35" w:type="dxa"/>
              <w:bottom w:w="25" w:type="dxa"/>
              <w:right w:w="35" w:type="dxa"/>
            </w:tcMar>
            <w:vAlign w:val="top"/>
          </w:tcPr>
          <w:p w14:paraId="4BE724B6" w14:textId="77777777" w:rsidR="000E5810" w:rsidRPr="00A322A9" w:rsidRDefault="000E5810" w:rsidP="00A322A9">
            <w:pPr>
              <w:pStyle w:val="Compact"/>
              <w:spacing w:before="0" w:after="0"/>
              <w:rPr>
                <w:rFonts w:ascii="Times New Roman" w:hAnsi="Times New Roman" w:cs="Times New Roman"/>
                <w:b/>
                <w:bCs/>
              </w:rPr>
            </w:pPr>
            <w:r w:rsidRPr="00A322A9">
              <w:rPr>
                <w:rFonts w:ascii="Times New Roman" w:hAnsi="Times New Roman" w:cs="Times New Roman"/>
                <w:b/>
                <w:bCs/>
                <w:sz w:val="17"/>
              </w:rPr>
              <w:t>Study</w:t>
            </w:r>
          </w:p>
        </w:tc>
        <w:tc>
          <w:tcPr>
            <w:tcW w:w="1037" w:type="dxa"/>
            <w:tcMar>
              <w:top w:w="25" w:type="dxa"/>
              <w:left w:w="35" w:type="dxa"/>
              <w:bottom w:w="25" w:type="dxa"/>
              <w:right w:w="35" w:type="dxa"/>
            </w:tcMar>
            <w:vAlign w:val="top"/>
          </w:tcPr>
          <w:p w14:paraId="7D783095" w14:textId="77777777" w:rsidR="000E5810" w:rsidRPr="00A322A9" w:rsidRDefault="000E5810" w:rsidP="00A322A9">
            <w:pPr>
              <w:pStyle w:val="Compact"/>
              <w:spacing w:before="0" w:after="0"/>
              <w:rPr>
                <w:rFonts w:ascii="Times New Roman" w:hAnsi="Times New Roman" w:cs="Times New Roman"/>
                <w:b/>
                <w:bCs/>
              </w:rPr>
            </w:pPr>
            <w:r w:rsidRPr="00A322A9">
              <w:rPr>
                <w:rFonts w:ascii="Times New Roman" w:hAnsi="Times New Roman" w:cs="Times New Roman"/>
                <w:b/>
                <w:bCs/>
                <w:sz w:val="17"/>
              </w:rPr>
              <w:t>Location</w:t>
            </w:r>
          </w:p>
        </w:tc>
        <w:tc>
          <w:tcPr>
            <w:tcW w:w="1483" w:type="dxa"/>
            <w:tcMar>
              <w:top w:w="25" w:type="dxa"/>
              <w:left w:w="35" w:type="dxa"/>
              <w:bottom w:w="25" w:type="dxa"/>
              <w:right w:w="35" w:type="dxa"/>
            </w:tcMar>
            <w:vAlign w:val="top"/>
          </w:tcPr>
          <w:p w14:paraId="06ECB580" w14:textId="77777777" w:rsidR="000E5810" w:rsidRPr="00A322A9" w:rsidRDefault="000E5810" w:rsidP="00A322A9">
            <w:pPr>
              <w:pStyle w:val="Compact"/>
              <w:spacing w:before="0" w:after="0"/>
              <w:rPr>
                <w:rFonts w:ascii="Times New Roman" w:hAnsi="Times New Roman" w:cs="Times New Roman"/>
                <w:b/>
                <w:bCs/>
              </w:rPr>
            </w:pPr>
            <w:r w:rsidRPr="00A322A9">
              <w:rPr>
                <w:rFonts w:ascii="Times New Roman" w:hAnsi="Times New Roman" w:cs="Times New Roman"/>
                <w:b/>
                <w:bCs/>
                <w:sz w:val="17"/>
              </w:rPr>
              <w:t>Evidence examined</w:t>
            </w:r>
          </w:p>
        </w:tc>
        <w:tc>
          <w:tcPr>
            <w:tcW w:w="1685" w:type="dxa"/>
            <w:tcMar>
              <w:top w:w="25" w:type="dxa"/>
              <w:left w:w="35" w:type="dxa"/>
              <w:bottom w:w="25" w:type="dxa"/>
              <w:right w:w="35" w:type="dxa"/>
            </w:tcMar>
            <w:vAlign w:val="top"/>
          </w:tcPr>
          <w:p w14:paraId="41FB9C3B" w14:textId="77777777" w:rsidR="000E5810" w:rsidRPr="00A322A9" w:rsidRDefault="000E5810" w:rsidP="00A322A9">
            <w:pPr>
              <w:pStyle w:val="Compact"/>
              <w:spacing w:before="0" w:after="0"/>
              <w:rPr>
                <w:rFonts w:ascii="Times New Roman" w:hAnsi="Times New Roman" w:cs="Times New Roman"/>
                <w:b/>
                <w:bCs/>
              </w:rPr>
            </w:pPr>
            <w:r w:rsidRPr="00A322A9">
              <w:rPr>
                <w:rFonts w:ascii="Times New Roman" w:hAnsi="Times New Roman" w:cs="Times New Roman"/>
                <w:b/>
                <w:bCs/>
                <w:sz w:val="17"/>
              </w:rPr>
              <w:t>Main finding</w:t>
            </w:r>
          </w:p>
        </w:tc>
        <w:tc>
          <w:tcPr>
            <w:tcW w:w="979" w:type="dxa"/>
            <w:tcMar>
              <w:top w:w="25" w:type="dxa"/>
              <w:left w:w="35" w:type="dxa"/>
              <w:bottom w:w="25" w:type="dxa"/>
              <w:right w:w="35" w:type="dxa"/>
            </w:tcMar>
            <w:vAlign w:val="top"/>
          </w:tcPr>
          <w:p w14:paraId="6CA56E21" w14:textId="77777777" w:rsidR="000E5810" w:rsidRPr="00A322A9" w:rsidRDefault="000E5810" w:rsidP="00A322A9">
            <w:pPr>
              <w:pStyle w:val="Compact"/>
              <w:spacing w:before="0" w:after="0"/>
              <w:rPr>
                <w:rFonts w:ascii="Times New Roman" w:hAnsi="Times New Roman" w:cs="Times New Roman"/>
                <w:b/>
                <w:bCs/>
              </w:rPr>
            </w:pPr>
            <w:r w:rsidRPr="00A322A9">
              <w:rPr>
                <w:rFonts w:ascii="Times New Roman" w:hAnsi="Times New Roman" w:cs="Times New Roman"/>
                <w:b/>
                <w:bCs/>
                <w:sz w:val="17"/>
              </w:rPr>
              <w:t>Evidence category</w:t>
            </w:r>
          </w:p>
        </w:tc>
        <w:tc>
          <w:tcPr>
            <w:tcW w:w="1483" w:type="dxa"/>
            <w:tcMar>
              <w:top w:w="25" w:type="dxa"/>
              <w:left w:w="35" w:type="dxa"/>
              <w:bottom w:w="25" w:type="dxa"/>
              <w:right w:w="35" w:type="dxa"/>
            </w:tcMar>
            <w:vAlign w:val="top"/>
          </w:tcPr>
          <w:p w14:paraId="217EDB01" w14:textId="77777777" w:rsidR="000E5810" w:rsidRPr="00A322A9" w:rsidRDefault="000E5810" w:rsidP="00A322A9">
            <w:pPr>
              <w:pStyle w:val="Compact"/>
              <w:spacing w:before="0" w:after="0"/>
              <w:rPr>
                <w:rFonts w:ascii="Times New Roman" w:hAnsi="Times New Roman" w:cs="Times New Roman"/>
                <w:b/>
                <w:bCs/>
              </w:rPr>
            </w:pPr>
            <w:r w:rsidRPr="00A322A9">
              <w:rPr>
                <w:rFonts w:ascii="Times New Roman" w:hAnsi="Times New Roman" w:cs="Times New Roman"/>
                <w:b/>
                <w:bCs/>
                <w:sz w:val="17"/>
              </w:rPr>
              <w:t>Connection to Nigerian solar batteries</w:t>
            </w:r>
          </w:p>
        </w:tc>
        <w:tc>
          <w:tcPr>
            <w:tcW w:w="1483" w:type="dxa"/>
            <w:tcMar>
              <w:top w:w="25" w:type="dxa"/>
              <w:left w:w="35" w:type="dxa"/>
              <w:bottom w:w="25" w:type="dxa"/>
              <w:right w:w="35" w:type="dxa"/>
            </w:tcMar>
            <w:vAlign w:val="top"/>
          </w:tcPr>
          <w:p w14:paraId="1AA48850" w14:textId="77777777" w:rsidR="000E5810" w:rsidRPr="00A322A9" w:rsidRDefault="000E5810" w:rsidP="00A322A9">
            <w:pPr>
              <w:pStyle w:val="Compact"/>
              <w:spacing w:before="0" w:after="0"/>
              <w:rPr>
                <w:rFonts w:ascii="Times New Roman" w:hAnsi="Times New Roman" w:cs="Times New Roman"/>
                <w:b/>
                <w:bCs/>
              </w:rPr>
            </w:pPr>
            <w:r w:rsidRPr="00A322A9">
              <w:rPr>
                <w:rFonts w:ascii="Times New Roman" w:hAnsi="Times New Roman" w:cs="Times New Roman"/>
                <w:b/>
                <w:bCs/>
                <w:sz w:val="17"/>
              </w:rPr>
              <w:t>Main limitation</w:t>
            </w:r>
          </w:p>
        </w:tc>
      </w:tr>
      <w:tr w:rsidR="00AF4FDB" w:rsidRPr="00A322A9" w14:paraId="24BDA555" w14:textId="77777777" w:rsidTr="00335A04">
        <w:tc>
          <w:tcPr>
            <w:tcW w:w="1123" w:type="dxa"/>
            <w:tcMar>
              <w:top w:w="25" w:type="dxa"/>
              <w:left w:w="35" w:type="dxa"/>
              <w:bottom w:w="25" w:type="dxa"/>
              <w:right w:w="35" w:type="dxa"/>
            </w:tcMar>
          </w:tcPr>
          <w:p w14:paraId="794052C2" w14:textId="77777777" w:rsidR="000E5810" w:rsidRPr="00A322A9" w:rsidRDefault="00AF4FDB" w:rsidP="00A322A9">
            <w:pPr>
              <w:pStyle w:val="Compact"/>
              <w:spacing w:before="0" w:after="0"/>
              <w:rPr>
                <w:rFonts w:ascii="Times New Roman" w:hAnsi="Times New Roman" w:cs="Times New Roman"/>
              </w:rPr>
            </w:pPr>
            <w:r w:rsidRPr="00A322A9">
              <w:rPr>
                <w:rFonts w:ascii="Times New Roman" w:hAnsi="Times New Roman" w:cs="Times New Roman"/>
                <w:sz w:val="17"/>
              </w:rPr>
              <w:t>Sani-</w:t>
            </w:r>
            <w:proofErr w:type="spellStart"/>
            <w:r w:rsidRPr="00A322A9">
              <w:rPr>
                <w:rFonts w:ascii="Times New Roman" w:hAnsi="Times New Roman" w:cs="Times New Roman"/>
                <w:sz w:val="17"/>
              </w:rPr>
              <w:t>Gwarzo</w:t>
            </w:r>
            <w:proofErr w:type="spellEnd"/>
            <w:r w:rsidRPr="00A322A9">
              <w:rPr>
                <w:rFonts w:ascii="Times New Roman" w:hAnsi="Times New Roman" w:cs="Times New Roman"/>
                <w:sz w:val="17"/>
              </w:rPr>
              <w:t xml:space="preserve"> et al. (2025)</w:t>
            </w:r>
            <w:r w:rsidR="000E5810" w:rsidRPr="00A322A9">
              <w:rPr>
                <w:rFonts w:ascii="Times New Roman" w:hAnsi="Times New Roman" w:cs="Times New Roman"/>
                <w:sz w:val="17"/>
              </w:rPr>
              <w:t> </w:t>
            </w:r>
          </w:p>
        </w:tc>
        <w:tc>
          <w:tcPr>
            <w:tcW w:w="1037" w:type="dxa"/>
            <w:tcMar>
              <w:top w:w="25" w:type="dxa"/>
              <w:left w:w="35" w:type="dxa"/>
              <w:bottom w:w="25" w:type="dxa"/>
              <w:right w:w="35" w:type="dxa"/>
            </w:tcMar>
          </w:tcPr>
          <w:p w14:paraId="33B3D4F6"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Northern Nigeria</w:t>
            </w:r>
          </w:p>
        </w:tc>
        <w:tc>
          <w:tcPr>
            <w:tcW w:w="1483" w:type="dxa"/>
            <w:tcMar>
              <w:top w:w="25" w:type="dxa"/>
              <w:left w:w="35" w:type="dxa"/>
              <w:bottom w:w="25" w:type="dxa"/>
              <w:right w:w="35" w:type="dxa"/>
            </w:tcMar>
          </w:tcPr>
          <w:p w14:paraId="14FDBE35"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 xml:space="preserve">Blood </w:t>
            </w:r>
            <w:proofErr w:type="gramStart"/>
            <w:r w:rsidRPr="00A322A9">
              <w:rPr>
                <w:rFonts w:ascii="Times New Roman" w:hAnsi="Times New Roman" w:cs="Times New Roman"/>
                <w:sz w:val="17"/>
              </w:rPr>
              <w:t>lead</w:t>
            </w:r>
            <w:proofErr w:type="gramEnd"/>
            <w:r w:rsidRPr="00A322A9">
              <w:rPr>
                <w:rFonts w:ascii="Times New Roman" w:hAnsi="Times New Roman" w:cs="Times New Roman"/>
                <w:sz w:val="17"/>
              </w:rPr>
              <w:t xml:space="preserve"> in 98 informal battery recycling workers against 98 matched controls</w:t>
            </w:r>
          </w:p>
        </w:tc>
        <w:tc>
          <w:tcPr>
            <w:tcW w:w="1685" w:type="dxa"/>
            <w:tcMar>
              <w:top w:w="25" w:type="dxa"/>
              <w:left w:w="35" w:type="dxa"/>
              <w:bottom w:w="25" w:type="dxa"/>
              <w:right w:w="35" w:type="dxa"/>
            </w:tcMar>
          </w:tcPr>
          <w:p w14:paraId="6576ACC0"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Mean blood lead 40.17 µg/dL against 3.61 µg/dL; 78.1% of workers at or above 20 µg/dL</w:t>
            </w:r>
          </w:p>
        </w:tc>
        <w:tc>
          <w:tcPr>
            <w:tcW w:w="979" w:type="dxa"/>
            <w:tcMar>
              <w:top w:w="25" w:type="dxa"/>
              <w:left w:w="35" w:type="dxa"/>
              <w:bottom w:w="25" w:type="dxa"/>
              <w:right w:w="35" w:type="dxa"/>
            </w:tcMar>
          </w:tcPr>
          <w:p w14:paraId="14CE361E"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2</w:t>
            </w:r>
          </w:p>
        </w:tc>
        <w:tc>
          <w:tcPr>
            <w:tcW w:w="1483" w:type="dxa"/>
            <w:tcMar>
              <w:top w:w="25" w:type="dxa"/>
              <w:left w:w="35" w:type="dxa"/>
              <w:bottom w:w="25" w:type="dxa"/>
              <w:right w:w="35" w:type="dxa"/>
            </w:tcMar>
          </w:tcPr>
          <w:p w14:paraId="45FED3BF"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None recorded; prior use of the batteries not documented</w:t>
            </w:r>
          </w:p>
        </w:tc>
        <w:tc>
          <w:tcPr>
            <w:tcW w:w="1483" w:type="dxa"/>
            <w:tcMar>
              <w:top w:w="25" w:type="dxa"/>
              <w:left w:w="35" w:type="dxa"/>
              <w:bottom w:w="25" w:type="dxa"/>
              <w:right w:w="35" w:type="dxa"/>
            </w:tcMar>
          </w:tcPr>
          <w:p w14:paraId="5C0E1EBA"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Cross-sectional; single occupational group; battery origin unrecorded</w:t>
            </w:r>
          </w:p>
        </w:tc>
      </w:tr>
      <w:tr w:rsidR="00AF4FDB" w:rsidRPr="00A322A9" w14:paraId="1D41D140" w14:textId="77777777" w:rsidTr="00335A04">
        <w:tc>
          <w:tcPr>
            <w:tcW w:w="1123" w:type="dxa"/>
            <w:tcMar>
              <w:top w:w="25" w:type="dxa"/>
              <w:left w:w="35" w:type="dxa"/>
              <w:bottom w:w="25" w:type="dxa"/>
              <w:right w:w="35" w:type="dxa"/>
            </w:tcMar>
          </w:tcPr>
          <w:p w14:paraId="1A7C669A"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Gottesfeld et al. (2018)</w:t>
            </w:r>
          </w:p>
        </w:tc>
        <w:tc>
          <w:tcPr>
            <w:tcW w:w="1037" w:type="dxa"/>
            <w:tcMar>
              <w:top w:w="25" w:type="dxa"/>
              <w:left w:w="35" w:type="dxa"/>
              <w:bottom w:w="25" w:type="dxa"/>
              <w:right w:w="35" w:type="dxa"/>
            </w:tcMar>
          </w:tcPr>
          <w:p w14:paraId="3178E8AE"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 xml:space="preserve">Seven African countries, including </w:t>
            </w:r>
            <w:r w:rsidRPr="00A322A9">
              <w:rPr>
                <w:rFonts w:ascii="Times New Roman" w:hAnsi="Times New Roman" w:cs="Times New Roman"/>
                <w:sz w:val="17"/>
              </w:rPr>
              <w:lastRenderedPageBreak/>
              <w:t>Lagos and Ogun States</w:t>
            </w:r>
          </w:p>
        </w:tc>
        <w:tc>
          <w:tcPr>
            <w:tcW w:w="1483" w:type="dxa"/>
            <w:tcMar>
              <w:top w:w="25" w:type="dxa"/>
              <w:left w:w="35" w:type="dxa"/>
              <w:bottom w:w="25" w:type="dxa"/>
              <w:right w:w="35" w:type="dxa"/>
            </w:tcMar>
          </w:tcPr>
          <w:p w14:paraId="068320AC"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lastRenderedPageBreak/>
              <w:t>Soil lead at lead battery manufacturing and recycling facilities</w:t>
            </w:r>
          </w:p>
        </w:tc>
        <w:tc>
          <w:tcPr>
            <w:tcW w:w="1685" w:type="dxa"/>
            <w:tcMar>
              <w:top w:w="25" w:type="dxa"/>
              <w:left w:w="35" w:type="dxa"/>
              <w:bottom w:w="25" w:type="dxa"/>
              <w:right w:w="35" w:type="dxa"/>
            </w:tcMar>
          </w:tcPr>
          <w:p w14:paraId="6F892892"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 xml:space="preserve">Nigerian samples reached 29,000 ppm outside and 140,000 ppm inside facilities; </w:t>
            </w:r>
            <w:r w:rsidRPr="00A322A9">
              <w:rPr>
                <w:rFonts w:ascii="Times New Roman" w:hAnsi="Times New Roman" w:cs="Times New Roman"/>
                <w:sz w:val="17"/>
              </w:rPr>
              <w:lastRenderedPageBreak/>
              <w:t>15 of 21 above 400 ppm</w:t>
            </w:r>
          </w:p>
        </w:tc>
        <w:tc>
          <w:tcPr>
            <w:tcW w:w="979" w:type="dxa"/>
            <w:tcMar>
              <w:top w:w="25" w:type="dxa"/>
              <w:left w:w="35" w:type="dxa"/>
              <w:bottom w:w="25" w:type="dxa"/>
              <w:right w:w="35" w:type="dxa"/>
            </w:tcMar>
          </w:tcPr>
          <w:p w14:paraId="7BE64AD1"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lastRenderedPageBreak/>
              <w:t>2 (Nigerian samples); 3 (pooled)</w:t>
            </w:r>
          </w:p>
        </w:tc>
        <w:tc>
          <w:tcPr>
            <w:tcW w:w="1483" w:type="dxa"/>
            <w:tcMar>
              <w:top w:w="25" w:type="dxa"/>
              <w:left w:w="35" w:type="dxa"/>
              <w:bottom w:w="25" w:type="dxa"/>
              <w:right w:w="35" w:type="dxa"/>
            </w:tcMar>
          </w:tcPr>
          <w:p w14:paraId="4CD135C7"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None; facilities handle automotive and industrial batteries</w:t>
            </w:r>
          </w:p>
        </w:tc>
        <w:tc>
          <w:tcPr>
            <w:tcW w:w="1483" w:type="dxa"/>
            <w:tcMar>
              <w:top w:w="25" w:type="dxa"/>
              <w:left w:w="35" w:type="dxa"/>
              <w:bottom w:w="25" w:type="dxa"/>
              <w:right w:w="35" w:type="dxa"/>
            </w:tcMar>
          </w:tcPr>
          <w:p w14:paraId="1108E4E5"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Licensed facilities only; Nigerian data not separately analysed</w:t>
            </w:r>
          </w:p>
        </w:tc>
      </w:tr>
      <w:tr w:rsidR="00AF4FDB" w:rsidRPr="00A322A9" w14:paraId="75EE094E" w14:textId="77777777" w:rsidTr="00335A04">
        <w:tc>
          <w:tcPr>
            <w:tcW w:w="1123" w:type="dxa"/>
            <w:tcMar>
              <w:top w:w="25" w:type="dxa"/>
              <w:left w:w="35" w:type="dxa"/>
              <w:bottom w:w="25" w:type="dxa"/>
              <w:right w:w="35" w:type="dxa"/>
            </w:tcMar>
          </w:tcPr>
          <w:p w14:paraId="0105569A"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Oloruntoba et al. (2021)</w:t>
            </w:r>
          </w:p>
        </w:tc>
        <w:tc>
          <w:tcPr>
            <w:tcW w:w="1037" w:type="dxa"/>
            <w:tcMar>
              <w:top w:w="25" w:type="dxa"/>
              <w:left w:w="35" w:type="dxa"/>
              <w:bottom w:w="25" w:type="dxa"/>
              <w:right w:w="35" w:type="dxa"/>
            </w:tcMar>
          </w:tcPr>
          <w:p w14:paraId="44D7F6F6"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Ibadan, Nigeria</w:t>
            </w:r>
          </w:p>
        </w:tc>
        <w:tc>
          <w:tcPr>
            <w:tcW w:w="1483" w:type="dxa"/>
            <w:tcMar>
              <w:top w:w="25" w:type="dxa"/>
              <w:left w:w="35" w:type="dxa"/>
              <w:bottom w:w="25" w:type="dxa"/>
              <w:right w:w="35" w:type="dxa"/>
            </w:tcMar>
          </w:tcPr>
          <w:p w14:paraId="2C2A0ADE"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Soil, water and plant metals around a ULAB recycling centre</w:t>
            </w:r>
          </w:p>
        </w:tc>
        <w:tc>
          <w:tcPr>
            <w:tcW w:w="1685" w:type="dxa"/>
            <w:tcMar>
              <w:top w:w="25" w:type="dxa"/>
              <w:left w:w="35" w:type="dxa"/>
              <w:bottom w:w="25" w:type="dxa"/>
              <w:right w:w="35" w:type="dxa"/>
            </w:tcMar>
          </w:tcPr>
          <w:p w14:paraId="63EFC13C"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Lead exceeded permissible limits in water and plants at all sampled locations; soil-to-plant transfer factor 1.92</w:t>
            </w:r>
          </w:p>
        </w:tc>
        <w:tc>
          <w:tcPr>
            <w:tcW w:w="979" w:type="dxa"/>
            <w:tcMar>
              <w:top w:w="25" w:type="dxa"/>
              <w:left w:w="35" w:type="dxa"/>
              <w:bottom w:w="25" w:type="dxa"/>
              <w:right w:w="35" w:type="dxa"/>
            </w:tcMar>
          </w:tcPr>
          <w:p w14:paraId="7FD50BC9"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2</w:t>
            </w:r>
          </w:p>
        </w:tc>
        <w:tc>
          <w:tcPr>
            <w:tcW w:w="1483" w:type="dxa"/>
            <w:tcMar>
              <w:top w:w="25" w:type="dxa"/>
              <w:left w:w="35" w:type="dxa"/>
              <w:bottom w:w="25" w:type="dxa"/>
              <w:right w:w="35" w:type="dxa"/>
            </w:tcMar>
          </w:tcPr>
          <w:p w14:paraId="2B321AED"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None recorded</w:t>
            </w:r>
          </w:p>
        </w:tc>
        <w:tc>
          <w:tcPr>
            <w:tcW w:w="1483" w:type="dxa"/>
            <w:tcMar>
              <w:top w:w="25" w:type="dxa"/>
              <w:left w:w="35" w:type="dxa"/>
              <w:bottom w:w="25" w:type="dxa"/>
              <w:right w:w="35" w:type="dxa"/>
            </w:tcMar>
          </w:tcPr>
          <w:p w14:paraId="3C3FC825"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Single site; battery origin unspecified</w:t>
            </w:r>
          </w:p>
        </w:tc>
      </w:tr>
      <w:tr w:rsidR="00AF4FDB" w:rsidRPr="00A322A9" w14:paraId="39D70B93" w14:textId="77777777" w:rsidTr="00335A04">
        <w:tc>
          <w:tcPr>
            <w:tcW w:w="1123" w:type="dxa"/>
            <w:tcMar>
              <w:top w:w="25" w:type="dxa"/>
              <w:left w:w="35" w:type="dxa"/>
              <w:bottom w:w="25" w:type="dxa"/>
              <w:right w:w="35" w:type="dxa"/>
            </w:tcMar>
          </w:tcPr>
          <w:p w14:paraId="47E7FBAF"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Adeleke et al. (2026)</w:t>
            </w:r>
          </w:p>
        </w:tc>
        <w:tc>
          <w:tcPr>
            <w:tcW w:w="1037" w:type="dxa"/>
            <w:tcMar>
              <w:top w:w="25" w:type="dxa"/>
              <w:left w:w="35" w:type="dxa"/>
              <w:bottom w:w="25" w:type="dxa"/>
              <w:right w:w="35" w:type="dxa"/>
            </w:tcMar>
          </w:tcPr>
          <w:p w14:paraId="29AF3647" w14:textId="77777777" w:rsidR="000E5810" w:rsidRPr="00A322A9" w:rsidRDefault="000E5810" w:rsidP="00A322A9">
            <w:pPr>
              <w:pStyle w:val="Compact"/>
              <w:spacing w:before="0" w:after="0"/>
              <w:rPr>
                <w:rFonts w:ascii="Times New Roman" w:hAnsi="Times New Roman" w:cs="Times New Roman"/>
              </w:rPr>
            </w:pPr>
            <w:proofErr w:type="spellStart"/>
            <w:r w:rsidRPr="00A322A9">
              <w:rPr>
                <w:rFonts w:ascii="Times New Roman" w:hAnsi="Times New Roman" w:cs="Times New Roman"/>
                <w:sz w:val="17"/>
              </w:rPr>
              <w:t>Ogijo</w:t>
            </w:r>
            <w:proofErr w:type="spellEnd"/>
            <w:r w:rsidRPr="00A322A9">
              <w:rPr>
                <w:rFonts w:ascii="Times New Roman" w:hAnsi="Times New Roman" w:cs="Times New Roman"/>
                <w:sz w:val="17"/>
              </w:rPr>
              <w:t>, Ogun State, Nigeria</w:t>
            </w:r>
          </w:p>
        </w:tc>
        <w:tc>
          <w:tcPr>
            <w:tcW w:w="1483" w:type="dxa"/>
            <w:tcMar>
              <w:top w:w="25" w:type="dxa"/>
              <w:left w:w="35" w:type="dxa"/>
              <w:bottom w:w="25" w:type="dxa"/>
              <w:right w:w="35" w:type="dxa"/>
            </w:tcMar>
          </w:tcPr>
          <w:p w14:paraId="41C20321"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Heavy metals in edible plants at a battery waste disposal site</w:t>
            </w:r>
          </w:p>
        </w:tc>
        <w:tc>
          <w:tcPr>
            <w:tcW w:w="1685" w:type="dxa"/>
            <w:tcMar>
              <w:top w:w="25" w:type="dxa"/>
              <w:left w:w="35" w:type="dxa"/>
              <w:bottom w:w="25" w:type="dxa"/>
              <w:right w:w="35" w:type="dxa"/>
            </w:tcMar>
          </w:tcPr>
          <w:p w14:paraId="4AFEF1D0"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Pb, Cd, Cr, Co and Zn above FAO/WHO vegetable guideline values in both seasons</w:t>
            </w:r>
          </w:p>
        </w:tc>
        <w:tc>
          <w:tcPr>
            <w:tcW w:w="979" w:type="dxa"/>
            <w:tcMar>
              <w:top w:w="25" w:type="dxa"/>
              <w:left w:w="35" w:type="dxa"/>
              <w:bottom w:w="25" w:type="dxa"/>
              <w:right w:w="35" w:type="dxa"/>
            </w:tcMar>
          </w:tcPr>
          <w:p w14:paraId="318F96D3"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2</w:t>
            </w:r>
          </w:p>
        </w:tc>
        <w:tc>
          <w:tcPr>
            <w:tcW w:w="1483" w:type="dxa"/>
            <w:tcMar>
              <w:top w:w="25" w:type="dxa"/>
              <w:left w:w="35" w:type="dxa"/>
              <w:bottom w:w="25" w:type="dxa"/>
              <w:right w:w="35" w:type="dxa"/>
            </w:tcMar>
          </w:tcPr>
          <w:p w14:paraId="6C99E375"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None recorded</w:t>
            </w:r>
          </w:p>
        </w:tc>
        <w:tc>
          <w:tcPr>
            <w:tcW w:w="1483" w:type="dxa"/>
            <w:tcMar>
              <w:top w:w="25" w:type="dxa"/>
              <w:left w:w="35" w:type="dxa"/>
              <w:bottom w:w="25" w:type="dxa"/>
              <w:right w:w="35" w:type="dxa"/>
            </w:tcMar>
          </w:tcPr>
          <w:p w14:paraId="66B7F24B"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Plant tissue only; no human biomonitoring</w:t>
            </w:r>
          </w:p>
        </w:tc>
      </w:tr>
      <w:tr w:rsidR="00AF4FDB" w:rsidRPr="00A322A9" w14:paraId="14A0AEF6" w14:textId="77777777" w:rsidTr="00335A04">
        <w:tc>
          <w:tcPr>
            <w:tcW w:w="1123" w:type="dxa"/>
            <w:tcMar>
              <w:top w:w="25" w:type="dxa"/>
              <w:left w:w="35" w:type="dxa"/>
              <w:bottom w:w="25" w:type="dxa"/>
              <w:right w:w="35" w:type="dxa"/>
            </w:tcMar>
          </w:tcPr>
          <w:p w14:paraId="09E3E890" w14:textId="77777777" w:rsidR="000E5810" w:rsidRPr="00A322A9" w:rsidRDefault="000E5810" w:rsidP="00A322A9">
            <w:pPr>
              <w:pStyle w:val="Compact"/>
              <w:spacing w:before="0" w:after="0"/>
              <w:rPr>
                <w:rFonts w:ascii="Times New Roman" w:hAnsi="Times New Roman" w:cs="Times New Roman"/>
              </w:rPr>
            </w:pPr>
            <w:proofErr w:type="spellStart"/>
            <w:r w:rsidRPr="00A322A9">
              <w:rPr>
                <w:rFonts w:ascii="Times New Roman" w:hAnsi="Times New Roman" w:cs="Times New Roman"/>
                <w:sz w:val="17"/>
              </w:rPr>
              <w:t>Aborisade</w:t>
            </w:r>
            <w:proofErr w:type="spellEnd"/>
            <w:r w:rsidRPr="00A322A9">
              <w:rPr>
                <w:rFonts w:ascii="Times New Roman" w:hAnsi="Times New Roman" w:cs="Times New Roman"/>
                <w:sz w:val="17"/>
              </w:rPr>
              <w:t xml:space="preserve"> (2025)</w:t>
            </w:r>
          </w:p>
        </w:tc>
        <w:tc>
          <w:tcPr>
            <w:tcW w:w="1037" w:type="dxa"/>
            <w:tcMar>
              <w:top w:w="25" w:type="dxa"/>
              <w:left w:w="35" w:type="dxa"/>
              <w:bottom w:w="25" w:type="dxa"/>
              <w:right w:w="35" w:type="dxa"/>
            </w:tcMar>
          </w:tcPr>
          <w:p w14:paraId="075D8DD8" w14:textId="77777777" w:rsidR="000E5810" w:rsidRPr="00A322A9" w:rsidRDefault="000E5810" w:rsidP="00A322A9">
            <w:pPr>
              <w:pStyle w:val="Compact"/>
              <w:spacing w:before="0" w:after="0"/>
              <w:rPr>
                <w:rFonts w:ascii="Times New Roman" w:hAnsi="Times New Roman" w:cs="Times New Roman"/>
              </w:rPr>
            </w:pPr>
            <w:proofErr w:type="spellStart"/>
            <w:r w:rsidRPr="00A322A9">
              <w:rPr>
                <w:rFonts w:ascii="Times New Roman" w:hAnsi="Times New Roman" w:cs="Times New Roman"/>
                <w:sz w:val="17"/>
              </w:rPr>
              <w:t>Ogijo</w:t>
            </w:r>
            <w:proofErr w:type="spellEnd"/>
            <w:r w:rsidRPr="00A322A9">
              <w:rPr>
                <w:rFonts w:ascii="Times New Roman" w:hAnsi="Times New Roman" w:cs="Times New Roman"/>
                <w:sz w:val="17"/>
              </w:rPr>
              <w:t>, Ogun State, Nigeria</w:t>
            </w:r>
          </w:p>
        </w:tc>
        <w:tc>
          <w:tcPr>
            <w:tcW w:w="1483" w:type="dxa"/>
            <w:tcMar>
              <w:top w:w="25" w:type="dxa"/>
              <w:left w:w="35" w:type="dxa"/>
              <w:bottom w:w="25" w:type="dxa"/>
              <w:right w:w="35" w:type="dxa"/>
            </w:tcMar>
          </w:tcPr>
          <w:p w14:paraId="2B174D6B"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Commissioned blood and soil lead testing reported through investigative journalism</w:t>
            </w:r>
          </w:p>
        </w:tc>
        <w:tc>
          <w:tcPr>
            <w:tcW w:w="1685" w:type="dxa"/>
            <w:tcMar>
              <w:top w:w="25" w:type="dxa"/>
              <w:left w:w="35" w:type="dxa"/>
              <w:bottom w:w="25" w:type="dxa"/>
              <w:right w:w="35" w:type="dxa"/>
            </w:tcMar>
          </w:tcPr>
          <w:p w14:paraId="3801D352"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Elevated blood lead in seven of ten residents tested; school soil at 1,901 ppm</w:t>
            </w:r>
          </w:p>
        </w:tc>
        <w:tc>
          <w:tcPr>
            <w:tcW w:w="979" w:type="dxa"/>
            <w:tcMar>
              <w:top w:w="25" w:type="dxa"/>
              <w:left w:w="35" w:type="dxa"/>
              <w:bottom w:w="25" w:type="dxa"/>
              <w:right w:w="35" w:type="dxa"/>
            </w:tcMar>
          </w:tcPr>
          <w:p w14:paraId="3914B546"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2</w:t>
            </w:r>
          </w:p>
        </w:tc>
        <w:tc>
          <w:tcPr>
            <w:tcW w:w="1483" w:type="dxa"/>
            <w:tcMar>
              <w:top w:w="25" w:type="dxa"/>
              <w:left w:w="35" w:type="dxa"/>
              <w:bottom w:w="25" w:type="dxa"/>
              <w:right w:w="35" w:type="dxa"/>
            </w:tcMar>
          </w:tcPr>
          <w:p w14:paraId="6A7B1904"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None; batteries explicitly automotive</w:t>
            </w:r>
          </w:p>
        </w:tc>
        <w:tc>
          <w:tcPr>
            <w:tcW w:w="1483" w:type="dxa"/>
            <w:tcMar>
              <w:top w:w="25" w:type="dxa"/>
              <w:left w:w="35" w:type="dxa"/>
              <w:bottom w:w="25" w:type="dxa"/>
              <w:right w:w="35" w:type="dxa"/>
            </w:tcMar>
          </w:tcPr>
          <w:p w14:paraId="0F7B9F73"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Not peer-reviewed; small self-selected sample</w:t>
            </w:r>
          </w:p>
        </w:tc>
      </w:tr>
      <w:tr w:rsidR="00AF4FDB" w:rsidRPr="00A322A9" w14:paraId="742A529F" w14:textId="77777777" w:rsidTr="00335A04">
        <w:tc>
          <w:tcPr>
            <w:tcW w:w="1123" w:type="dxa"/>
            <w:tcMar>
              <w:top w:w="25" w:type="dxa"/>
              <w:left w:w="35" w:type="dxa"/>
              <w:bottom w:w="25" w:type="dxa"/>
              <w:right w:w="35" w:type="dxa"/>
            </w:tcMar>
          </w:tcPr>
          <w:p w14:paraId="7364BEF9" w14:textId="77777777" w:rsidR="000E5810" w:rsidRPr="00A322A9" w:rsidRDefault="000E5810" w:rsidP="00A322A9">
            <w:pPr>
              <w:pStyle w:val="Compact"/>
              <w:spacing w:before="0" w:after="0"/>
              <w:rPr>
                <w:rFonts w:ascii="Times New Roman" w:hAnsi="Times New Roman" w:cs="Times New Roman"/>
              </w:rPr>
            </w:pPr>
            <w:proofErr w:type="spellStart"/>
            <w:r w:rsidRPr="00A322A9">
              <w:rPr>
                <w:rFonts w:ascii="Times New Roman" w:hAnsi="Times New Roman" w:cs="Times New Roman"/>
                <w:sz w:val="17"/>
              </w:rPr>
              <w:t>Haefliger</w:t>
            </w:r>
            <w:proofErr w:type="spellEnd"/>
            <w:r w:rsidRPr="00A322A9">
              <w:rPr>
                <w:rFonts w:ascii="Times New Roman" w:hAnsi="Times New Roman" w:cs="Times New Roman"/>
                <w:sz w:val="17"/>
              </w:rPr>
              <w:t xml:space="preserve"> et al. (2009)</w:t>
            </w:r>
          </w:p>
        </w:tc>
        <w:tc>
          <w:tcPr>
            <w:tcW w:w="1037" w:type="dxa"/>
            <w:tcMar>
              <w:top w:w="25" w:type="dxa"/>
              <w:left w:w="35" w:type="dxa"/>
              <w:bottom w:w="25" w:type="dxa"/>
              <w:right w:w="35" w:type="dxa"/>
            </w:tcMar>
          </w:tcPr>
          <w:p w14:paraId="7AFF4BB7"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Dakar, Senegal</w:t>
            </w:r>
          </w:p>
        </w:tc>
        <w:tc>
          <w:tcPr>
            <w:tcW w:w="1483" w:type="dxa"/>
            <w:tcMar>
              <w:top w:w="25" w:type="dxa"/>
              <w:left w:w="35" w:type="dxa"/>
              <w:bottom w:w="25" w:type="dxa"/>
              <w:right w:w="35" w:type="dxa"/>
            </w:tcMar>
          </w:tcPr>
          <w:p w14:paraId="2F08B606"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 xml:space="preserve">Mass </w:t>
            </w:r>
            <w:proofErr w:type="gramStart"/>
            <w:r w:rsidRPr="00A322A9">
              <w:rPr>
                <w:rFonts w:ascii="Times New Roman" w:hAnsi="Times New Roman" w:cs="Times New Roman"/>
                <w:sz w:val="17"/>
              </w:rPr>
              <w:t>lead</w:t>
            </w:r>
            <w:proofErr w:type="gramEnd"/>
            <w:r w:rsidRPr="00A322A9">
              <w:rPr>
                <w:rFonts w:ascii="Times New Roman" w:hAnsi="Times New Roman" w:cs="Times New Roman"/>
                <w:sz w:val="17"/>
              </w:rPr>
              <w:t xml:space="preserve"> intoxication in an informal ULAB recycling community</w:t>
            </w:r>
          </w:p>
        </w:tc>
        <w:tc>
          <w:tcPr>
            <w:tcW w:w="1685" w:type="dxa"/>
            <w:tcMar>
              <w:top w:w="25" w:type="dxa"/>
              <w:left w:w="35" w:type="dxa"/>
              <w:bottom w:w="25" w:type="dxa"/>
              <w:right w:w="35" w:type="dxa"/>
            </w:tcMar>
          </w:tcPr>
          <w:p w14:paraId="7C3BD878"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18 child deaths; blood lead 39.8–613.9 µg/dL in 50 children; outdoor soil to 302,000 mg/kg</w:t>
            </w:r>
          </w:p>
        </w:tc>
        <w:tc>
          <w:tcPr>
            <w:tcW w:w="979" w:type="dxa"/>
            <w:tcMar>
              <w:top w:w="25" w:type="dxa"/>
              <w:left w:w="35" w:type="dxa"/>
              <w:bottom w:w="25" w:type="dxa"/>
              <w:right w:w="35" w:type="dxa"/>
            </w:tcMar>
          </w:tcPr>
          <w:p w14:paraId="1EEC8110"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3</w:t>
            </w:r>
          </w:p>
        </w:tc>
        <w:tc>
          <w:tcPr>
            <w:tcW w:w="1483" w:type="dxa"/>
            <w:tcMar>
              <w:top w:w="25" w:type="dxa"/>
              <w:left w:w="35" w:type="dxa"/>
              <w:bottom w:w="25" w:type="dxa"/>
              <w:right w:w="35" w:type="dxa"/>
            </w:tcMar>
          </w:tcPr>
          <w:p w14:paraId="721FF3E3"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None; automotive ULAB</w:t>
            </w:r>
          </w:p>
        </w:tc>
        <w:tc>
          <w:tcPr>
            <w:tcW w:w="1483" w:type="dxa"/>
            <w:tcMar>
              <w:top w:w="25" w:type="dxa"/>
              <w:left w:w="35" w:type="dxa"/>
              <w:bottom w:w="25" w:type="dxa"/>
              <w:right w:w="35" w:type="dxa"/>
            </w:tcMar>
          </w:tcPr>
          <w:p w14:paraId="4EDC4AB1"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Non-Nigerian; outbreak investigation rather than representative sampling</w:t>
            </w:r>
          </w:p>
        </w:tc>
      </w:tr>
      <w:tr w:rsidR="00AF4FDB" w:rsidRPr="00A322A9" w14:paraId="64EFB8E5" w14:textId="77777777" w:rsidTr="00335A04">
        <w:tc>
          <w:tcPr>
            <w:tcW w:w="1123" w:type="dxa"/>
            <w:tcMar>
              <w:top w:w="25" w:type="dxa"/>
              <w:left w:w="35" w:type="dxa"/>
              <w:bottom w:w="25" w:type="dxa"/>
              <w:right w:w="35" w:type="dxa"/>
            </w:tcMar>
          </w:tcPr>
          <w:p w14:paraId="16B0944D" w14:textId="77777777" w:rsidR="000E5810" w:rsidRPr="00A322A9" w:rsidRDefault="000E5810" w:rsidP="00A322A9">
            <w:pPr>
              <w:pStyle w:val="Compact"/>
              <w:spacing w:before="0" w:after="0"/>
              <w:rPr>
                <w:rFonts w:ascii="Times New Roman" w:hAnsi="Times New Roman" w:cs="Times New Roman"/>
              </w:rPr>
            </w:pPr>
            <w:proofErr w:type="spellStart"/>
            <w:r w:rsidRPr="00A322A9">
              <w:rPr>
                <w:rFonts w:ascii="Times New Roman" w:hAnsi="Times New Roman" w:cs="Times New Roman"/>
                <w:sz w:val="17"/>
              </w:rPr>
              <w:t>Ondayo</w:t>
            </w:r>
            <w:proofErr w:type="spellEnd"/>
            <w:r w:rsidRPr="00A322A9">
              <w:rPr>
                <w:rFonts w:ascii="Times New Roman" w:hAnsi="Times New Roman" w:cs="Times New Roman"/>
                <w:sz w:val="17"/>
              </w:rPr>
              <w:t xml:space="preserve"> et al. (2016)</w:t>
            </w:r>
          </w:p>
        </w:tc>
        <w:tc>
          <w:tcPr>
            <w:tcW w:w="1037" w:type="dxa"/>
            <w:tcMar>
              <w:top w:w="25" w:type="dxa"/>
              <w:left w:w="35" w:type="dxa"/>
              <w:bottom w:w="25" w:type="dxa"/>
              <w:right w:w="35" w:type="dxa"/>
            </w:tcMar>
          </w:tcPr>
          <w:p w14:paraId="0F360F3D"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Nairobi, Kenya</w:t>
            </w:r>
          </w:p>
        </w:tc>
        <w:tc>
          <w:tcPr>
            <w:tcW w:w="1483" w:type="dxa"/>
            <w:tcMar>
              <w:top w:w="25" w:type="dxa"/>
              <w:left w:w="35" w:type="dxa"/>
              <w:bottom w:w="25" w:type="dxa"/>
              <w:right w:w="35" w:type="dxa"/>
            </w:tcMar>
          </w:tcPr>
          <w:p w14:paraId="27F352A8"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Soil and floor dust lead near informal ULAB operations</w:t>
            </w:r>
          </w:p>
        </w:tc>
        <w:tc>
          <w:tcPr>
            <w:tcW w:w="1685" w:type="dxa"/>
            <w:tcMar>
              <w:top w:w="25" w:type="dxa"/>
              <w:left w:w="35" w:type="dxa"/>
              <w:bottom w:w="25" w:type="dxa"/>
              <w:right w:w="35" w:type="dxa"/>
            </w:tcMar>
          </w:tcPr>
          <w:p w14:paraId="3CB6B30D"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All floor dust samples exceeded United States guidance values</w:t>
            </w:r>
          </w:p>
        </w:tc>
        <w:tc>
          <w:tcPr>
            <w:tcW w:w="979" w:type="dxa"/>
            <w:tcMar>
              <w:top w:w="25" w:type="dxa"/>
              <w:left w:w="35" w:type="dxa"/>
              <w:bottom w:w="25" w:type="dxa"/>
              <w:right w:w="35" w:type="dxa"/>
            </w:tcMar>
          </w:tcPr>
          <w:p w14:paraId="47FFC028"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3</w:t>
            </w:r>
          </w:p>
        </w:tc>
        <w:tc>
          <w:tcPr>
            <w:tcW w:w="1483" w:type="dxa"/>
            <w:tcMar>
              <w:top w:w="25" w:type="dxa"/>
              <w:left w:w="35" w:type="dxa"/>
              <w:bottom w:w="25" w:type="dxa"/>
              <w:right w:w="35" w:type="dxa"/>
            </w:tcMar>
          </w:tcPr>
          <w:p w14:paraId="397B8E7B"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None</w:t>
            </w:r>
          </w:p>
        </w:tc>
        <w:tc>
          <w:tcPr>
            <w:tcW w:w="1483" w:type="dxa"/>
            <w:tcMar>
              <w:top w:w="25" w:type="dxa"/>
              <w:left w:w="35" w:type="dxa"/>
              <w:bottom w:w="25" w:type="dxa"/>
              <w:right w:w="35" w:type="dxa"/>
            </w:tcMar>
          </w:tcPr>
          <w:p w14:paraId="5415D741"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Non-Nigerian; environmental sampling only</w:t>
            </w:r>
          </w:p>
        </w:tc>
      </w:tr>
      <w:tr w:rsidR="00AF4FDB" w:rsidRPr="00A322A9" w14:paraId="2728990D" w14:textId="77777777" w:rsidTr="00335A04">
        <w:tc>
          <w:tcPr>
            <w:tcW w:w="1123" w:type="dxa"/>
            <w:tcMar>
              <w:top w:w="25" w:type="dxa"/>
              <w:left w:w="35" w:type="dxa"/>
              <w:bottom w:w="25" w:type="dxa"/>
              <w:right w:w="35" w:type="dxa"/>
            </w:tcMar>
          </w:tcPr>
          <w:p w14:paraId="5B9512B0" w14:textId="77777777" w:rsidR="000E5810" w:rsidRPr="00A322A9" w:rsidRDefault="000E5810" w:rsidP="00A322A9">
            <w:pPr>
              <w:pStyle w:val="Compact"/>
              <w:spacing w:before="0" w:after="0"/>
              <w:rPr>
                <w:rFonts w:ascii="Times New Roman" w:hAnsi="Times New Roman" w:cs="Times New Roman"/>
              </w:rPr>
            </w:pPr>
            <w:proofErr w:type="spellStart"/>
            <w:r w:rsidRPr="00A322A9">
              <w:rPr>
                <w:rFonts w:ascii="Times New Roman" w:hAnsi="Times New Roman" w:cs="Times New Roman"/>
                <w:sz w:val="17"/>
              </w:rPr>
              <w:t>Kinally</w:t>
            </w:r>
            <w:proofErr w:type="spellEnd"/>
            <w:r w:rsidRPr="00A322A9">
              <w:rPr>
                <w:rFonts w:ascii="Times New Roman" w:hAnsi="Times New Roman" w:cs="Times New Roman"/>
                <w:sz w:val="17"/>
              </w:rPr>
              <w:t xml:space="preserve"> et al. (2024)</w:t>
            </w:r>
          </w:p>
        </w:tc>
        <w:tc>
          <w:tcPr>
            <w:tcW w:w="1037" w:type="dxa"/>
            <w:tcMar>
              <w:top w:w="25" w:type="dxa"/>
              <w:left w:w="35" w:type="dxa"/>
              <w:bottom w:w="25" w:type="dxa"/>
              <w:right w:w="35" w:type="dxa"/>
            </w:tcMar>
          </w:tcPr>
          <w:p w14:paraId="00FAE08E"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Malawi</w:t>
            </w:r>
          </w:p>
        </w:tc>
        <w:tc>
          <w:tcPr>
            <w:tcW w:w="1483" w:type="dxa"/>
            <w:tcMar>
              <w:top w:w="25" w:type="dxa"/>
              <w:left w:w="35" w:type="dxa"/>
              <w:bottom w:w="25" w:type="dxa"/>
              <w:right w:w="35" w:type="dxa"/>
            </w:tcMar>
          </w:tcPr>
          <w:p w14:paraId="3385494E"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Life cycle assessment of informal solar home system waste management</w:t>
            </w:r>
          </w:p>
        </w:tc>
        <w:tc>
          <w:tcPr>
            <w:tcW w:w="1685" w:type="dxa"/>
            <w:tcMar>
              <w:top w:w="25" w:type="dxa"/>
              <w:left w:w="35" w:type="dxa"/>
              <w:bottom w:w="25" w:type="dxa"/>
              <w:right w:w="35" w:type="dxa"/>
            </w:tcMar>
          </w:tcPr>
          <w:p w14:paraId="1B5A0523"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3.5–4.7 kg of lead released per solar battery; batteries account for 54–99% of system lifecycle impact</w:t>
            </w:r>
          </w:p>
        </w:tc>
        <w:tc>
          <w:tcPr>
            <w:tcW w:w="979" w:type="dxa"/>
            <w:tcMar>
              <w:top w:w="25" w:type="dxa"/>
              <w:left w:w="35" w:type="dxa"/>
              <w:bottom w:w="25" w:type="dxa"/>
              <w:right w:w="35" w:type="dxa"/>
            </w:tcMar>
          </w:tcPr>
          <w:p w14:paraId="6783DFD9"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3; solar-specific</w:t>
            </w:r>
          </w:p>
        </w:tc>
        <w:tc>
          <w:tcPr>
            <w:tcW w:w="1483" w:type="dxa"/>
            <w:tcMar>
              <w:top w:w="25" w:type="dxa"/>
              <w:left w:w="35" w:type="dxa"/>
              <w:bottom w:w="25" w:type="dxa"/>
              <w:right w:w="35" w:type="dxa"/>
            </w:tcMar>
          </w:tcPr>
          <w:p w14:paraId="492F7F01"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Closest available evidence, but non-Nigerian</w:t>
            </w:r>
          </w:p>
        </w:tc>
        <w:tc>
          <w:tcPr>
            <w:tcW w:w="1483" w:type="dxa"/>
            <w:tcMar>
              <w:top w:w="25" w:type="dxa"/>
              <w:left w:w="35" w:type="dxa"/>
              <w:bottom w:w="25" w:type="dxa"/>
              <w:right w:w="35" w:type="dxa"/>
            </w:tcMar>
          </w:tcPr>
          <w:p w14:paraId="3E283290" w14:textId="77777777" w:rsidR="000E5810" w:rsidRPr="00A322A9" w:rsidRDefault="000E5810" w:rsidP="00A322A9">
            <w:pPr>
              <w:pStyle w:val="Compact"/>
              <w:spacing w:before="0" w:after="0"/>
              <w:rPr>
                <w:rFonts w:ascii="Times New Roman" w:hAnsi="Times New Roman" w:cs="Times New Roman"/>
              </w:rPr>
            </w:pPr>
            <w:proofErr w:type="gramStart"/>
            <w:r w:rsidRPr="00A322A9">
              <w:rPr>
                <w:rFonts w:ascii="Times New Roman" w:hAnsi="Times New Roman" w:cs="Times New Roman"/>
                <w:sz w:val="17"/>
              </w:rPr>
              <w:t>Models</w:t>
            </w:r>
            <w:proofErr w:type="gramEnd"/>
            <w:r w:rsidRPr="00A322A9">
              <w:rPr>
                <w:rFonts w:ascii="Times New Roman" w:hAnsi="Times New Roman" w:cs="Times New Roman"/>
                <w:sz w:val="17"/>
              </w:rPr>
              <w:t xml:space="preserve"> pollutant release rather than human or environmental burden; authors identify health effects as unexamined</w:t>
            </w:r>
          </w:p>
        </w:tc>
      </w:tr>
      <w:tr w:rsidR="00AF4FDB" w:rsidRPr="00A322A9" w14:paraId="03426E99" w14:textId="77777777" w:rsidTr="00335A04">
        <w:tc>
          <w:tcPr>
            <w:tcW w:w="1123" w:type="dxa"/>
            <w:tcMar>
              <w:top w:w="25" w:type="dxa"/>
              <w:left w:w="35" w:type="dxa"/>
              <w:bottom w:w="25" w:type="dxa"/>
              <w:right w:w="35" w:type="dxa"/>
            </w:tcMar>
          </w:tcPr>
          <w:p w14:paraId="5B846049"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Bonnifield and Mallory (2026)</w:t>
            </w:r>
          </w:p>
        </w:tc>
        <w:tc>
          <w:tcPr>
            <w:tcW w:w="1037" w:type="dxa"/>
            <w:tcMar>
              <w:top w:w="25" w:type="dxa"/>
              <w:left w:w="35" w:type="dxa"/>
              <w:bottom w:w="25" w:type="dxa"/>
              <w:right w:w="35" w:type="dxa"/>
            </w:tcMar>
          </w:tcPr>
          <w:p w14:paraId="006EC530"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Sub-Saharan Africa</w:t>
            </w:r>
          </w:p>
        </w:tc>
        <w:tc>
          <w:tcPr>
            <w:tcW w:w="1483" w:type="dxa"/>
            <w:tcMar>
              <w:top w:w="25" w:type="dxa"/>
              <w:left w:w="35" w:type="dxa"/>
              <w:bottom w:w="25" w:type="dxa"/>
              <w:right w:w="35" w:type="dxa"/>
            </w:tcMar>
          </w:tcPr>
          <w:p w14:paraId="348F6ECC"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Modelled contribution of off-grid solar to ULAB arisings</w:t>
            </w:r>
          </w:p>
        </w:tc>
        <w:tc>
          <w:tcPr>
            <w:tcW w:w="1685" w:type="dxa"/>
            <w:tcMar>
              <w:top w:w="25" w:type="dxa"/>
              <w:left w:w="35" w:type="dxa"/>
              <w:bottom w:w="25" w:type="dxa"/>
              <w:right w:w="35" w:type="dxa"/>
            </w:tcMar>
          </w:tcPr>
          <w:p w14:paraId="7D9A4FF7"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Off-grid solar estimated at 13–47% of regional ULAB waste</w:t>
            </w:r>
          </w:p>
        </w:tc>
        <w:tc>
          <w:tcPr>
            <w:tcW w:w="979" w:type="dxa"/>
            <w:tcMar>
              <w:top w:w="25" w:type="dxa"/>
              <w:left w:w="35" w:type="dxa"/>
              <w:bottom w:w="25" w:type="dxa"/>
              <w:right w:w="35" w:type="dxa"/>
            </w:tcMar>
          </w:tcPr>
          <w:p w14:paraId="23FAA37E"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3; modelled</w:t>
            </w:r>
          </w:p>
        </w:tc>
        <w:tc>
          <w:tcPr>
            <w:tcW w:w="1483" w:type="dxa"/>
            <w:tcMar>
              <w:top w:w="25" w:type="dxa"/>
              <w:left w:w="35" w:type="dxa"/>
              <w:bottom w:w="25" w:type="dxa"/>
              <w:right w:w="35" w:type="dxa"/>
            </w:tcMar>
          </w:tcPr>
          <w:p w14:paraId="615ED218"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Directly relevant, but an estimate rather than a measurement</w:t>
            </w:r>
          </w:p>
        </w:tc>
        <w:tc>
          <w:tcPr>
            <w:tcW w:w="1483" w:type="dxa"/>
            <w:tcMar>
              <w:top w:w="25" w:type="dxa"/>
              <w:left w:w="35" w:type="dxa"/>
              <w:bottom w:w="25" w:type="dxa"/>
              <w:right w:w="35" w:type="dxa"/>
            </w:tcMar>
          </w:tcPr>
          <w:p w14:paraId="0DAEBAD6"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Modelled from scattered fieldwork; no Nigerian breakdown</w:t>
            </w:r>
          </w:p>
        </w:tc>
      </w:tr>
      <w:tr w:rsidR="00AF4FDB" w:rsidRPr="00A322A9" w14:paraId="194E0337" w14:textId="77777777" w:rsidTr="00335A04">
        <w:tc>
          <w:tcPr>
            <w:tcW w:w="1123" w:type="dxa"/>
            <w:tcMar>
              <w:top w:w="25" w:type="dxa"/>
              <w:left w:w="35" w:type="dxa"/>
              <w:bottom w:w="25" w:type="dxa"/>
              <w:right w:w="35" w:type="dxa"/>
            </w:tcMar>
          </w:tcPr>
          <w:p w14:paraId="2699A8AB" w14:textId="77777777" w:rsidR="000E5810" w:rsidRPr="00A322A9" w:rsidRDefault="000E5810" w:rsidP="00A322A9">
            <w:pPr>
              <w:pStyle w:val="Compact"/>
              <w:spacing w:before="0" w:after="0"/>
              <w:rPr>
                <w:rFonts w:ascii="Times New Roman" w:hAnsi="Times New Roman" w:cs="Times New Roman"/>
              </w:rPr>
            </w:pPr>
            <w:r>
              <w:rPr>
                <w:rFonts w:ascii="Times New Roman" w:hAnsi="Times New Roman"/>
                <w:sz w:val="17"/>
              </w:rPr>
              <w:t>Manhart &amp; Adjei (2026)</w:t>
            </w:r>
          </w:p>
        </w:tc>
        <w:tc>
          <w:tcPr>
            <w:tcW w:w="1037" w:type="dxa"/>
            <w:tcMar>
              <w:top w:w="25" w:type="dxa"/>
              <w:left w:w="35" w:type="dxa"/>
              <w:bottom w:w="25" w:type="dxa"/>
              <w:right w:w="35" w:type="dxa"/>
            </w:tcMar>
          </w:tcPr>
          <w:p w14:paraId="6FE86DBB"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Ghana, Nigeria, Tanzania</w:t>
            </w:r>
          </w:p>
        </w:tc>
        <w:tc>
          <w:tcPr>
            <w:tcW w:w="1483" w:type="dxa"/>
            <w:tcMar>
              <w:top w:w="25" w:type="dxa"/>
              <w:left w:w="35" w:type="dxa"/>
              <w:bottom w:w="25" w:type="dxa"/>
              <w:right w:w="35" w:type="dxa"/>
            </w:tcMar>
          </w:tcPr>
          <w:p w14:paraId="42C685F6"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Status of ULAB recycling and sector policy options</w:t>
            </w:r>
          </w:p>
        </w:tc>
        <w:tc>
          <w:tcPr>
            <w:tcW w:w="1685" w:type="dxa"/>
            <w:tcMar>
              <w:top w:w="25" w:type="dxa"/>
              <w:left w:w="35" w:type="dxa"/>
              <w:bottom w:w="25" w:type="dxa"/>
              <w:right w:w="35" w:type="dxa"/>
            </w:tcMar>
          </w:tcPr>
          <w:p w14:paraId="550DFEEA"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Informal collection networks supply registered plants applying sub-standard processes</w:t>
            </w:r>
          </w:p>
        </w:tc>
        <w:tc>
          <w:tcPr>
            <w:tcW w:w="979" w:type="dxa"/>
            <w:tcMar>
              <w:top w:w="25" w:type="dxa"/>
              <w:left w:w="35" w:type="dxa"/>
              <w:bottom w:w="25" w:type="dxa"/>
              <w:right w:w="35" w:type="dxa"/>
            </w:tcMar>
          </w:tcPr>
          <w:p w14:paraId="14F93AF7"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3</w:t>
            </w:r>
          </w:p>
        </w:tc>
        <w:tc>
          <w:tcPr>
            <w:tcW w:w="1483" w:type="dxa"/>
            <w:tcMar>
              <w:top w:w="25" w:type="dxa"/>
              <w:left w:w="35" w:type="dxa"/>
              <w:bottom w:w="25" w:type="dxa"/>
              <w:right w:w="35" w:type="dxa"/>
            </w:tcMar>
          </w:tcPr>
          <w:p w14:paraId="3857D50C"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None; describes destination rather than origin</w:t>
            </w:r>
          </w:p>
        </w:tc>
        <w:tc>
          <w:tcPr>
            <w:tcW w:w="1483" w:type="dxa"/>
            <w:tcMar>
              <w:top w:w="25" w:type="dxa"/>
              <w:left w:w="35" w:type="dxa"/>
              <w:bottom w:w="25" w:type="dxa"/>
              <w:right w:w="35" w:type="dxa"/>
            </w:tcMar>
          </w:tcPr>
          <w:p w14:paraId="1C94F37F"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Descriptive; no measurement of contamination or exposure</w:t>
            </w:r>
          </w:p>
        </w:tc>
      </w:tr>
      <w:tr w:rsidR="00AF4FDB" w:rsidRPr="00A322A9" w14:paraId="58CDEF6A" w14:textId="77777777" w:rsidTr="00335A04">
        <w:tc>
          <w:tcPr>
            <w:tcW w:w="1123" w:type="dxa"/>
            <w:tcMar>
              <w:top w:w="25" w:type="dxa"/>
              <w:left w:w="35" w:type="dxa"/>
              <w:bottom w:w="25" w:type="dxa"/>
              <w:right w:w="35" w:type="dxa"/>
            </w:tcMar>
          </w:tcPr>
          <w:p w14:paraId="60DE11AC"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World Health Organization (2024)</w:t>
            </w:r>
          </w:p>
        </w:tc>
        <w:tc>
          <w:tcPr>
            <w:tcW w:w="1037" w:type="dxa"/>
            <w:tcMar>
              <w:top w:w="25" w:type="dxa"/>
              <w:left w:w="35" w:type="dxa"/>
              <w:bottom w:w="25" w:type="dxa"/>
              <w:right w:w="35" w:type="dxa"/>
            </w:tcMar>
          </w:tcPr>
          <w:p w14:paraId="4258D245"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Global</w:t>
            </w:r>
          </w:p>
        </w:tc>
        <w:tc>
          <w:tcPr>
            <w:tcW w:w="1483" w:type="dxa"/>
            <w:tcMar>
              <w:top w:w="25" w:type="dxa"/>
              <w:left w:w="35" w:type="dxa"/>
              <w:bottom w:w="25" w:type="dxa"/>
              <w:right w:w="35" w:type="dxa"/>
            </w:tcMar>
          </w:tcPr>
          <w:p w14:paraId="64877249"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Toxicological profile of lead</w:t>
            </w:r>
          </w:p>
        </w:tc>
        <w:tc>
          <w:tcPr>
            <w:tcW w:w="1685" w:type="dxa"/>
            <w:tcMar>
              <w:top w:w="25" w:type="dxa"/>
              <w:left w:w="35" w:type="dxa"/>
              <w:bottom w:w="25" w:type="dxa"/>
              <w:right w:w="35" w:type="dxa"/>
            </w:tcMar>
          </w:tcPr>
          <w:p w14:paraId="3B3856D4"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No identified safe exposure threshold; neurological, haematological, renal and cardiovascular effects</w:t>
            </w:r>
          </w:p>
        </w:tc>
        <w:tc>
          <w:tcPr>
            <w:tcW w:w="979" w:type="dxa"/>
            <w:tcMar>
              <w:top w:w="25" w:type="dxa"/>
              <w:left w:w="35" w:type="dxa"/>
              <w:bottom w:w="25" w:type="dxa"/>
              <w:right w:w="35" w:type="dxa"/>
            </w:tcMar>
          </w:tcPr>
          <w:p w14:paraId="7B67C39A"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4</w:t>
            </w:r>
          </w:p>
        </w:tc>
        <w:tc>
          <w:tcPr>
            <w:tcW w:w="1483" w:type="dxa"/>
            <w:tcMar>
              <w:top w:w="25" w:type="dxa"/>
              <w:left w:w="35" w:type="dxa"/>
              <w:bottom w:w="25" w:type="dxa"/>
              <w:right w:w="35" w:type="dxa"/>
            </w:tcMar>
          </w:tcPr>
          <w:p w14:paraId="56C7DAD0"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None; establishes hazard rather than exposure</w:t>
            </w:r>
          </w:p>
        </w:tc>
        <w:tc>
          <w:tcPr>
            <w:tcW w:w="1483" w:type="dxa"/>
            <w:tcMar>
              <w:top w:w="25" w:type="dxa"/>
              <w:left w:w="35" w:type="dxa"/>
              <w:bottom w:w="25" w:type="dxa"/>
              <w:right w:w="35" w:type="dxa"/>
            </w:tcMar>
          </w:tcPr>
          <w:p w14:paraId="4C223EBE"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General toxicology; not source- or setting-specific</w:t>
            </w:r>
          </w:p>
        </w:tc>
      </w:tr>
    </w:tbl>
    <w:p w14:paraId="6F66A107" w14:textId="77777777" w:rsidR="000E5810" w:rsidRPr="00A322A9" w:rsidRDefault="000E5810" w:rsidP="00A322A9">
      <w:pPr>
        <w:spacing w:line="360" w:lineRule="auto"/>
        <w:rPr>
          <w:rFonts w:ascii="Times New Roman" w:hAnsi="Times New Roman" w:cs="Times New Roman"/>
          <w:sz w:val="24"/>
          <w:szCs w:val="24"/>
        </w:rPr>
      </w:pPr>
    </w:p>
    <w:p w14:paraId="4F3C7C7B" w14:textId="77777777" w:rsidR="000E5810" w:rsidRPr="00A322A9" w:rsidRDefault="000E5810" w:rsidP="00A322A9">
      <w:pPr>
        <w:spacing w:line="360" w:lineRule="auto"/>
        <w:rPr>
          <w:rFonts w:ascii="Times New Roman" w:hAnsi="Times New Roman" w:cs="Times New Roman"/>
          <w:b/>
          <w:bCs/>
          <w:sz w:val="28"/>
          <w:szCs w:val="28"/>
        </w:rPr>
      </w:pPr>
    </w:p>
    <w:p w14:paraId="5E806D19" w14:textId="77777777" w:rsidR="00D44451" w:rsidRPr="00A322A9" w:rsidRDefault="00D44451" w:rsidP="00A322A9">
      <w:pPr>
        <w:spacing w:line="360" w:lineRule="auto"/>
        <w:rPr>
          <w:rFonts w:ascii="Times New Roman" w:hAnsi="Times New Roman" w:cs="Times New Roman"/>
          <w:b/>
          <w:bCs/>
          <w:sz w:val="28"/>
          <w:szCs w:val="28"/>
        </w:rPr>
      </w:pPr>
    </w:p>
    <w:p w14:paraId="7FE63FEE" w14:textId="77777777" w:rsidR="00DD2AAA" w:rsidRPr="00A322A9" w:rsidRDefault="00DD2AAA" w:rsidP="00A322A9">
      <w:pPr>
        <w:keepNext/>
        <w:spacing w:line="360" w:lineRule="auto"/>
        <w:rPr>
          <w:rFonts w:ascii="Times New Roman" w:hAnsi="Times New Roman" w:cs="Times New Roman"/>
          <w:b/>
          <w:bCs/>
          <w:sz w:val="28"/>
          <w:szCs w:val="28"/>
        </w:rPr>
      </w:pPr>
      <w:r w:rsidRPr="00A322A9">
        <w:rPr>
          <w:rFonts w:ascii="Times New Roman" w:hAnsi="Times New Roman" w:cs="Times New Roman"/>
          <w:b/>
          <w:bCs/>
          <w:sz w:val="28"/>
          <w:szCs w:val="28"/>
        </w:rPr>
        <w:lastRenderedPageBreak/>
        <w:t>3. Use and End-of-Life Management of Solar Batteries</w:t>
      </w:r>
    </w:p>
    <w:p w14:paraId="3F2F8439" w14:textId="77777777" w:rsidR="00DD2AAA" w:rsidRPr="00A322A9" w:rsidRDefault="00DD2AAA" w:rsidP="00A322A9">
      <w:pPr>
        <w:pStyle w:val="NormalWeb"/>
        <w:spacing w:line="360" w:lineRule="auto"/>
      </w:pPr>
      <w:r w:rsidRPr="00A322A9">
        <w:t>In Nigeria's off grid systems, lead acid batteries are in three primary configurations. Small, usually 12 V, solar home systems are designed for the lighting and phone charging needs of the home. Larger deep cycle banks are used in the household and commercial inverter system, typically 4 to 8 units in series, and make up the majority of installed mass. The mini-grids have large battery banks, but lithium-ion batteries are increasingly replacing lead-acid batteries at this scale, as the price of LIBs continues to drop</w:t>
      </w:r>
      <w:r w:rsidR="00336DEE" w:rsidRPr="00A322A9">
        <w:t xml:space="preserve"> (Adesina et al., 2023).</w:t>
      </w:r>
    </w:p>
    <w:p w14:paraId="1CF054CD" w14:textId="77777777" w:rsidR="00DD2AAA" w:rsidRPr="00A322A9" w:rsidRDefault="00DD2AAA" w:rsidP="00A322A9">
      <w:pPr>
        <w:spacing w:line="360" w:lineRule="auto"/>
        <w:rPr>
          <w:rFonts w:ascii="Times New Roman" w:hAnsi="Times New Roman" w:cs="Times New Roman"/>
          <w:sz w:val="24"/>
          <w:szCs w:val="24"/>
        </w:rPr>
      </w:pPr>
      <w:r w:rsidRPr="00A322A9">
        <w:rPr>
          <w:rFonts w:ascii="Times New Roman" w:hAnsi="Times New Roman" w:cs="Times New Roman"/>
          <w:sz w:val="24"/>
          <w:szCs w:val="24"/>
        </w:rPr>
        <w:t>In practice</w:t>
      </w:r>
      <w:r w:rsidR="003A3CAF" w:rsidRPr="00A322A9">
        <w:rPr>
          <w:rFonts w:ascii="Times New Roman" w:hAnsi="Times New Roman" w:cs="Times New Roman"/>
          <w:sz w:val="24"/>
          <w:szCs w:val="24"/>
        </w:rPr>
        <w:t>.</w:t>
      </w:r>
      <w:r w:rsidRPr="00A322A9">
        <w:rPr>
          <w:rFonts w:ascii="Times New Roman" w:hAnsi="Times New Roman" w:cs="Times New Roman"/>
          <w:sz w:val="24"/>
          <w:szCs w:val="24"/>
        </w:rPr>
        <w:t xml:space="preserve"> service life is shorter than in specification. </w:t>
      </w:r>
      <w:r w:rsidR="003A3CAF" w:rsidRPr="00A322A9">
        <w:rPr>
          <w:rFonts w:ascii="Times New Roman" w:hAnsi="Times New Roman" w:cs="Times New Roman"/>
        </w:rPr>
        <w:t xml:space="preserve">Nazim &amp; Elavarasan (2026) argue </w:t>
      </w:r>
      <w:r w:rsidR="003A3CAF" w:rsidRPr="00A322A9">
        <w:rPr>
          <w:rFonts w:ascii="Times New Roman" w:hAnsi="Times New Roman" w:cs="Times New Roman"/>
          <w:sz w:val="24"/>
          <w:szCs w:val="24"/>
        </w:rPr>
        <w:t>that i</w:t>
      </w:r>
      <w:r w:rsidRPr="00A322A9">
        <w:rPr>
          <w:rFonts w:ascii="Times New Roman" w:hAnsi="Times New Roman" w:cs="Times New Roman"/>
          <w:sz w:val="24"/>
          <w:szCs w:val="24"/>
        </w:rPr>
        <w:t>t is shortened by deep discharge, high ambient temperature, and by the failure to properly maintain flooded cells or by using a correspondingly undersized array which leaves batteries constantly undercharged. Five-year batteries are typically sold and fail in two or three years.</w:t>
      </w:r>
    </w:p>
    <w:p w14:paraId="4AF20AFF" w14:textId="77777777" w:rsidR="00DD2AAA" w:rsidRPr="00A322A9" w:rsidRDefault="00DD2AAA" w:rsidP="00A322A9">
      <w:pPr>
        <w:spacing w:line="360" w:lineRule="auto"/>
        <w:rPr>
          <w:rFonts w:ascii="Times New Roman" w:hAnsi="Times New Roman" w:cs="Times New Roman"/>
          <w:sz w:val="24"/>
          <w:szCs w:val="24"/>
        </w:rPr>
      </w:pPr>
      <w:r w:rsidRPr="00A322A9">
        <w:rPr>
          <w:rFonts w:ascii="Times New Roman" w:hAnsi="Times New Roman" w:cs="Times New Roman"/>
          <w:sz w:val="24"/>
          <w:szCs w:val="24"/>
        </w:rPr>
        <w:t>The next step is up to the scrap value and not the regulations. Lead can be recovered and sold, and there are informal networks of itinerant buyers and mechanics and scrap dealers that efficiently collect used batteries from households and installers, and sell them. The problem with the Nigeria system is not with collection</w:t>
      </w:r>
      <w:r w:rsidR="00336DEE" w:rsidRPr="00A322A9">
        <w:rPr>
          <w:rFonts w:ascii="Times New Roman" w:hAnsi="Times New Roman" w:cs="Times New Roman"/>
          <w:sz w:val="24"/>
          <w:szCs w:val="24"/>
        </w:rPr>
        <w:t xml:space="preserve"> but with p</w:t>
      </w:r>
      <w:r w:rsidRPr="00A322A9">
        <w:rPr>
          <w:rFonts w:ascii="Times New Roman" w:hAnsi="Times New Roman" w:cs="Times New Roman"/>
          <w:sz w:val="24"/>
          <w:szCs w:val="24"/>
        </w:rPr>
        <w:t>rocessing</w:t>
      </w:r>
      <w:r w:rsidR="00336DEE" w:rsidRPr="00A322A9">
        <w:rPr>
          <w:rFonts w:ascii="Times New Roman" w:hAnsi="Times New Roman" w:cs="Times New Roman"/>
          <w:sz w:val="24"/>
          <w:szCs w:val="24"/>
        </w:rPr>
        <w:t>.</w:t>
      </w:r>
    </w:p>
    <w:p w14:paraId="429CC043" w14:textId="77777777" w:rsidR="00DD2AAA" w:rsidRPr="00A322A9" w:rsidRDefault="00DD2AAA" w:rsidP="00A322A9">
      <w:pPr>
        <w:spacing w:line="360" w:lineRule="auto"/>
        <w:rPr>
          <w:rFonts w:ascii="Times New Roman" w:hAnsi="Times New Roman" w:cs="Times New Roman"/>
          <w:sz w:val="24"/>
          <w:szCs w:val="24"/>
        </w:rPr>
      </w:pPr>
      <w:r w:rsidRPr="00A322A9">
        <w:rPr>
          <w:rFonts w:ascii="Times New Roman" w:hAnsi="Times New Roman" w:cs="Times New Roman"/>
          <w:sz w:val="24"/>
          <w:szCs w:val="24"/>
        </w:rPr>
        <w:t xml:space="preserve">Collected batteries go to aggregators to smelters. Some are registered and others are entirely informal, and evidence from around sub-Saharan Africa suggests that the difference is not as significant as it should be, as informal collection networks often provide registered industrial plants operating sub-standard processes (Manhart &amp; Adjei, 2026). The informal processing includes manually opening the casings, draining the </w:t>
      </w:r>
      <w:proofErr w:type="spellStart"/>
      <w:r w:rsidRPr="00A322A9">
        <w:rPr>
          <w:rFonts w:ascii="Times New Roman" w:hAnsi="Times New Roman" w:cs="Times New Roman"/>
          <w:sz w:val="24"/>
          <w:szCs w:val="24"/>
        </w:rPr>
        <w:t>sulphuric</w:t>
      </w:r>
      <w:proofErr w:type="spellEnd"/>
      <w:r w:rsidRPr="00A322A9">
        <w:rPr>
          <w:rFonts w:ascii="Times New Roman" w:hAnsi="Times New Roman" w:cs="Times New Roman"/>
          <w:sz w:val="24"/>
          <w:szCs w:val="24"/>
        </w:rPr>
        <w:t xml:space="preserve"> acid electrolyte and smelting the lead plates in unlined pits or in crude furnaces without any pollution control measures.</w:t>
      </w:r>
    </w:p>
    <w:p w14:paraId="1288AC33" w14:textId="77777777" w:rsidR="00DD2AAA" w:rsidRPr="00A322A9" w:rsidRDefault="00DD2AAA" w:rsidP="00A322A9">
      <w:pPr>
        <w:spacing w:line="360" w:lineRule="auto"/>
        <w:rPr>
          <w:rFonts w:ascii="Times New Roman" w:hAnsi="Times New Roman" w:cs="Times New Roman"/>
          <w:sz w:val="24"/>
          <w:szCs w:val="24"/>
        </w:rPr>
      </w:pPr>
      <w:r w:rsidRPr="00A322A9">
        <w:rPr>
          <w:rFonts w:ascii="Times New Roman" w:hAnsi="Times New Roman" w:cs="Times New Roman"/>
          <w:sz w:val="24"/>
          <w:szCs w:val="24"/>
        </w:rPr>
        <w:t>There is also a second life re-use. Batteries no longer providing a satisfactory charge for one run are sold for less demanding tasks, while informal “refurbishment” is carried out by cleaning the plates or replacing the electrolyte. This can be desirable, to extend useful life, but it makes it more difficult to trace eventually to the end of life.</w:t>
      </w:r>
    </w:p>
    <w:p w14:paraId="2042DC8C" w14:textId="77777777" w:rsidR="00DD2AAA" w:rsidRPr="00A322A9" w:rsidRDefault="00DD2AAA" w:rsidP="00A322A9">
      <w:pPr>
        <w:spacing w:line="360" w:lineRule="auto"/>
        <w:rPr>
          <w:rFonts w:ascii="Times New Roman" w:hAnsi="Times New Roman" w:cs="Times New Roman"/>
          <w:sz w:val="24"/>
          <w:szCs w:val="24"/>
        </w:rPr>
      </w:pPr>
      <w:r w:rsidRPr="00A322A9">
        <w:rPr>
          <w:rFonts w:ascii="Times New Roman" w:hAnsi="Times New Roman" w:cs="Times New Roman"/>
          <w:sz w:val="24"/>
          <w:szCs w:val="24"/>
        </w:rPr>
        <w:t xml:space="preserve">The specific route taken by solar batteries has not been recorded. It is a reasonable inference, though, because there is no separate solar battery collection system in Nigeria, no labeling to differentiate a solar battery from an automotive battery at the point of purchase of the scrap, and </w:t>
      </w:r>
      <w:r w:rsidRPr="00A322A9">
        <w:rPr>
          <w:rFonts w:ascii="Times New Roman" w:hAnsi="Times New Roman" w:cs="Times New Roman"/>
          <w:sz w:val="24"/>
          <w:szCs w:val="24"/>
        </w:rPr>
        <w:lastRenderedPageBreak/>
        <w:t>no economic reason for a collector to make a distinction between the two. Solar batteries are added to the automotive ULAB stream as there is only one stream available to them.</w:t>
      </w:r>
    </w:p>
    <w:p w14:paraId="4013AD4B" w14:textId="77777777" w:rsidR="00DD2AAA" w:rsidRPr="00A322A9" w:rsidRDefault="00DD2AAA" w:rsidP="00A322A9">
      <w:pPr>
        <w:keepNext/>
        <w:spacing w:line="360" w:lineRule="auto"/>
        <w:rPr>
          <w:rFonts w:ascii="Times New Roman" w:hAnsi="Times New Roman" w:cs="Times New Roman"/>
          <w:b/>
          <w:bCs/>
          <w:sz w:val="28"/>
          <w:szCs w:val="28"/>
        </w:rPr>
      </w:pPr>
      <w:r w:rsidRPr="00A322A9">
        <w:rPr>
          <w:rFonts w:ascii="Times New Roman" w:hAnsi="Times New Roman" w:cs="Times New Roman"/>
          <w:b/>
          <w:bCs/>
          <w:sz w:val="28"/>
          <w:szCs w:val="28"/>
        </w:rPr>
        <w:t>4. Environmental Contamination and Exposure Pathways</w:t>
      </w:r>
    </w:p>
    <w:p w14:paraId="4DEBE632" w14:textId="77777777" w:rsidR="005C02B2" w:rsidRPr="00A322A9" w:rsidRDefault="005C02B2" w:rsidP="00A322A9">
      <w:pPr>
        <w:spacing w:line="360" w:lineRule="auto"/>
        <w:rPr>
          <w:rFonts w:ascii="Times New Roman" w:hAnsi="Times New Roman" w:cs="Times New Roman"/>
          <w:sz w:val="24"/>
          <w:szCs w:val="24"/>
        </w:rPr>
      </w:pPr>
    </w:p>
    <w:p w14:paraId="6DEADEBC" w14:textId="77777777" w:rsidR="005C02B2" w:rsidRPr="00A322A9" w:rsidRDefault="005C02B2" w:rsidP="00A322A9">
      <w:pPr>
        <w:spacing w:line="360" w:lineRule="auto"/>
        <w:rPr>
          <w:rFonts w:ascii="Times New Roman" w:hAnsi="Times New Roman" w:cs="Times New Roman"/>
          <w:sz w:val="24"/>
          <w:szCs w:val="24"/>
        </w:rPr>
      </w:pPr>
      <w:r w:rsidRPr="00A322A9">
        <w:rPr>
          <w:rFonts w:ascii="Times New Roman" w:hAnsi="Times New Roman" w:cs="Times New Roman"/>
          <w:noProof/>
          <w:sz w:val="24"/>
          <w:szCs w:val="24"/>
        </w:rPr>
        <w:drawing>
          <wp:inline distT="0" distB="0" distL="0" distR="0" wp14:anchorId="511F8195" wp14:editId="740B53A4">
            <wp:extent cx="5943600" cy="390080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900805"/>
                    </a:xfrm>
                    <a:prstGeom prst="rect">
                      <a:avLst/>
                    </a:prstGeom>
                  </pic:spPr>
                </pic:pic>
              </a:graphicData>
            </a:graphic>
          </wp:inline>
        </w:drawing>
      </w:r>
    </w:p>
    <w:p w14:paraId="666FB294" w14:textId="77777777" w:rsidR="0022496C" w:rsidRPr="00A322A9" w:rsidRDefault="0022496C" w:rsidP="00A322A9">
      <w:pPr>
        <w:pStyle w:val="pdq2pgselectionanchorcontainer"/>
        <w:spacing w:line="360" w:lineRule="auto"/>
      </w:pPr>
      <w:r w:rsidRPr="00A322A9">
        <w:rPr>
          <w:rStyle w:val="Strong"/>
        </w:rPr>
        <w:t xml:space="preserve">Figure </w:t>
      </w:r>
      <w:r w:rsidR="000E5810" w:rsidRPr="00A322A9">
        <w:rPr>
          <w:rStyle w:val="Strong"/>
        </w:rPr>
        <w:t>1</w:t>
      </w:r>
      <w:r w:rsidRPr="00A322A9">
        <w:rPr>
          <w:rStyle w:val="Strong"/>
        </w:rPr>
        <w:t>. Lead-acid battery anatomy, hazardous releases and exposure pathways</w:t>
      </w:r>
    </w:p>
    <w:p w14:paraId="6622C156" w14:textId="77777777" w:rsidR="0022496C" w:rsidRPr="00A322A9" w:rsidRDefault="0022496C" w:rsidP="00A322A9">
      <w:pPr>
        <w:spacing w:line="360" w:lineRule="auto"/>
        <w:rPr>
          <w:rFonts w:ascii="Times New Roman" w:hAnsi="Times New Roman" w:cs="Times New Roman"/>
          <w:sz w:val="24"/>
          <w:szCs w:val="24"/>
        </w:rPr>
      </w:pPr>
    </w:p>
    <w:p w14:paraId="5E5FFDD2" w14:textId="77777777" w:rsidR="0022496C" w:rsidRPr="00A322A9" w:rsidRDefault="0022496C" w:rsidP="00A322A9">
      <w:pPr>
        <w:spacing w:line="360" w:lineRule="auto"/>
        <w:rPr>
          <w:rFonts w:ascii="Times New Roman" w:hAnsi="Times New Roman" w:cs="Times New Roman"/>
          <w:sz w:val="24"/>
          <w:szCs w:val="24"/>
        </w:rPr>
      </w:pPr>
    </w:p>
    <w:p w14:paraId="23994B9D" w14:textId="77777777" w:rsidR="006078DC" w:rsidRDefault="00000000">
      <w:pPr>
        <w:spacing w:after="0" w:line="360" w:lineRule="auto"/>
      </w:pPr>
      <w:r>
        <w:rPr>
          <w:rFonts w:ascii="Times New Roman" w:hAnsi="Times New Roman"/>
          <w:sz w:val="24"/>
        </w:rPr>
        <w:t xml:space="preserve">Used lead-acid battery recycling can release lead into the environment at several stages, including battery breaking, electrolyte drainage, separation and handling of lead-containing components, smelting, refining, and disposal of slag and other residues. The World Health Organization identifies ULAB recycling as an important source of environmental lead contamination and human exposure, with releases occurring as contaminated dust, particulate </w:t>
      </w:r>
      <w:r>
        <w:rPr>
          <w:rFonts w:ascii="Times New Roman" w:hAnsi="Times New Roman"/>
          <w:sz w:val="24"/>
        </w:rPr>
        <w:lastRenderedPageBreak/>
        <w:t>matter, fumes, wastewater and solid residues (World Health Organization, 2017). Figure 1 summarizes the principal release and exposure pathways relevant to the Nigerian ULAB stream.</w:t>
      </w:r>
    </w:p>
    <w:p w14:paraId="4AF69635" w14:textId="77777777" w:rsidR="006078DC" w:rsidRDefault="00000000">
      <w:pPr>
        <w:spacing w:after="0" w:line="360" w:lineRule="auto"/>
      </w:pPr>
      <w:r>
        <w:rPr>
          <w:rFonts w:ascii="Times New Roman" w:hAnsi="Times New Roman"/>
          <w:b/>
          <w:sz w:val="24"/>
        </w:rPr>
        <w:t>4.1 Release Mechanisms During Handling and Processing</w:t>
      </w:r>
    </w:p>
    <w:p w14:paraId="70ED56BA" w14:textId="77777777" w:rsidR="006078DC" w:rsidRDefault="00000000">
      <w:pPr>
        <w:spacing w:after="0" w:line="360" w:lineRule="auto"/>
      </w:pPr>
      <w:r>
        <w:rPr>
          <w:rFonts w:ascii="Times New Roman" w:hAnsi="Times New Roman"/>
          <w:sz w:val="24"/>
        </w:rPr>
        <w:t>Physical or mechanical breaking of lead-acid batteries can damage the casing and expose lead-containing plates, active material and sulfuric-acid electrolyte. Manual battery breaking and uncontrolled electrolyte drainage can contaminate work surfaces, soil and water, while movement and handling of lead-bearing components can generate contaminated dust. High-temperature smelting and refining can additionally release lead-containing fumes and fine particulate matter if effective capture and filtration systems are absent (World Health Organization, 2017).</w:t>
      </w:r>
    </w:p>
    <w:p w14:paraId="5C2517DA" w14:textId="77777777" w:rsidR="006078DC" w:rsidRDefault="00000000">
      <w:pPr>
        <w:spacing w:after="0" w:line="360" w:lineRule="auto"/>
      </w:pPr>
      <w:r>
        <w:rPr>
          <w:rFonts w:ascii="Times New Roman" w:hAnsi="Times New Roman"/>
          <w:sz w:val="24"/>
        </w:rPr>
        <w:t>These pathways are particularly relevant where recycling operations lack adequate engineering controls. Recent assessments of ULAB recycling in Ghana, Nigeria and Tanzania identify manual or semi-automated battery breaking, uncontrolled electrolyte drainage, insufficient capture of furnace and refining fumes, poor housekeeping and dust control, unsafe handling of filter dust, and inadequate management of lead-bearing slags as important environmental and occupational deficiencies (Manhart &amp; Adjei, 2026). The evidence describes the wider African ULAB recycling system and does not establish that the batteries involved originated from off-grid solar installations.</w:t>
      </w:r>
    </w:p>
    <w:p w14:paraId="1610F0D2" w14:textId="77777777" w:rsidR="006078DC" w:rsidRDefault="00000000">
      <w:pPr>
        <w:spacing w:after="0" w:line="360" w:lineRule="auto"/>
      </w:pPr>
      <w:r>
        <w:rPr>
          <w:rFonts w:ascii="Times New Roman" w:hAnsi="Times New Roman"/>
          <w:b/>
          <w:sz w:val="24"/>
        </w:rPr>
        <w:t>4.2 Soil Contamination</w:t>
      </w:r>
    </w:p>
    <w:p w14:paraId="22F36DF9" w14:textId="77777777" w:rsidR="006078DC" w:rsidRDefault="00000000">
      <w:pPr>
        <w:spacing w:after="0" w:line="360" w:lineRule="auto"/>
      </w:pPr>
      <w:r>
        <w:rPr>
          <w:rFonts w:ascii="Times New Roman" w:hAnsi="Times New Roman"/>
          <w:sz w:val="24"/>
        </w:rPr>
        <w:t>Soil is an important sink for lead released during battery recycling. Lead-bearing dust and particles generated during dismantling and smelting can settle on surrounding land, while spills, discarded battery components, slag and contaminated wastewater can introduce lead directly into soil. In a study of formal battery manufacturing and recycling facilities in seven African countries, Gottesfeld et al. (2018) analysed 118 soil samples from 15 recycling plants and one battery-manufacturing facility. Lead concentrations ranged from below 40 mg/kg to 140,000 mg/kg, and the mean concentration in soil outside plant boundaries was approximately 2,600 mg/kg.</w:t>
      </w:r>
    </w:p>
    <w:p w14:paraId="6FCEC072" w14:textId="77777777" w:rsidR="006078DC" w:rsidRDefault="00000000">
      <w:pPr>
        <w:spacing w:after="0" w:line="360" w:lineRule="auto"/>
      </w:pPr>
      <w:r>
        <w:rPr>
          <w:rFonts w:ascii="Times New Roman" w:hAnsi="Times New Roman"/>
          <w:sz w:val="24"/>
        </w:rPr>
        <w:t xml:space="preserve">The Nigerian samples in that study were collected from facilities in Lagos and Ogun States. Concentrations reached 29,000 mg/kg outside facilities and 140,000 mg/kg inside facilities (Gottesfeld et al., 2018). These measurements demonstrate substantial contamination around Nigerian lead-battery processing sites, but the original applications of the batteries were not </w:t>
      </w:r>
      <w:r>
        <w:rPr>
          <w:rFonts w:ascii="Times New Roman" w:hAnsi="Times New Roman"/>
          <w:sz w:val="24"/>
        </w:rPr>
        <w:lastRenderedPageBreak/>
        <w:t>recorded. They therefore provide evidence about the ULAB waste stream into which solar batteries may enter, rather than evidence that off-grid solar batteries caused the measured contamination.</w:t>
      </w:r>
    </w:p>
    <w:p w14:paraId="69B9D132" w14:textId="77777777" w:rsidR="006078DC" w:rsidRDefault="00000000">
      <w:pPr>
        <w:spacing w:after="0" w:line="360" w:lineRule="auto"/>
      </w:pPr>
      <w:r>
        <w:rPr>
          <w:rFonts w:ascii="Times New Roman" w:hAnsi="Times New Roman"/>
          <w:b/>
          <w:sz w:val="24"/>
        </w:rPr>
        <w:t>4.3 Surface Water and Groundwater Contamination</w:t>
      </w:r>
    </w:p>
    <w:p w14:paraId="189B47B4" w14:textId="77777777" w:rsidR="006078DC" w:rsidRDefault="00000000">
      <w:pPr>
        <w:spacing w:after="0" w:line="360" w:lineRule="auto"/>
      </w:pPr>
      <w:r>
        <w:rPr>
          <w:rFonts w:ascii="Times New Roman" w:hAnsi="Times New Roman"/>
          <w:sz w:val="24"/>
        </w:rPr>
        <w:t>Battery recycling can contaminate water when sulfuric-acid electrolyte, contaminated process water and lead-bearing residues are discharged onto the ground or into drainage systems. Rainfall and surface runoff can mobilize contaminants from processing and disposal areas into surface water, while infiltration through soil can provide a pathway to groundwater (World Health Organization, 2017).</w:t>
      </w:r>
    </w:p>
    <w:p w14:paraId="181A8462" w14:textId="77777777" w:rsidR="006078DC" w:rsidRDefault="00000000">
      <w:pPr>
        <w:spacing w:after="0" w:line="360" w:lineRule="auto"/>
      </w:pPr>
      <w:r>
        <w:rPr>
          <w:rFonts w:ascii="Times New Roman" w:hAnsi="Times New Roman"/>
          <w:sz w:val="24"/>
        </w:rPr>
        <w:t>Direct Nigerian evidence is available from a ULAB recycling centre in Ibadan. Oloruntoba et al. (2021) analysed water, soil and plant samples around the facility and found that metal concentrations in water exceeded permissible limits at more than half of the sampling locations. Lead concentrations in water and plants exceeded the relevant permissible limits at all sampled locations. The investigators also documented crude battery-breaking practices and discharge of battery acid into the surrounding environment. The study therefore demonstrates plausible pathways from ULAB processing to water contamination and uptake by vegetation, although it did not identify the prior use of the batteries being recycled.</w:t>
      </w:r>
    </w:p>
    <w:p w14:paraId="4C555BB9" w14:textId="77777777" w:rsidR="006078DC" w:rsidRDefault="00000000">
      <w:pPr>
        <w:spacing w:after="0" w:line="360" w:lineRule="auto"/>
      </w:pPr>
      <w:r>
        <w:rPr>
          <w:rFonts w:ascii="Times New Roman" w:hAnsi="Times New Roman"/>
          <w:b/>
          <w:sz w:val="24"/>
        </w:rPr>
        <w:t>4.4 Airborne Contamination and Atmospheric Deposition</w:t>
      </w:r>
    </w:p>
    <w:p w14:paraId="01ACA3EC" w14:textId="77777777" w:rsidR="006078DC" w:rsidRDefault="00000000">
      <w:pPr>
        <w:spacing w:after="0" w:line="360" w:lineRule="auto"/>
      </w:pPr>
      <w:r>
        <w:rPr>
          <w:rFonts w:ascii="Times New Roman" w:hAnsi="Times New Roman"/>
          <w:sz w:val="24"/>
        </w:rPr>
        <w:t>Mechanical breaking, handling of lead-bearing components and high-temperature smelting can generate contaminated dust, particles and lead fumes. Workers can inhale these emissions directly, while deposited dust can contaminate skin, clothing, work surfaces and surrounding environments. Contaminated dust carried home on workers' clothing, footwear, skin or hair can also create a secondary household exposure pathway (World Health Organization, 2017).</w:t>
      </w:r>
    </w:p>
    <w:p w14:paraId="571954CC" w14:textId="77777777" w:rsidR="006078DC" w:rsidRDefault="00000000">
      <w:pPr>
        <w:spacing w:after="0" w:line="360" w:lineRule="auto"/>
      </w:pPr>
      <w:r>
        <w:rPr>
          <w:rFonts w:ascii="Times New Roman" w:hAnsi="Times New Roman"/>
          <w:sz w:val="24"/>
        </w:rPr>
        <w:t>Poor control of furnace and refining emissions, inadequate housekeeping and unsafe handling of lead-containing residues have been identified in African ULAB recycling systems, including facilities assessed in Nigeria (Manhart &amp; Adjei, 2026). Once emitted, lead-bearing particles may settle onto soil, buildings, vegetation and surface water or be resuspended as dust. The extensive soil contamination documented around African recycling facilities is consistent with the potential for contamination to extend beyond immediate processing areas, although individual studies do not always identify the specific transport mechanism (Gottesfeld et al., 2018).</w:t>
      </w:r>
    </w:p>
    <w:p w14:paraId="01D6FB92" w14:textId="77777777" w:rsidR="006078DC" w:rsidRDefault="00000000">
      <w:pPr>
        <w:spacing w:after="0" w:line="360" w:lineRule="auto"/>
      </w:pPr>
      <w:r>
        <w:rPr>
          <w:rFonts w:ascii="Times New Roman" w:hAnsi="Times New Roman"/>
          <w:b/>
          <w:sz w:val="24"/>
        </w:rPr>
        <w:t>4.5 Transfer to Vegetation and the Food Chain</w:t>
      </w:r>
    </w:p>
    <w:p w14:paraId="2F7DB1E8" w14:textId="77777777" w:rsidR="006078DC" w:rsidRDefault="00000000">
      <w:pPr>
        <w:spacing w:after="0" w:line="360" w:lineRule="auto"/>
      </w:pPr>
      <w:r>
        <w:rPr>
          <w:rFonts w:ascii="Times New Roman" w:hAnsi="Times New Roman"/>
          <w:sz w:val="24"/>
        </w:rPr>
        <w:lastRenderedPageBreak/>
        <w:t>Lead released into soil and water can become available to plants and create a potential dietary exposure pathway. Around the Ibadan ULAB recycling facility, Oloruntoba et al. (2021) reported lead concentrations above permissible limits in sampled plants and a soil-to-Amaranthus viridis transfer factor of 1.92. This is relevant because vegetation grown near contaminated recycling environments may be consumed or used for other household purposes.</w:t>
      </w:r>
    </w:p>
    <w:p w14:paraId="041EEF06" w14:textId="77777777" w:rsidR="006078DC" w:rsidRDefault="00000000">
      <w:pPr>
        <w:spacing w:after="0" w:line="360" w:lineRule="auto"/>
      </w:pPr>
      <w:r>
        <w:rPr>
          <w:rFonts w:ascii="Times New Roman" w:hAnsi="Times New Roman"/>
          <w:sz w:val="24"/>
        </w:rPr>
        <w:t>More recent evidence from Ogijo, Ogun State, further demonstrates the potential for transfer of battery-waste contaminants into edible plants. Adeleke et al. (2026) analysed edible plants and paired soil samples around a battery-recycling site and reported that concentrations of zinc, cadmium, lead, chromium and cobalt in the sampled plant species exceeded the FAO/WHO guideline values applied by the authors in both wet and dry seasons. Bioaccumulation factors for cadmium, lead and zinc exceeded 1.0 in several dry-season cases. As with the Ibadan study, however, the batteries were not traced to off-grid solar installations.</w:t>
      </w:r>
    </w:p>
    <w:p w14:paraId="31C46636" w14:textId="77777777" w:rsidR="006078DC" w:rsidRDefault="00000000">
      <w:pPr>
        <w:spacing w:after="0" w:line="360" w:lineRule="auto"/>
      </w:pPr>
      <w:r>
        <w:rPr>
          <w:rFonts w:ascii="Times New Roman" w:hAnsi="Times New Roman"/>
          <w:b/>
          <w:sz w:val="24"/>
        </w:rPr>
        <w:t>4.6 Relevance to Off-Grid Solar Batteries</w:t>
      </w:r>
    </w:p>
    <w:p w14:paraId="569205D3" w14:textId="77777777" w:rsidR="006078DC" w:rsidRDefault="00000000">
      <w:pPr>
        <w:spacing w:after="0" w:line="360" w:lineRule="auto"/>
      </w:pPr>
      <w:r>
        <w:rPr>
          <w:rFonts w:ascii="Times New Roman" w:hAnsi="Times New Roman"/>
          <w:sz w:val="24"/>
        </w:rPr>
        <w:t>Direct Nigerian evidence linking measured environmental contamination specifically to batteries originating from off-grid solar systems remains absent. The closest solar-specific evidence identified in this review comes from Malawi, where Kinally et al. (2024) conducted a life-cycle assessment of informal solar-home-system waste management using data on lead pollution from informal lead-acid battery recycling. Lead-acid batteries were the largest contributor in many environmental impact categories, accounting for 54-99% of the impacts assessed, with the burden amplified by short battery lifetimes and informal end-of-life practices.</w:t>
      </w:r>
    </w:p>
    <w:p w14:paraId="3AF6522F" w14:textId="77777777" w:rsidR="006078DC" w:rsidRDefault="00000000">
      <w:pPr>
        <w:spacing w:after="0" w:line="360" w:lineRule="auto"/>
      </w:pPr>
      <w:r>
        <w:rPr>
          <w:rFonts w:ascii="Times New Roman" w:hAnsi="Times New Roman"/>
          <w:sz w:val="24"/>
        </w:rPr>
        <w:t>The Malawi findings show that lead-acid batteries originating specifically from off-grid solar systems can generate substantial environmental burdens where end-of-life processing is poorly controlled, but they should not be used as a quantitative estimate of Nigerian contamination. The Nigerian evidence supports a narrower conclusion: lead-acid battery recycling in Nigeria has documented pathways involving contaminated soil, water, dust and vegetation, and solar lead-acid batteries are expected to enter this broader waste stream; however, no identified Nigerian study has traced measured environmental contamination back specifically to batteries originating from off-grid solar installations.</w:t>
      </w:r>
    </w:p>
    <w:p w14:paraId="16BBA972" w14:textId="77777777" w:rsidR="00DD2AAA" w:rsidRPr="00A322A9" w:rsidRDefault="00DD2AAA" w:rsidP="00A322A9">
      <w:pPr>
        <w:keepNext/>
        <w:spacing w:line="360" w:lineRule="auto"/>
        <w:rPr>
          <w:rFonts w:ascii="Times New Roman" w:hAnsi="Times New Roman" w:cs="Times New Roman"/>
          <w:b/>
          <w:bCs/>
          <w:sz w:val="24"/>
          <w:szCs w:val="24"/>
        </w:rPr>
      </w:pPr>
      <w:r w:rsidRPr="00A322A9">
        <w:rPr>
          <w:rFonts w:ascii="Times New Roman" w:hAnsi="Times New Roman" w:cs="Times New Roman"/>
          <w:b/>
          <w:bCs/>
          <w:sz w:val="24"/>
          <w:szCs w:val="24"/>
        </w:rPr>
        <w:t>5. Public-Health Risks</w:t>
      </w:r>
    </w:p>
    <w:p w14:paraId="3860421F" w14:textId="77777777" w:rsidR="00DD2AAA" w:rsidRPr="00A322A9" w:rsidRDefault="00DD2AAA" w:rsidP="00A322A9">
      <w:pPr>
        <w:spacing w:line="360" w:lineRule="auto"/>
        <w:rPr>
          <w:rFonts w:ascii="Times New Roman" w:hAnsi="Times New Roman" w:cs="Times New Roman"/>
          <w:sz w:val="24"/>
          <w:szCs w:val="24"/>
        </w:rPr>
      </w:pPr>
      <w:r w:rsidRPr="00A322A9">
        <w:rPr>
          <w:rFonts w:ascii="Times New Roman" w:hAnsi="Times New Roman" w:cs="Times New Roman"/>
          <w:sz w:val="24"/>
          <w:szCs w:val="24"/>
        </w:rPr>
        <w:t xml:space="preserve">Lead is a cumulative toxicant with no identified safe exposure threshold. Lead is a cumulative, non-threshold toxicant. It adversely impacts the central nervous system, peripheral nervous </w:t>
      </w:r>
      <w:r w:rsidRPr="00A322A9">
        <w:rPr>
          <w:rFonts w:ascii="Times New Roman" w:hAnsi="Times New Roman" w:cs="Times New Roman"/>
          <w:sz w:val="24"/>
          <w:szCs w:val="24"/>
        </w:rPr>
        <w:lastRenderedPageBreak/>
        <w:t xml:space="preserve">system, </w:t>
      </w:r>
      <w:proofErr w:type="spellStart"/>
      <w:r w:rsidRPr="00A322A9">
        <w:rPr>
          <w:rFonts w:ascii="Times New Roman" w:hAnsi="Times New Roman" w:cs="Times New Roman"/>
          <w:sz w:val="24"/>
          <w:szCs w:val="24"/>
        </w:rPr>
        <w:t>haematopoietic</w:t>
      </w:r>
      <w:proofErr w:type="spellEnd"/>
      <w:r w:rsidRPr="00A322A9">
        <w:rPr>
          <w:rFonts w:ascii="Times New Roman" w:hAnsi="Times New Roman" w:cs="Times New Roman"/>
          <w:sz w:val="24"/>
          <w:szCs w:val="24"/>
        </w:rPr>
        <w:t xml:space="preserve"> system, kidneys, cardiovascular system and reproductive function (World Health Organization, 2024). In children, neurodevelopmental effects are the primary concern and it is found at concentrations that were once thought of as "unremarkable" (World Health Organization, 2024). This is level 4 evidence and it is agreed.</w:t>
      </w:r>
    </w:p>
    <w:p w14:paraId="5FD57295" w14:textId="77777777" w:rsidR="00DD2AAA" w:rsidRPr="00A322A9" w:rsidRDefault="00DD2AAA" w:rsidP="00A322A9">
      <w:pPr>
        <w:spacing w:line="360" w:lineRule="auto"/>
        <w:rPr>
          <w:rFonts w:ascii="Times New Roman" w:hAnsi="Times New Roman" w:cs="Times New Roman"/>
          <w:sz w:val="24"/>
          <w:szCs w:val="24"/>
        </w:rPr>
      </w:pPr>
      <w:r w:rsidRPr="00A322A9">
        <w:rPr>
          <w:rFonts w:ascii="Times New Roman" w:hAnsi="Times New Roman" w:cs="Times New Roman"/>
          <w:sz w:val="24"/>
          <w:szCs w:val="24"/>
        </w:rPr>
        <w:t xml:space="preserve">Evidence of occupation in Nigeria is direct and recent. </w:t>
      </w:r>
      <w:r w:rsidR="008779D7" w:rsidRPr="00A322A9">
        <w:rPr>
          <w:rFonts w:ascii="Times New Roman" w:hAnsi="Times New Roman" w:cs="Times New Roman"/>
        </w:rPr>
        <w:t>Sani-</w:t>
      </w:r>
      <w:proofErr w:type="spellStart"/>
      <w:r w:rsidR="008779D7" w:rsidRPr="00A322A9">
        <w:rPr>
          <w:rFonts w:ascii="Times New Roman" w:hAnsi="Times New Roman" w:cs="Times New Roman"/>
        </w:rPr>
        <w:t>Gwarzo</w:t>
      </w:r>
      <w:proofErr w:type="spellEnd"/>
      <w:r w:rsidR="008779D7" w:rsidRPr="00A322A9">
        <w:rPr>
          <w:rFonts w:ascii="Times New Roman" w:hAnsi="Times New Roman" w:cs="Times New Roman"/>
        </w:rPr>
        <w:t xml:space="preserve"> </w:t>
      </w:r>
      <w:proofErr w:type="gramStart"/>
      <w:r w:rsidR="008779D7" w:rsidRPr="00A322A9">
        <w:rPr>
          <w:rFonts w:ascii="Times New Roman" w:hAnsi="Times New Roman" w:cs="Times New Roman"/>
        </w:rPr>
        <w:t xml:space="preserve">et al. </w:t>
      </w:r>
      <w:r w:rsidRPr="00A322A9">
        <w:rPr>
          <w:rFonts w:ascii="Times New Roman" w:hAnsi="Times New Roman" w:cs="Times New Roman"/>
          <w:sz w:val="24"/>
          <w:szCs w:val="24"/>
        </w:rPr>
        <w:t>,</w:t>
      </w:r>
      <w:proofErr w:type="gramEnd"/>
      <w:r w:rsidRPr="00A322A9">
        <w:rPr>
          <w:rFonts w:ascii="Times New Roman" w:hAnsi="Times New Roman" w:cs="Times New Roman"/>
          <w:sz w:val="24"/>
          <w:szCs w:val="24"/>
        </w:rPr>
        <w:t xml:space="preserve"> did a </w:t>
      </w:r>
      <w:proofErr w:type="gramStart"/>
      <w:r w:rsidRPr="00A322A9">
        <w:rPr>
          <w:rFonts w:ascii="Times New Roman" w:hAnsi="Times New Roman" w:cs="Times New Roman"/>
          <w:sz w:val="24"/>
          <w:szCs w:val="24"/>
        </w:rPr>
        <w:t>cross sectional</w:t>
      </w:r>
      <w:proofErr w:type="gramEnd"/>
      <w:r w:rsidRPr="00A322A9">
        <w:rPr>
          <w:rFonts w:ascii="Times New Roman" w:hAnsi="Times New Roman" w:cs="Times New Roman"/>
          <w:sz w:val="24"/>
          <w:szCs w:val="24"/>
        </w:rPr>
        <w:t xml:space="preserve"> comparison between 98 informal battery recycling workers and 98 healthcare-worker controls of the same age and a sex ratio of 1:1 in the northern Nigeria region. The mean blood lead levels of recycling workers and control were 40.17µg/dL and 3.61µg/dL, respectively, and the blood lead level of 78.1% workers was more than 20µg/dL while no control had blood lead level more than 20µg/dL (</w:t>
      </w:r>
      <w:r w:rsidR="008779D7" w:rsidRPr="00A322A9">
        <w:rPr>
          <w:rFonts w:ascii="Times New Roman" w:hAnsi="Times New Roman" w:cs="Times New Roman"/>
        </w:rPr>
        <w:t>Sani-</w:t>
      </w:r>
      <w:proofErr w:type="spellStart"/>
      <w:r w:rsidR="008779D7" w:rsidRPr="00A322A9">
        <w:rPr>
          <w:rFonts w:ascii="Times New Roman" w:hAnsi="Times New Roman" w:cs="Times New Roman"/>
        </w:rPr>
        <w:t>Gwarzo</w:t>
      </w:r>
      <w:proofErr w:type="spellEnd"/>
      <w:r w:rsidR="008779D7" w:rsidRPr="00A322A9">
        <w:rPr>
          <w:rFonts w:ascii="Times New Roman" w:hAnsi="Times New Roman" w:cs="Times New Roman"/>
        </w:rPr>
        <w:t xml:space="preserve"> et al. (2025)</w:t>
      </w:r>
      <w:r w:rsidRPr="00A322A9">
        <w:rPr>
          <w:rFonts w:ascii="Times New Roman" w:hAnsi="Times New Roman" w:cs="Times New Roman"/>
          <w:sz w:val="24"/>
          <w:szCs w:val="24"/>
        </w:rPr>
        <w:t>). The authors conclude that the only variable measured that did not predict blood lead on its own was occupation, suggesting that reclaimed batteries themselves are the source (</w:t>
      </w:r>
      <w:r w:rsidR="008779D7" w:rsidRPr="00A322A9">
        <w:rPr>
          <w:rFonts w:ascii="Times New Roman" w:hAnsi="Times New Roman" w:cs="Times New Roman"/>
        </w:rPr>
        <w:t>Sani-</w:t>
      </w:r>
      <w:proofErr w:type="spellStart"/>
      <w:r w:rsidR="008779D7" w:rsidRPr="00A322A9">
        <w:rPr>
          <w:rFonts w:ascii="Times New Roman" w:hAnsi="Times New Roman" w:cs="Times New Roman"/>
        </w:rPr>
        <w:t>Gwarzo</w:t>
      </w:r>
      <w:proofErr w:type="spellEnd"/>
      <w:r w:rsidR="008779D7" w:rsidRPr="00A322A9">
        <w:rPr>
          <w:rFonts w:ascii="Times New Roman" w:hAnsi="Times New Roman" w:cs="Times New Roman"/>
        </w:rPr>
        <w:t xml:space="preserve"> et al. (2025</w:t>
      </w:r>
      <w:r w:rsidRPr="00A322A9">
        <w:rPr>
          <w:rFonts w:ascii="Times New Roman" w:hAnsi="Times New Roman" w:cs="Times New Roman"/>
          <w:sz w:val="24"/>
          <w:szCs w:val="24"/>
        </w:rPr>
        <w:t>). This is second level evidence</w:t>
      </w:r>
      <w:r w:rsidR="00F343EA" w:rsidRPr="00A322A9">
        <w:rPr>
          <w:rFonts w:ascii="Times New Roman" w:hAnsi="Times New Roman" w:cs="Times New Roman"/>
          <w:sz w:val="24"/>
          <w:szCs w:val="24"/>
        </w:rPr>
        <w:t>.</w:t>
      </w:r>
      <w:r w:rsidRPr="00A322A9">
        <w:rPr>
          <w:rFonts w:ascii="Times New Roman" w:hAnsi="Times New Roman" w:cs="Times New Roman"/>
          <w:sz w:val="24"/>
          <w:szCs w:val="24"/>
        </w:rPr>
        <w:t xml:space="preserve"> </w:t>
      </w:r>
      <w:r w:rsidR="00F343EA" w:rsidRPr="00A322A9">
        <w:rPr>
          <w:rFonts w:ascii="Times New Roman" w:hAnsi="Times New Roman" w:cs="Times New Roman"/>
          <w:sz w:val="24"/>
          <w:szCs w:val="24"/>
        </w:rPr>
        <w:t>W</w:t>
      </w:r>
      <w:r w:rsidRPr="00A322A9">
        <w:rPr>
          <w:rFonts w:ascii="Times New Roman" w:hAnsi="Times New Roman" w:cs="Times New Roman"/>
          <w:sz w:val="24"/>
          <w:szCs w:val="24"/>
        </w:rPr>
        <w:t xml:space="preserve">orkers treated lead-acid </w:t>
      </w:r>
      <w:proofErr w:type="gramStart"/>
      <w:r w:rsidRPr="00A322A9">
        <w:rPr>
          <w:rFonts w:ascii="Times New Roman" w:hAnsi="Times New Roman" w:cs="Times New Roman"/>
          <w:sz w:val="24"/>
          <w:szCs w:val="24"/>
        </w:rPr>
        <w:t>batteries,</w:t>
      </w:r>
      <w:proofErr w:type="gramEnd"/>
      <w:r w:rsidRPr="00A322A9">
        <w:rPr>
          <w:rFonts w:ascii="Times New Roman" w:hAnsi="Times New Roman" w:cs="Times New Roman"/>
          <w:sz w:val="24"/>
          <w:szCs w:val="24"/>
        </w:rPr>
        <w:t xml:space="preserve"> however, no record of the batteries' previous use was kept.</w:t>
      </w:r>
    </w:p>
    <w:p w14:paraId="1A99975F" w14:textId="77777777" w:rsidR="00DD2AAA" w:rsidRPr="00A322A9" w:rsidRDefault="00DD2AAA" w:rsidP="00A322A9">
      <w:pPr>
        <w:spacing w:line="360" w:lineRule="auto"/>
        <w:rPr>
          <w:rFonts w:ascii="Times New Roman" w:hAnsi="Times New Roman" w:cs="Times New Roman"/>
          <w:sz w:val="24"/>
          <w:szCs w:val="24"/>
        </w:rPr>
      </w:pPr>
      <w:r w:rsidRPr="00A322A9">
        <w:rPr>
          <w:rFonts w:ascii="Times New Roman" w:hAnsi="Times New Roman" w:cs="Times New Roman"/>
          <w:sz w:val="24"/>
          <w:szCs w:val="24"/>
        </w:rPr>
        <w:t xml:space="preserve">There is limited evidence of community exposure in Nigeria. The </w:t>
      </w:r>
      <w:proofErr w:type="spellStart"/>
      <w:r w:rsidRPr="00A322A9">
        <w:rPr>
          <w:rFonts w:ascii="Times New Roman" w:hAnsi="Times New Roman" w:cs="Times New Roman"/>
          <w:sz w:val="24"/>
          <w:szCs w:val="24"/>
        </w:rPr>
        <w:t>Ogijo</w:t>
      </w:r>
      <w:proofErr w:type="spellEnd"/>
      <w:r w:rsidRPr="00A322A9">
        <w:rPr>
          <w:rFonts w:ascii="Times New Roman" w:hAnsi="Times New Roman" w:cs="Times New Roman"/>
          <w:sz w:val="24"/>
          <w:szCs w:val="24"/>
        </w:rPr>
        <w:t xml:space="preserve"> testing revealed that seven of 10 residents were exposed to harmful blood lead levels, all factory workers had harmful BLLs and over half of children tested had harmful BLLs linked to permanent neurological damage (</w:t>
      </w:r>
      <w:proofErr w:type="spellStart"/>
      <w:r w:rsidRPr="00A322A9">
        <w:rPr>
          <w:rFonts w:ascii="Times New Roman" w:hAnsi="Times New Roman" w:cs="Times New Roman"/>
          <w:sz w:val="24"/>
          <w:szCs w:val="24"/>
        </w:rPr>
        <w:t>Aborisade</w:t>
      </w:r>
      <w:proofErr w:type="spellEnd"/>
      <w:r w:rsidRPr="00A322A9">
        <w:rPr>
          <w:rFonts w:ascii="Times New Roman" w:hAnsi="Times New Roman" w:cs="Times New Roman"/>
          <w:sz w:val="24"/>
          <w:szCs w:val="24"/>
        </w:rPr>
        <w:t>, 2025). The sample was small, self-selected and the work is not peer-reviewed, so the research is evidence of a problem, not a measure of its prevalence.</w:t>
      </w:r>
    </w:p>
    <w:p w14:paraId="1150D7CE" w14:textId="77777777" w:rsidR="00DD2AAA" w:rsidRPr="00A322A9" w:rsidRDefault="00DD2AAA" w:rsidP="00A322A9">
      <w:pPr>
        <w:spacing w:line="360" w:lineRule="auto"/>
        <w:rPr>
          <w:rFonts w:ascii="Times New Roman" w:hAnsi="Times New Roman" w:cs="Times New Roman"/>
          <w:sz w:val="24"/>
          <w:szCs w:val="24"/>
        </w:rPr>
      </w:pPr>
      <w:r w:rsidRPr="00A322A9">
        <w:rPr>
          <w:rFonts w:ascii="Times New Roman" w:hAnsi="Times New Roman" w:cs="Times New Roman"/>
          <w:sz w:val="24"/>
          <w:szCs w:val="24"/>
        </w:rPr>
        <w:t>The evidence from the region sets the minimum standard for potential informal ULAB recycling. Between November 2007 and March 2008, 18 children lost their lives in a community that is involved in ULAB recycling in Dakar, Senegal. Of the 81 remaining residents surveyed, 100 per cent had blood lead levels (BLL) above lead detection levels: 50 children had BLL levels from 39.8 to 613.9 µg/dL with an average BLL of 129.5 µg/dL (</w:t>
      </w:r>
      <w:proofErr w:type="spellStart"/>
      <w:r w:rsidRPr="00A322A9">
        <w:rPr>
          <w:rFonts w:ascii="Times New Roman" w:hAnsi="Times New Roman" w:cs="Times New Roman"/>
          <w:sz w:val="24"/>
          <w:szCs w:val="24"/>
        </w:rPr>
        <w:t>Haefliger</w:t>
      </w:r>
      <w:proofErr w:type="spellEnd"/>
      <w:r w:rsidRPr="00A322A9">
        <w:rPr>
          <w:rFonts w:ascii="Times New Roman" w:hAnsi="Times New Roman" w:cs="Times New Roman"/>
          <w:sz w:val="24"/>
          <w:szCs w:val="24"/>
        </w:rPr>
        <w:t xml:space="preserve"> et al., 2009). Soil lead reached 302,000 mg/kg outdoors and 14,000 mg/kg indoors (</w:t>
      </w:r>
      <w:proofErr w:type="spellStart"/>
      <w:r w:rsidRPr="00A322A9">
        <w:rPr>
          <w:rFonts w:ascii="Times New Roman" w:hAnsi="Times New Roman" w:cs="Times New Roman"/>
          <w:sz w:val="24"/>
          <w:szCs w:val="24"/>
        </w:rPr>
        <w:t>Haefliger</w:t>
      </w:r>
      <w:proofErr w:type="spellEnd"/>
      <w:r w:rsidRPr="00A322A9">
        <w:rPr>
          <w:rFonts w:ascii="Times New Roman" w:hAnsi="Times New Roman" w:cs="Times New Roman"/>
          <w:sz w:val="24"/>
          <w:szCs w:val="24"/>
        </w:rPr>
        <w:t xml:space="preserve"> et al., 2009). In Nairobi, soil and floor dust sampling around ULAB operations in three informal settlements (ULABs) revealed that all of the floor dust samples were above the guidance value recommended by the United States (</w:t>
      </w:r>
      <w:proofErr w:type="spellStart"/>
      <w:r w:rsidRPr="00A322A9">
        <w:rPr>
          <w:rFonts w:ascii="Times New Roman" w:hAnsi="Times New Roman" w:cs="Times New Roman"/>
          <w:sz w:val="24"/>
          <w:szCs w:val="24"/>
        </w:rPr>
        <w:t>Ondayo</w:t>
      </w:r>
      <w:proofErr w:type="spellEnd"/>
      <w:r w:rsidRPr="00A322A9">
        <w:rPr>
          <w:rFonts w:ascii="Times New Roman" w:hAnsi="Times New Roman" w:cs="Times New Roman"/>
          <w:sz w:val="24"/>
          <w:szCs w:val="24"/>
        </w:rPr>
        <w:t xml:space="preserve"> et al., 2016). Both are category 3.</w:t>
      </w:r>
    </w:p>
    <w:p w14:paraId="6573A777" w14:textId="77777777" w:rsidR="00DD2AAA" w:rsidRPr="00A322A9" w:rsidRDefault="00DD2AAA" w:rsidP="00A322A9">
      <w:pPr>
        <w:spacing w:line="360" w:lineRule="auto"/>
        <w:rPr>
          <w:rFonts w:ascii="Times New Roman" w:hAnsi="Times New Roman" w:cs="Times New Roman"/>
          <w:sz w:val="24"/>
          <w:szCs w:val="24"/>
        </w:rPr>
      </w:pPr>
      <w:r w:rsidRPr="00A322A9">
        <w:rPr>
          <w:rFonts w:ascii="Times New Roman" w:hAnsi="Times New Roman" w:cs="Times New Roman"/>
          <w:sz w:val="24"/>
          <w:szCs w:val="24"/>
        </w:rPr>
        <w:t xml:space="preserve">The clinical implication is at population level, not at individual level for Nigeria. At the levels of blood lead that </w:t>
      </w:r>
      <w:r w:rsidR="008779D7" w:rsidRPr="00A322A9">
        <w:rPr>
          <w:rFonts w:ascii="Times New Roman" w:hAnsi="Times New Roman" w:cs="Times New Roman"/>
        </w:rPr>
        <w:t>Sani-</w:t>
      </w:r>
      <w:proofErr w:type="spellStart"/>
      <w:r w:rsidR="008779D7" w:rsidRPr="00A322A9">
        <w:rPr>
          <w:rFonts w:ascii="Times New Roman" w:hAnsi="Times New Roman" w:cs="Times New Roman"/>
        </w:rPr>
        <w:t>Gwarzo</w:t>
      </w:r>
      <w:proofErr w:type="spellEnd"/>
      <w:r w:rsidR="008779D7" w:rsidRPr="00A322A9">
        <w:rPr>
          <w:rFonts w:ascii="Times New Roman" w:hAnsi="Times New Roman" w:cs="Times New Roman"/>
        </w:rPr>
        <w:t xml:space="preserve"> </w:t>
      </w:r>
      <w:r w:rsidRPr="00A322A9">
        <w:rPr>
          <w:rFonts w:ascii="Times New Roman" w:hAnsi="Times New Roman" w:cs="Times New Roman"/>
          <w:sz w:val="24"/>
          <w:szCs w:val="24"/>
        </w:rPr>
        <w:t xml:space="preserve">and colleagues report, workers can suffer from peripheral neuropathy, anemia, nephropathy, hypertension, and reproductive problems all of which are </w:t>
      </w:r>
      <w:r w:rsidRPr="00A322A9">
        <w:rPr>
          <w:rFonts w:ascii="Times New Roman" w:hAnsi="Times New Roman" w:cs="Times New Roman"/>
          <w:sz w:val="24"/>
          <w:szCs w:val="24"/>
        </w:rPr>
        <w:lastRenderedPageBreak/>
        <w:t xml:space="preserve">plausible at this age profile of a workforce. Take-home dust and contaminated soil </w:t>
      </w:r>
      <w:proofErr w:type="gramStart"/>
      <w:r w:rsidRPr="00A322A9">
        <w:rPr>
          <w:rFonts w:ascii="Times New Roman" w:hAnsi="Times New Roman" w:cs="Times New Roman"/>
          <w:sz w:val="24"/>
          <w:szCs w:val="24"/>
        </w:rPr>
        <w:t>is</w:t>
      </w:r>
      <w:proofErr w:type="gramEnd"/>
      <w:r w:rsidRPr="00A322A9">
        <w:rPr>
          <w:rFonts w:ascii="Times New Roman" w:hAnsi="Times New Roman" w:cs="Times New Roman"/>
          <w:sz w:val="24"/>
          <w:szCs w:val="24"/>
        </w:rPr>
        <w:t xml:space="preserve"> a problem that children exposed to will have irreversible cognitive deficits.</w:t>
      </w:r>
    </w:p>
    <w:p w14:paraId="20EC71D3" w14:textId="77777777" w:rsidR="00DD2AAA" w:rsidRPr="00A322A9" w:rsidRDefault="00DD2AAA" w:rsidP="00A322A9">
      <w:pPr>
        <w:spacing w:line="360" w:lineRule="auto"/>
        <w:rPr>
          <w:rFonts w:ascii="Times New Roman" w:hAnsi="Times New Roman" w:cs="Times New Roman"/>
          <w:sz w:val="24"/>
          <w:szCs w:val="24"/>
        </w:rPr>
      </w:pPr>
      <w:r w:rsidRPr="00A322A9">
        <w:rPr>
          <w:rFonts w:ascii="Times New Roman" w:hAnsi="Times New Roman" w:cs="Times New Roman"/>
          <w:sz w:val="24"/>
          <w:szCs w:val="24"/>
        </w:rPr>
        <w:t>The connection with solar is indirect. There is no study that has quantified the proportion of Nigerian ULAB throughput that originates from solar batteries and also measured the blood lead levels of the population that are exposed to solar battery recycling. This review can contribute to the assertion that solar batteries are part of a waste stream where they are being severely exposed, but not that solar batteries are causing severe exposure.</w:t>
      </w:r>
    </w:p>
    <w:p w14:paraId="29D76D37" w14:textId="77777777" w:rsidR="00DD2AAA" w:rsidRPr="00A322A9" w:rsidRDefault="00DD2AAA" w:rsidP="00A322A9">
      <w:pPr>
        <w:keepNext/>
        <w:spacing w:line="360" w:lineRule="auto"/>
        <w:rPr>
          <w:rFonts w:ascii="Times New Roman" w:hAnsi="Times New Roman" w:cs="Times New Roman"/>
          <w:b/>
          <w:bCs/>
          <w:sz w:val="24"/>
          <w:szCs w:val="24"/>
        </w:rPr>
      </w:pPr>
      <w:r w:rsidRPr="00A322A9">
        <w:rPr>
          <w:rFonts w:ascii="Times New Roman" w:hAnsi="Times New Roman" w:cs="Times New Roman"/>
          <w:b/>
          <w:bCs/>
          <w:sz w:val="24"/>
          <w:szCs w:val="24"/>
        </w:rPr>
        <w:t>6. Nigerian Policy and Regulatory Gaps</w:t>
      </w:r>
    </w:p>
    <w:p w14:paraId="4885AE59" w14:textId="77777777" w:rsidR="00306F00" w:rsidRPr="00306F00" w:rsidRDefault="00306F00" w:rsidP="00306F00">
      <w:pPr>
        <w:spacing w:line="360" w:lineRule="auto"/>
        <w:rPr>
          <w:rFonts w:ascii="Times New Roman" w:hAnsi="Times New Roman" w:cs="Times New Roman"/>
          <w:sz w:val="24"/>
          <w:szCs w:val="24"/>
        </w:rPr>
      </w:pPr>
      <w:r w:rsidRPr="00306F00">
        <w:rPr>
          <w:rFonts w:ascii="Times New Roman" w:hAnsi="Times New Roman" w:cs="Times New Roman"/>
          <w:sz w:val="24"/>
          <w:szCs w:val="24"/>
        </w:rPr>
        <w:t xml:space="preserve">Nigeria's regulatory framework is more developed than current outcomes suggest, which helps to locate the problem in implementation rather than in the complete absence of regulation. The NESREA has instituted the National Environmental (Battery Control) Regulations 2021 which prescribe the use, collection and recycling of used batteries under an extended producer responsibility approach. In 2021 the Federal Ministry of Environment also finalized the National Waste Battery Management Policy (Heinrich Böll Stiftung, 2021). Further, the National Environmental (Electrical and Electronics Sector) Regulations, enacted in 2011, were later amended to further enforce the EPR for e-waste. The amended rules will make it compulsory for manufacturers, importers, collection </w:t>
      </w:r>
      <w:proofErr w:type="spellStart"/>
      <w:r w:rsidRPr="00306F00">
        <w:rPr>
          <w:rFonts w:ascii="Times New Roman" w:hAnsi="Times New Roman" w:cs="Times New Roman"/>
          <w:sz w:val="24"/>
          <w:szCs w:val="24"/>
        </w:rPr>
        <w:t>centres</w:t>
      </w:r>
      <w:proofErr w:type="spellEnd"/>
      <w:r w:rsidRPr="00306F00">
        <w:rPr>
          <w:rFonts w:ascii="Times New Roman" w:hAnsi="Times New Roman" w:cs="Times New Roman"/>
          <w:sz w:val="24"/>
          <w:szCs w:val="24"/>
        </w:rPr>
        <w:t xml:space="preserve"> and recyclers to register with the E-waste Producer Responsibility </w:t>
      </w:r>
      <w:proofErr w:type="spellStart"/>
      <w:r w:rsidRPr="00306F00">
        <w:rPr>
          <w:rFonts w:ascii="Times New Roman" w:hAnsi="Times New Roman" w:cs="Times New Roman"/>
          <w:sz w:val="24"/>
          <w:szCs w:val="24"/>
        </w:rPr>
        <w:t>Organisation</w:t>
      </w:r>
      <w:proofErr w:type="spellEnd"/>
      <w:r w:rsidRPr="00306F00">
        <w:rPr>
          <w:rFonts w:ascii="Times New Roman" w:hAnsi="Times New Roman" w:cs="Times New Roman"/>
          <w:sz w:val="24"/>
          <w:szCs w:val="24"/>
        </w:rPr>
        <w:t xml:space="preserve"> Nigeria. This amendment was the result of a Global Environment Facility project implemented by the United Nations Environment </w:t>
      </w:r>
      <w:proofErr w:type="spellStart"/>
      <w:r w:rsidRPr="00306F00">
        <w:rPr>
          <w:rFonts w:ascii="Times New Roman" w:hAnsi="Times New Roman" w:cs="Times New Roman"/>
          <w:sz w:val="24"/>
          <w:szCs w:val="24"/>
        </w:rPr>
        <w:t>Programme</w:t>
      </w:r>
      <w:proofErr w:type="spellEnd"/>
      <w:r w:rsidRPr="00306F00">
        <w:rPr>
          <w:rFonts w:ascii="Times New Roman" w:hAnsi="Times New Roman" w:cs="Times New Roman"/>
          <w:sz w:val="24"/>
          <w:szCs w:val="24"/>
        </w:rPr>
        <w:t xml:space="preserve">, and executed by NESREA (United Nations Environment </w:t>
      </w:r>
      <w:proofErr w:type="spellStart"/>
      <w:r w:rsidRPr="00306F00">
        <w:rPr>
          <w:rFonts w:ascii="Times New Roman" w:hAnsi="Times New Roman" w:cs="Times New Roman"/>
          <w:sz w:val="24"/>
          <w:szCs w:val="24"/>
        </w:rPr>
        <w:t>Programme</w:t>
      </w:r>
      <w:proofErr w:type="spellEnd"/>
      <w:r w:rsidRPr="00306F00">
        <w:rPr>
          <w:rFonts w:ascii="Times New Roman" w:hAnsi="Times New Roman" w:cs="Times New Roman"/>
          <w:sz w:val="24"/>
          <w:szCs w:val="24"/>
        </w:rPr>
        <w:t>, 2022).</w:t>
      </w:r>
    </w:p>
    <w:p w14:paraId="4B7E5E3A" w14:textId="77777777" w:rsidR="00306F00" w:rsidRPr="00306F00" w:rsidRDefault="00306F00" w:rsidP="00306F00">
      <w:pPr>
        <w:spacing w:line="360" w:lineRule="auto"/>
        <w:rPr>
          <w:rFonts w:ascii="Times New Roman" w:hAnsi="Times New Roman" w:cs="Times New Roman"/>
          <w:sz w:val="24"/>
          <w:szCs w:val="24"/>
        </w:rPr>
      </w:pPr>
    </w:p>
    <w:p w14:paraId="49F1C55D" w14:textId="77777777" w:rsidR="00306F00" w:rsidRPr="00306F00" w:rsidRDefault="00306F00" w:rsidP="00306F00">
      <w:pPr>
        <w:spacing w:line="360" w:lineRule="auto"/>
        <w:rPr>
          <w:rFonts w:ascii="Times New Roman" w:hAnsi="Times New Roman" w:cs="Times New Roman"/>
          <w:sz w:val="24"/>
          <w:szCs w:val="24"/>
        </w:rPr>
      </w:pPr>
      <w:r w:rsidRPr="00306F00">
        <w:rPr>
          <w:rFonts w:ascii="Times New Roman" w:hAnsi="Times New Roman" w:cs="Times New Roman"/>
          <w:sz w:val="24"/>
          <w:szCs w:val="24"/>
        </w:rPr>
        <w:t>However, four gaps identified, which do not prevent the effective governance of battery waste in Nigeria, have been identified: lack of enforcement, lack of traceability, lack of institutional responsibilities, and the continued dominance of informal collection and processing.</w:t>
      </w:r>
    </w:p>
    <w:p w14:paraId="5B2D6902" w14:textId="77777777" w:rsidR="00306F00" w:rsidRPr="00306F00" w:rsidRDefault="00306F00" w:rsidP="00306F00">
      <w:pPr>
        <w:spacing w:line="360" w:lineRule="auto"/>
        <w:rPr>
          <w:rFonts w:ascii="Times New Roman" w:hAnsi="Times New Roman" w:cs="Times New Roman"/>
          <w:sz w:val="24"/>
          <w:szCs w:val="24"/>
        </w:rPr>
      </w:pPr>
    </w:p>
    <w:p w14:paraId="782264F7" w14:textId="77777777" w:rsidR="00306F00" w:rsidRPr="00306F00" w:rsidRDefault="00306F00" w:rsidP="00306F00">
      <w:pPr>
        <w:spacing w:line="360" w:lineRule="auto"/>
        <w:rPr>
          <w:rFonts w:ascii="Times New Roman" w:hAnsi="Times New Roman" w:cs="Times New Roman"/>
          <w:sz w:val="24"/>
          <w:szCs w:val="24"/>
        </w:rPr>
      </w:pPr>
      <w:r w:rsidRPr="00306F00">
        <w:rPr>
          <w:rFonts w:ascii="Times New Roman" w:hAnsi="Times New Roman" w:cs="Times New Roman"/>
          <w:sz w:val="24"/>
          <w:szCs w:val="24"/>
        </w:rPr>
        <w:t xml:space="preserve">The first and most significant gap is related to enforcement capacity. However, the legal mandate to monitor compliance to and enforcement of the battery regulations is vested in the NESREA, which needs enough staff, reliable data, laboratory capacity and supporting infrastructure to be </w:t>
      </w:r>
      <w:r w:rsidRPr="00306F00">
        <w:rPr>
          <w:rFonts w:ascii="Times New Roman" w:hAnsi="Times New Roman" w:cs="Times New Roman"/>
          <w:sz w:val="24"/>
          <w:szCs w:val="24"/>
        </w:rPr>
        <w:lastRenderedPageBreak/>
        <w:t>able to effectively monitor the informal sector, which is widely spread across the country. These materials are still scarce. Also, many African countries lack the capacity to conduct blood-lead testing, thereby limiting routine testing and monitoring even when exposure is suspected (Gottesfeld et al., 2018).</w:t>
      </w:r>
    </w:p>
    <w:p w14:paraId="5A883F81" w14:textId="77777777" w:rsidR="00306F00" w:rsidRPr="00306F00" w:rsidRDefault="00306F00" w:rsidP="00306F00">
      <w:pPr>
        <w:spacing w:line="360" w:lineRule="auto"/>
        <w:rPr>
          <w:rFonts w:ascii="Times New Roman" w:hAnsi="Times New Roman" w:cs="Times New Roman"/>
          <w:sz w:val="24"/>
          <w:szCs w:val="24"/>
        </w:rPr>
      </w:pPr>
    </w:p>
    <w:p w14:paraId="37F927BB" w14:textId="77777777" w:rsidR="00306F00" w:rsidRPr="00306F00" w:rsidRDefault="00306F00" w:rsidP="00306F00">
      <w:pPr>
        <w:spacing w:line="360" w:lineRule="auto"/>
        <w:rPr>
          <w:rFonts w:ascii="Times New Roman" w:hAnsi="Times New Roman" w:cs="Times New Roman"/>
          <w:sz w:val="24"/>
          <w:szCs w:val="24"/>
        </w:rPr>
      </w:pPr>
      <w:r w:rsidRPr="00306F00">
        <w:rPr>
          <w:rFonts w:ascii="Times New Roman" w:hAnsi="Times New Roman" w:cs="Times New Roman"/>
          <w:sz w:val="24"/>
          <w:szCs w:val="24"/>
        </w:rPr>
        <w:t>Traceability is the second gap, the focus of this review. There is no requirement for the point of collection to also document the previous application or sectoral origin of the used battery. If batteries from solar installations join the general ULAB stream, they will no longer be distinguishable from automotive and telecommunication or inverter batteries. This makes it difficult to accurately determine who is responsible for solar-battery waste and how much solar off-grid systems contribute to the waste volumes of the national ULAB.</w:t>
      </w:r>
    </w:p>
    <w:p w14:paraId="6C76120A" w14:textId="77777777" w:rsidR="00306F00" w:rsidRPr="00306F00" w:rsidRDefault="00306F00" w:rsidP="00306F00">
      <w:pPr>
        <w:spacing w:line="360" w:lineRule="auto"/>
        <w:rPr>
          <w:rFonts w:ascii="Times New Roman" w:hAnsi="Times New Roman" w:cs="Times New Roman"/>
          <w:sz w:val="24"/>
          <w:szCs w:val="24"/>
        </w:rPr>
      </w:pPr>
    </w:p>
    <w:p w14:paraId="089EF310" w14:textId="77777777" w:rsidR="00306F00" w:rsidRPr="00306F00" w:rsidRDefault="00306F00" w:rsidP="00306F00">
      <w:pPr>
        <w:spacing w:line="360" w:lineRule="auto"/>
        <w:rPr>
          <w:rFonts w:ascii="Times New Roman" w:hAnsi="Times New Roman" w:cs="Times New Roman"/>
          <w:sz w:val="24"/>
          <w:szCs w:val="24"/>
        </w:rPr>
      </w:pPr>
      <w:r w:rsidRPr="00306F00">
        <w:rPr>
          <w:rFonts w:ascii="Times New Roman" w:hAnsi="Times New Roman" w:cs="Times New Roman"/>
          <w:sz w:val="24"/>
          <w:szCs w:val="24"/>
        </w:rPr>
        <w:t>Institutional fragmentation is the third gap. The Nigerian Electricity Regulatory Commission (NERC), the Rural Electrification Agency (REA) and the Federal Ministry of Power are responsible for off-grid solar development, with the Federal Ministry of Environment (FMENV) being the major intervenor in the management of the battery waste. In the past, energy sector products did not have enough explicit “end-of-life” requirements in place for solar system developers and battery importers. This energy-energy divide and accountability divide renders the accountability over the battery lifecycle weaker.</w:t>
      </w:r>
    </w:p>
    <w:p w14:paraId="54DF4FCE" w14:textId="77777777" w:rsidR="00306F00" w:rsidRPr="00306F00" w:rsidRDefault="00306F00" w:rsidP="00306F00">
      <w:pPr>
        <w:spacing w:line="360" w:lineRule="auto"/>
        <w:rPr>
          <w:rFonts w:ascii="Times New Roman" w:hAnsi="Times New Roman" w:cs="Times New Roman"/>
          <w:sz w:val="24"/>
          <w:szCs w:val="24"/>
        </w:rPr>
      </w:pPr>
    </w:p>
    <w:p w14:paraId="16056502" w14:textId="77777777" w:rsidR="00A322A9" w:rsidRDefault="00306F00" w:rsidP="00306F00">
      <w:pPr>
        <w:spacing w:line="360" w:lineRule="auto"/>
        <w:rPr>
          <w:rFonts w:ascii="Times New Roman" w:hAnsi="Times New Roman" w:cs="Times New Roman"/>
          <w:b/>
          <w:bCs/>
          <w:sz w:val="24"/>
          <w:szCs w:val="24"/>
        </w:rPr>
      </w:pPr>
      <w:r w:rsidRPr="00306F00">
        <w:rPr>
          <w:rFonts w:ascii="Times New Roman" w:hAnsi="Times New Roman" w:cs="Times New Roman"/>
          <w:sz w:val="24"/>
          <w:szCs w:val="24"/>
        </w:rPr>
        <w:t>The fourth gap is informality. For the success of extended producer responsibility, producers and importers should be identifiable and be able to be registered, monitored and held accountable. Yet, there are weak import distribution networks for solar batteries in Nigeria and many of the collection and processing is not registered. This reduces the effectiveness of producer-responsibility initiatives and enables used batteries to be transferred through collection and recycling systems that are not necessarily well regulated.</w:t>
      </w:r>
    </w:p>
    <w:p w14:paraId="6800C907" w14:textId="77777777" w:rsidR="00DD2AAA" w:rsidRPr="00A322A9" w:rsidRDefault="00DD2AAA" w:rsidP="00A322A9">
      <w:pPr>
        <w:keepNext/>
        <w:spacing w:line="360" w:lineRule="auto"/>
        <w:rPr>
          <w:rFonts w:ascii="Times New Roman" w:hAnsi="Times New Roman" w:cs="Times New Roman"/>
          <w:b/>
          <w:bCs/>
          <w:sz w:val="24"/>
          <w:szCs w:val="24"/>
        </w:rPr>
      </w:pPr>
      <w:r w:rsidRPr="00A322A9">
        <w:rPr>
          <w:rFonts w:ascii="Times New Roman" w:hAnsi="Times New Roman" w:cs="Times New Roman"/>
          <w:b/>
          <w:bCs/>
          <w:sz w:val="24"/>
          <w:szCs w:val="24"/>
        </w:rPr>
        <w:lastRenderedPageBreak/>
        <w:t>7. Circular-Economy Responses</w:t>
      </w:r>
    </w:p>
    <w:p w14:paraId="012D0071" w14:textId="77777777" w:rsidR="00581023" w:rsidRPr="00581023" w:rsidRDefault="00581023" w:rsidP="00581023">
      <w:pPr>
        <w:spacing w:line="360" w:lineRule="auto"/>
        <w:rPr>
          <w:rFonts w:ascii="Times New Roman" w:hAnsi="Times New Roman" w:cs="Times New Roman"/>
          <w:sz w:val="24"/>
          <w:szCs w:val="24"/>
        </w:rPr>
      </w:pPr>
      <w:r w:rsidRPr="00581023">
        <w:rPr>
          <w:rFonts w:ascii="Times New Roman" w:hAnsi="Times New Roman" w:cs="Times New Roman"/>
          <w:sz w:val="24"/>
          <w:szCs w:val="24"/>
        </w:rPr>
        <w:t>Lead-acid batteries have significant potential for circular management, with the lead being recoverable and reusable and the scrap value having already proven to be a strong economic driver for the collection of such batteries. The main problem in Nigeria is, however, not only the collection of spent batteries but also the traceability and processing of the batteries in an environmentally friendly manner. The following five measures would address the above gaps in regulation and operation.</w:t>
      </w:r>
    </w:p>
    <w:p w14:paraId="36769BEF" w14:textId="77777777" w:rsidR="00581023" w:rsidRPr="00581023" w:rsidRDefault="00581023" w:rsidP="00581023">
      <w:pPr>
        <w:spacing w:line="360" w:lineRule="auto"/>
        <w:rPr>
          <w:rFonts w:ascii="Times New Roman" w:hAnsi="Times New Roman" w:cs="Times New Roman"/>
          <w:sz w:val="24"/>
          <w:szCs w:val="24"/>
        </w:rPr>
      </w:pPr>
    </w:p>
    <w:p w14:paraId="7F48F218" w14:textId="77777777" w:rsidR="00581023" w:rsidRPr="00581023" w:rsidRDefault="00581023" w:rsidP="00581023">
      <w:pPr>
        <w:spacing w:line="360" w:lineRule="auto"/>
        <w:rPr>
          <w:rFonts w:ascii="Times New Roman" w:hAnsi="Times New Roman" w:cs="Times New Roman"/>
          <w:sz w:val="24"/>
          <w:szCs w:val="24"/>
        </w:rPr>
      </w:pPr>
      <w:r w:rsidRPr="00581023">
        <w:rPr>
          <w:rFonts w:ascii="Times New Roman" w:hAnsi="Times New Roman" w:cs="Times New Roman"/>
          <w:sz w:val="24"/>
          <w:szCs w:val="24"/>
        </w:rPr>
        <w:t>The first step to be taken in this regard is to adopt a source tagged collection system. Installers and mini-grid owners may need to document the serial numbers of batteries, installation sites and dates, and when the batteries are used and returned. Keeping these records all along the battery's life would supply the missing data on the origin which would enable the estimation of the share of off-grid solar systems to LAB volumes at the national level. It would also enhance the monitoring and evaluation of other interventions.</w:t>
      </w:r>
    </w:p>
    <w:p w14:paraId="2C7C78F5" w14:textId="77777777" w:rsidR="00581023" w:rsidRPr="00581023" w:rsidRDefault="00581023" w:rsidP="00581023">
      <w:pPr>
        <w:spacing w:line="360" w:lineRule="auto"/>
        <w:rPr>
          <w:rFonts w:ascii="Times New Roman" w:hAnsi="Times New Roman" w:cs="Times New Roman"/>
          <w:sz w:val="24"/>
          <w:szCs w:val="24"/>
        </w:rPr>
      </w:pPr>
    </w:p>
    <w:p w14:paraId="3E391AC2" w14:textId="77777777" w:rsidR="00581023" w:rsidRPr="00581023" w:rsidRDefault="00581023" w:rsidP="00581023">
      <w:pPr>
        <w:spacing w:line="360" w:lineRule="auto"/>
        <w:rPr>
          <w:rFonts w:ascii="Times New Roman" w:hAnsi="Times New Roman" w:cs="Times New Roman"/>
          <w:sz w:val="24"/>
          <w:szCs w:val="24"/>
        </w:rPr>
      </w:pPr>
      <w:r w:rsidRPr="00581023">
        <w:rPr>
          <w:rFonts w:ascii="Times New Roman" w:hAnsi="Times New Roman" w:cs="Times New Roman"/>
          <w:sz w:val="24"/>
          <w:szCs w:val="24"/>
        </w:rPr>
        <w:t>Second, the current Extended Producer Responsibility system needs to be tailored to the off-grid solar market. Importers, distributors, solar developers and mini-grid operators could have specific roles to play in the financing and safe recycling of the storage batteries. This system could be paid through a levy when the goods are imported. Nigeria already has a legal framework for EPR, so the key will be to clarify and reinforce sector-specific requirements, rather than creating a new regulatory framework.</w:t>
      </w:r>
    </w:p>
    <w:p w14:paraId="2FC45075" w14:textId="77777777" w:rsidR="00581023" w:rsidRPr="00581023" w:rsidRDefault="00581023" w:rsidP="00581023">
      <w:pPr>
        <w:spacing w:line="360" w:lineRule="auto"/>
        <w:rPr>
          <w:rFonts w:ascii="Times New Roman" w:hAnsi="Times New Roman" w:cs="Times New Roman"/>
          <w:sz w:val="24"/>
          <w:szCs w:val="24"/>
        </w:rPr>
      </w:pPr>
    </w:p>
    <w:p w14:paraId="194F5307" w14:textId="77777777" w:rsidR="00581023" w:rsidRPr="00581023" w:rsidRDefault="00581023" w:rsidP="00581023">
      <w:pPr>
        <w:spacing w:line="360" w:lineRule="auto"/>
        <w:rPr>
          <w:rFonts w:ascii="Times New Roman" w:hAnsi="Times New Roman" w:cs="Times New Roman"/>
          <w:sz w:val="24"/>
          <w:szCs w:val="24"/>
        </w:rPr>
      </w:pPr>
      <w:r w:rsidRPr="00581023">
        <w:rPr>
          <w:rFonts w:ascii="Times New Roman" w:hAnsi="Times New Roman" w:cs="Times New Roman"/>
          <w:sz w:val="24"/>
          <w:szCs w:val="24"/>
        </w:rPr>
        <w:t xml:space="preserve">Thirdly, a deposit-return scheme would help formal collections. This would involve the customer paying a refundable deposit at the time of buying a battery, and receiving it back when they return the spent battery to an </w:t>
      </w:r>
      <w:proofErr w:type="spellStart"/>
      <w:r w:rsidRPr="00581023">
        <w:rPr>
          <w:rFonts w:ascii="Times New Roman" w:hAnsi="Times New Roman" w:cs="Times New Roman"/>
          <w:sz w:val="24"/>
          <w:szCs w:val="24"/>
        </w:rPr>
        <w:t>authorised</w:t>
      </w:r>
      <w:proofErr w:type="spellEnd"/>
      <w:r w:rsidRPr="00581023">
        <w:rPr>
          <w:rFonts w:ascii="Times New Roman" w:hAnsi="Times New Roman" w:cs="Times New Roman"/>
          <w:sz w:val="24"/>
          <w:szCs w:val="24"/>
        </w:rPr>
        <w:t xml:space="preserve"> collector. The direct cash-on-cash incentive for formal return could make the scheme a viable option to informal buyers and help to divert fewer batteries to informal smelters. It would, however, have to be designed with the existing "scrap" economy and the importance of informal collectors of the economy.</w:t>
      </w:r>
    </w:p>
    <w:p w14:paraId="1330E1B4" w14:textId="77777777" w:rsidR="00581023" w:rsidRPr="00581023" w:rsidRDefault="00581023" w:rsidP="00581023">
      <w:pPr>
        <w:spacing w:line="360" w:lineRule="auto"/>
        <w:rPr>
          <w:rFonts w:ascii="Times New Roman" w:hAnsi="Times New Roman" w:cs="Times New Roman"/>
          <w:sz w:val="24"/>
          <w:szCs w:val="24"/>
        </w:rPr>
      </w:pPr>
    </w:p>
    <w:p w14:paraId="554F65AB" w14:textId="77777777" w:rsidR="00581023" w:rsidRPr="00581023" w:rsidRDefault="00581023" w:rsidP="00581023">
      <w:pPr>
        <w:spacing w:line="360" w:lineRule="auto"/>
        <w:rPr>
          <w:rFonts w:ascii="Times New Roman" w:hAnsi="Times New Roman" w:cs="Times New Roman"/>
          <w:sz w:val="24"/>
          <w:szCs w:val="24"/>
        </w:rPr>
      </w:pPr>
      <w:r w:rsidRPr="00581023">
        <w:rPr>
          <w:rFonts w:ascii="Times New Roman" w:hAnsi="Times New Roman" w:cs="Times New Roman"/>
          <w:sz w:val="24"/>
          <w:szCs w:val="24"/>
        </w:rPr>
        <w:t xml:space="preserve">Fourth, informal collectors and small-scale processors should be integrated into the formal system. There are many of these actors, and they're established and key to current battery-recovery networks. </w:t>
      </w:r>
      <w:proofErr w:type="gramStart"/>
      <w:r w:rsidRPr="00581023">
        <w:rPr>
          <w:rFonts w:ascii="Times New Roman" w:hAnsi="Times New Roman" w:cs="Times New Roman"/>
          <w:sz w:val="24"/>
          <w:szCs w:val="24"/>
        </w:rPr>
        <w:t>Therefore</w:t>
      </w:r>
      <w:proofErr w:type="gramEnd"/>
      <w:r w:rsidRPr="00581023">
        <w:rPr>
          <w:rFonts w:ascii="Times New Roman" w:hAnsi="Times New Roman" w:cs="Times New Roman"/>
          <w:sz w:val="24"/>
          <w:szCs w:val="24"/>
        </w:rPr>
        <w:t xml:space="preserve"> the registration, training, protective equipment and formal connections with compatible recycling facilities may be more feasible than trying to get them out of the value chain. This integration would help to ensure that Nigeria maintains the effectiveness of informal networks to collect waste but also mitigate unsafe processing and disposal methods.</w:t>
      </w:r>
    </w:p>
    <w:p w14:paraId="61FC4290" w14:textId="77777777" w:rsidR="00581023" w:rsidRPr="00581023" w:rsidRDefault="00581023" w:rsidP="00581023">
      <w:pPr>
        <w:spacing w:line="360" w:lineRule="auto"/>
        <w:rPr>
          <w:rFonts w:ascii="Times New Roman" w:hAnsi="Times New Roman" w:cs="Times New Roman"/>
          <w:sz w:val="24"/>
          <w:szCs w:val="24"/>
        </w:rPr>
      </w:pPr>
    </w:p>
    <w:p w14:paraId="2592684E" w14:textId="77777777" w:rsidR="00581023" w:rsidRPr="00581023" w:rsidRDefault="00581023" w:rsidP="00581023">
      <w:pPr>
        <w:spacing w:line="360" w:lineRule="auto"/>
        <w:rPr>
          <w:rFonts w:ascii="Times New Roman" w:hAnsi="Times New Roman" w:cs="Times New Roman"/>
          <w:sz w:val="24"/>
          <w:szCs w:val="24"/>
        </w:rPr>
      </w:pPr>
      <w:r w:rsidRPr="00581023">
        <w:rPr>
          <w:rFonts w:ascii="Times New Roman" w:hAnsi="Times New Roman" w:cs="Times New Roman"/>
          <w:sz w:val="24"/>
          <w:szCs w:val="24"/>
        </w:rPr>
        <w:t>Fifthly, the recycling standards and the positioning of recycling facilities need to be made more robust. The formal registration of facilities does not imply eco-compatibility, as evidenced by the significant contamination around registered facilities. Therefore, the introduction of collection systems must be accompanied by efficient emission controls, purification of effluents, safe management of the slags, and buffer distances set between the recycling plants and households, schools and farmlands.</w:t>
      </w:r>
    </w:p>
    <w:p w14:paraId="7CB83194" w14:textId="77777777" w:rsidR="00581023" w:rsidRPr="00581023" w:rsidRDefault="00581023" w:rsidP="00581023">
      <w:pPr>
        <w:spacing w:line="360" w:lineRule="auto"/>
        <w:rPr>
          <w:rFonts w:ascii="Times New Roman" w:hAnsi="Times New Roman" w:cs="Times New Roman"/>
          <w:sz w:val="24"/>
          <w:szCs w:val="24"/>
        </w:rPr>
      </w:pPr>
    </w:p>
    <w:p w14:paraId="4152F247" w14:textId="77777777" w:rsidR="00581023" w:rsidRPr="00A322A9" w:rsidRDefault="00581023" w:rsidP="00581023">
      <w:pPr>
        <w:spacing w:line="360" w:lineRule="auto"/>
        <w:rPr>
          <w:rFonts w:ascii="Times New Roman" w:hAnsi="Times New Roman" w:cs="Times New Roman"/>
          <w:sz w:val="24"/>
          <w:szCs w:val="24"/>
        </w:rPr>
      </w:pPr>
      <w:r w:rsidRPr="00581023">
        <w:rPr>
          <w:rFonts w:ascii="Times New Roman" w:hAnsi="Times New Roman" w:cs="Times New Roman"/>
          <w:sz w:val="24"/>
          <w:szCs w:val="24"/>
        </w:rPr>
        <w:t xml:space="preserve">The possibility of using for second life use should be treated with caution. Recycling old batteries to be used to good effect with new applications can help prolong their useful life and slow waste production, but it can also move batteries to new users and complicate their re-collection. Second-life </w:t>
      </w:r>
      <w:proofErr w:type="spellStart"/>
      <w:r w:rsidRPr="00581023">
        <w:rPr>
          <w:rFonts w:ascii="Times New Roman" w:hAnsi="Times New Roman" w:cs="Times New Roman"/>
          <w:sz w:val="24"/>
          <w:szCs w:val="24"/>
        </w:rPr>
        <w:t>programmes</w:t>
      </w:r>
      <w:proofErr w:type="spellEnd"/>
      <w:r w:rsidRPr="00581023">
        <w:rPr>
          <w:rFonts w:ascii="Times New Roman" w:hAnsi="Times New Roman" w:cs="Times New Roman"/>
          <w:sz w:val="24"/>
          <w:szCs w:val="24"/>
        </w:rPr>
        <w:t xml:space="preserve"> should consequently cover the documentation, monitoring and compulsory return of batteries so that the second-life doesn't undermine accountability for the end-of-life.</w:t>
      </w:r>
    </w:p>
    <w:p w14:paraId="26255CD8" w14:textId="77777777" w:rsidR="00DD2AAA" w:rsidRPr="00A322A9" w:rsidRDefault="00DD2AAA" w:rsidP="00A322A9">
      <w:pPr>
        <w:spacing w:line="360" w:lineRule="auto"/>
        <w:rPr>
          <w:rFonts w:ascii="Times New Roman" w:hAnsi="Times New Roman" w:cs="Times New Roman"/>
          <w:sz w:val="24"/>
          <w:szCs w:val="24"/>
        </w:rPr>
      </w:pPr>
    </w:p>
    <w:p w14:paraId="02679627" w14:textId="77777777" w:rsidR="00A322A9" w:rsidRDefault="00A322A9" w:rsidP="00A322A9">
      <w:pPr>
        <w:spacing w:line="360" w:lineRule="auto"/>
        <w:rPr>
          <w:rFonts w:ascii="Times New Roman" w:hAnsi="Times New Roman" w:cs="Times New Roman"/>
          <w:b/>
          <w:bCs/>
          <w:sz w:val="24"/>
          <w:szCs w:val="24"/>
        </w:rPr>
      </w:pPr>
    </w:p>
    <w:p w14:paraId="5AF7F4D0" w14:textId="77777777" w:rsidR="00DD2AAA" w:rsidRPr="00A322A9" w:rsidRDefault="00DD2AAA" w:rsidP="00A322A9">
      <w:pPr>
        <w:keepNext/>
        <w:spacing w:line="360" w:lineRule="auto"/>
        <w:rPr>
          <w:rFonts w:ascii="Times New Roman" w:hAnsi="Times New Roman" w:cs="Times New Roman"/>
          <w:b/>
          <w:bCs/>
          <w:sz w:val="24"/>
          <w:szCs w:val="24"/>
        </w:rPr>
      </w:pPr>
      <w:r w:rsidRPr="00A322A9">
        <w:rPr>
          <w:rFonts w:ascii="Times New Roman" w:hAnsi="Times New Roman" w:cs="Times New Roman"/>
          <w:b/>
          <w:bCs/>
          <w:sz w:val="24"/>
          <w:szCs w:val="24"/>
        </w:rPr>
        <w:t>8. Evidence Gaps and Conclusion</w:t>
      </w:r>
    </w:p>
    <w:p w14:paraId="7577B491" w14:textId="77777777" w:rsidR="00DD2AAA" w:rsidRPr="00A322A9" w:rsidRDefault="00DD2AAA" w:rsidP="00A322A9">
      <w:pPr>
        <w:spacing w:line="360" w:lineRule="auto"/>
        <w:rPr>
          <w:rFonts w:ascii="Times New Roman" w:hAnsi="Times New Roman" w:cs="Times New Roman"/>
          <w:sz w:val="24"/>
          <w:szCs w:val="24"/>
        </w:rPr>
      </w:pPr>
      <w:r w:rsidRPr="00A322A9">
        <w:rPr>
          <w:rFonts w:ascii="Times New Roman" w:hAnsi="Times New Roman" w:cs="Times New Roman"/>
          <w:sz w:val="24"/>
          <w:szCs w:val="24"/>
        </w:rPr>
        <w:t xml:space="preserve">Nigeria evidence shows that the recycling of lead-acid batteries is correlated with high occupational and environmental lead levels. Directly-measured data indicate higher than matched-control blood-lead levels among informal recycling workers, soil-lead levels in excess of international guidance levels at recycling sites in Lagos and Ogun States, and higher levels of </w:t>
      </w:r>
      <w:r w:rsidRPr="00A322A9">
        <w:rPr>
          <w:rFonts w:ascii="Times New Roman" w:hAnsi="Times New Roman" w:cs="Times New Roman"/>
          <w:sz w:val="24"/>
          <w:szCs w:val="24"/>
        </w:rPr>
        <w:lastRenderedPageBreak/>
        <w:t>heavy metals in edible plants grown near battery-waste sites (</w:t>
      </w:r>
      <w:r w:rsidR="008779D7" w:rsidRPr="00A322A9">
        <w:rPr>
          <w:rFonts w:ascii="Times New Roman" w:hAnsi="Times New Roman" w:cs="Times New Roman"/>
        </w:rPr>
        <w:t>Sani-</w:t>
      </w:r>
      <w:proofErr w:type="spellStart"/>
      <w:r w:rsidR="008779D7" w:rsidRPr="00A322A9">
        <w:rPr>
          <w:rFonts w:ascii="Times New Roman" w:hAnsi="Times New Roman" w:cs="Times New Roman"/>
        </w:rPr>
        <w:t>Gwarzo</w:t>
      </w:r>
      <w:proofErr w:type="spellEnd"/>
      <w:r w:rsidR="008779D7" w:rsidRPr="00A322A9">
        <w:rPr>
          <w:rFonts w:ascii="Times New Roman" w:hAnsi="Times New Roman" w:cs="Times New Roman"/>
        </w:rPr>
        <w:t xml:space="preserve"> et al.2025</w:t>
      </w:r>
      <w:r w:rsidRPr="00A322A9">
        <w:rPr>
          <w:rFonts w:ascii="Times New Roman" w:hAnsi="Times New Roman" w:cs="Times New Roman"/>
          <w:sz w:val="24"/>
          <w:szCs w:val="24"/>
        </w:rPr>
        <w:t>; Gottesfeld et al., 2018; Oloruntoba et al., 2021; Adeleke et al., 2026). This evidence does not conclude that the level of contamination or exposure is exclusively from batteries from off-grid solar installations. The records of Nigerian studies do not always indicate the application of the batteries used in the previous studies, whether automotive, telecommunications, inverter or solar applications. The available evidence thus confirms the risks of the waste system where solar batteries enter, but does not provide insight into the size of the contribution of the solar sector.</w:t>
      </w:r>
    </w:p>
    <w:p w14:paraId="0C5709D4" w14:textId="77777777" w:rsidR="00DD2AAA" w:rsidRPr="00A322A9" w:rsidRDefault="00DD2AAA" w:rsidP="00A322A9">
      <w:pPr>
        <w:spacing w:line="360" w:lineRule="auto"/>
        <w:rPr>
          <w:rFonts w:ascii="Times New Roman" w:hAnsi="Times New Roman" w:cs="Times New Roman"/>
          <w:sz w:val="24"/>
          <w:szCs w:val="24"/>
        </w:rPr>
      </w:pPr>
    </w:p>
    <w:p w14:paraId="0220B3E8" w14:textId="77777777" w:rsidR="00DD2AAA" w:rsidRPr="00A322A9" w:rsidRDefault="00DD2AAA" w:rsidP="00A322A9">
      <w:pPr>
        <w:spacing w:line="360" w:lineRule="auto"/>
        <w:rPr>
          <w:rFonts w:ascii="Times New Roman" w:hAnsi="Times New Roman" w:cs="Times New Roman"/>
          <w:sz w:val="24"/>
          <w:szCs w:val="24"/>
        </w:rPr>
      </w:pPr>
      <w:r w:rsidRPr="00A322A9">
        <w:rPr>
          <w:rFonts w:ascii="Times New Roman" w:hAnsi="Times New Roman" w:cs="Times New Roman"/>
          <w:sz w:val="24"/>
          <w:szCs w:val="24"/>
        </w:rPr>
        <w:t>This distinction has policy implications. Nigeria has the necessary instruments including regulations under the battery sector and the extension of producer responsibility exist, and there is a model for the e-waste sector, where producers are registered and fees are charged for the collection of e-waste. The main drawbacks are related to enforcement, traceability and coordination between energy and environmental sectors. Returning to the installation with source tagged recording would fill this data gap to estimate how much ULAB can be sourced from off-grid solar systems. It would also offer a framework for assessing sector-specific producer responsibility and deposit-refund systems. The informal collectors must be included in these arrangements, as they are already able to collect a large proportion of the available scrap, and there is a need to improve environmental controls at all recycling facilities, formal or not.</w:t>
      </w:r>
    </w:p>
    <w:p w14:paraId="3BA26D00" w14:textId="77777777" w:rsidR="00DD2AAA" w:rsidRPr="00A322A9" w:rsidRDefault="00DD2AAA" w:rsidP="00A322A9">
      <w:pPr>
        <w:spacing w:line="360" w:lineRule="auto"/>
        <w:rPr>
          <w:rFonts w:ascii="Times New Roman" w:hAnsi="Times New Roman" w:cs="Times New Roman"/>
          <w:sz w:val="24"/>
          <w:szCs w:val="24"/>
        </w:rPr>
      </w:pPr>
    </w:p>
    <w:p w14:paraId="613C68CD" w14:textId="77777777" w:rsidR="00DD2AAA" w:rsidRPr="00A322A9" w:rsidRDefault="00DD2AAA" w:rsidP="00A322A9">
      <w:pPr>
        <w:spacing w:line="360" w:lineRule="auto"/>
        <w:rPr>
          <w:rFonts w:ascii="Times New Roman" w:hAnsi="Times New Roman" w:cs="Times New Roman"/>
          <w:sz w:val="24"/>
          <w:szCs w:val="24"/>
        </w:rPr>
      </w:pPr>
      <w:r w:rsidRPr="00A322A9">
        <w:rPr>
          <w:rFonts w:ascii="Times New Roman" w:hAnsi="Times New Roman" w:cs="Times New Roman"/>
          <w:sz w:val="24"/>
          <w:szCs w:val="24"/>
        </w:rPr>
        <w:t xml:space="preserve">The responsibility of implementing these measures is spread throughout the battery lifecycle. NESREA and the Federal Ministry of Environment have the main regulatory authority for environment; environmental designers can include end-of-life aspects in </w:t>
      </w:r>
      <w:proofErr w:type="spellStart"/>
      <w:r w:rsidRPr="00A322A9">
        <w:rPr>
          <w:rFonts w:ascii="Times New Roman" w:hAnsi="Times New Roman" w:cs="Times New Roman"/>
          <w:sz w:val="24"/>
          <w:szCs w:val="24"/>
        </w:rPr>
        <w:t>programme</w:t>
      </w:r>
      <w:proofErr w:type="spellEnd"/>
      <w:r w:rsidRPr="00A322A9">
        <w:rPr>
          <w:rFonts w:ascii="Times New Roman" w:hAnsi="Times New Roman" w:cs="Times New Roman"/>
          <w:sz w:val="24"/>
          <w:szCs w:val="24"/>
        </w:rPr>
        <w:t xml:space="preserve"> financing, which can be facilitated by the Rural Electrification Agency and development financiers. Solar developers and battery importers are set up to be able to document the battery's origin when it is sold and installed while battery recycling facilities will be required to meet standards for emissions control, effluent treatment and residual-waste management and safe siting. There is also a need for research institutions to produce waste-flow, environmental and biomonitoring data to support efficient monitoring.</w:t>
      </w:r>
    </w:p>
    <w:p w14:paraId="658D5C1C" w14:textId="77777777" w:rsidR="00DD2AAA" w:rsidRPr="00A322A9" w:rsidRDefault="00DD2AAA" w:rsidP="00A322A9">
      <w:pPr>
        <w:spacing w:line="360" w:lineRule="auto"/>
        <w:rPr>
          <w:rFonts w:ascii="Times New Roman" w:hAnsi="Times New Roman" w:cs="Times New Roman"/>
          <w:sz w:val="24"/>
          <w:szCs w:val="24"/>
        </w:rPr>
      </w:pPr>
    </w:p>
    <w:p w14:paraId="7B137DA1" w14:textId="77777777" w:rsidR="00DD2AAA" w:rsidRDefault="00DD2AAA" w:rsidP="00A322A9">
      <w:pPr>
        <w:spacing w:line="360" w:lineRule="auto"/>
        <w:rPr>
          <w:rFonts w:ascii="Times New Roman" w:hAnsi="Times New Roman" w:cs="Times New Roman"/>
          <w:sz w:val="24"/>
          <w:szCs w:val="24"/>
        </w:rPr>
      </w:pPr>
      <w:r w:rsidRPr="00A322A9">
        <w:rPr>
          <w:rFonts w:ascii="Times New Roman" w:hAnsi="Times New Roman" w:cs="Times New Roman"/>
          <w:sz w:val="24"/>
          <w:szCs w:val="24"/>
        </w:rPr>
        <w:lastRenderedPageBreak/>
        <w:t>Three urgent research needs arise. One, battery-origin records need to be added to be able to quantify the contribution of the solar sector, not assumed. Secondly, community biomonitoring around Nigerian recycling sites should be scaled to provide a good estimate of the prevalence and distribution of lead exposure, because the community monitoring evidence available is very limited and comes from a commissioned sample. Thirdly, the effectiveness and impact of the National Environmental (Battery Control) Regulations 2021 should be assessed based on actual collection and recycling activities. This is a narrative review, which is not exhaustive, and results and conclusions are limited by the existing evidence. However, the benefits of these batteries on the downstream fate and health consequences impacts have not been quantified.</w:t>
      </w:r>
    </w:p>
    <w:p w14:paraId="7650E680" w14:textId="77777777" w:rsidR="00D31EB2" w:rsidRDefault="00D31EB2" w:rsidP="00D31EB2">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18A7B583" w14:textId="77777777" w:rsidR="00D31EB2" w:rsidRDefault="00D31EB2" w:rsidP="00D31EB2">
      <w:pPr>
        <w:spacing w:after="0" w:line="240" w:lineRule="auto"/>
        <w:rPr>
          <w:rFonts w:ascii="Times New Roman" w:hAnsi="Times New Roman" w:cs="Times New Roman"/>
          <w:b/>
        </w:rPr>
      </w:pPr>
    </w:p>
    <w:p w14:paraId="74EB238D" w14:textId="77777777" w:rsidR="00D31EB2" w:rsidRDefault="00D31EB2" w:rsidP="00D31EB2">
      <w:pPr>
        <w:spacing w:after="0" w:line="240" w:lineRule="auto"/>
        <w:rPr>
          <w:rFonts w:ascii="Times New Roman" w:hAnsi="Times New Roman" w:cs="Times New Roman"/>
          <w:b/>
        </w:rPr>
      </w:pPr>
    </w:p>
    <w:p w14:paraId="7BBFC491" w14:textId="77777777" w:rsidR="00D31EB2" w:rsidRDefault="00D31EB2" w:rsidP="00D31EB2">
      <w:pPr>
        <w:spacing w:after="0" w:line="240" w:lineRule="auto"/>
        <w:rPr>
          <w:rFonts w:ascii="Times New Roman" w:hAnsi="Times New Roman" w:cs="Times New Roman"/>
          <w:b/>
        </w:rPr>
      </w:pPr>
    </w:p>
    <w:p w14:paraId="06E4E1B2" w14:textId="77777777" w:rsidR="00D31EB2" w:rsidRPr="002D08AC" w:rsidRDefault="00D31EB2" w:rsidP="00D31EB2">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F9A1CD5" w14:textId="77777777" w:rsidR="00D31EB2" w:rsidRPr="00A322A9" w:rsidRDefault="00D31EB2" w:rsidP="00A322A9">
      <w:pPr>
        <w:spacing w:line="360" w:lineRule="auto"/>
        <w:rPr>
          <w:rFonts w:ascii="Times New Roman" w:hAnsi="Times New Roman" w:cs="Times New Roman"/>
          <w:sz w:val="24"/>
          <w:szCs w:val="24"/>
        </w:rPr>
      </w:pPr>
    </w:p>
    <w:p w14:paraId="35C77310" w14:textId="77777777" w:rsidR="00DD2AAA" w:rsidRPr="00A322A9" w:rsidRDefault="00DD2AAA" w:rsidP="00A322A9">
      <w:pPr>
        <w:spacing w:line="360" w:lineRule="auto"/>
        <w:rPr>
          <w:rFonts w:ascii="Times New Roman" w:hAnsi="Times New Roman" w:cs="Times New Roman"/>
          <w:b/>
          <w:bCs/>
          <w:sz w:val="24"/>
          <w:szCs w:val="24"/>
        </w:rPr>
      </w:pPr>
      <w:r w:rsidRPr="00A322A9">
        <w:rPr>
          <w:rFonts w:ascii="Times New Roman" w:hAnsi="Times New Roman" w:cs="Times New Roman"/>
          <w:b/>
          <w:bCs/>
          <w:sz w:val="24"/>
          <w:szCs w:val="24"/>
        </w:rPr>
        <w:t>References</w:t>
      </w:r>
    </w:p>
    <w:p w14:paraId="3F96041B" w14:textId="77777777" w:rsidR="00A322A9" w:rsidRPr="00A322A9" w:rsidRDefault="00A322A9" w:rsidP="00A322A9">
      <w:pPr>
        <w:spacing w:after="200" w:line="360" w:lineRule="auto"/>
        <w:ind w:left="720" w:hanging="720"/>
        <w:rPr>
          <w:rFonts w:ascii="Times New Roman" w:hAnsi="Times New Roman" w:cs="Times New Roman"/>
        </w:rPr>
      </w:pPr>
      <w:proofErr w:type="spellStart"/>
      <w:r w:rsidRPr="00A322A9">
        <w:rPr>
          <w:rFonts w:ascii="Times New Roman" w:hAnsi="Times New Roman" w:cs="Times New Roman"/>
        </w:rPr>
        <w:t>Aborisade</w:t>
      </w:r>
      <w:proofErr w:type="spellEnd"/>
      <w:r w:rsidRPr="00A322A9">
        <w:rPr>
          <w:rFonts w:ascii="Times New Roman" w:hAnsi="Times New Roman" w:cs="Times New Roman"/>
        </w:rPr>
        <w:t xml:space="preserve">, S. (2025, November 18). Lead in their blood: How battery recyclers are poisoning Nigerians. </w:t>
      </w:r>
      <w:proofErr w:type="spellStart"/>
      <w:r w:rsidRPr="00A322A9">
        <w:rPr>
          <w:rFonts w:ascii="Times New Roman" w:hAnsi="Times New Roman" w:cs="Times New Roman"/>
          <w:i/>
          <w:iCs/>
        </w:rPr>
        <w:t>TheCable</w:t>
      </w:r>
      <w:proofErr w:type="spellEnd"/>
      <w:r w:rsidRPr="00A322A9">
        <w:rPr>
          <w:rFonts w:ascii="Times New Roman" w:hAnsi="Times New Roman" w:cs="Times New Roman"/>
        </w:rPr>
        <w:t>. https://www.thecable.ng/lead-in-their-blood-how-battery-recyclers-are-poisoning-nigerians/</w:t>
      </w:r>
    </w:p>
    <w:p w14:paraId="79284ABC" w14:textId="77777777" w:rsidR="00A322A9" w:rsidRPr="00A322A9" w:rsidRDefault="00A322A9" w:rsidP="00A322A9">
      <w:pPr>
        <w:spacing w:after="200" w:line="360" w:lineRule="auto"/>
        <w:ind w:left="720" w:hanging="720"/>
        <w:rPr>
          <w:rFonts w:ascii="Times New Roman" w:hAnsi="Times New Roman" w:cs="Times New Roman"/>
        </w:rPr>
      </w:pPr>
      <w:r w:rsidRPr="00A322A9">
        <w:rPr>
          <w:rFonts w:ascii="Times New Roman" w:hAnsi="Times New Roman" w:cs="Times New Roman"/>
        </w:rPr>
        <w:t xml:space="preserve">Adeleke, A. T., </w:t>
      </w:r>
      <w:proofErr w:type="spellStart"/>
      <w:r w:rsidRPr="00A322A9">
        <w:rPr>
          <w:rFonts w:ascii="Times New Roman" w:hAnsi="Times New Roman" w:cs="Times New Roman"/>
        </w:rPr>
        <w:t>Odunaike</w:t>
      </w:r>
      <w:proofErr w:type="spellEnd"/>
      <w:r w:rsidRPr="00A322A9">
        <w:rPr>
          <w:rFonts w:ascii="Times New Roman" w:hAnsi="Times New Roman" w:cs="Times New Roman"/>
        </w:rPr>
        <w:t xml:space="preserve">, R. K., Adeleke, M. T., Ajiboye, O. H., Oyebisi, K. T., &amp; Ayinla, S. O. (2026). Heavy metal contamination in plants associated with battery waste disposal at a recycling site in Ogun State, southwestern Nigeria. </w:t>
      </w:r>
      <w:r w:rsidRPr="00A322A9">
        <w:rPr>
          <w:rFonts w:ascii="Times New Roman" w:hAnsi="Times New Roman" w:cs="Times New Roman"/>
          <w:i/>
          <w:iCs/>
        </w:rPr>
        <w:t>African Journal of Pure and Applied Sciences, 7</w:t>
      </w:r>
      <w:r w:rsidRPr="00A322A9">
        <w:rPr>
          <w:rFonts w:ascii="Times New Roman" w:hAnsi="Times New Roman" w:cs="Times New Roman"/>
        </w:rPr>
        <w:t>(1), 78–87. https://doi.org/10.33886/ajpas.v7i1.818</w:t>
      </w:r>
    </w:p>
    <w:p w14:paraId="19C800B7" w14:textId="77777777" w:rsidR="00A322A9" w:rsidRPr="00A322A9" w:rsidRDefault="00A322A9" w:rsidP="00A322A9">
      <w:pPr>
        <w:spacing w:after="200" w:line="360" w:lineRule="auto"/>
        <w:ind w:left="720" w:hanging="720"/>
        <w:rPr>
          <w:rFonts w:ascii="Times New Roman" w:hAnsi="Times New Roman" w:cs="Times New Roman"/>
        </w:rPr>
      </w:pPr>
      <w:r w:rsidRPr="00A322A9">
        <w:rPr>
          <w:rFonts w:ascii="Times New Roman" w:hAnsi="Times New Roman" w:cs="Times New Roman"/>
        </w:rPr>
        <w:t xml:space="preserve">Adesina, L. M., Ogunbiyi, O., &amp; Makinde, K. (2023). Design, implementation and performance analysis of an off-grid solar powered system for a Nigerian household. </w:t>
      </w:r>
      <w:proofErr w:type="spellStart"/>
      <w:r w:rsidRPr="00A322A9">
        <w:rPr>
          <w:rFonts w:ascii="Times New Roman" w:hAnsi="Times New Roman" w:cs="Times New Roman"/>
          <w:i/>
          <w:iCs/>
        </w:rPr>
        <w:t>MethodsX</w:t>
      </w:r>
      <w:proofErr w:type="spellEnd"/>
      <w:r w:rsidRPr="00A322A9">
        <w:rPr>
          <w:rFonts w:ascii="Times New Roman" w:hAnsi="Times New Roman" w:cs="Times New Roman"/>
          <w:i/>
          <w:iCs/>
        </w:rPr>
        <w:t>, 10</w:t>
      </w:r>
      <w:r w:rsidRPr="00A322A9">
        <w:rPr>
          <w:rFonts w:ascii="Times New Roman" w:hAnsi="Times New Roman" w:cs="Times New Roman"/>
        </w:rPr>
        <w:t>, 102247. https://doi.org/10.1016/j.mex.2023.102247</w:t>
      </w:r>
    </w:p>
    <w:p w14:paraId="28D02E0B" w14:textId="77777777" w:rsidR="00A322A9" w:rsidRPr="00A322A9" w:rsidRDefault="00A322A9" w:rsidP="00A322A9">
      <w:pPr>
        <w:spacing w:after="200" w:line="360" w:lineRule="auto"/>
        <w:ind w:left="720" w:hanging="720"/>
        <w:rPr>
          <w:rFonts w:ascii="Times New Roman" w:hAnsi="Times New Roman" w:cs="Times New Roman"/>
        </w:rPr>
      </w:pPr>
      <w:r w:rsidRPr="00A322A9">
        <w:rPr>
          <w:rFonts w:ascii="Times New Roman" w:hAnsi="Times New Roman" w:cs="Times New Roman"/>
        </w:rPr>
        <w:t xml:space="preserve">Adeyeye, K. A., &amp; </w:t>
      </w:r>
      <w:proofErr w:type="spellStart"/>
      <w:r w:rsidRPr="00A322A9">
        <w:rPr>
          <w:rFonts w:ascii="Times New Roman" w:hAnsi="Times New Roman" w:cs="Times New Roman"/>
        </w:rPr>
        <w:t>Mbohwa</w:t>
      </w:r>
      <w:proofErr w:type="spellEnd"/>
      <w:r w:rsidRPr="00A322A9">
        <w:rPr>
          <w:rFonts w:ascii="Times New Roman" w:hAnsi="Times New Roman" w:cs="Times New Roman"/>
        </w:rPr>
        <w:t xml:space="preserve">, C. (2026). Bridging Nigeria's urban energy gap: Assessing hybrid energy microgrids trends, deployment, and future pathways. </w:t>
      </w:r>
      <w:r w:rsidRPr="00A322A9">
        <w:rPr>
          <w:rFonts w:ascii="Times New Roman" w:hAnsi="Times New Roman" w:cs="Times New Roman"/>
          <w:i/>
          <w:iCs/>
        </w:rPr>
        <w:t>Results in Engineering, 29</w:t>
      </w:r>
      <w:r w:rsidRPr="00A322A9">
        <w:rPr>
          <w:rFonts w:ascii="Times New Roman" w:hAnsi="Times New Roman" w:cs="Times New Roman"/>
        </w:rPr>
        <w:t>, 108558. https://doi.org/10.1016/j.rineng.2025.108558</w:t>
      </w:r>
    </w:p>
    <w:p w14:paraId="5583335D" w14:textId="77777777" w:rsidR="00A322A9" w:rsidRPr="00A322A9" w:rsidRDefault="00A322A9" w:rsidP="00A322A9">
      <w:pPr>
        <w:spacing w:after="200" w:line="360" w:lineRule="auto"/>
        <w:ind w:left="720" w:hanging="720"/>
        <w:rPr>
          <w:rFonts w:ascii="Times New Roman" w:hAnsi="Times New Roman" w:cs="Times New Roman"/>
        </w:rPr>
      </w:pPr>
      <w:r w:rsidRPr="00A322A9">
        <w:rPr>
          <w:rFonts w:ascii="Times New Roman" w:hAnsi="Times New Roman" w:cs="Times New Roman"/>
        </w:rPr>
        <w:lastRenderedPageBreak/>
        <w:t xml:space="preserve">Bonnifield, R., &amp; Mallory, C. (2026). </w:t>
      </w:r>
      <w:r w:rsidRPr="00A322A9">
        <w:rPr>
          <w:rFonts w:ascii="Times New Roman" w:hAnsi="Times New Roman" w:cs="Times New Roman"/>
          <w:i/>
          <w:iCs/>
        </w:rPr>
        <w:t>Lead-safe off-grid electrification: Understanding the issues in sub-Saharan Africa</w:t>
      </w:r>
      <w:r w:rsidRPr="00A322A9">
        <w:rPr>
          <w:rFonts w:ascii="Times New Roman" w:hAnsi="Times New Roman" w:cs="Times New Roman"/>
        </w:rPr>
        <w:t>. Center for Global Development.</w:t>
      </w:r>
    </w:p>
    <w:p w14:paraId="255648AF" w14:textId="77777777" w:rsidR="00A322A9" w:rsidRPr="00A322A9" w:rsidRDefault="00A322A9" w:rsidP="00A322A9">
      <w:pPr>
        <w:spacing w:after="200" w:line="360" w:lineRule="auto"/>
        <w:ind w:left="720" w:hanging="720"/>
        <w:rPr>
          <w:rFonts w:ascii="Times New Roman" w:hAnsi="Times New Roman" w:cs="Times New Roman"/>
        </w:rPr>
      </w:pPr>
      <w:r w:rsidRPr="00A322A9">
        <w:rPr>
          <w:rFonts w:ascii="Times New Roman" w:hAnsi="Times New Roman" w:cs="Times New Roman"/>
        </w:rPr>
        <w:t xml:space="preserve">Global Solar Council. (2026). </w:t>
      </w:r>
      <w:r w:rsidRPr="00A322A9">
        <w:rPr>
          <w:rFonts w:ascii="Times New Roman" w:hAnsi="Times New Roman" w:cs="Times New Roman"/>
          <w:i/>
          <w:iCs/>
        </w:rPr>
        <w:t>Africa market outlook for solar PV 2026–2029</w:t>
      </w:r>
      <w:r w:rsidRPr="00A322A9">
        <w:rPr>
          <w:rFonts w:ascii="Times New Roman" w:hAnsi="Times New Roman" w:cs="Times New Roman"/>
        </w:rPr>
        <w:t>. Global Solar Council.</w:t>
      </w:r>
    </w:p>
    <w:p w14:paraId="7A2F2981" w14:textId="77777777" w:rsidR="00A322A9" w:rsidRPr="00A322A9" w:rsidRDefault="00A322A9" w:rsidP="00A322A9">
      <w:pPr>
        <w:spacing w:after="200" w:line="360" w:lineRule="auto"/>
        <w:ind w:left="720" w:hanging="720"/>
        <w:rPr>
          <w:rFonts w:ascii="Times New Roman" w:hAnsi="Times New Roman" w:cs="Times New Roman"/>
        </w:rPr>
      </w:pPr>
      <w:r w:rsidRPr="00A322A9">
        <w:rPr>
          <w:rFonts w:ascii="Times New Roman" w:hAnsi="Times New Roman" w:cs="Times New Roman"/>
        </w:rPr>
        <w:t xml:space="preserve">Gottesfeld, P., Were, F. H., </w:t>
      </w:r>
      <w:proofErr w:type="spellStart"/>
      <w:r w:rsidRPr="00A322A9">
        <w:rPr>
          <w:rFonts w:ascii="Times New Roman" w:hAnsi="Times New Roman" w:cs="Times New Roman"/>
        </w:rPr>
        <w:t>Adogame</w:t>
      </w:r>
      <w:proofErr w:type="spellEnd"/>
      <w:r w:rsidRPr="00A322A9">
        <w:rPr>
          <w:rFonts w:ascii="Times New Roman" w:hAnsi="Times New Roman" w:cs="Times New Roman"/>
        </w:rPr>
        <w:t xml:space="preserve">, L., Gharbi, S., San, D., Nota, M. M., &amp; Kuepouo, G. (2018). Soil contamination from lead battery manufacturing and recycling in seven African countries. </w:t>
      </w:r>
      <w:r w:rsidRPr="00A322A9">
        <w:rPr>
          <w:rFonts w:ascii="Times New Roman" w:hAnsi="Times New Roman" w:cs="Times New Roman"/>
          <w:i/>
          <w:iCs/>
        </w:rPr>
        <w:t>Environmental Research, 161</w:t>
      </w:r>
      <w:r w:rsidRPr="00A322A9">
        <w:rPr>
          <w:rFonts w:ascii="Times New Roman" w:hAnsi="Times New Roman" w:cs="Times New Roman"/>
        </w:rPr>
        <w:t>, 609–614. https://doi.org/10.1016/j.envres.2017.11.055</w:t>
      </w:r>
    </w:p>
    <w:p w14:paraId="7E582216" w14:textId="77777777" w:rsidR="00A322A9" w:rsidRPr="00A322A9" w:rsidRDefault="00A322A9" w:rsidP="00A322A9">
      <w:pPr>
        <w:spacing w:after="200" w:line="360" w:lineRule="auto"/>
        <w:ind w:left="720" w:hanging="720"/>
        <w:rPr>
          <w:rFonts w:ascii="Times New Roman" w:hAnsi="Times New Roman" w:cs="Times New Roman"/>
        </w:rPr>
      </w:pPr>
      <w:proofErr w:type="spellStart"/>
      <w:r w:rsidRPr="00A322A9">
        <w:rPr>
          <w:rFonts w:ascii="Times New Roman" w:hAnsi="Times New Roman" w:cs="Times New Roman"/>
        </w:rPr>
        <w:t>Haefliger</w:t>
      </w:r>
      <w:proofErr w:type="spellEnd"/>
      <w:r w:rsidRPr="00A322A9">
        <w:rPr>
          <w:rFonts w:ascii="Times New Roman" w:hAnsi="Times New Roman" w:cs="Times New Roman"/>
        </w:rPr>
        <w:t xml:space="preserve">, P., Mathieu-Nolf, M., </w:t>
      </w:r>
      <w:proofErr w:type="spellStart"/>
      <w:r w:rsidRPr="00A322A9">
        <w:rPr>
          <w:rFonts w:ascii="Times New Roman" w:hAnsi="Times New Roman" w:cs="Times New Roman"/>
        </w:rPr>
        <w:t>Lociciro</w:t>
      </w:r>
      <w:proofErr w:type="spellEnd"/>
      <w:r w:rsidRPr="00A322A9">
        <w:rPr>
          <w:rFonts w:ascii="Times New Roman" w:hAnsi="Times New Roman" w:cs="Times New Roman"/>
        </w:rPr>
        <w:t xml:space="preserve">, S., Ndiaye, C., Coly, M., Diouf, A., et al. (2009). Mass </w:t>
      </w:r>
      <w:proofErr w:type="gramStart"/>
      <w:r w:rsidRPr="00A322A9">
        <w:rPr>
          <w:rFonts w:ascii="Times New Roman" w:hAnsi="Times New Roman" w:cs="Times New Roman"/>
        </w:rPr>
        <w:t>lead</w:t>
      </w:r>
      <w:proofErr w:type="gramEnd"/>
      <w:r w:rsidRPr="00A322A9">
        <w:rPr>
          <w:rFonts w:ascii="Times New Roman" w:hAnsi="Times New Roman" w:cs="Times New Roman"/>
        </w:rPr>
        <w:t xml:space="preserve"> intoxication from informal used lead-acid battery recycling in Dakar, Senegal. </w:t>
      </w:r>
      <w:r w:rsidRPr="00A322A9">
        <w:rPr>
          <w:rFonts w:ascii="Times New Roman" w:hAnsi="Times New Roman" w:cs="Times New Roman"/>
          <w:i/>
          <w:iCs/>
        </w:rPr>
        <w:t>Environmental Health Perspectives, 117</w:t>
      </w:r>
      <w:r w:rsidRPr="00A322A9">
        <w:rPr>
          <w:rFonts w:ascii="Times New Roman" w:hAnsi="Times New Roman" w:cs="Times New Roman"/>
        </w:rPr>
        <w:t>(10), 1535–1540. https://doi.org/10.1289/ehp.0900696</w:t>
      </w:r>
    </w:p>
    <w:p w14:paraId="1620994F" w14:textId="77777777" w:rsidR="00A322A9" w:rsidRPr="00A322A9" w:rsidRDefault="00A322A9" w:rsidP="00A322A9">
      <w:pPr>
        <w:spacing w:after="200" w:line="360" w:lineRule="auto"/>
        <w:ind w:left="720" w:hanging="720"/>
        <w:rPr>
          <w:rFonts w:ascii="Times New Roman" w:hAnsi="Times New Roman" w:cs="Times New Roman"/>
        </w:rPr>
      </w:pPr>
      <w:r w:rsidRPr="00A322A9">
        <w:rPr>
          <w:rFonts w:ascii="Times New Roman" w:hAnsi="Times New Roman" w:cs="Times New Roman"/>
        </w:rPr>
        <w:t xml:space="preserve">Heinrich Böll Stiftung. (2021, December 10). </w:t>
      </w:r>
      <w:r w:rsidRPr="00A322A9">
        <w:rPr>
          <w:rFonts w:ascii="Times New Roman" w:hAnsi="Times New Roman" w:cs="Times New Roman"/>
          <w:i/>
          <w:iCs/>
        </w:rPr>
        <w:t>Developing the renewable energy sector responsibly: Establishing a regulatory framework for battery waste management in Nigeria</w:t>
      </w:r>
      <w:r w:rsidRPr="00A322A9">
        <w:rPr>
          <w:rFonts w:ascii="Times New Roman" w:hAnsi="Times New Roman" w:cs="Times New Roman"/>
        </w:rPr>
        <w:t>. Heinrich Böll Stiftung Abuja. https://ng.boell.org/en/2021/12/10/developing-renewable-energy-sector-responsibly-establishing-regulatory-framework-battery</w:t>
      </w:r>
    </w:p>
    <w:p w14:paraId="7BA63427" w14:textId="77777777" w:rsidR="00A322A9" w:rsidRPr="00A322A9" w:rsidRDefault="00A322A9" w:rsidP="00A322A9">
      <w:pPr>
        <w:spacing w:after="200" w:line="360" w:lineRule="auto"/>
        <w:ind w:left="720" w:hanging="720"/>
        <w:rPr>
          <w:rFonts w:ascii="Times New Roman" w:hAnsi="Times New Roman" w:cs="Times New Roman"/>
        </w:rPr>
      </w:pPr>
      <w:proofErr w:type="spellStart"/>
      <w:r w:rsidRPr="00A322A9">
        <w:rPr>
          <w:rFonts w:ascii="Times New Roman" w:hAnsi="Times New Roman" w:cs="Times New Roman"/>
        </w:rPr>
        <w:t>Kinally</w:t>
      </w:r>
      <w:proofErr w:type="spellEnd"/>
      <w:r w:rsidRPr="00A322A9">
        <w:rPr>
          <w:rFonts w:ascii="Times New Roman" w:hAnsi="Times New Roman" w:cs="Times New Roman"/>
        </w:rPr>
        <w:t xml:space="preserve">, C., Antonanzas-Torres, F., Podd, F., &amp; Gallego-Schmid, A. (2024). Life cycle assessment of solar home system informal waste management practices in Malawi. </w:t>
      </w:r>
      <w:r w:rsidRPr="00A322A9">
        <w:rPr>
          <w:rFonts w:ascii="Times New Roman" w:hAnsi="Times New Roman" w:cs="Times New Roman"/>
          <w:i/>
          <w:iCs/>
        </w:rPr>
        <w:t>Applied Energy, 364</w:t>
      </w:r>
      <w:r w:rsidRPr="00A322A9">
        <w:rPr>
          <w:rFonts w:ascii="Times New Roman" w:hAnsi="Times New Roman" w:cs="Times New Roman"/>
        </w:rPr>
        <w:t>, 123190. https://doi.org/10.1016/j.apenergy.2024.123190</w:t>
      </w:r>
    </w:p>
    <w:p w14:paraId="322BAECF" w14:textId="77777777" w:rsidR="00A322A9" w:rsidRPr="00A322A9" w:rsidRDefault="00A322A9" w:rsidP="00A322A9">
      <w:pPr>
        <w:spacing w:after="200" w:line="360" w:lineRule="auto"/>
        <w:ind w:left="720" w:hanging="720"/>
        <w:rPr>
          <w:rFonts w:ascii="Times New Roman" w:hAnsi="Times New Roman" w:cs="Times New Roman"/>
        </w:rPr>
      </w:pPr>
      <w:r>
        <w:rPr>
          <w:rFonts w:ascii="Times New Roman" w:hAnsi="Times New Roman"/>
          <w:sz w:val="24"/>
        </w:rPr>
        <w:t xml:space="preserve">Manhart, A., &amp; Adjei, F. (2026). </w:t>
      </w:r>
      <w:r>
        <w:rPr>
          <w:rFonts w:ascii="Times New Roman" w:hAnsi="Times New Roman"/>
          <w:i/>
          <w:sz w:val="24"/>
        </w:rPr>
        <w:t>Lead-acid battery recycling in selected African settings: Status quo and considerations for sector policies</w:t>
      </w:r>
      <w:r>
        <w:rPr>
          <w:rFonts w:ascii="Times New Roman" w:hAnsi="Times New Roman"/>
          <w:sz w:val="24"/>
        </w:rPr>
        <w:t>. Center for Global Development. https://www.cgdev.org/publication/lead-acid-battery-recycling-selected-african-settings-status-quo-and-considerations</w:t>
      </w:r>
    </w:p>
    <w:p w14:paraId="50DE11BE" w14:textId="77777777" w:rsidR="00A322A9" w:rsidRPr="00A322A9" w:rsidRDefault="00A322A9" w:rsidP="00A322A9">
      <w:pPr>
        <w:spacing w:after="200" w:line="360" w:lineRule="auto"/>
        <w:ind w:left="720" w:hanging="720"/>
        <w:rPr>
          <w:rFonts w:ascii="Times New Roman" w:hAnsi="Times New Roman" w:cs="Times New Roman"/>
        </w:rPr>
      </w:pPr>
      <w:r w:rsidRPr="00A322A9">
        <w:rPr>
          <w:rFonts w:ascii="Times New Roman" w:hAnsi="Times New Roman" w:cs="Times New Roman"/>
        </w:rPr>
        <w:t xml:space="preserve">Nazim, M. S., &amp; Elavarasan, R. M. (2026). Extending battery lifecycles: A holistic review of second-life lithium-ion technology in sustainable energy systems from assessment to emerging trends. </w:t>
      </w:r>
      <w:r w:rsidRPr="00A322A9">
        <w:rPr>
          <w:rFonts w:ascii="Times New Roman" w:hAnsi="Times New Roman" w:cs="Times New Roman"/>
          <w:i/>
          <w:iCs/>
        </w:rPr>
        <w:t>Renewable and Sustainable Energy Reviews, 233</w:t>
      </w:r>
      <w:r w:rsidRPr="00A322A9">
        <w:rPr>
          <w:rFonts w:ascii="Times New Roman" w:hAnsi="Times New Roman" w:cs="Times New Roman"/>
        </w:rPr>
        <w:t>, 116848. https://doi.org/10.1016/j.rser.2026.116848</w:t>
      </w:r>
    </w:p>
    <w:p w14:paraId="725B77FE" w14:textId="77777777" w:rsidR="00A322A9" w:rsidRPr="00A322A9" w:rsidRDefault="00A322A9" w:rsidP="00A322A9">
      <w:pPr>
        <w:spacing w:after="200" w:line="360" w:lineRule="auto"/>
        <w:ind w:left="720" w:hanging="720"/>
        <w:rPr>
          <w:rFonts w:ascii="Times New Roman" w:hAnsi="Times New Roman" w:cs="Times New Roman"/>
        </w:rPr>
      </w:pPr>
      <w:r w:rsidRPr="00A322A9">
        <w:rPr>
          <w:rFonts w:ascii="Times New Roman" w:hAnsi="Times New Roman" w:cs="Times New Roman"/>
        </w:rPr>
        <w:t xml:space="preserve">Oloruntoba, E., </w:t>
      </w:r>
      <w:proofErr w:type="spellStart"/>
      <w:r w:rsidRPr="00A322A9">
        <w:rPr>
          <w:rFonts w:ascii="Times New Roman" w:hAnsi="Times New Roman" w:cs="Times New Roman"/>
        </w:rPr>
        <w:t>Gurusa</w:t>
      </w:r>
      <w:proofErr w:type="spellEnd"/>
      <w:r w:rsidRPr="00A322A9">
        <w:rPr>
          <w:rFonts w:ascii="Times New Roman" w:hAnsi="Times New Roman" w:cs="Times New Roman"/>
        </w:rPr>
        <w:t xml:space="preserve">, O., </w:t>
      </w:r>
      <w:proofErr w:type="spellStart"/>
      <w:r w:rsidRPr="00A322A9">
        <w:rPr>
          <w:rFonts w:ascii="Times New Roman" w:hAnsi="Times New Roman" w:cs="Times New Roman"/>
        </w:rPr>
        <w:t>Omokhodion</w:t>
      </w:r>
      <w:proofErr w:type="spellEnd"/>
      <w:r w:rsidRPr="00A322A9">
        <w:rPr>
          <w:rFonts w:ascii="Times New Roman" w:hAnsi="Times New Roman" w:cs="Times New Roman"/>
        </w:rPr>
        <w:t xml:space="preserve">, F., </w:t>
      </w:r>
      <w:proofErr w:type="spellStart"/>
      <w:r w:rsidRPr="00A322A9">
        <w:rPr>
          <w:rFonts w:ascii="Times New Roman" w:hAnsi="Times New Roman" w:cs="Times New Roman"/>
        </w:rPr>
        <w:t>Fobil</w:t>
      </w:r>
      <w:proofErr w:type="spellEnd"/>
      <w:r w:rsidRPr="00A322A9">
        <w:rPr>
          <w:rFonts w:ascii="Times New Roman" w:hAnsi="Times New Roman" w:cs="Times New Roman"/>
        </w:rPr>
        <w:t xml:space="preserve">, J., Basu, N., Arko-Mensah, J., &amp; Robin, T. (2021). Spatial distribution of heavy metals and pollution of environmental media around a used lead-acid battery recycling center in Ibadan, Nigeria. </w:t>
      </w:r>
      <w:r w:rsidRPr="00A322A9">
        <w:rPr>
          <w:rFonts w:ascii="Times New Roman" w:hAnsi="Times New Roman" w:cs="Times New Roman"/>
          <w:i/>
          <w:iCs/>
        </w:rPr>
        <w:t>Journal of Health and Pollution, 11</w:t>
      </w:r>
      <w:r w:rsidRPr="00A322A9">
        <w:rPr>
          <w:rFonts w:ascii="Times New Roman" w:hAnsi="Times New Roman" w:cs="Times New Roman"/>
        </w:rPr>
        <w:t>(29), 210304. https://doi.org/10.5696/2156-9614-11.29.210304</w:t>
      </w:r>
    </w:p>
    <w:p w14:paraId="3A174089" w14:textId="77777777" w:rsidR="00A322A9" w:rsidRPr="00A322A9" w:rsidRDefault="00A322A9" w:rsidP="00A322A9">
      <w:pPr>
        <w:spacing w:after="200" w:line="360" w:lineRule="auto"/>
        <w:ind w:left="720" w:hanging="720"/>
        <w:rPr>
          <w:rFonts w:ascii="Times New Roman" w:hAnsi="Times New Roman" w:cs="Times New Roman"/>
        </w:rPr>
      </w:pPr>
      <w:proofErr w:type="spellStart"/>
      <w:r w:rsidRPr="00A322A9">
        <w:rPr>
          <w:rFonts w:ascii="Times New Roman" w:hAnsi="Times New Roman" w:cs="Times New Roman"/>
        </w:rPr>
        <w:lastRenderedPageBreak/>
        <w:t>Ondayo</w:t>
      </w:r>
      <w:proofErr w:type="spellEnd"/>
      <w:r w:rsidRPr="00A322A9">
        <w:rPr>
          <w:rFonts w:ascii="Times New Roman" w:hAnsi="Times New Roman" w:cs="Times New Roman"/>
        </w:rPr>
        <w:t xml:space="preserve">, M. A., Simiyu, G. M., </w:t>
      </w:r>
      <w:proofErr w:type="spellStart"/>
      <w:r w:rsidRPr="00A322A9">
        <w:rPr>
          <w:rFonts w:ascii="Times New Roman" w:hAnsi="Times New Roman" w:cs="Times New Roman"/>
        </w:rPr>
        <w:t>Raburu</w:t>
      </w:r>
      <w:proofErr w:type="spellEnd"/>
      <w:r w:rsidRPr="00A322A9">
        <w:rPr>
          <w:rFonts w:ascii="Times New Roman" w:hAnsi="Times New Roman" w:cs="Times New Roman"/>
        </w:rPr>
        <w:t xml:space="preserve">, P. O., &amp; Were, F. H. (2016). Child exposure to lead in the vicinities of informal used lead-acid battery recycling operations in Nairobi slums, Kenya. </w:t>
      </w:r>
      <w:r w:rsidRPr="00A322A9">
        <w:rPr>
          <w:rFonts w:ascii="Times New Roman" w:hAnsi="Times New Roman" w:cs="Times New Roman"/>
          <w:i/>
          <w:iCs/>
        </w:rPr>
        <w:t>Journal of Health and Pollution, 6</w:t>
      </w:r>
      <w:r w:rsidRPr="00A322A9">
        <w:rPr>
          <w:rFonts w:ascii="Times New Roman" w:hAnsi="Times New Roman" w:cs="Times New Roman"/>
        </w:rPr>
        <w:t>(12), 15–25. https://doi.org/10.5696/2156-9614-6.12.15</w:t>
      </w:r>
    </w:p>
    <w:p w14:paraId="2913ABF3" w14:textId="77777777" w:rsidR="006078DC" w:rsidRDefault="00000000">
      <w:pPr>
        <w:spacing w:after="200" w:line="360" w:lineRule="auto"/>
        <w:ind w:left="720" w:hanging="720"/>
      </w:pPr>
      <w:r>
        <w:rPr>
          <w:rFonts w:ascii="Times New Roman" w:hAnsi="Times New Roman"/>
          <w:sz w:val="24"/>
        </w:rPr>
        <w:t xml:space="preserve">Sani-Gwarzo, N., Garba, R. M., Muhammad, M., Gadanya, M. A., Umar-Tsafe, N., Amin, S. M., Nguku, P., Gumel, A. G., Tirima, S., Abah, S., Iliyasu, Z., Uzochukwu, B., &amp; Nasidi, A. (2025). Comparison of blood lead levels between battery recycling workers and controls in Northern Nigeria. </w:t>
      </w:r>
      <w:r>
        <w:rPr>
          <w:rFonts w:ascii="Times New Roman" w:hAnsi="Times New Roman"/>
          <w:i/>
          <w:sz w:val="24"/>
        </w:rPr>
        <w:t>International Journal of Environmental Health Research, 35</w:t>
      </w:r>
      <w:r>
        <w:rPr>
          <w:rFonts w:ascii="Times New Roman" w:hAnsi="Times New Roman"/>
          <w:sz w:val="24"/>
        </w:rPr>
        <w:t>(6), 1640-1649. https://doi.org/10.1080/09603123.2024.2400699</w:t>
      </w:r>
    </w:p>
    <w:p w14:paraId="72B85D7E" w14:textId="77777777" w:rsidR="00A322A9" w:rsidRPr="00A322A9" w:rsidRDefault="00A322A9" w:rsidP="00A322A9">
      <w:pPr>
        <w:spacing w:after="200" w:line="360" w:lineRule="auto"/>
        <w:ind w:left="720" w:hanging="720"/>
        <w:rPr>
          <w:rFonts w:ascii="Times New Roman" w:hAnsi="Times New Roman" w:cs="Times New Roman"/>
        </w:rPr>
      </w:pPr>
      <w:r w:rsidRPr="00A322A9">
        <w:rPr>
          <w:rFonts w:ascii="Times New Roman" w:hAnsi="Times New Roman" w:cs="Times New Roman"/>
        </w:rPr>
        <w:t xml:space="preserve">United Nations Environment </w:t>
      </w:r>
      <w:proofErr w:type="spellStart"/>
      <w:r w:rsidRPr="00A322A9">
        <w:rPr>
          <w:rFonts w:ascii="Times New Roman" w:hAnsi="Times New Roman" w:cs="Times New Roman"/>
        </w:rPr>
        <w:t>Programme</w:t>
      </w:r>
      <w:proofErr w:type="spellEnd"/>
      <w:r w:rsidRPr="00A322A9">
        <w:rPr>
          <w:rFonts w:ascii="Times New Roman" w:hAnsi="Times New Roman" w:cs="Times New Roman"/>
        </w:rPr>
        <w:t>. (2022, January 5). Nigeria acts to fight growing e-waste epidemic. UNEP. https://www.unep.org/gef/news-and-stories/press-release/nigeria-acts-fight-growing-e-waste-epidemic</w:t>
      </w:r>
    </w:p>
    <w:p w14:paraId="25E7B146" w14:textId="77777777" w:rsidR="00A322A9" w:rsidRPr="00A322A9" w:rsidRDefault="00A322A9" w:rsidP="00A322A9">
      <w:pPr>
        <w:spacing w:after="200" w:line="360" w:lineRule="auto"/>
        <w:ind w:left="720" w:hanging="720"/>
        <w:rPr>
          <w:rFonts w:ascii="Times New Roman" w:hAnsi="Times New Roman" w:cs="Times New Roman"/>
        </w:rPr>
      </w:pPr>
      <w:r w:rsidRPr="00A322A9">
        <w:rPr>
          <w:rFonts w:ascii="Times New Roman" w:hAnsi="Times New Roman" w:cs="Times New Roman"/>
        </w:rPr>
        <w:t xml:space="preserve">World Bank. (2023). </w:t>
      </w:r>
      <w:r w:rsidRPr="00A322A9">
        <w:rPr>
          <w:rFonts w:ascii="Times New Roman" w:hAnsi="Times New Roman" w:cs="Times New Roman"/>
          <w:i/>
          <w:iCs/>
        </w:rPr>
        <w:t>Nigeria Distributed Access through Renewable Energy Scale-up (DARES) Project</w:t>
      </w:r>
      <w:r w:rsidRPr="00A322A9">
        <w:rPr>
          <w:rFonts w:ascii="Times New Roman" w:hAnsi="Times New Roman" w:cs="Times New Roman"/>
        </w:rPr>
        <w:t>. World Bank.</w:t>
      </w:r>
    </w:p>
    <w:p w14:paraId="44887FB4" w14:textId="77777777" w:rsidR="006078DC" w:rsidRDefault="00000000">
      <w:pPr>
        <w:spacing w:after="200" w:line="360" w:lineRule="auto"/>
        <w:ind w:left="720" w:hanging="720"/>
      </w:pPr>
      <w:r>
        <w:rPr>
          <w:rFonts w:ascii="Times New Roman" w:hAnsi="Times New Roman"/>
          <w:sz w:val="24"/>
        </w:rPr>
        <w:t xml:space="preserve">World Health Organization. (2017). </w:t>
      </w:r>
      <w:r>
        <w:rPr>
          <w:rFonts w:ascii="Times New Roman" w:hAnsi="Times New Roman"/>
          <w:i/>
          <w:sz w:val="24"/>
        </w:rPr>
        <w:t>Recycling used lead-acid batteries: Health considerations</w:t>
      </w:r>
      <w:r>
        <w:rPr>
          <w:rFonts w:ascii="Times New Roman" w:hAnsi="Times New Roman"/>
          <w:sz w:val="24"/>
        </w:rPr>
        <w:t>. World Health Organization. https://www.who.int/publications/i/item/9789241512855</w:t>
      </w:r>
    </w:p>
    <w:p w14:paraId="4397FBD9" w14:textId="77777777" w:rsidR="00A322A9" w:rsidRPr="00A322A9" w:rsidRDefault="00A322A9" w:rsidP="00A322A9">
      <w:pPr>
        <w:spacing w:after="200" w:line="360" w:lineRule="auto"/>
        <w:ind w:left="720" w:hanging="720"/>
        <w:rPr>
          <w:rFonts w:ascii="Times New Roman" w:hAnsi="Times New Roman" w:cs="Times New Roman"/>
        </w:rPr>
      </w:pPr>
      <w:r w:rsidRPr="00A322A9">
        <w:rPr>
          <w:rFonts w:ascii="Times New Roman" w:hAnsi="Times New Roman" w:cs="Times New Roman"/>
        </w:rPr>
        <w:t xml:space="preserve">World Health Organization. (2024). </w:t>
      </w:r>
      <w:r w:rsidRPr="00A322A9">
        <w:rPr>
          <w:rFonts w:ascii="Times New Roman" w:hAnsi="Times New Roman" w:cs="Times New Roman"/>
          <w:i/>
          <w:iCs/>
        </w:rPr>
        <w:t>Lead poisoning</w:t>
      </w:r>
      <w:r w:rsidRPr="00A322A9">
        <w:rPr>
          <w:rFonts w:ascii="Times New Roman" w:hAnsi="Times New Roman" w:cs="Times New Roman"/>
        </w:rPr>
        <w:t xml:space="preserve"> [Fact sheet]. World Health Organization.</w:t>
      </w:r>
    </w:p>
    <w:p w14:paraId="38A59D68" w14:textId="77777777" w:rsidR="00A322A9" w:rsidRPr="00A322A9" w:rsidRDefault="00A322A9" w:rsidP="00A322A9">
      <w:pPr>
        <w:spacing w:line="360" w:lineRule="auto"/>
        <w:rPr>
          <w:rFonts w:ascii="Times New Roman" w:hAnsi="Times New Roman" w:cs="Times New Roman"/>
          <w:b/>
          <w:bCs/>
        </w:rPr>
      </w:pPr>
    </w:p>
    <w:p w14:paraId="449475FF" w14:textId="77777777" w:rsidR="00F343EA" w:rsidRPr="00A322A9" w:rsidRDefault="00F343EA" w:rsidP="00A322A9">
      <w:pPr>
        <w:spacing w:line="360" w:lineRule="auto"/>
        <w:rPr>
          <w:rFonts w:ascii="Times New Roman" w:hAnsi="Times New Roman" w:cs="Times New Roman"/>
          <w:b/>
          <w:bCs/>
          <w:sz w:val="24"/>
          <w:szCs w:val="24"/>
        </w:rPr>
      </w:pPr>
    </w:p>
    <w:p w14:paraId="0E7FA1F7" w14:textId="77777777" w:rsidR="00DD2AAA" w:rsidRPr="00A322A9" w:rsidRDefault="00DD2AAA" w:rsidP="00A322A9">
      <w:pPr>
        <w:spacing w:line="360" w:lineRule="auto"/>
        <w:rPr>
          <w:rFonts w:ascii="Times New Roman" w:hAnsi="Times New Roman" w:cs="Times New Roman"/>
          <w:sz w:val="24"/>
          <w:szCs w:val="24"/>
        </w:rPr>
      </w:pPr>
    </w:p>
    <w:sectPr w:rsidR="00DD2AAA" w:rsidRPr="00A322A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AEBCC" w14:textId="77777777" w:rsidR="005F2E99" w:rsidRDefault="005F2E99" w:rsidP="00E02039">
      <w:pPr>
        <w:spacing w:after="0" w:line="240" w:lineRule="auto"/>
      </w:pPr>
      <w:r>
        <w:separator/>
      </w:r>
    </w:p>
  </w:endnote>
  <w:endnote w:type="continuationSeparator" w:id="0">
    <w:p w14:paraId="350D193F" w14:textId="77777777" w:rsidR="005F2E99" w:rsidRDefault="005F2E99" w:rsidP="00E02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52F24" w14:textId="77777777" w:rsidR="00E02039" w:rsidRDefault="00E020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0B112" w14:textId="77777777" w:rsidR="00E02039" w:rsidRDefault="00E020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01052" w14:textId="77777777" w:rsidR="00E02039" w:rsidRDefault="00E020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F3D58" w14:textId="77777777" w:rsidR="005F2E99" w:rsidRDefault="005F2E99" w:rsidP="00E02039">
      <w:pPr>
        <w:spacing w:after="0" w:line="240" w:lineRule="auto"/>
      </w:pPr>
      <w:r>
        <w:separator/>
      </w:r>
    </w:p>
  </w:footnote>
  <w:footnote w:type="continuationSeparator" w:id="0">
    <w:p w14:paraId="2D93222B" w14:textId="77777777" w:rsidR="005F2E99" w:rsidRDefault="005F2E99" w:rsidP="00E020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58ED3" w14:textId="381C7E79" w:rsidR="00E02039" w:rsidRDefault="00E02039">
    <w:pPr>
      <w:pStyle w:val="Header"/>
    </w:pPr>
    <w:r>
      <w:rPr>
        <w:noProof/>
      </w:rPr>
      <w:pict w14:anchorId="0695B3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1971891"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B8B33" w14:textId="1D506727" w:rsidR="00E02039" w:rsidRDefault="00E02039">
    <w:pPr>
      <w:pStyle w:val="Header"/>
    </w:pPr>
    <w:r>
      <w:rPr>
        <w:noProof/>
      </w:rPr>
      <w:pict w14:anchorId="0B3F7A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1971892"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AD2AE" w14:textId="3F15C981" w:rsidR="00E02039" w:rsidRDefault="00E02039">
    <w:pPr>
      <w:pStyle w:val="Header"/>
    </w:pPr>
    <w:r>
      <w:rPr>
        <w:noProof/>
      </w:rPr>
      <w:pict w14:anchorId="691E00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1971890"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11DF6"/>
    <w:multiLevelType w:val="hybridMultilevel"/>
    <w:tmpl w:val="5E462A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3849B1"/>
    <w:multiLevelType w:val="multilevel"/>
    <w:tmpl w:val="90EAD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04670360">
    <w:abstractNumId w:val="0"/>
  </w:num>
  <w:num w:numId="2" w16cid:durableId="7678474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AAA"/>
    <w:rsid w:val="000D6678"/>
    <w:rsid w:val="000E5810"/>
    <w:rsid w:val="001069D7"/>
    <w:rsid w:val="0022496C"/>
    <w:rsid w:val="00306F00"/>
    <w:rsid w:val="00336DEE"/>
    <w:rsid w:val="003A3CAF"/>
    <w:rsid w:val="003B2930"/>
    <w:rsid w:val="0051661F"/>
    <w:rsid w:val="00581023"/>
    <w:rsid w:val="005C02B2"/>
    <w:rsid w:val="005F2E99"/>
    <w:rsid w:val="006078DC"/>
    <w:rsid w:val="008779D7"/>
    <w:rsid w:val="009E1AEB"/>
    <w:rsid w:val="00A322A9"/>
    <w:rsid w:val="00A50045"/>
    <w:rsid w:val="00A5551A"/>
    <w:rsid w:val="00AF4FDB"/>
    <w:rsid w:val="00D31EB2"/>
    <w:rsid w:val="00D44451"/>
    <w:rsid w:val="00D45483"/>
    <w:rsid w:val="00DD2AAA"/>
    <w:rsid w:val="00E02039"/>
    <w:rsid w:val="00E150B7"/>
    <w:rsid w:val="00F34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27F24"/>
  <w15:chartTrackingRefBased/>
  <w15:docId w15:val="{B9425237-0FF2-48E7-8585-A074228D5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dq2pgselectionanchorcontainer">
    <w:name w:val="pdq2pg_selectionanchorcontainer"/>
    <w:basedOn w:val="Normal"/>
    <w:rsid w:val="0022496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2496C"/>
    <w:rPr>
      <w:b/>
      <w:bCs/>
    </w:rPr>
  </w:style>
  <w:style w:type="paragraph" w:styleId="BodyText">
    <w:name w:val="Body Text"/>
    <w:basedOn w:val="Normal"/>
    <w:link w:val="BodyTextChar"/>
    <w:qFormat/>
    <w:rsid w:val="000E5810"/>
    <w:pPr>
      <w:spacing w:before="180" w:after="180" w:line="240" w:lineRule="auto"/>
    </w:pPr>
    <w:rPr>
      <w:sz w:val="24"/>
      <w:szCs w:val="24"/>
    </w:rPr>
  </w:style>
  <w:style w:type="character" w:customStyle="1" w:styleId="BodyTextChar">
    <w:name w:val="Body Text Char"/>
    <w:basedOn w:val="DefaultParagraphFont"/>
    <w:link w:val="BodyText"/>
    <w:rsid w:val="000E5810"/>
    <w:rPr>
      <w:sz w:val="24"/>
      <w:szCs w:val="24"/>
    </w:rPr>
  </w:style>
  <w:style w:type="paragraph" w:customStyle="1" w:styleId="Compact">
    <w:name w:val="Compact"/>
    <w:basedOn w:val="BodyText"/>
    <w:qFormat/>
    <w:rsid w:val="000E5810"/>
    <w:pPr>
      <w:spacing w:before="36" w:after="36"/>
    </w:pPr>
  </w:style>
  <w:style w:type="table" w:customStyle="1" w:styleId="Table">
    <w:name w:val="Table"/>
    <w:semiHidden/>
    <w:unhideWhenUsed/>
    <w:qFormat/>
    <w:rsid w:val="000E5810"/>
    <w:pPr>
      <w:spacing w:after="200" w:line="240" w:lineRule="auto"/>
    </w:pPr>
    <w:rPr>
      <w:sz w:val="24"/>
      <w:szCs w:val="24"/>
      <w:lang w:val="en-GB" w:eastAsia="en-GB"/>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Hyperlink">
    <w:name w:val="Hyperlink"/>
    <w:basedOn w:val="DefaultParagraphFont"/>
    <w:uiPriority w:val="99"/>
    <w:unhideWhenUsed/>
    <w:rsid w:val="000E5810"/>
    <w:rPr>
      <w:color w:val="0563C1" w:themeColor="hyperlink"/>
      <w:u w:val="single"/>
    </w:rPr>
  </w:style>
  <w:style w:type="character" w:styleId="UnresolvedMention">
    <w:name w:val="Unresolved Mention"/>
    <w:basedOn w:val="DefaultParagraphFont"/>
    <w:uiPriority w:val="99"/>
    <w:semiHidden/>
    <w:unhideWhenUsed/>
    <w:rsid w:val="000E5810"/>
    <w:rPr>
      <w:color w:val="605E5C"/>
      <w:shd w:val="clear" w:color="auto" w:fill="E1DFDD"/>
    </w:rPr>
  </w:style>
  <w:style w:type="character" w:styleId="Emphasis">
    <w:name w:val="Emphasis"/>
    <w:basedOn w:val="DefaultParagraphFont"/>
    <w:uiPriority w:val="20"/>
    <w:qFormat/>
    <w:rsid w:val="000E5810"/>
    <w:rPr>
      <w:i/>
      <w:iCs/>
    </w:rPr>
  </w:style>
  <w:style w:type="paragraph" w:styleId="NormalWeb">
    <w:name w:val="Normal (Web)"/>
    <w:basedOn w:val="Normal"/>
    <w:uiPriority w:val="99"/>
    <w:unhideWhenUsed/>
    <w:rsid w:val="00AF4FD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44451"/>
    <w:pPr>
      <w:ind w:left="720"/>
      <w:contextualSpacing/>
    </w:pPr>
  </w:style>
  <w:style w:type="paragraph" w:styleId="Header">
    <w:name w:val="header"/>
    <w:basedOn w:val="Normal"/>
    <w:link w:val="HeaderChar"/>
    <w:uiPriority w:val="99"/>
    <w:unhideWhenUsed/>
    <w:rsid w:val="00E020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039"/>
  </w:style>
  <w:style w:type="paragraph" w:styleId="Footer">
    <w:name w:val="footer"/>
    <w:basedOn w:val="Normal"/>
    <w:link w:val="FooterChar"/>
    <w:uiPriority w:val="99"/>
    <w:unhideWhenUsed/>
    <w:rsid w:val="00E020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0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52018">
      <w:bodyDiv w:val="1"/>
      <w:marLeft w:val="0"/>
      <w:marRight w:val="0"/>
      <w:marTop w:val="0"/>
      <w:marBottom w:val="0"/>
      <w:divBdr>
        <w:top w:val="none" w:sz="0" w:space="0" w:color="auto"/>
        <w:left w:val="none" w:sz="0" w:space="0" w:color="auto"/>
        <w:bottom w:val="none" w:sz="0" w:space="0" w:color="auto"/>
        <w:right w:val="none" w:sz="0" w:space="0" w:color="auto"/>
      </w:divBdr>
      <w:divsChild>
        <w:div w:id="6919599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0875660">
      <w:bodyDiv w:val="1"/>
      <w:marLeft w:val="0"/>
      <w:marRight w:val="0"/>
      <w:marTop w:val="0"/>
      <w:marBottom w:val="0"/>
      <w:divBdr>
        <w:top w:val="none" w:sz="0" w:space="0" w:color="auto"/>
        <w:left w:val="none" w:sz="0" w:space="0" w:color="auto"/>
        <w:bottom w:val="none" w:sz="0" w:space="0" w:color="auto"/>
        <w:right w:val="none" w:sz="0" w:space="0" w:color="auto"/>
      </w:divBdr>
      <w:divsChild>
        <w:div w:id="17698093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7637470">
      <w:bodyDiv w:val="1"/>
      <w:marLeft w:val="0"/>
      <w:marRight w:val="0"/>
      <w:marTop w:val="0"/>
      <w:marBottom w:val="0"/>
      <w:divBdr>
        <w:top w:val="none" w:sz="0" w:space="0" w:color="auto"/>
        <w:left w:val="none" w:sz="0" w:space="0" w:color="auto"/>
        <w:bottom w:val="none" w:sz="0" w:space="0" w:color="auto"/>
        <w:right w:val="none" w:sz="0" w:space="0" w:color="auto"/>
      </w:divBdr>
      <w:divsChild>
        <w:div w:id="3896186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0956730">
      <w:bodyDiv w:val="1"/>
      <w:marLeft w:val="0"/>
      <w:marRight w:val="0"/>
      <w:marTop w:val="0"/>
      <w:marBottom w:val="0"/>
      <w:divBdr>
        <w:top w:val="none" w:sz="0" w:space="0" w:color="auto"/>
        <w:left w:val="none" w:sz="0" w:space="0" w:color="auto"/>
        <w:bottom w:val="none" w:sz="0" w:space="0" w:color="auto"/>
        <w:right w:val="none" w:sz="0" w:space="0" w:color="auto"/>
      </w:divBdr>
    </w:div>
    <w:div w:id="719211297">
      <w:bodyDiv w:val="1"/>
      <w:marLeft w:val="0"/>
      <w:marRight w:val="0"/>
      <w:marTop w:val="0"/>
      <w:marBottom w:val="0"/>
      <w:divBdr>
        <w:top w:val="none" w:sz="0" w:space="0" w:color="auto"/>
        <w:left w:val="none" w:sz="0" w:space="0" w:color="auto"/>
        <w:bottom w:val="none" w:sz="0" w:space="0" w:color="auto"/>
        <w:right w:val="none" w:sz="0" w:space="0" w:color="auto"/>
      </w:divBdr>
      <w:divsChild>
        <w:div w:id="1976180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19</Pages>
  <Words>6054</Words>
  <Characters>34510</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1084</cp:lastModifiedBy>
  <cp:revision>6</cp:revision>
  <dcterms:created xsi:type="dcterms:W3CDTF">2026-09-11T15:59:00Z</dcterms:created>
  <dcterms:modified xsi:type="dcterms:W3CDTF">2026-09-22T10:18:00Z</dcterms:modified>
</cp:coreProperties>
</file>