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12DA2" w14:textId="77777777" w:rsidR="00D065D9" w:rsidRPr="00B85224" w:rsidRDefault="00000000" w:rsidP="00E06CD8">
      <w:pPr>
        <w:jc w:val="right"/>
        <w:rPr>
          <w:rFonts w:ascii="Arial" w:hAnsi="Arial" w:cs="Arial"/>
          <w:sz w:val="36"/>
          <w:szCs w:val="36"/>
        </w:rPr>
      </w:pPr>
      <w:r w:rsidRPr="00B85224">
        <w:rPr>
          <w:rFonts w:ascii="Arial" w:hAnsi="Arial" w:cs="Arial"/>
          <w:b/>
          <w:sz w:val="36"/>
          <w:szCs w:val="36"/>
        </w:rPr>
        <w:t>Dietary Patterns and Clustered Cardiometabolic Abnormalities Among Adults in Ikwerre Local Government Area, Rivers State, Nigeria</w:t>
      </w:r>
    </w:p>
    <w:p w14:paraId="6B3DB942" w14:textId="77777777" w:rsidR="00730272" w:rsidRDefault="00730272" w:rsidP="00E06CD8">
      <w:pPr>
        <w:spacing w:after="40"/>
        <w:jc w:val="right"/>
        <w:rPr>
          <w:rFonts w:ascii="Arial" w:hAnsi="Arial" w:cs="Arial"/>
          <w:sz w:val="20"/>
          <w:szCs w:val="20"/>
          <w:lang w:val="en-IN"/>
        </w:rPr>
      </w:pPr>
    </w:p>
    <w:p w14:paraId="38F95668" w14:textId="77777777" w:rsidR="00981EE7" w:rsidRPr="00875EA0" w:rsidRDefault="00981EE7" w:rsidP="00E06CD8">
      <w:pPr>
        <w:spacing w:after="40"/>
        <w:jc w:val="right"/>
        <w:rPr>
          <w:rFonts w:ascii="Arial" w:hAnsi="Arial" w:cs="Arial"/>
          <w:sz w:val="20"/>
          <w:szCs w:val="20"/>
          <w:lang w:val="en-IN"/>
        </w:rPr>
      </w:pPr>
    </w:p>
    <w:p w14:paraId="5DCDF2D9" w14:textId="77777777" w:rsidR="00D065D9" w:rsidRPr="00B85224" w:rsidRDefault="00000000">
      <w:pPr>
        <w:spacing w:before="160" w:after="100"/>
        <w:rPr>
          <w:rFonts w:ascii="Arial" w:hAnsi="Arial" w:cs="Arial"/>
        </w:rPr>
      </w:pPr>
      <w:r w:rsidRPr="00B85224">
        <w:rPr>
          <w:rFonts w:ascii="Arial" w:hAnsi="Arial" w:cs="Arial"/>
          <w:b/>
          <w:sz w:val="22"/>
        </w:rPr>
        <w:t>ABSTRACT</w:t>
      </w:r>
    </w:p>
    <w:tbl>
      <w:tblPr>
        <w:tblStyle w:val="TableGrid"/>
        <w:tblW w:w="0" w:type="auto"/>
        <w:tblLook w:val="04A0" w:firstRow="1" w:lastRow="0" w:firstColumn="1" w:lastColumn="0" w:noHBand="0" w:noVBand="1"/>
      </w:tblPr>
      <w:tblGrid>
        <w:gridCol w:w="10070"/>
      </w:tblGrid>
      <w:tr w:rsidR="004C1DC9" w:rsidRPr="00B85224" w14:paraId="15373E39" w14:textId="77777777" w:rsidTr="004C1DC9">
        <w:tc>
          <w:tcPr>
            <w:tcW w:w="10296" w:type="dxa"/>
          </w:tcPr>
          <w:p w14:paraId="40EA4EF7" w14:textId="77777777" w:rsidR="004C1DC9" w:rsidRPr="00B85224" w:rsidRDefault="004C1DC9" w:rsidP="004C1DC9">
            <w:pPr>
              <w:spacing w:after="40"/>
              <w:jc w:val="both"/>
              <w:rPr>
                <w:rFonts w:ascii="Arial" w:hAnsi="Arial" w:cs="Arial"/>
              </w:rPr>
            </w:pPr>
            <w:r w:rsidRPr="00B85224">
              <w:rPr>
                <w:rFonts w:ascii="Arial" w:hAnsi="Arial" w:cs="Arial"/>
                <w:b/>
                <w:sz w:val="20"/>
              </w:rPr>
              <w:t>Aims:</w:t>
            </w:r>
            <w:r w:rsidRPr="00B85224">
              <w:rPr>
                <w:rFonts w:ascii="Arial" w:hAnsi="Arial" w:cs="Arial"/>
                <w:sz w:val="20"/>
              </w:rPr>
              <w:t xml:space="preserve"> To identify empirically derived dietary patterns among adults in Ikwerre Local Government Area, Rivers State, Nigeria, and determine their associations with clustered cardiometabolic abnormalities (CCA).</w:t>
            </w:r>
          </w:p>
          <w:p w14:paraId="77E4354A" w14:textId="77777777" w:rsidR="004C1DC9" w:rsidRPr="00B85224" w:rsidRDefault="004C1DC9" w:rsidP="004C1DC9">
            <w:pPr>
              <w:spacing w:after="40"/>
              <w:jc w:val="both"/>
              <w:rPr>
                <w:rFonts w:ascii="Arial" w:hAnsi="Arial" w:cs="Arial"/>
              </w:rPr>
            </w:pPr>
            <w:r w:rsidRPr="00B85224">
              <w:rPr>
                <w:rFonts w:ascii="Arial" w:hAnsi="Arial" w:cs="Arial"/>
                <w:b/>
                <w:sz w:val="20"/>
              </w:rPr>
              <w:t>Study design:</w:t>
            </w:r>
            <w:r w:rsidRPr="00B85224">
              <w:rPr>
                <w:rFonts w:ascii="Arial" w:hAnsi="Arial" w:cs="Arial"/>
                <w:sz w:val="20"/>
              </w:rPr>
              <w:t xml:space="preserve"> Community-based cross-sectional study.</w:t>
            </w:r>
          </w:p>
          <w:p w14:paraId="08DD56BD" w14:textId="77777777" w:rsidR="004C1DC9" w:rsidRPr="00B85224" w:rsidRDefault="004C1DC9" w:rsidP="004C1DC9">
            <w:pPr>
              <w:spacing w:after="40"/>
              <w:jc w:val="both"/>
              <w:rPr>
                <w:rFonts w:ascii="Arial" w:hAnsi="Arial" w:cs="Arial"/>
              </w:rPr>
            </w:pPr>
            <w:r w:rsidRPr="00B85224">
              <w:rPr>
                <w:rFonts w:ascii="Arial" w:hAnsi="Arial" w:cs="Arial"/>
                <w:b/>
                <w:sz w:val="20"/>
              </w:rPr>
              <w:t>Place and Duration of Study:</w:t>
            </w:r>
            <w:r w:rsidRPr="00B85224">
              <w:rPr>
                <w:rFonts w:ascii="Arial" w:hAnsi="Arial" w:cs="Arial"/>
                <w:sz w:val="20"/>
              </w:rPr>
              <w:t xml:space="preserve"> Six selected communities in Ikwerre Local Government Area, Rivers State, Nigeria. Exact data-collection dates should be inserted from the field records before submission.</w:t>
            </w:r>
          </w:p>
          <w:p w14:paraId="2E555811" w14:textId="77777777" w:rsidR="004C1DC9" w:rsidRPr="00B85224" w:rsidRDefault="004C1DC9" w:rsidP="004C1DC9">
            <w:pPr>
              <w:spacing w:after="40"/>
              <w:jc w:val="both"/>
              <w:rPr>
                <w:rFonts w:ascii="Arial" w:hAnsi="Arial" w:cs="Arial"/>
              </w:rPr>
            </w:pPr>
            <w:r w:rsidRPr="00B85224">
              <w:rPr>
                <w:rFonts w:ascii="Arial" w:hAnsi="Arial" w:cs="Arial"/>
                <w:b/>
                <w:sz w:val="20"/>
              </w:rPr>
              <w:t>Methodology:</w:t>
            </w:r>
            <w:r w:rsidRPr="00B85224">
              <w:rPr>
                <w:rFonts w:ascii="Arial" w:hAnsi="Arial" w:cs="Arial"/>
                <w:sz w:val="20"/>
              </w:rPr>
              <w:t xml:space="preserve"> The analysis included </w:t>
            </w:r>
            <w:r w:rsidR="00F26BB4">
              <w:rPr>
                <w:rFonts w:ascii="Arial" w:hAnsi="Arial" w:cs="Arial"/>
                <w:sz w:val="20"/>
              </w:rPr>
              <w:t>477</w:t>
            </w:r>
            <w:r w:rsidRPr="00B85224">
              <w:rPr>
                <w:rFonts w:ascii="Arial" w:hAnsi="Arial" w:cs="Arial"/>
                <w:sz w:val="20"/>
              </w:rPr>
              <w:t xml:space="preserve"> adults with complete dietary, anthropometric, blood pressure and biochemical data. NiDST food-frequency responses were converted to servings/day and 24 food groups were analysed using principal component analysis with varimax rotation. Lower CCA burden was 0–1 abnormality and higher burden was ≥2 of obesity, elevated blood pressure, dysglycaemia, hypertriglyceridaemia and reduced HDL-C. Robust Poisson regression estimated adjusted prevalence ratios (aPRs).</w:t>
            </w:r>
          </w:p>
          <w:p w14:paraId="1B2061FD" w14:textId="77777777" w:rsidR="004C1DC9" w:rsidRPr="00B85224" w:rsidRDefault="004C1DC9" w:rsidP="004C1DC9">
            <w:pPr>
              <w:spacing w:after="40"/>
              <w:jc w:val="both"/>
              <w:rPr>
                <w:rFonts w:ascii="Arial" w:hAnsi="Arial" w:cs="Arial"/>
              </w:rPr>
            </w:pPr>
            <w:r w:rsidRPr="00B85224">
              <w:rPr>
                <w:rFonts w:ascii="Arial" w:hAnsi="Arial" w:cs="Arial"/>
                <w:b/>
                <w:sz w:val="20"/>
              </w:rPr>
              <w:t>Results:</w:t>
            </w:r>
            <w:r w:rsidRPr="00B85224">
              <w:rPr>
                <w:rFonts w:ascii="Arial" w:hAnsi="Arial" w:cs="Arial"/>
                <w:sz w:val="20"/>
              </w:rPr>
              <w:t xml:space="preserve"> Higher CCA burden occurred in 132/212 (62.3%). Three dietary patterns explained 50.8% of dietary variance. Pattern 1 (fried/fast food–fats/oils–dessert/soft drink–alcohol) was associated with higher CCA burden (aPR 1.15, 95% CI 1.05–1.26; P = .004). Pattern 2 (grain–legume–white meat) was inversely associated (aPR 0.81, 95% CI 0.71–0.92; P &lt; .001), whereas Pattern 3 (dairy–tea/coffee–fish–nuts–fruit/vegetable) was positively associated (aPR 1.22, 95% CI 1.09–1.36; P &lt; .001). Restricted loading-weighted sensitivity scores reproduced all three associations.</w:t>
            </w:r>
          </w:p>
          <w:p w14:paraId="445BEA45" w14:textId="77777777" w:rsidR="004C1DC9" w:rsidRPr="00B85224" w:rsidRDefault="004C1DC9">
            <w:pPr>
              <w:spacing w:after="40"/>
              <w:jc w:val="both"/>
              <w:rPr>
                <w:rFonts w:ascii="Arial" w:hAnsi="Arial" w:cs="Arial"/>
              </w:rPr>
            </w:pPr>
            <w:r w:rsidRPr="00B85224">
              <w:rPr>
                <w:rFonts w:ascii="Arial" w:hAnsi="Arial" w:cs="Arial"/>
                <w:b/>
                <w:sz w:val="20"/>
              </w:rPr>
              <w:t>Conclusion:</w:t>
            </w:r>
            <w:r w:rsidRPr="00B85224">
              <w:rPr>
                <w:rFonts w:ascii="Arial" w:hAnsi="Arial" w:cs="Arial"/>
                <w:sz w:val="20"/>
              </w:rPr>
              <w:t xml:space="preserve"> Whole dietary behaviours were differentially associated with cardiometabolic burden. The energy-dense fried/fast-food pattern was adverse, whereas the grain–legume–white-meat pattern was associated with lower burden. The positive Pattern 3 association requires longitudinal confirmation because reverse causation and mixed food composition are plausible.</w:t>
            </w:r>
          </w:p>
        </w:tc>
      </w:tr>
    </w:tbl>
    <w:p w14:paraId="035ACC6E" w14:textId="77777777" w:rsidR="00E06CD8" w:rsidRPr="0081538D" w:rsidRDefault="00E06CD8">
      <w:pPr>
        <w:spacing w:after="40"/>
        <w:jc w:val="both"/>
        <w:rPr>
          <w:rFonts w:ascii="Arial" w:hAnsi="Arial" w:cs="Arial"/>
          <w:b/>
          <w:sz w:val="20"/>
          <w:szCs w:val="20"/>
        </w:rPr>
      </w:pPr>
    </w:p>
    <w:p w14:paraId="4D614285" w14:textId="77777777" w:rsidR="00D065D9" w:rsidRDefault="00000000">
      <w:pPr>
        <w:jc w:val="both"/>
        <w:rPr>
          <w:rFonts w:ascii="Arial" w:hAnsi="Arial" w:cs="Arial"/>
          <w:i/>
          <w:sz w:val="20"/>
        </w:rPr>
      </w:pPr>
      <w:r w:rsidRPr="00B85224">
        <w:rPr>
          <w:rFonts w:ascii="Arial" w:hAnsi="Arial" w:cs="Arial"/>
          <w:i/>
          <w:sz w:val="20"/>
        </w:rPr>
        <w:t>Keywords: clustered cardiometabolic abnormalities; dietary patterns; Nigerian Dietary Screening Tool; principal component analysis; nutrition transition; Nigeria</w:t>
      </w:r>
    </w:p>
    <w:p w14:paraId="2741C8C0" w14:textId="77777777" w:rsidR="0081538D" w:rsidRPr="00B85224" w:rsidRDefault="0081538D">
      <w:pPr>
        <w:jc w:val="both"/>
        <w:rPr>
          <w:rFonts w:ascii="Arial" w:hAnsi="Arial" w:cs="Arial"/>
          <w:i/>
        </w:rPr>
      </w:pPr>
    </w:p>
    <w:p w14:paraId="0358D83B" w14:textId="77777777" w:rsidR="00F3269A" w:rsidRPr="00B85224" w:rsidRDefault="00F3269A">
      <w:pPr>
        <w:jc w:val="both"/>
        <w:rPr>
          <w:rFonts w:ascii="Arial" w:hAnsi="Arial" w:cs="Arial"/>
        </w:rPr>
      </w:pPr>
    </w:p>
    <w:p w14:paraId="026BF1D4" w14:textId="77777777" w:rsidR="00D065D9" w:rsidRPr="00B85224" w:rsidRDefault="00000000">
      <w:pPr>
        <w:spacing w:before="160" w:after="100"/>
        <w:rPr>
          <w:rFonts w:ascii="Arial" w:hAnsi="Arial" w:cs="Arial"/>
        </w:rPr>
      </w:pPr>
      <w:r w:rsidRPr="00B85224">
        <w:rPr>
          <w:rFonts w:ascii="Arial" w:hAnsi="Arial" w:cs="Arial"/>
          <w:b/>
          <w:sz w:val="22"/>
        </w:rPr>
        <w:t>1. INTRODUCTION</w:t>
      </w:r>
    </w:p>
    <w:p w14:paraId="022913C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Cardiometabolic abnormalities are among the most important modifiable contributors to premature morbidity and mortality worldwide. The Global Burden of Disease 2021 analysis identified elevated blood pressure, high fasting plasma glucose and high body mass index among the leading metabolic risks for death and disability (GBD 2021 Risk Factors Collaborators, 2024). Nigeria carries a substantial share of this burden. Systematic analyses have documented high and increasing hypertension prevalence and persistent gaps in awareness, treatment and control (Adeloye et al., 2021b; Obagha et al., 2022), while overweight and obesity are now common among adults (Adeloye et al., 2021a). Dyslipidaemia is also widespread; the REMAH study reported </w:t>
      </w:r>
      <w:r w:rsidR="00A96D6C">
        <w:rPr>
          <w:rFonts w:ascii="Arial" w:hAnsi="Arial" w:cs="Arial"/>
          <w:sz w:val="20"/>
        </w:rPr>
        <w:t xml:space="preserve">a </w:t>
      </w:r>
      <w:r w:rsidRPr="00B85224">
        <w:rPr>
          <w:rFonts w:ascii="Arial" w:hAnsi="Arial" w:cs="Arial"/>
          <w:sz w:val="20"/>
        </w:rPr>
        <w:t>particularly high prevalence of reduced HDL-C and showed that several lipid abnormalities clustered with obesity and hypertension (Chori et al., 2022). These findings support a shift from considering single risk factors in isolation toward recognising the cumulative cardiometabolic burden carried by individuals.</w:t>
      </w:r>
    </w:p>
    <w:p w14:paraId="7CE98BBE" w14:textId="77777777" w:rsidR="00A96D6C" w:rsidRDefault="00000000" w:rsidP="00BB1837">
      <w:pPr>
        <w:spacing w:after="120"/>
        <w:jc w:val="both"/>
        <w:rPr>
          <w:rFonts w:ascii="Arial" w:hAnsi="Arial" w:cs="Arial"/>
          <w:sz w:val="20"/>
        </w:rPr>
      </w:pPr>
      <w:r w:rsidRPr="00B85224">
        <w:rPr>
          <w:rFonts w:ascii="Arial" w:hAnsi="Arial" w:cs="Arial"/>
          <w:sz w:val="20"/>
        </w:rPr>
        <w:t xml:space="preserve">Clustering is clinically relevant because obesity, elevated blood pressure, dysglycaemia and lipid abnormalities often coexist and share behavioural, physiological and social determinants. In a multicountry analysis of 39,658 participants from nine sub-Saharan African countries, cardiometabolic diseases and lifestyle risk factors formed distinct multimorbidity clusters with characteristic sociodemographic profiles (Otieno et al., 2023). Such co-occurrence may identify individuals whose risk is not fully represented by a single diagnosis. However, established metabolic-syndrome definitions require specific combinations of measurements. </w:t>
      </w:r>
    </w:p>
    <w:p w14:paraId="26A2FAEC"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Diet is central to this problem because habitual eating patterns influence adiposity, vascular regulation, glycaemic control and lipid metabolism simultaneously. Contemporary cardiometabolic nutrition guidance emphasises vegetables, fruits, legumes, nuts, whole grains and minimally processed protein sources while limiting sodium, refined starches, added sugars and highly processed foods (Pagidipati et al., 2025). Evidence from prospective </w:t>
      </w:r>
      <w:r w:rsidRPr="00B85224">
        <w:rPr>
          <w:rFonts w:ascii="Arial" w:hAnsi="Arial" w:cs="Arial"/>
          <w:sz w:val="20"/>
        </w:rPr>
        <w:lastRenderedPageBreak/>
        <w:t>studies and meta-analyses also links ultra-processed</w:t>
      </w:r>
      <w:r w:rsidR="00A96D6C">
        <w:rPr>
          <w:rFonts w:ascii="Arial" w:hAnsi="Arial" w:cs="Arial"/>
          <w:sz w:val="20"/>
        </w:rPr>
        <w:t xml:space="preserve"> </w:t>
      </w:r>
      <w:r w:rsidRPr="00B85224">
        <w:rPr>
          <w:rFonts w:ascii="Arial" w:hAnsi="Arial" w:cs="Arial"/>
          <w:sz w:val="20"/>
        </w:rPr>
        <w:t>food consumption with obesity, hypertension, diabetes, dyslipidaemia and metabolic syndrome (Harb et al., 2023; Mambrini et al., 2023; Shu et al., 2023). Nevertheless, foods are not consumed independently. Analyses of single foods can therefore obscure substitution, co-consumption and cultural combinations that define real-world diets.</w:t>
      </w:r>
    </w:p>
    <w:p w14:paraId="5580E828" w14:textId="77777777" w:rsidR="00D065D9" w:rsidRPr="00B85224" w:rsidRDefault="00000000" w:rsidP="00BB1837">
      <w:pPr>
        <w:spacing w:after="120"/>
        <w:jc w:val="both"/>
        <w:rPr>
          <w:rFonts w:ascii="Arial" w:hAnsi="Arial" w:cs="Arial"/>
        </w:rPr>
      </w:pPr>
      <w:r w:rsidRPr="00B85224">
        <w:rPr>
          <w:rFonts w:ascii="Arial" w:hAnsi="Arial" w:cs="Arial"/>
          <w:sz w:val="20"/>
        </w:rPr>
        <w:t>Data-driven dietary-pattern analysis addresses this limitation by identifying combinations of foods that tend to be consumed together. Across sub-Saharan Africa, empirical studies demonstrate marked heterogeneity in these combinations. In low-income communities in Accra, rice-based, snack-based and staple/soup patterns coexisted within the same population (Kushitor et al., 2023). Adults in urban Burkina Faso likewise displayed distinct patterns involving meat and eggs, fish, and starchy foods (Weil et al., 2023). A recent systematic review concluded that adult dietary patterns in sub-Saharan Africa commonly include fruit/vegetable, carbohydrate, protein, snack/beverage, traditional, transitional and Western-type configurations and that their associations with health outcomes vary by context (Ekerette et al., 2026). These findings caution against assuming that a label such as 'traditional' or 'healthy' is inherently protective; the actual factor loadings and local food combinations are more informative.</w:t>
      </w:r>
    </w:p>
    <w:p w14:paraId="4D5717C1" w14:textId="77777777" w:rsidR="00D065D9" w:rsidRPr="00A96D6C" w:rsidRDefault="00000000" w:rsidP="00BB1837">
      <w:pPr>
        <w:spacing w:after="120"/>
        <w:jc w:val="both"/>
        <w:rPr>
          <w:rFonts w:ascii="Arial" w:hAnsi="Arial" w:cs="Arial"/>
          <w:sz w:val="20"/>
        </w:rPr>
      </w:pPr>
      <w:r w:rsidRPr="00B85224">
        <w:rPr>
          <w:rFonts w:ascii="Arial" w:hAnsi="Arial" w:cs="Arial"/>
          <w:sz w:val="20"/>
        </w:rPr>
        <w:t xml:space="preserve">Nigerian evidence reinforces this need for context-specific interpretation. Segun et al. (2024) identified four dietary patterns among Nigerian adults and found that different traditional pattern configurations had opposing associations with obesity. In the SIREN study, dietary patterns among stroke-free Indigenous Africans were differentially associated with hypertension (Okekunle et al., 2024). These observations are especially relevant to the Niger Delta, where traditional staples, soups and animal-source foods now coexist with fried foods, processed products, soft drinks and commercially prepared meals. Ikwerre Local Government Area </w:t>
      </w:r>
      <w:r w:rsidR="00A96D6C">
        <w:rPr>
          <w:rFonts w:ascii="Arial" w:hAnsi="Arial" w:cs="Arial"/>
          <w:sz w:val="20"/>
        </w:rPr>
        <w:t>i</w:t>
      </w:r>
      <w:r w:rsidRPr="00B85224">
        <w:rPr>
          <w:rFonts w:ascii="Arial" w:hAnsi="Arial" w:cs="Arial"/>
          <w:sz w:val="20"/>
        </w:rPr>
        <w:t>s a setting undergoing rapid socioeconomic and dietary transition, with traditional markets and local staples coexisting with supermarkets, street vendors, fast foods, soft drinks and packaged snacks. This mixed food environment provides an appropriate setting for examining derived dietary patterns and cardiometabolic burden.</w:t>
      </w:r>
    </w:p>
    <w:p w14:paraId="21371D0F" w14:textId="77777777" w:rsidR="00D065D9" w:rsidRPr="00B85224" w:rsidRDefault="00A96D6C" w:rsidP="000C3B3F">
      <w:pPr>
        <w:spacing w:after="120"/>
        <w:jc w:val="both"/>
        <w:rPr>
          <w:rFonts w:ascii="Arial" w:hAnsi="Arial" w:cs="Arial"/>
        </w:rPr>
      </w:pPr>
      <w:r>
        <w:rPr>
          <w:rFonts w:ascii="Arial" w:hAnsi="Arial" w:cs="Arial"/>
          <w:sz w:val="20"/>
        </w:rPr>
        <w:t xml:space="preserve">A recent study by Batubo et al (2024) </w:t>
      </w:r>
      <w:r w:rsidRPr="00B85224">
        <w:rPr>
          <w:rFonts w:ascii="Arial" w:hAnsi="Arial" w:cs="Arial"/>
          <w:sz w:val="20"/>
        </w:rPr>
        <w:t xml:space="preserve">developed </w:t>
      </w:r>
      <w:r>
        <w:rPr>
          <w:rFonts w:ascii="Arial" w:hAnsi="Arial" w:cs="Arial"/>
          <w:sz w:val="20"/>
        </w:rPr>
        <w:t xml:space="preserve">a tool </w:t>
      </w:r>
      <w:r w:rsidRPr="00B85224">
        <w:rPr>
          <w:rFonts w:ascii="Arial" w:hAnsi="Arial" w:cs="Arial"/>
          <w:sz w:val="20"/>
        </w:rPr>
        <w:t>for rapid assessment of habitual food-group intake in Nigerian adults (Batubo</w:t>
      </w:r>
      <w:r>
        <w:rPr>
          <w:rFonts w:ascii="Arial" w:hAnsi="Arial" w:cs="Arial"/>
          <w:sz w:val="20"/>
        </w:rPr>
        <w:t xml:space="preserve"> et al.</w:t>
      </w:r>
      <w:r w:rsidRPr="00B85224">
        <w:rPr>
          <w:rFonts w:ascii="Arial" w:hAnsi="Arial" w:cs="Arial"/>
          <w:sz w:val="20"/>
        </w:rPr>
        <w:t>, 2024). Validation work demonstrated acceptable relative validity and reproducibility for ranking food-group intake (Batubo et al., 2024a), while implementation and feasibility studies showed that the tool can be incorporated into Nigerian clinical encounters and support patient–clinician communication (Batubo et al., 2024b, 2024c). The related Nigerian Diet Risk Score further demonstrated that locally captured dietary information can discriminate hypertension risk and relate to cardiovascular biomarkers (Batubo et al., 2025). These studies provide a strong methodological foundation for using NiDST frequency data to derive empirical dietary patterns.</w:t>
      </w:r>
      <w:r w:rsidR="000C3B3F">
        <w:rPr>
          <w:rFonts w:ascii="Arial" w:hAnsi="Arial" w:cs="Arial"/>
        </w:rPr>
        <w:t xml:space="preserve"> </w:t>
      </w:r>
      <w:r w:rsidR="000C3B3F">
        <w:rPr>
          <w:rFonts w:ascii="Arial" w:hAnsi="Arial" w:cs="Arial"/>
          <w:sz w:val="20"/>
        </w:rPr>
        <w:t>Therefore,</w:t>
      </w:r>
      <w:r w:rsidRPr="00B85224">
        <w:rPr>
          <w:rFonts w:ascii="Arial" w:hAnsi="Arial" w:cs="Arial"/>
          <w:sz w:val="20"/>
        </w:rPr>
        <w:t xml:space="preserve"> the present study aimed to identify the major dietary patterns among community-dwelling adults in Ikwerre Local Government Area, Rivers State, and determine how these patterns relate to clustered cardiometabolic burden. </w:t>
      </w:r>
    </w:p>
    <w:p w14:paraId="5A628909" w14:textId="77777777" w:rsidR="00D065D9" w:rsidRPr="00B85224" w:rsidRDefault="00000000">
      <w:pPr>
        <w:spacing w:before="160" w:after="100"/>
        <w:rPr>
          <w:rFonts w:ascii="Arial" w:hAnsi="Arial" w:cs="Arial"/>
        </w:rPr>
      </w:pPr>
      <w:r w:rsidRPr="00B85224">
        <w:rPr>
          <w:rFonts w:ascii="Arial" w:hAnsi="Arial" w:cs="Arial"/>
          <w:b/>
          <w:sz w:val="22"/>
        </w:rPr>
        <w:t>2. M</w:t>
      </w:r>
      <w:r w:rsidR="00C545FE">
        <w:rPr>
          <w:rFonts w:ascii="Arial" w:hAnsi="Arial" w:cs="Arial"/>
          <w:b/>
          <w:sz w:val="22"/>
        </w:rPr>
        <w:t>ATERIAL AND METHODS</w:t>
      </w:r>
    </w:p>
    <w:p w14:paraId="11300E24" w14:textId="77777777" w:rsidR="00D065D9" w:rsidRPr="00B85224" w:rsidRDefault="00000000">
      <w:pPr>
        <w:spacing w:before="160" w:after="100"/>
        <w:rPr>
          <w:rFonts w:ascii="Arial" w:hAnsi="Arial" w:cs="Arial"/>
        </w:rPr>
      </w:pPr>
      <w:r w:rsidRPr="00B85224">
        <w:rPr>
          <w:rFonts w:ascii="Arial" w:hAnsi="Arial" w:cs="Arial"/>
          <w:b/>
          <w:sz w:val="22"/>
        </w:rPr>
        <w:t>2.1 Study Design and Setting</w:t>
      </w:r>
    </w:p>
    <w:p w14:paraId="7B9B35D2" w14:textId="77777777" w:rsidR="00D065D9" w:rsidRPr="00E90868" w:rsidRDefault="00E90868" w:rsidP="00BB1837">
      <w:pPr>
        <w:spacing w:after="120"/>
        <w:jc w:val="both"/>
        <w:rPr>
          <w:rFonts w:ascii="Arial" w:hAnsi="Arial" w:cs="Arial"/>
          <w:sz w:val="20"/>
          <w:szCs w:val="20"/>
        </w:rPr>
      </w:pPr>
      <w:r w:rsidRPr="00E90868">
        <w:rPr>
          <w:rFonts w:ascii="Arial" w:hAnsi="Arial" w:cs="Arial"/>
          <w:sz w:val="20"/>
          <w:szCs w:val="20"/>
        </w:rPr>
        <w:t xml:space="preserve">This community-based cross-sectional study was conducted among adults residing in selected communities within Ikwerre Local Government Area (LGA), Rivers State, Nigeria. Ikwerre LGA is situated in the Niger Delta region of southern Nigeria, approximately 20 km north-west of Port Harcourt, and encompasses both urbanising settlements and rural agricultural villages. The administrative centre is located at Isiokpo. The region is characterised by tropical rainforest vegetation and agricultural output, including cassava, yams, plantains and vegetables. Its proximity to Port Harcourt and oil-industry infrastructure has accelerated socioeconomic development and urbanisation. </w:t>
      </w:r>
    </w:p>
    <w:p w14:paraId="0C6CA2B7" w14:textId="77777777" w:rsidR="00D065D9" w:rsidRPr="00B85224" w:rsidRDefault="00000000">
      <w:pPr>
        <w:spacing w:before="160" w:after="100"/>
        <w:rPr>
          <w:rFonts w:ascii="Arial" w:hAnsi="Arial" w:cs="Arial"/>
        </w:rPr>
      </w:pPr>
      <w:r w:rsidRPr="00B85224">
        <w:rPr>
          <w:rFonts w:ascii="Arial" w:hAnsi="Arial" w:cs="Arial"/>
          <w:b/>
          <w:sz w:val="22"/>
        </w:rPr>
        <w:t>2.2 Participants and Eligibility</w:t>
      </w:r>
    </w:p>
    <w:p w14:paraId="3EAB0FD6"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Adults aged 18 years or older, with or without hypertension, type 2 diabetes or obesity, who were residents of the selected Ikwerre communities </w:t>
      </w:r>
      <w:r w:rsidR="00C40275" w:rsidRPr="00B85224">
        <w:rPr>
          <w:rFonts w:ascii="Arial" w:hAnsi="Arial" w:cs="Arial"/>
          <w:sz w:val="20"/>
        </w:rPr>
        <w:t xml:space="preserve">for over two years </w:t>
      </w:r>
      <w:r w:rsidRPr="00B85224">
        <w:rPr>
          <w:rFonts w:ascii="Arial" w:hAnsi="Arial" w:cs="Arial"/>
          <w:sz w:val="20"/>
        </w:rPr>
        <w:t xml:space="preserve">and provided informed consent were eligible. Pregnant or lactating women, individuals with severe comorbid conditions such as cancer or chronic kidney disease, those with illness or cognitive impairment likely to compromise dietary recall, individuals with recent major dietary changes, those participating in structured dietary intervention programmes, and persons who declined participation were excluded. </w:t>
      </w:r>
    </w:p>
    <w:p w14:paraId="438B57EA" w14:textId="77777777" w:rsidR="00D065D9" w:rsidRPr="00B85224" w:rsidRDefault="00000000">
      <w:pPr>
        <w:spacing w:before="160" w:after="100"/>
        <w:rPr>
          <w:rFonts w:ascii="Arial" w:hAnsi="Arial" w:cs="Arial"/>
        </w:rPr>
      </w:pPr>
      <w:r w:rsidRPr="00B85224">
        <w:rPr>
          <w:rFonts w:ascii="Arial" w:hAnsi="Arial" w:cs="Arial"/>
          <w:b/>
          <w:sz w:val="22"/>
        </w:rPr>
        <w:t>2.3 Sample Size and Sampling Procedure</w:t>
      </w:r>
    </w:p>
    <w:p w14:paraId="53B8774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The parent study target sample size was estimated using a single-proportion formula with Z=1.96 for 95% confidence, an assumed hypertension prevalence of 38%, and an absolute precision of 5%. A 10% allowance for non-response or incomplete data produced a target of 404 participants. Multistage cluster sampling was used. First, six communities—Aluu, Isiokpo, Elele, Omuanwa, Ozuaha and Ubima—were selected by simple random sampling to represent varying levels of urbanisation and socioeconomic development. Second, two enumeration areas were randomly selected in each community, giving 12 enumeration areas. Third, households were enumerated and selected systematically, with approximately 33 households targeted per enumeration area. Finally, where more than </w:t>
      </w:r>
      <w:r w:rsidRPr="00B85224">
        <w:rPr>
          <w:rFonts w:ascii="Arial" w:hAnsi="Arial" w:cs="Arial"/>
          <w:sz w:val="20"/>
        </w:rPr>
        <w:lastRenderedPageBreak/>
        <w:t xml:space="preserve">one eligible adult was present, one participant was selected using a Kish grid. If the selected participant refused or remained unavailable after three contact attempts, the next adjacent household was used. </w:t>
      </w:r>
    </w:p>
    <w:p w14:paraId="66C60097" w14:textId="77777777" w:rsidR="00D065D9" w:rsidRPr="00B85224" w:rsidRDefault="00000000">
      <w:pPr>
        <w:spacing w:before="160" w:after="100"/>
        <w:rPr>
          <w:rFonts w:ascii="Arial" w:hAnsi="Arial" w:cs="Arial"/>
        </w:rPr>
      </w:pPr>
      <w:r w:rsidRPr="00B85224">
        <w:rPr>
          <w:rFonts w:ascii="Arial" w:hAnsi="Arial" w:cs="Arial"/>
          <w:b/>
          <w:sz w:val="22"/>
        </w:rPr>
        <w:t>2.4 Data Collection</w:t>
      </w:r>
    </w:p>
    <w:p w14:paraId="55119A77" w14:textId="77777777" w:rsidR="00D065D9" w:rsidRPr="00C40275" w:rsidRDefault="00000000">
      <w:pPr>
        <w:spacing w:before="160" w:after="100"/>
        <w:rPr>
          <w:rFonts w:ascii="Arial" w:hAnsi="Arial" w:cs="Arial"/>
        </w:rPr>
      </w:pPr>
      <w:r w:rsidRPr="00C40275">
        <w:rPr>
          <w:rFonts w:ascii="Arial" w:hAnsi="Arial" w:cs="Arial"/>
          <w:b/>
          <w:sz w:val="20"/>
        </w:rPr>
        <w:t>2.4.1 Sociodemographic and Health Information</w:t>
      </w:r>
    </w:p>
    <w:p w14:paraId="1F5F9981"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Before data collection, permission was sought from community leaders and local health authorities and community sensitisation was conducted through meetings and announcements. </w:t>
      </w:r>
      <w:r w:rsidR="00E90868">
        <w:rPr>
          <w:rFonts w:ascii="Arial" w:hAnsi="Arial" w:cs="Arial"/>
          <w:sz w:val="20"/>
        </w:rPr>
        <w:t>T</w:t>
      </w:r>
      <w:r w:rsidRPr="00B85224">
        <w:rPr>
          <w:rFonts w:ascii="Arial" w:hAnsi="Arial" w:cs="Arial"/>
          <w:sz w:val="20"/>
        </w:rPr>
        <w:t>he WHO STEPwise questionnaire</w:t>
      </w:r>
      <w:r w:rsidR="00E90868">
        <w:rPr>
          <w:rFonts w:ascii="Arial" w:hAnsi="Arial" w:cs="Arial"/>
          <w:sz w:val="20"/>
        </w:rPr>
        <w:t xml:space="preserve"> was used to collect information</w:t>
      </w:r>
      <w:r w:rsidRPr="00B85224">
        <w:rPr>
          <w:rFonts w:ascii="Arial" w:hAnsi="Arial" w:cs="Arial"/>
          <w:sz w:val="20"/>
        </w:rPr>
        <w:t xml:space="preserve"> in face-to-face interviews. Information collected included age, sex, education, occupation, marital status, behavioural risk factors, and personal and family history of hypertension and diabetes. Interviews were conducted in English or translated into the Ikwerre language as required.</w:t>
      </w:r>
    </w:p>
    <w:p w14:paraId="3190AE46" w14:textId="77777777" w:rsidR="00D065D9" w:rsidRPr="00C40275" w:rsidRDefault="00000000">
      <w:pPr>
        <w:spacing w:before="160" w:after="100"/>
        <w:rPr>
          <w:rFonts w:ascii="Arial" w:hAnsi="Arial" w:cs="Arial"/>
        </w:rPr>
      </w:pPr>
      <w:r w:rsidRPr="00C40275">
        <w:rPr>
          <w:rFonts w:ascii="Arial" w:hAnsi="Arial" w:cs="Arial"/>
          <w:b/>
          <w:sz w:val="20"/>
        </w:rPr>
        <w:t>2.4.2 Dietary Assessment</w:t>
      </w:r>
    </w:p>
    <w:p w14:paraId="167A870D" w14:textId="77777777" w:rsidR="00D065D9" w:rsidRPr="00B85224" w:rsidRDefault="00000000" w:rsidP="00BB1837">
      <w:pPr>
        <w:spacing w:after="120"/>
        <w:jc w:val="both"/>
        <w:rPr>
          <w:rFonts w:ascii="Arial" w:hAnsi="Arial" w:cs="Arial"/>
        </w:rPr>
      </w:pPr>
      <w:r w:rsidRPr="00B85224">
        <w:rPr>
          <w:rFonts w:ascii="Arial" w:hAnsi="Arial" w:cs="Arial"/>
          <w:sz w:val="20"/>
        </w:rPr>
        <w:t>Dietary intake was assessed using the Nigerian Dietary Screening Tool (NiDST), an interviewer-administered, culturally developed food-frequency screening instrument for Nigerian adults (Batubo</w:t>
      </w:r>
      <w:r w:rsidR="002833A2">
        <w:rPr>
          <w:rFonts w:ascii="Arial" w:hAnsi="Arial" w:cs="Arial"/>
          <w:sz w:val="20"/>
        </w:rPr>
        <w:t xml:space="preserve"> et al.,</w:t>
      </w:r>
      <w:r w:rsidRPr="00B85224">
        <w:rPr>
          <w:rFonts w:ascii="Arial" w:hAnsi="Arial" w:cs="Arial"/>
          <w:sz w:val="20"/>
        </w:rPr>
        <w:t xml:space="preserve"> 2024; Batubo et al., 2024a). Participants reported habitual consumption of predefined food groups over the preceding month. The final dataset contained 24 food-group frequency variables: fruit, vegetables, rice, wheat, cereals, beans, nuts, red meat, white meat, processed foods/meat, eggs, fish, fried foods, fast foods, starchy foods, soup, fats/oils, desserts, soft drinks, alcohol, tea/coffee, milk/dairy, seasoning and salt. Consistent with the published NiDST validation procedure, reported weekly frequencies were converted to estimated </w:t>
      </w:r>
      <w:r w:rsidR="002833A2">
        <w:rPr>
          <w:rFonts w:ascii="Arial" w:hAnsi="Arial" w:cs="Arial"/>
          <w:sz w:val="20"/>
        </w:rPr>
        <w:t>intake</w:t>
      </w:r>
      <w:r w:rsidRPr="00B85224">
        <w:rPr>
          <w:rFonts w:ascii="Arial" w:hAnsi="Arial" w:cs="Arial"/>
          <w:sz w:val="20"/>
        </w:rPr>
        <w:t xml:space="preserve">/day by taking the midpoint of the reported weekly frequency category and dividing by seven days (Batubo et al., 2024a). Thus, ‘rarely or never’ was coded as 0 servings/day; ‘1–2 times/week’ as (1+2)/2 ÷ 7 = 0.21 servings/day; ‘3–5 times/week’ as (3+5)/2 ÷ 7 = 0.57 servings/day; and ‘daily’ as 1.00 serving/day. These four converted values (0, 0.21, 0.57 and 1.00 </w:t>
      </w:r>
      <w:r w:rsidR="002833A2">
        <w:rPr>
          <w:rFonts w:ascii="Arial" w:hAnsi="Arial" w:cs="Arial"/>
          <w:sz w:val="20"/>
        </w:rPr>
        <w:t>intakes</w:t>
      </w:r>
      <w:r w:rsidRPr="00B85224">
        <w:rPr>
          <w:rFonts w:ascii="Arial" w:hAnsi="Arial" w:cs="Arial"/>
          <w:sz w:val="20"/>
        </w:rPr>
        <w:t xml:space="preserve">/day) were the only NiDST frequency values </w:t>
      </w:r>
      <w:r w:rsidR="002833A2">
        <w:rPr>
          <w:rFonts w:ascii="Arial" w:hAnsi="Arial" w:cs="Arial"/>
          <w:sz w:val="20"/>
        </w:rPr>
        <w:t>used for the analysis</w:t>
      </w:r>
      <w:r w:rsidRPr="00B85224">
        <w:rPr>
          <w:rFonts w:ascii="Arial" w:hAnsi="Arial" w:cs="Arial"/>
          <w:sz w:val="20"/>
        </w:rPr>
        <w:t xml:space="preserve">. </w:t>
      </w:r>
    </w:p>
    <w:p w14:paraId="759BCC78" w14:textId="77777777" w:rsidR="00D065D9" w:rsidRPr="00C40275" w:rsidRDefault="00000000">
      <w:pPr>
        <w:spacing w:before="160" w:after="100"/>
        <w:rPr>
          <w:rFonts w:ascii="Arial" w:hAnsi="Arial" w:cs="Arial"/>
        </w:rPr>
      </w:pPr>
      <w:r w:rsidRPr="00C40275">
        <w:rPr>
          <w:rFonts w:ascii="Arial" w:hAnsi="Arial" w:cs="Arial"/>
          <w:b/>
          <w:sz w:val="20"/>
        </w:rPr>
        <w:t>2.4.3 Anthropometric and Blood Pressure Measurements</w:t>
      </w:r>
    </w:p>
    <w:p w14:paraId="7500141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Anthropometric measurements followed standard WHO procedures. Weight was measured with calibrated digital scales, height with </w:t>
      </w:r>
      <w:r w:rsidR="00BE4813">
        <w:rPr>
          <w:rFonts w:ascii="Arial" w:hAnsi="Arial" w:cs="Arial"/>
          <w:sz w:val="20"/>
        </w:rPr>
        <w:t xml:space="preserve">standard </w:t>
      </w:r>
      <w:r w:rsidRPr="00B85224">
        <w:rPr>
          <w:rFonts w:ascii="Arial" w:hAnsi="Arial" w:cs="Arial"/>
          <w:sz w:val="20"/>
        </w:rPr>
        <w:t>stadiometers</w:t>
      </w:r>
      <w:r w:rsidR="00BE4813">
        <w:rPr>
          <w:rFonts w:ascii="Arial" w:hAnsi="Arial" w:cs="Arial"/>
          <w:sz w:val="20"/>
        </w:rPr>
        <w:t xml:space="preserve"> </w:t>
      </w:r>
      <w:r w:rsidR="00BE4813" w:rsidRPr="00BE4813">
        <w:rPr>
          <w:rFonts w:ascii="Arial" w:hAnsi="Arial" w:cs="Arial"/>
          <w:sz w:val="20"/>
        </w:rPr>
        <w:t>(model number: DG2301, China)</w:t>
      </w:r>
      <w:r w:rsidR="00BE4813">
        <w:rPr>
          <w:rFonts w:ascii="Arial" w:hAnsi="Arial" w:cs="Arial"/>
          <w:sz w:val="20"/>
        </w:rPr>
        <w:t xml:space="preserve"> </w:t>
      </w:r>
      <w:r w:rsidRPr="00B85224">
        <w:rPr>
          <w:rFonts w:ascii="Arial" w:hAnsi="Arial" w:cs="Arial"/>
          <w:sz w:val="20"/>
        </w:rPr>
        <w:t xml:space="preserve">and waist circumference with non-elastic tapes. BMI was calculated as weight in kilograms divided by height in metres squared. </w:t>
      </w:r>
      <w:r w:rsidR="002013CC">
        <w:rPr>
          <w:rFonts w:ascii="Arial" w:hAnsi="Arial" w:cs="Arial"/>
          <w:sz w:val="20"/>
        </w:rPr>
        <w:t>Participants’ b</w:t>
      </w:r>
      <w:r w:rsidRPr="00B85224">
        <w:rPr>
          <w:rFonts w:ascii="Arial" w:hAnsi="Arial" w:cs="Arial"/>
          <w:sz w:val="20"/>
        </w:rPr>
        <w:t>lood pressure was measured using</w:t>
      </w:r>
      <w:r w:rsidR="002013CC">
        <w:rPr>
          <w:rFonts w:ascii="Arial" w:hAnsi="Arial" w:cs="Arial"/>
          <w:sz w:val="20"/>
        </w:rPr>
        <w:t xml:space="preserve"> an automated sphygmomanometer </w:t>
      </w:r>
      <w:r w:rsidR="002013CC" w:rsidRPr="002013CC">
        <w:rPr>
          <w:rFonts w:ascii="Arial" w:hAnsi="Arial" w:cs="Arial"/>
          <w:sz w:val="20"/>
        </w:rPr>
        <w:t>(model number: ZK-BB68, Shenzhen, China)</w:t>
      </w:r>
      <w:r w:rsidR="002013CC">
        <w:rPr>
          <w:rFonts w:ascii="Arial" w:hAnsi="Arial" w:cs="Arial"/>
          <w:sz w:val="20"/>
        </w:rPr>
        <w:t>,</w:t>
      </w:r>
      <w:r w:rsidRPr="00B85224">
        <w:rPr>
          <w:rFonts w:ascii="Arial" w:hAnsi="Arial" w:cs="Arial"/>
          <w:sz w:val="20"/>
        </w:rPr>
        <w:t xml:space="preserve"> after five minutes of rest. Three readings were obtained</w:t>
      </w:r>
      <w:r w:rsidR="00BA71E6">
        <w:rPr>
          <w:rFonts w:ascii="Arial" w:hAnsi="Arial" w:cs="Arial"/>
          <w:sz w:val="20"/>
        </w:rPr>
        <w:t>,</w:t>
      </w:r>
      <w:r w:rsidRPr="00B85224">
        <w:rPr>
          <w:rFonts w:ascii="Arial" w:hAnsi="Arial" w:cs="Arial"/>
          <w:sz w:val="20"/>
        </w:rPr>
        <w:t xml:space="preserve"> and the mean value was recorded. </w:t>
      </w:r>
    </w:p>
    <w:p w14:paraId="1F10E545" w14:textId="77777777" w:rsidR="00D065D9" w:rsidRPr="00C40275" w:rsidRDefault="00000000">
      <w:pPr>
        <w:spacing w:before="160" w:after="100"/>
        <w:rPr>
          <w:rFonts w:ascii="Arial" w:hAnsi="Arial" w:cs="Arial"/>
          <w:sz w:val="20"/>
          <w:szCs w:val="20"/>
        </w:rPr>
      </w:pPr>
      <w:r w:rsidRPr="00C40275">
        <w:rPr>
          <w:rFonts w:ascii="Arial" w:hAnsi="Arial" w:cs="Arial"/>
          <w:b/>
          <w:sz w:val="20"/>
          <w:szCs w:val="20"/>
        </w:rPr>
        <w:t>2.4.4 Biochemical Measurements</w:t>
      </w:r>
    </w:p>
    <w:p w14:paraId="66385338" w14:textId="77777777" w:rsidR="00D671EE" w:rsidRDefault="00D671EE" w:rsidP="00BB1837">
      <w:pPr>
        <w:spacing w:after="120"/>
        <w:jc w:val="both"/>
        <w:rPr>
          <w:rFonts w:ascii="Arial" w:hAnsi="Arial" w:cs="Arial"/>
          <w:sz w:val="20"/>
        </w:rPr>
      </w:pPr>
      <w:r w:rsidRPr="00D671EE">
        <w:rPr>
          <w:rFonts w:ascii="Arial" w:hAnsi="Arial" w:cs="Arial"/>
          <w:sz w:val="20"/>
        </w:rPr>
        <w:t xml:space="preserve">Fasting venous blood samples (5 mL) were collected from participants by trained phlebotomists after an overnight fast and analysed in an accredited laboratory. Fasting blood glucose and lipid-profile parameters were determined using standard enzymatic colourimetric methods </w:t>
      </w:r>
      <w:r>
        <w:rPr>
          <w:rFonts w:ascii="Arial" w:hAnsi="Arial" w:cs="Arial"/>
          <w:sz w:val="20"/>
        </w:rPr>
        <w:t>with</w:t>
      </w:r>
      <w:r w:rsidRPr="00D671EE">
        <w:rPr>
          <w:rFonts w:ascii="Arial" w:hAnsi="Arial" w:cs="Arial"/>
          <w:sz w:val="20"/>
        </w:rPr>
        <w:t xml:space="preserve"> a Mindray BS-200 automated chemistry analyser (Mindray Bio-Medical Electronics Co., Ltd., Shenzhen, China). Serum total cholesterol and triglycerides were measured enzymatically, while HDL-C was determined using a direct enzymatic method. LDL-C and VLDL-C were obtained according to the analytical procedure adopted by the laboratory. The biochemical variables available for analysis comprised fasting blood glucose, total cholesterol, triglycerides, HDL-C, LDL-C and VLDL-C.</w:t>
      </w:r>
    </w:p>
    <w:p w14:paraId="19DD6C4E" w14:textId="77777777" w:rsidR="008E76A1" w:rsidRPr="008E76A1" w:rsidRDefault="008E76A1" w:rsidP="00C40275">
      <w:pPr>
        <w:spacing w:after="120"/>
        <w:outlineLvl w:val="2"/>
        <w:rPr>
          <w:rFonts w:ascii="Arial" w:hAnsi="Arial" w:cs="Arial"/>
          <w:b/>
          <w:bCs/>
          <w:sz w:val="22"/>
          <w:szCs w:val="22"/>
        </w:rPr>
      </w:pPr>
      <w:r w:rsidRPr="008E76A1">
        <w:rPr>
          <w:rFonts w:ascii="Arial" w:hAnsi="Arial" w:cs="Arial"/>
          <w:b/>
          <w:bCs/>
          <w:sz w:val="22"/>
          <w:szCs w:val="22"/>
        </w:rPr>
        <w:t>2.5 Definition of Clustered Cardiometabolic Abnormalities</w:t>
      </w:r>
    </w:p>
    <w:p w14:paraId="5E90A175" w14:textId="77777777" w:rsidR="008E76A1" w:rsidRPr="008E76A1" w:rsidRDefault="008E76A1" w:rsidP="00C40275">
      <w:pPr>
        <w:spacing w:after="120"/>
        <w:jc w:val="both"/>
        <w:rPr>
          <w:rFonts w:ascii="Arial" w:hAnsi="Arial" w:cs="Arial"/>
          <w:sz w:val="20"/>
          <w:szCs w:val="20"/>
        </w:rPr>
      </w:pPr>
      <w:r w:rsidRPr="008E76A1">
        <w:rPr>
          <w:rFonts w:ascii="Arial" w:hAnsi="Arial" w:cs="Arial"/>
          <w:sz w:val="20"/>
          <w:szCs w:val="20"/>
        </w:rPr>
        <w:t>Clustered cardiometabolic abnormalities (CCA) were operationally defined as the co-occurrence of established cardiometabolic risk abnormalities within the same participant. The construct was intended to quantify the cumulative burden of measurable cardiometabolic abnormalities in the study population rather than to diagnose metabolic syndrome. This distinction was necessary because conventional metabolic syndrome definitions incorporate central obesity based on waist circumference together with elevated blood pressure, dysglycaemia, hypertriglyceridaemia and reduced high-density lipoprotein cholesterol (HDL-C), with the diagnosis generally requiring the presence of at least three components (American Heart Association, 2023).</w:t>
      </w:r>
      <w:r w:rsidRPr="00C40275">
        <w:rPr>
          <w:rFonts w:ascii="Arial" w:hAnsi="Arial" w:cs="Arial"/>
          <w:sz w:val="20"/>
          <w:szCs w:val="20"/>
        </w:rPr>
        <w:t xml:space="preserve"> </w:t>
      </w:r>
      <w:r w:rsidRPr="008E76A1">
        <w:rPr>
          <w:rFonts w:ascii="Arial" w:hAnsi="Arial" w:cs="Arial"/>
          <w:sz w:val="20"/>
          <w:szCs w:val="20"/>
        </w:rPr>
        <w:t>In the present study, however, general obesity assessed using body mass index (BMI) was used in place of waist circumference; consequently, the term CCA was considered more appropriate and less likely to imply a formal metabolic syndrome diagnosis.</w:t>
      </w:r>
    </w:p>
    <w:p w14:paraId="6D8EFD63" w14:textId="77777777" w:rsidR="008E76A1" w:rsidRPr="008E76A1" w:rsidRDefault="008E76A1" w:rsidP="00BB1837">
      <w:pPr>
        <w:spacing w:after="120"/>
        <w:jc w:val="both"/>
        <w:rPr>
          <w:rFonts w:ascii="Arial" w:hAnsi="Arial" w:cs="Arial"/>
          <w:sz w:val="20"/>
          <w:szCs w:val="20"/>
        </w:rPr>
      </w:pPr>
      <w:r w:rsidRPr="008E76A1">
        <w:rPr>
          <w:rFonts w:ascii="Arial" w:hAnsi="Arial" w:cs="Arial"/>
          <w:sz w:val="20"/>
          <w:szCs w:val="20"/>
        </w:rPr>
        <w:t>Five cardiometabolic abnormalities were included in the CCA construct. General obesity was defined as BMI ≥30 kg/m², consistent with the World Health Organization classification of obesity in adults (World Health Organi</w:t>
      </w:r>
      <w:r w:rsidR="0082463D">
        <w:rPr>
          <w:rFonts w:ascii="Arial" w:hAnsi="Arial" w:cs="Arial"/>
          <w:sz w:val="20"/>
          <w:szCs w:val="20"/>
        </w:rPr>
        <w:t>s</w:t>
      </w:r>
      <w:r w:rsidRPr="008E76A1">
        <w:rPr>
          <w:rFonts w:ascii="Arial" w:hAnsi="Arial" w:cs="Arial"/>
          <w:sz w:val="20"/>
          <w:szCs w:val="20"/>
        </w:rPr>
        <w:t>ation, 2025).</w:t>
      </w:r>
      <w:r w:rsidRPr="00C40275">
        <w:rPr>
          <w:rFonts w:ascii="Arial" w:hAnsi="Arial" w:cs="Arial"/>
          <w:sz w:val="20"/>
          <w:szCs w:val="20"/>
        </w:rPr>
        <w:t xml:space="preserve"> </w:t>
      </w:r>
      <w:r w:rsidRPr="008E76A1">
        <w:rPr>
          <w:rFonts w:ascii="Arial" w:hAnsi="Arial" w:cs="Arial"/>
          <w:sz w:val="20"/>
          <w:szCs w:val="20"/>
        </w:rPr>
        <w:t xml:space="preserve">Elevated blood pressure was defined as systolic blood pressure (SBP) ≥130 mmHg and/or diastolic blood pressure (DBP) ≥85 mmHg. Participants with a previous diagnosis of hypertension or those currently receiving antihypertensive medication were also classified as having the blood-pressure abnormality irrespective of their measured blood pressure at the study visit. The 130/85 mmHg threshold corresponds to the internationally </w:t>
      </w:r>
      <w:r w:rsidRPr="008E76A1">
        <w:rPr>
          <w:rFonts w:ascii="Arial" w:hAnsi="Arial" w:cs="Arial"/>
          <w:sz w:val="20"/>
          <w:szCs w:val="20"/>
        </w:rPr>
        <w:lastRenderedPageBreak/>
        <w:t>recognised blood-pressure component used in cardiometabolic clustering and metabolic syndrome assessment (American Heart Association, 2023).</w:t>
      </w:r>
    </w:p>
    <w:p w14:paraId="219BB0C8" w14:textId="77777777" w:rsidR="008E76A1" w:rsidRPr="008E76A1" w:rsidRDefault="008E76A1" w:rsidP="00BB1837">
      <w:pPr>
        <w:spacing w:after="120"/>
        <w:jc w:val="both"/>
        <w:rPr>
          <w:rFonts w:ascii="Arial" w:hAnsi="Arial" w:cs="Arial"/>
          <w:sz w:val="20"/>
          <w:szCs w:val="20"/>
        </w:rPr>
      </w:pPr>
      <w:r w:rsidRPr="008E76A1">
        <w:rPr>
          <w:rFonts w:ascii="Arial" w:hAnsi="Arial" w:cs="Arial"/>
          <w:sz w:val="20"/>
          <w:szCs w:val="20"/>
        </w:rPr>
        <w:t xml:space="preserve">Dysglycaemia was defined as fasting blood glucose ≥5.6 mmol/L (100 mg/dL), a previous diagnosis of diabetes mellitus or current use of glucose-lowering medication. The fasting glucose threshold of 5.6 mmol/L corresponds to the recognised abnormal glycaemic threshold incorporated into established metabolic syndrome criteria (American Heart Association, 2023). Hypertriglyceridaemia was defined as fasting triglycerides ≥1.7 mmol/L (150 mg/dL), while reduced HDL-C was defined using sex-specific cut-offs of &lt;1.03 mmol/L (40 mg/dL) in men and &lt;1.29 mmol/L (50 mg/dL) in women. These thresholds are consistent with internationally recognised lipid criteria used to identify cardiometabolic abnormalities (American Heart Association, 2023). </w:t>
      </w:r>
    </w:p>
    <w:p w14:paraId="6CD9BF32" w14:textId="77777777" w:rsidR="008E76A1" w:rsidRPr="00C40275" w:rsidRDefault="008E76A1" w:rsidP="00BB1837">
      <w:pPr>
        <w:spacing w:after="120"/>
        <w:jc w:val="both"/>
        <w:rPr>
          <w:rFonts w:ascii="Arial" w:hAnsi="Arial" w:cs="Arial"/>
          <w:sz w:val="20"/>
          <w:szCs w:val="20"/>
        </w:rPr>
      </w:pPr>
      <w:r w:rsidRPr="008E76A1">
        <w:rPr>
          <w:rFonts w:ascii="Arial" w:hAnsi="Arial" w:cs="Arial"/>
          <w:sz w:val="20"/>
          <w:szCs w:val="20"/>
        </w:rPr>
        <w:t>Each of the five abnormalities</w:t>
      </w:r>
      <w:r w:rsidR="0079615F">
        <w:rPr>
          <w:rFonts w:ascii="Arial" w:hAnsi="Arial" w:cs="Arial"/>
          <w:sz w:val="20"/>
          <w:szCs w:val="20"/>
        </w:rPr>
        <w:t xml:space="preserve">, </w:t>
      </w:r>
      <w:r w:rsidRPr="008E76A1">
        <w:rPr>
          <w:rFonts w:ascii="Arial" w:hAnsi="Arial" w:cs="Arial"/>
          <w:sz w:val="20"/>
          <w:szCs w:val="20"/>
        </w:rPr>
        <w:t>general obesity, elevated blood pressure, dysglycaemia, hypertriglyceridaemia and reduced HDL-C</w:t>
      </w:r>
      <w:r w:rsidR="0079615F">
        <w:rPr>
          <w:rFonts w:ascii="Arial" w:hAnsi="Arial" w:cs="Arial"/>
          <w:sz w:val="20"/>
          <w:szCs w:val="20"/>
        </w:rPr>
        <w:t xml:space="preserve">, </w:t>
      </w:r>
      <w:r w:rsidRPr="008E76A1">
        <w:rPr>
          <w:rFonts w:ascii="Arial" w:hAnsi="Arial" w:cs="Arial"/>
          <w:sz w:val="20"/>
          <w:szCs w:val="20"/>
        </w:rPr>
        <w:t>was coded dichotomously as absent (0) or present (1). The values were subsequently summed for each participant to generate an individual CCA burden score ranging from 0 to 5. This approach allowed cardiometabolic burden to be evaluated as the number of co-occurring abnormalities rather than as isolated risk factors.</w:t>
      </w:r>
      <w:r w:rsidR="00DB3746">
        <w:rPr>
          <w:rFonts w:ascii="Arial" w:hAnsi="Arial" w:cs="Arial"/>
          <w:sz w:val="20"/>
          <w:szCs w:val="20"/>
        </w:rPr>
        <w:t xml:space="preserve"> P</w:t>
      </w:r>
      <w:r w:rsidRPr="008E76A1">
        <w:rPr>
          <w:rFonts w:ascii="Arial" w:hAnsi="Arial" w:cs="Arial"/>
          <w:sz w:val="20"/>
          <w:szCs w:val="20"/>
        </w:rPr>
        <w:t>articipants with zero or one abnormality were classified as having lower CCA burden, whereas participants with two or more abnormalities were classified as having higher CCA burden. The ≥2 threshold was selected to represent the presence of true clustering, that is, the coexistence of at least two distinct cardiometabolic abnormalities, rather than an isolated abnormality. It was therefore used as an epidemiological burden threshold and not as a diagnostic cut-off for metabolic syndrome. In addition, the presence of three or more abnormalities (CCA ≥3) was examined as a secondary higher-burden phenotype to determine whether the observed dietary-pattern associations persisted when a more stringent level of cardiometabolic clustering was considered.</w:t>
      </w:r>
    </w:p>
    <w:p w14:paraId="7888D97F" w14:textId="77777777" w:rsidR="00D065D9" w:rsidRPr="00B85224" w:rsidRDefault="00000000">
      <w:pPr>
        <w:spacing w:before="160" w:after="100"/>
        <w:rPr>
          <w:rFonts w:ascii="Arial" w:hAnsi="Arial" w:cs="Arial"/>
        </w:rPr>
      </w:pPr>
      <w:r w:rsidRPr="00B85224">
        <w:rPr>
          <w:rFonts w:ascii="Arial" w:hAnsi="Arial" w:cs="Arial"/>
          <w:b/>
          <w:sz w:val="22"/>
        </w:rPr>
        <w:t>2.6 Derivation and Retention of Dietary Patterns</w:t>
      </w:r>
    </w:p>
    <w:p w14:paraId="350CD28D" w14:textId="77777777" w:rsidR="00DB3746" w:rsidRDefault="00000000" w:rsidP="00BB1837">
      <w:pPr>
        <w:spacing w:after="120"/>
        <w:jc w:val="both"/>
        <w:rPr>
          <w:rFonts w:ascii="Arial" w:hAnsi="Arial" w:cs="Arial"/>
          <w:sz w:val="20"/>
        </w:rPr>
      </w:pPr>
      <w:r w:rsidRPr="00B85224">
        <w:rPr>
          <w:rFonts w:ascii="Arial" w:hAnsi="Arial" w:cs="Arial"/>
          <w:sz w:val="20"/>
        </w:rPr>
        <w:t>Dietary-pattern analysis was performed on the 24 converted NiDST food-group intake variables. Each food-group variable was standardised to a z-score (mean 0, SD 1) before principal component analysis (PCA) so that variables measured on the same frequency scale contributed according to their correlation structure rather than absolute variance. Sampling adequacy was assessed using the Kaiser–Meyer–Olkin statistic and Bartlett’s test of sphericity. Components were extracted from the correlation matrix and orthogonally rotated using varimax rotation. Component retention was evaluated using five prespecified criteria: eigenvalues &gt;1.0 (Kaiser criterion), visual inspection of the scree plot, parallel analysis, cumulative variance explained, and nutritional interpretability/stability of the rotated solution. Parallel analysis was performed using 1,000 randomly generated normally distributed datasets with the same sample size (n=</w:t>
      </w:r>
      <w:r w:rsidR="00DB3746">
        <w:rPr>
          <w:rFonts w:ascii="Arial" w:hAnsi="Arial" w:cs="Arial"/>
          <w:sz w:val="20"/>
        </w:rPr>
        <w:t>477</w:t>
      </w:r>
      <w:r w:rsidRPr="00B85224">
        <w:rPr>
          <w:rFonts w:ascii="Arial" w:hAnsi="Arial" w:cs="Arial"/>
          <w:sz w:val="20"/>
        </w:rPr>
        <w:t xml:space="preserve">) and number of dietary variables (24); an observed component was considered supported when its eigenvalue exceeded the corresponding 95th percentile eigenvalue from the simulated datasets. </w:t>
      </w:r>
    </w:p>
    <w:p w14:paraId="47F636FA" w14:textId="77777777" w:rsidR="00D065D9" w:rsidRPr="00B85224" w:rsidRDefault="00000000">
      <w:pPr>
        <w:spacing w:before="160" w:after="100"/>
        <w:rPr>
          <w:rFonts w:ascii="Arial" w:hAnsi="Arial" w:cs="Arial"/>
        </w:rPr>
      </w:pPr>
      <w:r w:rsidRPr="00B85224">
        <w:rPr>
          <w:rFonts w:ascii="Arial" w:hAnsi="Arial" w:cs="Arial"/>
          <w:b/>
          <w:sz w:val="22"/>
        </w:rPr>
        <w:t>2.7 Statistical Analysis</w:t>
      </w:r>
    </w:p>
    <w:p w14:paraId="4BA7E0CC" w14:textId="77777777" w:rsidR="00D065D9" w:rsidRPr="00B85224" w:rsidRDefault="00000000" w:rsidP="00BB1837">
      <w:pPr>
        <w:spacing w:after="120"/>
        <w:jc w:val="both"/>
        <w:rPr>
          <w:rFonts w:ascii="Arial" w:hAnsi="Arial" w:cs="Arial"/>
        </w:rPr>
      </w:pPr>
      <w:r w:rsidRPr="00B85224">
        <w:rPr>
          <w:rFonts w:ascii="Arial" w:hAnsi="Arial" w:cs="Arial"/>
          <w:sz w:val="20"/>
        </w:rPr>
        <w:t>All statistical analyses were performed in R version 4.4.2 within the RStudio integrated development environment. The final locked complete-case dataset (n=</w:t>
      </w:r>
      <w:r w:rsidR="006E144F" w:rsidRPr="00B85224">
        <w:rPr>
          <w:rFonts w:ascii="Arial" w:hAnsi="Arial" w:cs="Arial"/>
        </w:rPr>
        <w:t>477</w:t>
      </w:r>
      <w:r w:rsidRPr="00B85224">
        <w:rPr>
          <w:rFonts w:ascii="Arial" w:hAnsi="Arial" w:cs="Arial"/>
          <w:sz w:val="20"/>
        </w:rPr>
        <w:t>) was analysed without statistical imputation. Age, BMI, SBP and DBP were summarised as mean ± SD and compared between lower and higher CCA burden using Welch’s two-sample t-test. Biochemical variables and converted NiDST food-group frequencies were compared using two-sided Mann–Whitney U tests; food-frequency variables were reported as mean ± SD and median (IQR). Categorical variables were reported as n (%) and compared using Pearson’s chi-square test, with Fisher’s exact test for sparse 2×2 comparisons.</w:t>
      </w:r>
    </w:p>
    <w:p w14:paraId="0267D2F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NiDST weekly frequency categories were converted to estimated servings/day using the midpoint of each category divided by seven, consistent with the published validation procedure (Batubo et al., 2024a). Thus, rarely/never=0, 1–2 times/week=0.21, 3–5 times/week=0.57 and daily=1.00 servings/day. The 24 converted food-group variables were z-standardised before PCA. Sampling adequacy was assessed using the Kaiser–Meyer–Olkin statistic and Bartlett’s test of sphericity. PCA was performed on the correlation matrix followed by orthogonal varimax rotation. Component retention considered the Kaiser criterion, scree plot, cumulative variance, parallel analysis, interpretability and bootstrap stability. Parallel analysis used 1,000 random datasets of </w:t>
      </w:r>
      <w:r w:rsidR="00DB3746">
        <w:rPr>
          <w:rFonts w:ascii="Arial" w:hAnsi="Arial" w:cs="Arial"/>
          <w:sz w:val="20"/>
        </w:rPr>
        <w:t>477</w:t>
      </w:r>
      <w:r w:rsidRPr="00B85224">
        <w:rPr>
          <w:rFonts w:ascii="Arial" w:hAnsi="Arial" w:cs="Arial"/>
          <w:sz w:val="20"/>
        </w:rPr>
        <w:t>×24 variables and retained components whose observed eigenvalues exceeded the corresponding 95th percentile simulated eigenvalues. Three-, four-, five- and six-component solutions were compared. Bootstrap stability used 300 resamples with replacement, with components matched by maximum absolute correlation between loading vectors. Foods with |loading|≥0.40 defined pattern labels; complete standardised rotated factor scores were the primary exposures.</w:t>
      </w:r>
    </w:p>
    <w:p w14:paraId="64162ECA"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Robust Poisson generalised linear models with a log link and heteroskedasticity-robust sandwich standard errors estimated prevalence ratios because higher CCA burden was common. Pattern scores were entered per 1-SD increase. The primary model mutually included all three pattern scores and adjusted a priori for age (per 10-year increase), sex, educational attainment and ethnicity. The extended model additionally adjusted for marital status </w:t>
      </w:r>
      <w:r w:rsidRPr="00B85224">
        <w:rPr>
          <w:rFonts w:ascii="Arial" w:hAnsi="Arial" w:cs="Arial"/>
          <w:sz w:val="20"/>
        </w:rPr>
        <w:lastRenderedPageBreak/>
        <w:t>and economically active employment. The same primary adjustment structure was used for CCA ≥3 and each individual CCA component. High adherence was defined as the highest tertile of a pattern score, and predominant pattern as the participant’s highest standardised PCA factor score. Restricted loading-weighted scores using only |loading|≥0.40 foods were analysed as a sensitivity analysis. Statistical significance was set at P&lt;.05; exact P values were reported except P&lt;.001, and effect estimates with 95% CIs were prioritised.</w:t>
      </w:r>
    </w:p>
    <w:p w14:paraId="420DF764" w14:textId="77777777" w:rsidR="00D065D9" w:rsidRPr="00B85224" w:rsidRDefault="00000000">
      <w:pPr>
        <w:spacing w:before="160" w:after="100"/>
        <w:rPr>
          <w:rFonts w:ascii="Arial" w:hAnsi="Arial" w:cs="Arial"/>
        </w:rPr>
      </w:pPr>
      <w:r w:rsidRPr="00B85224">
        <w:rPr>
          <w:rFonts w:ascii="Arial" w:hAnsi="Arial" w:cs="Arial"/>
          <w:b/>
          <w:sz w:val="22"/>
        </w:rPr>
        <w:t>2.9 Patient and Public Involvement</w:t>
      </w:r>
    </w:p>
    <w:p w14:paraId="2CD89969"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Community leaders and local health authorities were engaged before recruitment, and sensitisation meetings and announcements were used to explain study objectives, procedures and anticipated benefits. </w:t>
      </w:r>
    </w:p>
    <w:p w14:paraId="0C822212" w14:textId="77777777" w:rsidR="00D065D9" w:rsidRPr="00B85224" w:rsidRDefault="00000000">
      <w:pPr>
        <w:spacing w:before="160" w:after="100"/>
        <w:rPr>
          <w:rFonts w:ascii="Arial" w:hAnsi="Arial" w:cs="Arial"/>
        </w:rPr>
      </w:pPr>
      <w:r w:rsidRPr="00B85224">
        <w:rPr>
          <w:rFonts w:ascii="Arial" w:hAnsi="Arial" w:cs="Arial"/>
          <w:b/>
          <w:sz w:val="22"/>
        </w:rPr>
        <w:t>3. RESULTS AND DISCUSSION</w:t>
      </w:r>
    </w:p>
    <w:p w14:paraId="7761C69B" w14:textId="77777777" w:rsidR="00D065D9" w:rsidRPr="00B85224" w:rsidRDefault="00000000">
      <w:pPr>
        <w:spacing w:before="160" w:after="100"/>
        <w:rPr>
          <w:rFonts w:ascii="Arial" w:hAnsi="Arial" w:cs="Arial"/>
        </w:rPr>
      </w:pPr>
      <w:r w:rsidRPr="00B85224">
        <w:rPr>
          <w:rFonts w:ascii="Arial" w:hAnsi="Arial" w:cs="Arial"/>
          <w:b/>
          <w:sz w:val="22"/>
        </w:rPr>
        <w:t>3.1 Results</w:t>
      </w:r>
    </w:p>
    <w:p w14:paraId="7D0D1FBE" w14:textId="77777777" w:rsidR="00D065D9" w:rsidRPr="00B85224" w:rsidRDefault="00000000">
      <w:pPr>
        <w:spacing w:before="160" w:after="100"/>
        <w:rPr>
          <w:rFonts w:ascii="Arial" w:hAnsi="Arial" w:cs="Arial"/>
        </w:rPr>
      </w:pPr>
      <w:r w:rsidRPr="00B85224">
        <w:rPr>
          <w:rFonts w:ascii="Arial" w:hAnsi="Arial" w:cs="Arial"/>
          <w:b/>
          <w:sz w:val="20"/>
        </w:rPr>
        <w:t>3.1.1 Participant Characteristics and CCA Burden</w:t>
      </w:r>
    </w:p>
    <w:p w14:paraId="7B87AA8A" w14:textId="77777777" w:rsidR="00A23F4D" w:rsidRPr="00B85224" w:rsidRDefault="00A23F4D" w:rsidP="00A23F4D">
      <w:pPr>
        <w:spacing w:after="120"/>
        <w:jc w:val="both"/>
        <w:rPr>
          <w:rFonts w:ascii="Arial" w:hAnsi="Arial" w:cs="Arial"/>
          <w:sz w:val="20"/>
        </w:rPr>
      </w:pPr>
      <w:r w:rsidRPr="00B85224">
        <w:rPr>
          <w:rFonts w:ascii="Arial" w:hAnsi="Arial" w:cs="Arial"/>
          <w:sz w:val="20"/>
        </w:rPr>
        <w:t>Table 1 presents the sociodemographic characteristics of the 477 adults according to clustered cardiometabolic abnormality (CCA) burden in Ikwerre Local Government Area, Rivers State, Nigeria. Overall, 180 (37.7%) participants had a lower CCA burden, whereas 297 (62.3%) had a higher CCA burden. Participants with a higher CCA burden were older than those with a lower burden, with mean ages of 58.42 ± 13.44 years and 53.51 ± 16.84 years, respectively (p=.001). Females constituted the majority of the study population, accounting for 279 (58.5%) participants overall, including 180 (60.6%) of those with higher CCA burden and 99 (55.0%) of those with lower CCA burden. However, the distribution of CCA burden did not differ significantly by sex (p=.268). Educational level differed significantly between the two CCA groups (p&lt;.001). Participants with no formal schooling were more frequently represented in the higher CCA burden group than in the lower burden group (15.2% vs 5.0%), whereas secondary education was more common among those with lower CCA burden (50.0% vs 30.3%). Marital status also showed a significant association with CCA burden (p&lt;.001). In particular, widowed participants constituted 45.5% of the higher CCA burden group compared with 25.0% of the lower burden group, whereas all never-married participants were classified within the lower CCA burden group.</w:t>
      </w:r>
    </w:p>
    <w:p w14:paraId="1EA66D57" w14:textId="77777777" w:rsidR="00A23F4D" w:rsidRPr="00B85224" w:rsidRDefault="00A23F4D" w:rsidP="00A23F4D">
      <w:pPr>
        <w:spacing w:after="120"/>
        <w:jc w:val="both"/>
        <w:rPr>
          <w:rFonts w:ascii="Arial" w:hAnsi="Arial" w:cs="Arial"/>
          <w:sz w:val="20"/>
        </w:rPr>
      </w:pPr>
      <w:r w:rsidRPr="00B85224">
        <w:rPr>
          <w:rFonts w:ascii="Arial" w:hAnsi="Arial" w:cs="Arial"/>
          <w:sz w:val="20"/>
        </w:rPr>
        <w:t>Ethnicity was significantly associated with CCA burden (p=.005). Ikwerre participants remained the predominant ethnic group in both categories, although they accounted for a larger proportion of the lower burden group than the higher burden group (85.0% vs 72.7%). Employment status also differed significantly between groups (p&lt;.001). Unemployment was more common among participants with higher CCA burden than among those with lower burden (30.3% vs 15.0%), while self-employment was relatively more frequent among those with lower CCA burden (35.0% vs 27.3%). Household size was significantly associated with CCA burden (p&lt;.001). Participants living in households with more than five persons constituted 51.5% of the higher CCA burden group compared with 40.0% of the lower burden group. Conversely, living alone was observed only among participants with lower CCA burden. Overall, higher CCA burden was more frequently observed among older adults and varied significantly according to educational level, marital status, ethnicity, employment status, and household size, while no significant difference was observed by sex.</w:t>
      </w:r>
    </w:p>
    <w:p w14:paraId="71BD6A29" w14:textId="77777777" w:rsidR="00D065D9" w:rsidRPr="00B85224" w:rsidRDefault="00000000">
      <w:pPr>
        <w:spacing w:before="120" w:after="80"/>
        <w:rPr>
          <w:rFonts w:ascii="Arial" w:hAnsi="Arial" w:cs="Arial"/>
          <w:b/>
          <w:sz w:val="20"/>
          <w:szCs w:val="20"/>
        </w:rPr>
      </w:pPr>
      <w:r w:rsidRPr="00B85224">
        <w:rPr>
          <w:rFonts w:ascii="Arial" w:hAnsi="Arial" w:cs="Arial"/>
          <w:b/>
          <w:sz w:val="20"/>
          <w:szCs w:val="20"/>
        </w:rPr>
        <w:t>Table 1. Sociodemographic characteristics of participants according to CCA burden</w:t>
      </w:r>
      <w:r w:rsidR="00B137FA" w:rsidRPr="00B85224">
        <w:rPr>
          <w:rFonts w:ascii="Arial" w:hAnsi="Arial" w:cs="Arial"/>
          <w:b/>
          <w:sz w:val="20"/>
          <w:szCs w:val="20"/>
        </w:rPr>
        <w:t xml:space="preserve"> 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1530"/>
        <w:gridCol w:w="1801"/>
        <w:gridCol w:w="2071"/>
        <w:gridCol w:w="963"/>
      </w:tblGrid>
      <w:tr w:rsidR="00DE2CEE" w:rsidRPr="00B85224" w14:paraId="10D38E9C" w14:textId="77777777" w:rsidTr="00A23F4D">
        <w:tc>
          <w:tcPr>
            <w:tcW w:w="3260" w:type="dxa"/>
            <w:tcBorders>
              <w:top w:val="single" w:sz="4" w:space="0" w:color="auto"/>
              <w:bottom w:val="single" w:sz="4" w:space="0" w:color="auto"/>
            </w:tcBorders>
            <w:vAlign w:val="center"/>
          </w:tcPr>
          <w:p w14:paraId="0A9E92A5"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Characteristic</w:t>
            </w:r>
          </w:p>
        </w:tc>
        <w:tc>
          <w:tcPr>
            <w:tcW w:w="1559" w:type="dxa"/>
            <w:tcBorders>
              <w:top w:val="single" w:sz="4" w:space="0" w:color="auto"/>
              <w:bottom w:val="single" w:sz="4" w:space="0" w:color="auto"/>
            </w:tcBorders>
            <w:vAlign w:val="center"/>
          </w:tcPr>
          <w:p w14:paraId="006C7F37" w14:textId="77777777" w:rsidR="00A23F4D"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 xml:space="preserve">Overall </w:t>
            </w:r>
          </w:p>
          <w:p w14:paraId="5D590817"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(n=477)</w:t>
            </w:r>
          </w:p>
        </w:tc>
        <w:tc>
          <w:tcPr>
            <w:tcW w:w="1843" w:type="dxa"/>
            <w:tcBorders>
              <w:top w:val="single" w:sz="4" w:space="0" w:color="auto"/>
              <w:bottom w:val="single" w:sz="4" w:space="0" w:color="auto"/>
            </w:tcBorders>
            <w:vAlign w:val="center"/>
          </w:tcPr>
          <w:p w14:paraId="3B985384"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Lower CCA burden (n=180)</w:t>
            </w:r>
          </w:p>
        </w:tc>
        <w:tc>
          <w:tcPr>
            <w:tcW w:w="2126" w:type="dxa"/>
            <w:tcBorders>
              <w:top w:val="single" w:sz="4" w:space="0" w:color="auto"/>
              <w:bottom w:val="single" w:sz="4" w:space="0" w:color="auto"/>
            </w:tcBorders>
            <w:vAlign w:val="center"/>
          </w:tcPr>
          <w:p w14:paraId="5DC8C93D"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Higher CCA burden (n=297)</w:t>
            </w:r>
          </w:p>
        </w:tc>
        <w:tc>
          <w:tcPr>
            <w:tcW w:w="974" w:type="dxa"/>
            <w:tcBorders>
              <w:top w:val="single" w:sz="4" w:space="0" w:color="auto"/>
              <w:bottom w:val="single" w:sz="4" w:space="0" w:color="auto"/>
            </w:tcBorders>
            <w:vAlign w:val="center"/>
          </w:tcPr>
          <w:p w14:paraId="7ADD24A4"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P-value</w:t>
            </w:r>
          </w:p>
        </w:tc>
      </w:tr>
      <w:tr w:rsidR="00DE2CEE" w:rsidRPr="00B85224" w14:paraId="10E2F9DD" w14:textId="77777777" w:rsidTr="00A23F4D">
        <w:tc>
          <w:tcPr>
            <w:tcW w:w="3260" w:type="dxa"/>
            <w:tcBorders>
              <w:top w:val="single" w:sz="4" w:space="0" w:color="auto"/>
            </w:tcBorders>
            <w:vAlign w:val="center"/>
          </w:tcPr>
          <w:p w14:paraId="1F12A0D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Age, years, mean ± SD</w:t>
            </w:r>
          </w:p>
        </w:tc>
        <w:tc>
          <w:tcPr>
            <w:tcW w:w="1559" w:type="dxa"/>
            <w:tcBorders>
              <w:top w:val="single" w:sz="4" w:space="0" w:color="auto"/>
            </w:tcBorders>
            <w:vAlign w:val="center"/>
          </w:tcPr>
          <w:p w14:paraId="28B1D58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56.57 ± 14.97</w:t>
            </w:r>
          </w:p>
        </w:tc>
        <w:tc>
          <w:tcPr>
            <w:tcW w:w="1843" w:type="dxa"/>
            <w:tcBorders>
              <w:top w:val="single" w:sz="4" w:space="0" w:color="auto"/>
            </w:tcBorders>
            <w:vAlign w:val="center"/>
          </w:tcPr>
          <w:p w14:paraId="4958E84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53.51 ± 16.84</w:t>
            </w:r>
          </w:p>
        </w:tc>
        <w:tc>
          <w:tcPr>
            <w:tcW w:w="2126" w:type="dxa"/>
            <w:tcBorders>
              <w:top w:val="single" w:sz="4" w:space="0" w:color="auto"/>
            </w:tcBorders>
            <w:vAlign w:val="center"/>
          </w:tcPr>
          <w:p w14:paraId="72D3653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58.42 ± 13.44</w:t>
            </w:r>
          </w:p>
        </w:tc>
        <w:tc>
          <w:tcPr>
            <w:tcW w:w="974" w:type="dxa"/>
            <w:tcBorders>
              <w:top w:val="single" w:sz="4" w:space="0" w:color="auto"/>
            </w:tcBorders>
            <w:vAlign w:val="center"/>
          </w:tcPr>
          <w:p w14:paraId="32DE2FF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.001</w:t>
            </w:r>
          </w:p>
        </w:tc>
      </w:tr>
      <w:tr w:rsidR="00DE2CEE" w:rsidRPr="00B85224" w14:paraId="2AA689EF" w14:textId="77777777" w:rsidTr="00A23F4D">
        <w:tc>
          <w:tcPr>
            <w:tcW w:w="3260" w:type="dxa"/>
            <w:vAlign w:val="center"/>
          </w:tcPr>
          <w:p w14:paraId="6E9852A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Sex, n (%)</w:t>
            </w:r>
          </w:p>
        </w:tc>
        <w:tc>
          <w:tcPr>
            <w:tcW w:w="1559" w:type="dxa"/>
            <w:vAlign w:val="center"/>
          </w:tcPr>
          <w:p w14:paraId="64A883F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.268</w:t>
            </w:r>
          </w:p>
        </w:tc>
        <w:tc>
          <w:tcPr>
            <w:tcW w:w="1843" w:type="dxa"/>
            <w:vAlign w:val="center"/>
          </w:tcPr>
          <w:p w14:paraId="2FDAD7AC" w14:textId="77777777" w:rsidR="00DE2CEE" w:rsidRPr="00B85224" w:rsidRDefault="00DE2CEE" w:rsidP="00DE2CEE">
            <w:pPr>
              <w:rPr>
                <w:rFonts w:ascii="Arial" w:hAnsi="Arial" w:cs="Arial"/>
                <w:sz w:val="20"/>
                <w:szCs w:val="20"/>
              </w:rPr>
            </w:pPr>
          </w:p>
        </w:tc>
        <w:tc>
          <w:tcPr>
            <w:tcW w:w="2126" w:type="dxa"/>
            <w:vAlign w:val="center"/>
          </w:tcPr>
          <w:p w14:paraId="7990A584" w14:textId="77777777" w:rsidR="00DE2CEE" w:rsidRPr="00B85224" w:rsidRDefault="00DE2CEE" w:rsidP="00DE2CEE">
            <w:pPr>
              <w:rPr>
                <w:rFonts w:ascii="Arial" w:hAnsi="Arial" w:cs="Arial"/>
                <w:sz w:val="20"/>
                <w:szCs w:val="20"/>
              </w:rPr>
            </w:pPr>
          </w:p>
        </w:tc>
        <w:tc>
          <w:tcPr>
            <w:tcW w:w="974" w:type="dxa"/>
            <w:vAlign w:val="center"/>
          </w:tcPr>
          <w:p w14:paraId="3D2AB675" w14:textId="77777777" w:rsidR="00DE2CEE" w:rsidRPr="00B85224" w:rsidRDefault="00DE2CEE" w:rsidP="00DE2CEE">
            <w:pPr>
              <w:rPr>
                <w:rFonts w:ascii="Arial" w:hAnsi="Arial" w:cs="Arial"/>
                <w:sz w:val="20"/>
                <w:szCs w:val="20"/>
              </w:rPr>
            </w:pPr>
          </w:p>
        </w:tc>
      </w:tr>
      <w:tr w:rsidR="00DE2CEE" w:rsidRPr="00B85224" w14:paraId="7675249B" w14:textId="77777777" w:rsidTr="00A23F4D">
        <w:tc>
          <w:tcPr>
            <w:tcW w:w="3260" w:type="dxa"/>
            <w:vAlign w:val="center"/>
          </w:tcPr>
          <w:p w14:paraId="52067116"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Male</w:t>
            </w:r>
          </w:p>
        </w:tc>
        <w:tc>
          <w:tcPr>
            <w:tcW w:w="1559" w:type="dxa"/>
            <w:vAlign w:val="center"/>
          </w:tcPr>
          <w:p w14:paraId="5C2D3BF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198 (41.5)</w:t>
            </w:r>
          </w:p>
        </w:tc>
        <w:tc>
          <w:tcPr>
            <w:tcW w:w="1843" w:type="dxa"/>
            <w:vAlign w:val="center"/>
          </w:tcPr>
          <w:p w14:paraId="4E62974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(45.0)</w:t>
            </w:r>
          </w:p>
        </w:tc>
        <w:tc>
          <w:tcPr>
            <w:tcW w:w="2126" w:type="dxa"/>
            <w:vAlign w:val="center"/>
          </w:tcPr>
          <w:p w14:paraId="37522DC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(39.4)</w:t>
            </w:r>
          </w:p>
        </w:tc>
        <w:tc>
          <w:tcPr>
            <w:tcW w:w="974" w:type="dxa"/>
            <w:vAlign w:val="center"/>
          </w:tcPr>
          <w:p w14:paraId="66B2DA7F" w14:textId="77777777" w:rsidR="00DE2CEE" w:rsidRPr="00B85224" w:rsidRDefault="00DE2CEE" w:rsidP="00DE2CEE">
            <w:pPr>
              <w:rPr>
                <w:rFonts w:ascii="Arial" w:hAnsi="Arial" w:cs="Arial"/>
                <w:sz w:val="20"/>
                <w:szCs w:val="20"/>
              </w:rPr>
            </w:pPr>
          </w:p>
        </w:tc>
      </w:tr>
      <w:tr w:rsidR="00DE2CEE" w:rsidRPr="00B85224" w14:paraId="325DBDF3" w14:textId="77777777" w:rsidTr="00A23F4D">
        <w:tc>
          <w:tcPr>
            <w:tcW w:w="3260" w:type="dxa"/>
            <w:vAlign w:val="center"/>
          </w:tcPr>
          <w:p w14:paraId="070A52C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Female</w:t>
            </w:r>
          </w:p>
        </w:tc>
        <w:tc>
          <w:tcPr>
            <w:tcW w:w="1559" w:type="dxa"/>
            <w:vAlign w:val="center"/>
          </w:tcPr>
          <w:p w14:paraId="3216A1E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279 (58.5)</w:t>
            </w:r>
          </w:p>
        </w:tc>
        <w:tc>
          <w:tcPr>
            <w:tcW w:w="1843" w:type="dxa"/>
            <w:vAlign w:val="center"/>
          </w:tcPr>
          <w:p w14:paraId="294D7C8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99 (55.0)</w:t>
            </w:r>
          </w:p>
        </w:tc>
        <w:tc>
          <w:tcPr>
            <w:tcW w:w="2126" w:type="dxa"/>
            <w:vAlign w:val="center"/>
          </w:tcPr>
          <w:p w14:paraId="1CADF7B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(60.6)</w:t>
            </w:r>
          </w:p>
        </w:tc>
        <w:tc>
          <w:tcPr>
            <w:tcW w:w="974" w:type="dxa"/>
            <w:vAlign w:val="center"/>
          </w:tcPr>
          <w:p w14:paraId="590510AE" w14:textId="77777777" w:rsidR="00DE2CEE" w:rsidRPr="00B85224" w:rsidRDefault="00DE2CEE" w:rsidP="00DE2CEE">
            <w:pPr>
              <w:rPr>
                <w:rFonts w:ascii="Arial" w:hAnsi="Arial" w:cs="Arial"/>
                <w:sz w:val="20"/>
                <w:szCs w:val="20"/>
              </w:rPr>
            </w:pPr>
          </w:p>
        </w:tc>
      </w:tr>
      <w:tr w:rsidR="00DE2CEE" w:rsidRPr="00B85224" w14:paraId="194F105F" w14:textId="77777777" w:rsidTr="00A23F4D">
        <w:tc>
          <w:tcPr>
            <w:tcW w:w="3260" w:type="dxa"/>
            <w:vAlign w:val="center"/>
          </w:tcPr>
          <w:p w14:paraId="514CEBD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Educational level, n (%)</w:t>
            </w:r>
          </w:p>
        </w:tc>
        <w:tc>
          <w:tcPr>
            <w:tcW w:w="1559" w:type="dxa"/>
            <w:vAlign w:val="center"/>
          </w:tcPr>
          <w:p w14:paraId="0F008BC6"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22FED74A" w14:textId="77777777" w:rsidR="00DE2CEE" w:rsidRPr="00B85224" w:rsidRDefault="00DE2CEE" w:rsidP="00DE2CEE">
            <w:pPr>
              <w:rPr>
                <w:rFonts w:ascii="Arial" w:hAnsi="Arial" w:cs="Arial"/>
                <w:sz w:val="20"/>
                <w:szCs w:val="20"/>
              </w:rPr>
            </w:pPr>
          </w:p>
        </w:tc>
        <w:tc>
          <w:tcPr>
            <w:tcW w:w="2126" w:type="dxa"/>
            <w:vAlign w:val="center"/>
          </w:tcPr>
          <w:p w14:paraId="2595F9BE" w14:textId="77777777" w:rsidR="00DE2CEE" w:rsidRPr="00B85224" w:rsidRDefault="00DE2CEE" w:rsidP="00DE2CEE">
            <w:pPr>
              <w:rPr>
                <w:rFonts w:ascii="Arial" w:hAnsi="Arial" w:cs="Arial"/>
                <w:sz w:val="20"/>
                <w:szCs w:val="20"/>
              </w:rPr>
            </w:pPr>
          </w:p>
        </w:tc>
        <w:tc>
          <w:tcPr>
            <w:tcW w:w="974" w:type="dxa"/>
            <w:vAlign w:val="center"/>
          </w:tcPr>
          <w:p w14:paraId="059AA8EC"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4E85CC4B" w14:textId="77777777" w:rsidTr="00A23F4D">
        <w:tc>
          <w:tcPr>
            <w:tcW w:w="3260" w:type="dxa"/>
            <w:vAlign w:val="center"/>
          </w:tcPr>
          <w:p w14:paraId="0933CD8E"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No formal schooling</w:t>
            </w:r>
          </w:p>
        </w:tc>
        <w:tc>
          <w:tcPr>
            <w:tcW w:w="1559" w:type="dxa"/>
            <w:vAlign w:val="center"/>
          </w:tcPr>
          <w:p w14:paraId="236167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(11.3)</w:t>
            </w:r>
          </w:p>
        </w:tc>
        <w:tc>
          <w:tcPr>
            <w:tcW w:w="1843" w:type="dxa"/>
            <w:vAlign w:val="center"/>
          </w:tcPr>
          <w:p w14:paraId="6ABFF1B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60A9583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(15.2)</w:t>
            </w:r>
          </w:p>
        </w:tc>
        <w:tc>
          <w:tcPr>
            <w:tcW w:w="974" w:type="dxa"/>
            <w:vAlign w:val="center"/>
          </w:tcPr>
          <w:p w14:paraId="5BAB1D09" w14:textId="77777777" w:rsidR="00DE2CEE" w:rsidRPr="00B85224" w:rsidRDefault="00DE2CEE" w:rsidP="00DE2CEE">
            <w:pPr>
              <w:rPr>
                <w:rFonts w:ascii="Arial" w:hAnsi="Arial" w:cs="Arial"/>
                <w:sz w:val="20"/>
                <w:szCs w:val="20"/>
              </w:rPr>
            </w:pPr>
          </w:p>
        </w:tc>
      </w:tr>
      <w:tr w:rsidR="00DE2CEE" w:rsidRPr="00B85224" w14:paraId="6713988B" w14:textId="77777777" w:rsidTr="00A23F4D">
        <w:tc>
          <w:tcPr>
            <w:tcW w:w="3260" w:type="dxa"/>
            <w:vAlign w:val="center"/>
          </w:tcPr>
          <w:p w14:paraId="7DFB33E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Primary school</w:t>
            </w:r>
          </w:p>
        </w:tc>
        <w:tc>
          <w:tcPr>
            <w:tcW w:w="1559" w:type="dxa"/>
            <w:vAlign w:val="center"/>
          </w:tcPr>
          <w:p w14:paraId="2903433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(17.0)</w:t>
            </w:r>
          </w:p>
        </w:tc>
        <w:tc>
          <w:tcPr>
            <w:tcW w:w="1843" w:type="dxa"/>
            <w:vAlign w:val="center"/>
          </w:tcPr>
          <w:p w14:paraId="7D37740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536ABD2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(18.2)</w:t>
            </w:r>
          </w:p>
        </w:tc>
        <w:tc>
          <w:tcPr>
            <w:tcW w:w="974" w:type="dxa"/>
            <w:vAlign w:val="center"/>
          </w:tcPr>
          <w:p w14:paraId="40E6889C" w14:textId="77777777" w:rsidR="00DE2CEE" w:rsidRPr="00B85224" w:rsidRDefault="00DE2CEE" w:rsidP="00DE2CEE">
            <w:pPr>
              <w:rPr>
                <w:rFonts w:ascii="Arial" w:hAnsi="Arial" w:cs="Arial"/>
                <w:sz w:val="20"/>
                <w:szCs w:val="20"/>
              </w:rPr>
            </w:pPr>
          </w:p>
        </w:tc>
      </w:tr>
      <w:tr w:rsidR="00DE2CEE" w:rsidRPr="00B85224" w14:paraId="110F8280" w14:textId="77777777" w:rsidTr="00A23F4D">
        <w:tc>
          <w:tcPr>
            <w:tcW w:w="3260" w:type="dxa"/>
            <w:vAlign w:val="center"/>
          </w:tcPr>
          <w:p w14:paraId="75CFFE76"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Secondary school</w:t>
            </w:r>
          </w:p>
        </w:tc>
        <w:tc>
          <w:tcPr>
            <w:tcW w:w="1559" w:type="dxa"/>
            <w:vAlign w:val="center"/>
          </w:tcPr>
          <w:p w14:paraId="4761D94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0FD9153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(50.0)</w:t>
            </w:r>
          </w:p>
        </w:tc>
        <w:tc>
          <w:tcPr>
            <w:tcW w:w="2126" w:type="dxa"/>
            <w:vAlign w:val="center"/>
          </w:tcPr>
          <w:p w14:paraId="160ECC9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(30.3)</w:t>
            </w:r>
          </w:p>
        </w:tc>
        <w:tc>
          <w:tcPr>
            <w:tcW w:w="974" w:type="dxa"/>
            <w:vAlign w:val="center"/>
          </w:tcPr>
          <w:p w14:paraId="50CAD9BA" w14:textId="77777777" w:rsidR="00DE2CEE" w:rsidRPr="00B85224" w:rsidRDefault="00DE2CEE" w:rsidP="00DE2CEE">
            <w:pPr>
              <w:rPr>
                <w:rFonts w:ascii="Arial" w:hAnsi="Arial" w:cs="Arial"/>
                <w:sz w:val="20"/>
                <w:szCs w:val="20"/>
              </w:rPr>
            </w:pPr>
          </w:p>
        </w:tc>
      </w:tr>
      <w:tr w:rsidR="00DE2CEE" w:rsidRPr="00B85224" w14:paraId="30B6E7F1" w14:textId="77777777" w:rsidTr="00A23F4D">
        <w:tc>
          <w:tcPr>
            <w:tcW w:w="3260" w:type="dxa"/>
            <w:vAlign w:val="center"/>
          </w:tcPr>
          <w:p w14:paraId="1B0E1862"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Post-secondary education</w:t>
            </w:r>
          </w:p>
        </w:tc>
        <w:tc>
          <w:tcPr>
            <w:tcW w:w="1559" w:type="dxa"/>
            <w:vAlign w:val="center"/>
          </w:tcPr>
          <w:p w14:paraId="06CA1DB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162 (34.0)</w:t>
            </w:r>
          </w:p>
        </w:tc>
        <w:tc>
          <w:tcPr>
            <w:tcW w:w="1843" w:type="dxa"/>
            <w:vAlign w:val="center"/>
          </w:tcPr>
          <w:p w14:paraId="12E23B6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(30.0)</w:t>
            </w:r>
          </w:p>
        </w:tc>
        <w:tc>
          <w:tcPr>
            <w:tcW w:w="2126" w:type="dxa"/>
            <w:vAlign w:val="center"/>
          </w:tcPr>
          <w:p w14:paraId="0C0E0DC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108 (36.4)</w:t>
            </w:r>
          </w:p>
        </w:tc>
        <w:tc>
          <w:tcPr>
            <w:tcW w:w="974" w:type="dxa"/>
            <w:vAlign w:val="center"/>
          </w:tcPr>
          <w:p w14:paraId="12325A17" w14:textId="77777777" w:rsidR="00DE2CEE" w:rsidRPr="00B85224" w:rsidRDefault="00DE2CEE" w:rsidP="00DE2CEE">
            <w:pPr>
              <w:rPr>
                <w:rFonts w:ascii="Arial" w:hAnsi="Arial" w:cs="Arial"/>
                <w:sz w:val="20"/>
                <w:szCs w:val="20"/>
              </w:rPr>
            </w:pPr>
          </w:p>
        </w:tc>
      </w:tr>
      <w:tr w:rsidR="00DE2CEE" w:rsidRPr="00B85224" w14:paraId="39218D41" w14:textId="77777777" w:rsidTr="00A23F4D">
        <w:tc>
          <w:tcPr>
            <w:tcW w:w="3260" w:type="dxa"/>
            <w:vAlign w:val="center"/>
          </w:tcPr>
          <w:p w14:paraId="73ECDC3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Marital status, n (%)</w:t>
            </w:r>
          </w:p>
        </w:tc>
        <w:tc>
          <w:tcPr>
            <w:tcW w:w="1559" w:type="dxa"/>
            <w:vAlign w:val="center"/>
          </w:tcPr>
          <w:p w14:paraId="60CA329A"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4804365B" w14:textId="77777777" w:rsidR="00DE2CEE" w:rsidRPr="00B85224" w:rsidRDefault="00DE2CEE" w:rsidP="00DE2CEE">
            <w:pPr>
              <w:rPr>
                <w:rFonts w:ascii="Arial" w:hAnsi="Arial" w:cs="Arial"/>
                <w:sz w:val="20"/>
                <w:szCs w:val="20"/>
              </w:rPr>
            </w:pPr>
          </w:p>
        </w:tc>
        <w:tc>
          <w:tcPr>
            <w:tcW w:w="2126" w:type="dxa"/>
            <w:vAlign w:val="center"/>
          </w:tcPr>
          <w:p w14:paraId="64A616ED" w14:textId="77777777" w:rsidR="00DE2CEE" w:rsidRPr="00B85224" w:rsidRDefault="00DE2CEE" w:rsidP="00DE2CEE">
            <w:pPr>
              <w:rPr>
                <w:rFonts w:ascii="Arial" w:hAnsi="Arial" w:cs="Arial"/>
                <w:sz w:val="20"/>
                <w:szCs w:val="20"/>
              </w:rPr>
            </w:pPr>
          </w:p>
        </w:tc>
        <w:tc>
          <w:tcPr>
            <w:tcW w:w="974" w:type="dxa"/>
            <w:vAlign w:val="center"/>
          </w:tcPr>
          <w:p w14:paraId="52CA6214"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09EE2BCB" w14:textId="77777777" w:rsidTr="00A23F4D">
        <w:tc>
          <w:tcPr>
            <w:tcW w:w="3260" w:type="dxa"/>
            <w:vAlign w:val="center"/>
          </w:tcPr>
          <w:p w14:paraId="5734D75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Never married</w:t>
            </w:r>
          </w:p>
        </w:tc>
        <w:tc>
          <w:tcPr>
            <w:tcW w:w="1559" w:type="dxa"/>
            <w:vAlign w:val="center"/>
          </w:tcPr>
          <w:p w14:paraId="213637EB"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380BE9E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3C18C08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1C9E8F5A" w14:textId="77777777" w:rsidR="00DE2CEE" w:rsidRPr="00B85224" w:rsidRDefault="00DE2CEE" w:rsidP="00DE2CEE">
            <w:pPr>
              <w:rPr>
                <w:rFonts w:ascii="Arial" w:hAnsi="Arial" w:cs="Arial"/>
                <w:sz w:val="20"/>
                <w:szCs w:val="20"/>
              </w:rPr>
            </w:pPr>
          </w:p>
        </w:tc>
      </w:tr>
      <w:tr w:rsidR="00DE2CEE" w:rsidRPr="00B85224" w14:paraId="40D6894E" w14:textId="77777777" w:rsidTr="00A23F4D">
        <w:tc>
          <w:tcPr>
            <w:tcW w:w="3260" w:type="dxa"/>
            <w:vAlign w:val="center"/>
          </w:tcPr>
          <w:p w14:paraId="1112B1C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Currently married</w:t>
            </w:r>
          </w:p>
        </w:tc>
        <w:tc>
          <w:tcPr>
            <w:tcW w:w="1559" w:type="dxa"/>
            <w:vAlign w:val="center"/>
          </w:tcPr>
          <w:p w14:paraId="153B37D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243 (50.9)</w:t>
            </w:r>
          </w:p>
        </w:tc>
        <w:tc>
          <w:tcPr>
            <w:tcW w:w="1843" w:type="dxa"/>
            <w:vAlign w:val="center"/>
          </w:tcPr>
          <w:p w14:paraId="1BDA52C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(50.0)</w:t>
            </w:r>
          </w:p>
        </w:tc>
        <w:tc>
          <w:tcPr>
            <w:tcW w:w="2126" w:type="dxa"/>
            <w:vAlign w:val="center"/>
          </w:tcPr>
          <w:p w14:paraId="21A6790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(51.5)</w:t>
            </w:r>
          </w:p>
        </w:tc>
        <w:tc>
          <w:tcPr>
            <w:tcW w:w="974" w:type="dxa"/>
            <w:vAlign w:val="center"/>
          </w:tcPr>
          <w:p w14:paraId="0A7EE2FC" w14:textId="77777777" w:rsidR="00DE2CEE" w:rsidRPr="00B85224" w:rsidRDefault="00DE2CEE" w:rsidP="00DE2CEE">
            <w:pPr>
              <w:rPr>
                <w:rFonts w:ascii="Arial" w:hAnsi="Arial" w:cs="Arial"/>
                <w:sz w:val="20"/>
                <w:szCs w:val="20"/>
              </w:rPr>
            </w:pPr>
          </w:p>
        </w:tc>
      </w:tr>
      <w:tr w:rsidR="00DE2CEE" w:rsidRPr="00B85224" w14:paraId="1097D05B" w14:textId="77777777" w:rsidTr="00A23F4D">
        <w:tc>
          <w:tcPr>
            <w:tcW w:w="3260" w:type="dxa"/>
            <w:vAlign w:val="center"/>
          </w:tcPr>
          <w:p w14:paraId="015E522D"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Cohabiting</w:t>
            </w:r>
          </w:p>
        </w:tc>
        <w:tc>
          <w:tcPr>
            <w:tcW w:w="1559" w:type="dxa"/>
            <w:vAlign w:val="center"/>
          </w:tcPr>
          <w:p w14:paraId="1A833DD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(1.9)</w:t>
            </w:r>
          </w:p>
        </w:tc>
        <w:tc>
          <w:tcPr>
            <w:tcW w:w="1843" w:type="dxa"/>
            <w:vAlign w:val="center"/>
          </w:tcPr>
          <w:p w14:paraId="37E87BD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2126" w:type="dxa"/>
            <w:vAlign w:val="center"/>
          </w:tcPr>
          <w:p w14:paraId="6CE3831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(3.0)</w:t>
            </w:r>
          </w:p>
        </w:tc>
        <w:tc>
          <w:tcPr>
            <w:tcW w:w="974" w:type="dxa"/>
            <w:vAlign w:val="center"/>
          </w:tcPr>
          <w:p w14:paraId="6F28F04E" w14:textId="77777777" w:rsidR="00DE2CEE" w:rsidRPr="00B85224" w:rsidRDefault="00DE2CEE" w:rsidP="00DE2CEE">
            <w:pPr>
              <w:rPr>
                <w:rFonts w:ascii="Arial" w:hAnsi="Arial" w:cs="Arial"/>
                <w:sz w:val="20"/>
                <w:szCs w:val="20"/>
              </w:rPr>
            </w:pPr>
          </w:p>
        </w:tc>
      </w:tr>
      <w:tr w:rsidR="00DE2CEE" w:rsidRPr="00B85224" w14:paraId="3FAE45BA" w14:textId="77777777" w:rsidTr="00A23F4D">
        <w:tc>
          <w:tcPr>
            <w:tcW w:w="3260" w:type="dxa"/>
            <w:vAlign w:val="center"/>
          </w:tcPr>
          <w:p w14:paraId="2B20FBD1"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Widowed</w:t>
            </w:r>
          </w:p>
        </w:tc>
        <w:tc>
          <w:tcPr>
            <w:tcW w:w="1559" w:type="dxa"/>
            <w:vAlign w:val="center"/>
          </w:tcPr>
          <w:p w14:paraId="2B6942B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00312C6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7980BDD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135 (45.5)</w:t>
            </w:r>
          </w:p>
        </w:tc>
        <w:tc>
          <w:tcPr>
            <w:tcW w:w="974" w:type="dxa"/>
            <w:vAlign w:val="center"/>
          </w:tcPr>
          <w:p w14:paraId="5B009057" w14:textId="77777777" w:rsidR="00DE2CEE" w:rsidRPr="00B85224" w:rsidRDefault="00DE2CEE" w:rsidP="00DE2CEE">
            <w:pPr>
              <w:rPr>
                <w:rFonts w:ascii="Arial" w:hAnsi="Arial" w:cs="Arial"/>
                <w:sz w:val="20"/>
                <w:szCs w:val="20"/>
              </w:rPr>
            </w:pPr>
          </w:p>
        </w:tc>
      </w:tr>
      <w:tr w:rsidR="00DE2CEE" w:rsidRPr="00B85224" w14:paraId="4FA3D411" w14:textId="77777777" w:rsidTr="00A23F4D">
        <w:tc>
          <w:tcPr>
            <w:tcW w:w="3260" w:type="dxa"/>
            <w:vAlign w:val="center"/>
          </w:tcPr>
          <w:p w14:paraId="1BB5CE8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Ethnicity, n (%)</w:t>
            </w:r>
          </w:p>
        </w:tc>
        <w:tc>
          <w:tcPr>
            <w:tcW w:w="1559" w:type="dxa"/>
            <w:vAlign w:val="center"/>
          </w:tcPr>
          <w:p w14:paraId="28C108B5"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1077BE4E" w14:textId="77777777" w:rsidR="00DE2CEE" w:rsidRPr="00B85224" w:rsidRDefault="00DE2CEE" w:rsidP="00DE2CEE">
            <w:pPr>
              <w:rPr>
                <w:rFonts w:ascii="Arial" w:hAnsi="Arial" w:cs="Arial"/>
                <w:sz w:val="20"/>
                <w:szCs w:val="20"/>
              </w:rPr>
            </w:pPr>
          </w:p>
        </w:tc>
        <w:tc>
          <w:tcPr>
            <w:tcW w:w="2126" w:type="dxa"/>
            <w:vAlign w:val="center"/>
          </w:tcPr>
          <w:p w14:paraId="5CCC72CD" w14:textId="77777777" w:rsidR="00DE2CEE" w:rsidRPr="00B85224" w:rsidRDefault="00DE2CEE" w:rsidP="00DE2CEE">
            <w:pPr>
              <w:rPr>
                <w:rFonts w:ascii="Arial" w:hAnsi="Arial" w:cs="Arial"/>
                <w:sz w:val="20"/>
                <w:szCs w:val="20"/>
              </w:rPr>
            </w:pPr>
          </w:p>
        </w:tc>
        <w:tc>
          <w:tcPr>
            <w:tcW w:w="974" w:type="dxa"/>
            <w:vAlign w:val="center"/>
          </w:tcPr>
          <w:p w14:paraId="2A5D12B8" w14:textId="77777777" w:rsidR="00DE2CEE" w:rsidRPr="00B85224" w:rsidRDefault="00DE2CEE" w:rsidP="00DE2CEE">
            <w:pPr>
              <w:rPr>
                <w:rFonts w:ascii="Arial" w:hAnsi="Arial" w:cs="Arial"/>
                <w:sz w:val="20"/>
                <w:szCs w:val="20"/>
              </w:rPr>
            </w:pPr>
            <w:r w:rsidRPr="00B85224">
              <w:rPr>
                <w:rFonts w:ascii="Arial" w:hAnsi="Arial" w:cs="Arial"/>
                <w:b/>
                <w:bCs/>
                <w:sz w:val="20"/>
                <w:szCs w:val="20"/>
              </w:rPr>
              <w:t>.005</w:t>
            </w:r>
          </w:p>
        </w:tc>
      </w:tr>
      <w:tr w:rsidR="00DE2CEE" w:rsidRPr="00B85224" w14:paraId="28BC87FA" w14:textId="77777777" w:rsidTr="00A23F4D">
        <w:tc>
          <w:tcPr>
            <w:tcW w:w="3260" w:type="dxa"/>
            <w:vAlign w:val="center"/>
          </w:tcPr>
          <w:p w14:paraId="5B0B64FE"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lastRenderedPageBreak/>
              <w:t>Ikwerre</w:t>
            </w:r>
          </w:p>
        </w:tc>
        <w:tc>
          <w:tcPr>
            <w:tcW w:w="1559" w:type="dxa"/>
            <w:vAlign w:val="center"/>
          </w:tcPr>
          <w:p w14:paraId="5F2E55C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369 (77.4)</w:t>
            </w:r>
          </w:p>
        </w:tc>
        <w:tc>
          <w:tcPr>
            <w:tcW w:w="1843" w:type="dxa"/>
            <w:vAlign w:val="center"/>
          </w:tcPr>
          <w:p w14:paraId="0F9E075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(85.0)</w:t>
            </w:r>
          </w:p>
        </w:tc>
        <w:tc>
          <w:tcPr>
            <w:tcW w:w="2126" w:type="dxa"/>
            <w:vAlign w:val="center"/>
          </w:tcPr>
          <w:p w14:paraId="3C8C701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216 (72.7)</w:t>
            </w:r>
          </w:p>
        </w:tc>
        <w:tc>
          <w:tcPr>
            <w:tcW w:w="974" w:type="dxa"/>
            <w:vAlign w:val="center"/>
          </w:tcPr>
          <w:p w14:paraId="72B51A3D" w14:textId="77777777" w:rsidR="00DE2CEE" w:rsidRPr="00B85224" w:rsidRDefault="00DE2CEE" w:rsidP="00DE2CEE">
            <w:pPr>
              <w:rPr>
                <w:rFonts w:ascii="Arial" w:hAnsi="Arial" w:cs="Arial"/>
                <w:sz w:val="20"/>
                <w:szCs w:val="20"/>
              </w:rPr>
            </w:pPr>
          </w:p>
        </w:tc>
      </w:tr>
      <w:tr w:rsidR="00DE2CEE" w:rsidRPr="00B85224" w14:paraId="13906CA8" w14:textId="77777777" w:rsidTr="00A23F4D">
        <w:tc>
          <w:tcPr>
            <w:tcW w:w="3260" w:type="dxa"/>
            <w:vAlign w:val="center"/>
          </w:tcPr>
          <w:p w14:paraId="63B9585C"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Igbo</w:t>
            </w:r>
          </w:p>
        </w:tc>
        <w:tc>
          <w:tcPr>
            <w:tcW w:w="1559" w:type="dxa"/>
            <w:vAlign w:val="center"/>
          </w:tcPr>
          <w:p w14:paraId="587FB9C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3706166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7F9544F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 (12.1)</w:t>
            </w:r>
          </w:p>
        </w:tc>
        <w:tc>
          <w:tcPr>
            <w:tcW w:w="974" w:type="dxa"/>
            <w:vAlign w:val="center"/>
          </w:tcPr>
          <w:p w14:paraId="1C841E70" w14:textId="77777777" w:rsidR="00DE2CEE" w:rsidRPr="00B85224" w:rsidRDefault="00DE2CEE" w:rsidP="00DE2CEE">
            <w:pPr>
              <w:rPr>
                <w:rFonts w:ascii="Arial" w:hAnsi="Arial" w:cs="Arial"/>
                <w:sz w:val="20"/>
                <w:szCs w:val="20"/>
              </w:rPr>
            </w:pPr>
          </w:p>
        </w:tc>
      </w:tr>
      <w:tr w:rsidR="00DE2CEE" w:rsidRPr="00B85224" w14:paraId="2BD9D3F9" w14:textId="77777777" w:rsidTr="00A23F4D">
        <w:tc>
          <w:tcPr>
            <w:tcW w:w="3260" w:type="dxa"/>
            <w:vAlign w:val="center"/>
          </w:tcPr>
          <w:p w14:paraId="26A524D3"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Other ethnic groups</w:t>
            </w:r>
          </w:p>
        </w:tc>
        <w:tc>
          <w:tcPr>
            <w:tcW w:w="1559" w:type="dxa"/>
            <w:vAlign w:val="center"/>
          </w:tcPr>
          <w:p w14:paraId="28828A8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(13.2)</w:t>
            </w:r>
          </w:p>
        </w:tc>
        <w:tc>
          <w:tcPr>
            <w:tcW w:w="1843" w:type="dxa"/>
            <w:vAlign w:val="center"/>
          </w:tcPr>
          <w:p w14:paraId="3309D2C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1AE920A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(15.2)</w:t>
            </w:r>
          </w:p>
        </w:tc>
        <w:tc>
          <w:tcPr>
            <w:tcW w:w="974" w:type="dxa"/>
            <w:vAlign w:val="center"/>
          </w:tcPr>
          <w:p w14:paraId="7C9644C9" w14:textId="77777777" w:rsidR="00DE2CEE" w:rsidRPr="00B85224" w:rsidRDefault="00DE2CEE" w:rsidP="00DE2CEE">
            <w:pPr>
              <w:rPr>
                <w:rFonts w:ascii="Arial" w:hAnsi="Arial" w:cs="Arial"/>
                <w:sz w:val="20"/>
                <w:szCs w:val="20"/>
              </w:rPr>
            </w:pPr>
          </w:p>
        </w:tc>
      </w:tr>
      <w:tr w:rsidR="00DE2CEE" w:rsidRPr="00B85224" w14:paraId="2F89BD44" w14:textId="77777777" w:rsidTr="00A23F4D">
        <w:tc>
          <w:tcPr>
            <w:tcW w:w="3260" w:type="dxa"/>
            <w:vAlign w:val="center"/>
          </w:tcPr>
          <w:p w14:paraId="5EA5C22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Employment status, n (%)</w:t>
            </w:r>
          </w:p>
        </w:tc>
        <w:tc>
          <w:tcPr>
            <w:tcW w:w="1559" w:type="dxa"/>
            <w:vAlign w:val="center"/>
          </w:tcPr>
          <w:p w14:paraId="18167C68"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31AF6FA2" w14:textId="77777777" w:rsidR="00DE2CEE" w:rsidRPr="00B85224" w:rsidRDefault="00DE2CEE" w:rsidP="00DE2CEE">
            <w:pPr>
              <w:rPr>
                <w:rFonts w:ascii="Arial" w:hAnsi="Arial" w:cs="Arial"/>
                <w:sz w:val="20"/>
                <w:szCs w:val="20"/>
              </w:rPr>
            </w:pPr>
          </w:p>
        </w:tc>
        <w:tc>
          <w:tcPr>
            <w:tcW w:w="2126" w:type="dxa"/>
            <w:vAlign w:val="center"/>
          </w:tcPr>
          <w:p w14:paraId="325A6920" w14:textId="77777777" w:rsidR="00DE2CEE" w:rsidRPr="00B85224" w:rsidRDefault="00DE2CEE" w:rsidP="00DE2CEE">
            <w:pPr>
              <w:rPr>
                <w:rFonts w:ascii="Arial" w:hAnsi="Arial" w:cs="Arial"/>
                <w:sz w:val="20"/>
                <w:szCs w:val="20"/>
              </w:rPr>
            </w:pPr>
          </w:p>
        </w:tc>
        <w:tc>
          <w:tcPr>
            <w:tcW w:w="974" w:type="dxa"/>
            <w:vAlign w:val="center"/>
          </w:tcPr>
          <w:p w14:paraId="517FD135"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26E94D53" w14:textId="77777777" w:rsidTr="00A23F4D">
        <w:tc>
          <w:tcPr>
            <w:tcW w:w="3260" w:type="dxa"/>
            <w:vAlign w:val="center"/>
          </w:tcPr>
          <w:p w14:paraId="522E9977"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Government employee</w:t>
            </w:r>
          </w:p>
        </w:tc>
        <w:tc>
          <w:tcPr>
            <w:tcW w:w="1559" w:type="dxa"/>
            <w:vAlign w:val="center"/>
          </w:tcPr>
          <w:p w14:paraId="60C25A2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(1.9)</w:t>
            </w:r>
          </w:p>
        </w:tc>
        <w:tc>
          <w:tcPr>
            <w:tcW w:w="1843" w:type="dxa"/>
            <w:vAlign w:val="center"/>
          </w:tcPr>
          <w:p w14:paraId="1B0A321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712F4EC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3EED0BC5" w14:textId="77777777" w:rsidR="00DE2CEE" w:rsidRPr="00B85224" w:rsidRDefault="00DE2CEE" w:rsidP="00DE2CEE">
            <w:pPr>
              <w:rPr>
                <w:rFonts w:ascii="Arial" w:hAnsi="Arial" w:cs="Arial"/>
                <w:sz w:val="20"/>
                <w:szCs w:val="20"/>
              </w:rPr>
            </w:pPr>
          </w:p>
        </w:tc>
      </w:tr>
      <w:tr w:rsidR="00DE2CEE" w:rsidRPr="00B85224" w14:paraId="62DE9D2F" w14:textId="77777777" w:rsidTr="00A23F4D">
        <w:tc>
          <w:tcPr>
            <w:tcW w:w="3260" w:type="dxa"/>
            <w:vAlign w:val="center"/>
          </w:tcPr>
          <w:p w14:paraId="5F482AF0"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Non-government employee</w:t>
            </w:r>
          </w:p>
        </w:tc>
        <w:tc>
          <w:tcPr>
            <w:tcW w:w="1559" w:type="dxa"/>
            <w:vAlign w:val="center"/>
          </w:tcPr>
          <w:p w14:paraId="6EA4257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2A3DE56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2396697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 (12.1)</w:t>
            </w:r>
          </w:p>
        </w:tc>
        <w:tc>
          <w:tcPr>
            <w:tcW w:w="974" w:type="dxa"/>
            <w:vAlign w:val="center"/>
          </w:tcPr>
          <w:p w14:paraId="5C59249E" w14:textId="77777777" w:rsidR="00DE2CEE" w:rsidRPr="00B85224" w:rsidRDefault="00DE2CEE" w:rsidP="00DE2CEE">
            <w:pPr>
              <w:rPr>
                <w:rFonts w:ascii="Arial" w:hAnsi="Arial" w:cs="Arial"/>
                <w:sz w:val="20"/>
                <w:szCs w:val="20"/>
              </w:rPr>
            </w:pPr>
          </w:p>
        </w:tc>
      </w:tr>
      <w:tr w:rsidR="00DE2CEE" w:rsidRPr="00B85224" w14:paraId="747E4537" w14:textId="77777777" w:rsidTr="00A23F4D">
        <w:tc>
          <w:tcPr>
            <w:tcW w:w="3260" w:type="dxa"/>
            <w:vAlign w:val="center"/>
          </w:tcPr>
          <w:p w14:paraId="1141017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Self-employed</w:t>
            </w:r>
          </w:p>
        </w:tc>
        <w:tc>
          <w:tcPr>
            <w:tcW w:w="1559" w:type="dxa"/>
            <w:vAlign w:val="center"/>
          </w:tcPr>
          <w:p w14:paraId="05E239E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144 (30.2)</w:t>
            </w:r>
          </w:p>
        </w:tc>
        <w:tc>
          <w:tcPr>
            <w:tcW w:w="1843" w:type="dxa"/>
            <w:vAlign w:val="center"/>
          </w:tcPr>
          <w:p w14:paraId="52D5111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(35.0)</w:t>
            </w:r>
          </w:p>
        </w:tc>
        <w:tc>
          <w:tcPr>
            <w:tcW w:w="2126" w:type="dxa"/>
            <w:vAlign w:val="center"/>
          </w:tcPr>
          <w:p w14:paraId="52FC761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(27.3)</w:t>
            </w:r>
          </w:p>
        </w:tc>
        <w:tc>
          <w:tcPr>
            <w:tcW w:w="974" w:type="dxa"/>
            <w:vAlign w:val="center"/>
          </w:tcPr>
          <w:p w14:paraId="3A4B440C" w14:textId="77777777" w:rsidR="00DE2CEE" w:rsidRPr="00B85224" w:rsidRDefault="00DE2CEE" w:rsidP="00DE2CEE">
            <w:pPr>
              <w:rPr>
                <w:rFonts w:ascii="Arial" w:hAnsi="Arial" w:cs="Arial"/>
                <w:sz w:val="20"/>
                <w:szCs w:val="20"/>
              </w:rPr>
            </w:pPr>
          </w:p>
        </w:tc>
      </w:tr>
      <w:tr w:rsidR="00DE2CEE" w:rsidRPr="00B85224" w14:paraId="2484AA97" w14:textId="77777777" w:rsidTr="00A23F4D">
        <w:tc>
          <w:tcPr>
            <w:tcW w:w="3260" w:type="dxa"/>
            <w:vAlign w:val="center"/>
          </w:tcPr>
          <w:p w14:paraId="2B324C6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Homemaker</w:t>
            </w:r>
          </w:p>
        </w:tc>
        <w:tc>
          <w:tcPr>
            <w:tcW w:w="1559" w:type="dxa"/>
            <w:vAlign w:val="center"/>
          </w:tcPr>
          <w:p w14:paraId="43AA34A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73B3DD8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2126" w:type="dxa"/>
            <w:vAlign w:val="center"/>
          </w:tcPr>
          <w:p w14:paraId="5647BBC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(6.1)</w:t>
            </w:r>
          </w:p>
        </w:tc>
        <w:tc>
          <w:tcPr>
            <w:tcW w:w="974" w:type="dxa"/>
            <w:vAlign w:val="center"/>
          </w:tcPr>
          <w:p w14:paraId="18FC5CE6" w14:textId="77777777" w:rsidR="00DE2CEE" w:rsidRPr="00B85224" w:rsidRDefault="00DE2CEE" w:rsidP="00DE2CEE">
            <w:pPr>
              <w:rPr>
                <w:rFonts w:ascii="Arial" w:hAnsi="Arial" w:cs="Arial"/>
                <w:sz w:val="20"/>
                <w:szCs w:val="20"/>
              </w:rPr>
            </w:pPr>
          </w:p>
        </w:tc>
      </w:tr>
      <w:tr w:rsidR="00DE2CEE" w:rsidRPr="00B85224" w14:paraId="4ACC3057" w14:textId="77777777" w:rsidTr="00A23F4D">
        <w:tc>
          <w:tcPr>
            <w:tcW w:w="3260" w:type="dxa"/>
            <w:vAlign w:val="center"/>
          </w:tcPr>
          <w:p w14:paraId="10911DD4"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Student</w:t>
            </w:r>
          </w:p>
        </w:tc>
        <w:tc>
          <w:tcPr>
            <w:tcW w:w="1559" w:type="dxa"/>
            <w:vAlign w:val="center"/>
          </w:tcPr>
          <w:p w14:paraId="2A31FF9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5B2833A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3053678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0AB7DDFF" w14:textId="77777777" w:rsidR="00DE2CEE" w:rsidRPr="00B85224" w:rsidRDefault="00DE2CEE" w:rsidP="00DE2CEE">
            <w:pPr>
              <w:rPr>
                <w:rFonts w:ascii="Arial" w:hAnsi="Arial" w:cs="Arial"/>
                <w:sz w:val="20"/>
                <w:szCs w:val="20"/>
              </w:rPr>
            </w:pPr>
          </w:p>
        </w:tc>
      </w:tr>
      <w:tr w:rsidR="00DE2CEE" w:rsidRPr="00B85224" w14:paraId="435CD05D" w14:textId="77777777" w:rsidTr="00A23F4D">
        <w:tc>
          <w:tcPr>
            <w:tcW w:w="3260" w:type="dxa"/>
            <w:vAlign w:val="center"/>
          </w:tcPr>
          <w:p w14:paraId="166755FF"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Retired</w:t>
            </w:r>
          </w:p>
        </w:tc>
        <w:tc>
          <w:tcPr>
            <w:tcW w:w="1559" w:type="dxa"/>
            <w:vAlign w:val="center"/>
          </w:tcPr>
          <w:p w14:paraId="155AC9B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108 (22.6)</w:t>
            </w:r>
          </w:p>
        </w:tc>
        <w:tc>
          <w:tcPr>
            <w:tcW w:w="1843" w:type="dxa"/>
            <w:vAlign w:val="center"/>
          </w:tcPr>
          <w:p w14:paraId="56F84BA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0E7B93B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(21.2)</w:t>
            </w:r>
          </w:p>
        </w:tc>
        <w:tc>
          <w:tcPr>
            <w:tcW w:w="974" w:type="dxa"/>
            <w:vAlign w:val="center"/>
          </w:tcPr>
          <w:p w14:paraId="35DEE751" w14:textId="77777777" w:rsidR="00DE2CEE" w:rsidRPr="00B85224" w:rsidRDefault="00DE2CEE" w:rsidP="00DE2CEE">
            <w:pPr>
              <w:rPr>
                <w:rFonts w:ascii="Arial" w:hAnsi="Arial" w:cs="Arial"/>
                <w:sz w:val="20"/>
                <w:szCs w:val="20"/>
              </w:rPr>
            </w:pPr>
          </w:p>
        </w:tc>
      </w:tr>
      <w:tr w:rsidR="00DE2CEE" w:rsidRPr="00B85224" w14:paraId="3915859D" w14:textId="77777777" w:rsidTr="00A23F4D">
        <w:tc>
          <w:tcPr>
            <w:tcW w:w="3260" w:type="dxa"/>
            <w:vAlign w:val="center"/>
          </w:tcPr>
          <w:p w14:paraId="5AB253A1"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Unemployed</w:t>
            </w:r>
          </w:p>
        </w:tc>
        <w:tc>
          <w:tcPr>
            <w:tcW w:w="1559" w:type="dxa"/>
            <w:vAlign w:val="center"/>
          </w:tcPr>
          <w:p w14:paraId="063F2B2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(24.5)</w:t>
            </w:r>
          </w:p>
        </w:tc>
        <w:tc>
          <w:tcPr>
            <w:tcW w:w="1843" w:type="dxa"/>
            <w:vAlign w:val="center"/>
          </w:tcPr>
          <w:p w14:paraId="4066F43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48B4EB8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(30.3)</w:t>
            </w:r>
          </w:p>
        </w:tc>
        <w:tc>
          <w:tcPr>
            <w:tcW w:w="974" w:type="dxa"/>
            <w:vAlign w:val="center"/>
          </w:tcPr>
          <w:p w14:paraId="5FBB8CCD" w14:textId="77777777" w:rsidR="00DE2CEE" w:rsidRPr="00B85224" w:rsidRDefault="00DE2CEE" w:rsidP="00DE2CEE">
            <w:pPr>
              <w:rPr>
                <w:rFonts w:ascii="Arial" w:hAnsi="Arial" w:cs="Arial"/>
                <w:sz w:val="20"/>
                <w:szCs w:val="20"/>
              </w:rPr>
            </w:pPr>
          </w:p>
        </w:tc>
      </w:tr>
      <w:tr w:rsidR="00DE2CEE" w:rsidRPr="00B85224" w14:paraId="3E513E18" w14:textId="77777777" w:rsidTr="00A23F4D">
        <w:tc>
          <w:tcPr>
            <w:tcW w:w="3260" w:type="dxa"/>
            <w:vAlign w:val="center"/>
          </w:tcPr>
          <w:p w14:paraId="09B3BC8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Household size, n (%)</w:t>
            </w:r>
          </w:p>
        </w:tc>
        <w:tc>
          <w:tcPr>
            <w:tcW w:w="1559" w:type="dxa"/>
            <w:vAlign w:val="center"/>
          </w:tcPr>
          <w:p w14:paraId="4F53DDAF"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5F6C5239" w14:textId="77777777" w:rsidR="00DE2CEE" w:rsidRPr="00B85224" w:rsidRDefault="00DE2CEE" w:rsidP="00DE2CEE">
            <w:pPr>
              <w:rPr>
                <w:rFonts w:ascii="Arial" w:hAnsi="Arial" w:cs="Arial"/>
                <w:sz w:val="20"/>
                <w:szCs w:val="20"/>
              </w:rPr>
            </w:pPr>
          </w:p>
        </w:tc>
        <w:tc>
          <w:tcPr>
            <w:tcW w:w="2126" w:type="dxa"/>
            <w:vAlign w:val="center"/>
          </w:tcPr>
          <w:p w14:paraId="599B31C4" w14:textId="77777777" w:rsidR="00DE2CEE" w:rsidRPr="00B85224" w:rsidRDefault="00DE2CEE" w:rsidP="00DE2CEE">
            <w:pPr>
              <w:rPr>
                <w:rFonts w:ascii="Arial" w:hAnsi="Arial" w:cs="Arial"/>
                <w:sz w:val="20"/>
                <w:szCs w:val="20"/>
              </w:rPr>
            </w:pPr>
          </w:p>
        </w:tc>
        <w:tc>
          <w:tcPr>
            <w:tcW w:w="974" w:type="dxa"/>
            <w:vAlign w:val="center"/>
          </w:tcPr>
          <w:p w14:paraId="31D11CF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&lt;.001</w:t>
            </w:r>
          </w:p>
        </w:tc>
      </w:tr>
      <w:tr w:rsidR="00DE2CEE" w:rsidRPr="00B85224" w14:paraId="722FC3DA" w14:textId="77777777" w:rsidTr="00A23F4D">
        <w:tc>
          <w:tcPr>
            <w:tcW w:w="3260" w:type="dxa"/>
            <w:vAlign w:val="center"/>
          </w:tcPr>
          <w:p w14:paraId="4DC7FD0E"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Living alone</w:t>
            </w:r>
          </w:p>
        </w:tc>
        <w:tc>
          <w:tcPr>
            <w:tcW w:w="1559" w:type="dxa"/>
            <w:vAlign w:val="center"/>
          </w:tcPr>
          <w:p w14:paraId="0C43CFD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208A199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6D049A8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64AA3E95"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2EFDEAF3" w14:textId="77777777" w:rsidTr="00A23F4D">
        <w:tc>
          <w:tcPr>
            <w:tcW w:w="3260" w:type="dxa"/>
            <w:vAlign w:val="center"/>
          </w:tcPr>
          <w:p w14:paraId="2D79675A"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2–3 persons</w:t>
            </w:r>
          </w:p>
        </w:tc>
        <w:tc>
          <w:tcPr>
            <w:tcW w:w="1559" w:type="dxa"/>
            <w:vAlign w:val="center"/>
          </w:tcPr>
          <w:p w14:paraId="257EA39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(11.3)</w:t>
            </w:r>
          </w:p>
        </w:tc>
        <w:tc>
          <w:tcPr>
            <w:tcW w:w="1843" w:type="dxa"/>
            <w:vAlign w:val="center"/>
          </w:tcPr>
          <w:p w14:paraId="0655AA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1F6E32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(9.1)</w:t>
            </w:r>
          </w:p>
        </w:tc>
        <w:tc>
          <w:tcPr>
            <w:tcW w:w="974" w:type="dxa"/>
            <w:vAlign w:val="center"/>
          </w:tcPr>
          <w:p w14:paraId="6187BA2B"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27758472" w14:textId="77777777" w:rsidTr="00A23F4D">
        <w:tc>
          <w:tcPr>
            <w:tcW w:w="3260" w:type="dxa"/>
            <w:vAlign w:val="center"/>
          </w:tcPr>
          <w:p w14:paraId="5E2B3242"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4–5 persons</w:t>
            </w:r>
          </w:p>
        </w:tc>
        <w:tc>
          <w:tcPr>
            <w:tcW w:w="1559" w:type="dxa"/>
            <w:vAlign w:val="center"/>
          </w:tcPr>
          <w:p w14:paraId="3A3400D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7811236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(35.0)</w:t>
            </w:r>
          </w:p>
        </w:tc>
        <w:tc>
          <w:tcPr>
            <w:tcW w:w="2126" w:type="dxa"/>
            <w:vAlign w:val="center"/>
          </w:tcPr>
          <w:p w14:paraId="4488047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(39.4)</w:t>
            </w:r>
          </w:p>
        </w:tc>
        <w:tc>
          <w:tcPr>
            <w:tcW w:w="974" w:type="dxa"/>
            <w:vAlign w:val="center"/>
          </w:tcPr>
          <w:p w14:paraId="311FAE7B"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7C244F46" w14:textId="77777777" w:rsidTr="00A23F4D">
        <w:tc>
          <w:tcPr>
            <w:tcW w:w="3260" w:type="dxa"/>
            <w:vAlign w:val="center"/>
          </w:tcPr>
          <w:p w14:paraId="6266C222"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&gt;5 persons</w:t>
            </w:r>
          </w:p>
        </w:tc>
        <w:tc>
          <w:tcPr>
            <w:tcW w:w="1559" w:type="dxa"/>
            <w:vAlign w:val="center"/>
          </w:tcPr>
          <w:p w14:paraId="1B327F7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225 (47.2)</w:t>
            </w:r>
          </w:p>
        </w:tc>
        <w:tc>
          <w:tcPr>
            <w:tcW w:w="1843" w:type="dxa"/>
            <w:vAlign w:val="center"/>
          </w:tcPr>
          <w:p w14:paraId="7B50243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72 (40.0)</w:t>
            </w:r>
          </w:p>
        </w:tc>
        <w:tc>
          <w:tcPr>
            <w:tcW w:w="2126" w:type="dxa"/>
            <w:vAlign w:val="center"/>
          </w:tcPr>
          <w:p w14:paraId="4C8AFA3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(51.5)</w:t>
            </w:r>
          </w:p>
        </w:tc>
        <w:tc>
          <w:tcPr>
            <w:tcW w:w="974" w:type="dxa"/>
            <w:vAlign w:val="center"/>
          </w:tcPr>
          <w:p w14:paraId="0AAF24D2" w14:textId="77777777" w:rsidR="00DE2CEE" w:rsidRPr="00B85224" w:rsidRDefault="00DE2CEE" w:rsidP="00DE2CEE">
            <w:pPr>
              <w:pStyle w:val="p1"/>
              <w:spacing w:before="0" w:beforeAutospacing="0" w:after="0" w:afterAutospacing="0"/>
              <w:rPr>
                <w:rFonts w:ascii="Arial" w:hAnsi="Arial" w:cs="Arial"/>
                <w:sz w:val="20"/>
                <w:szCs w:val="20"/>
              </w:rPr>
            </w:pPr>
          </w:p>
        </w:tc>
      </w:tr>
    </w:tbl>
    <w:p w14:paraId="1802191B" w14:textId="77777777" w:rsidR="00DE2CEE" w:rsidRPr="00B85224" w:rsidRDefault="00000000" w:rsidP="00A23F4D">
      <w:pPr>
        <w:jc w:val="both"/>
        <w:rPr>
          <w:rFonts w:ascii="Arial" w:hAnsi="Arial" w:cs="Arial"/>
          <w:i/>
          <w:sz w:val="18"/>
          <w:szCs w:val="18"/>
        </w:rPr>
      </w:pPr>
      <w:r w:rsidRPr="00B85224">
        <w:rPr>
          <w:rFonts w:ascii="Arial" w:hAnsi="Arial" w:cs="Arial"/>
          <w:i/>
          <w:sz w:val="18"/>
          <w:szCs w:val="18"/>
        </w:rPr>
        <w:t>Values are mean ± SD or n (%) as appropriate. Exact P values are reported except P &lt; .001.</w:t>
      </w:r>
      <w:r w:rsidR="00597FB9" w:rsidRPr="00B85224">
        <w:rPr>
          <w:rFonts w:ascii="Arial" w:hAnsi="Arial" w:cs="Arial"/>
          <w:i/>
          <w:sz w:val="18"/>
          <w:szCs w:val="18"/>
        </w:rPr>
        <w:t xml:space="preserve"> </w:t>
      </w:r>
      <w:r w:rsidR="00DE2CEE" w:rsidRPr="00B85224">
        <w:rPr>
          <w:rFonts w:ascii="Arial" w:hAnsi="Arial" w:cs="Arial"/>
          <w:i/>
          <w:sz w:val="18"/>
          <w:szCs w:val="18"/>
        </w:rPr>
        <w:t>Values are presented as mean ± standard deviation (SD) or frequency (%), as appropriate. P-values compare participants with lower and higher clustered cardiometabolic abnormality (CCA) burden. Statistical significance was defined as p&lt;0.05.</w:t>
      </w:r>
    </w:p>
    <w:p w14:paraId="2389F135" w14:textId="77777777" w:rsidR="00D065D9" w:rsidRPr="00B85224" w:rsidRDefault="00000000">
      <w:pPr>
        <w:spacing w:before="160" w:after="100"/>
        <w:rPr>
          <w:rFonts w:ascii="Arial" w:hAnsi="Arial" w:cs="Arial"/>
          <w:sz w:val="22"/>
          <w:szCs w:val="22"/>
        </w:rPr>
      </w:pPr>
      <w:r w:rsidRPr="00B85224">
        <w:rPr>
          <w:rFonts w:ascii="Arial" w:hAnsi="Arial" w:cs="Arial"/>
          <w:b/>
          <w:sz w:val="22"/>
          <w:szCs w:val="22"/>
        </w:rPr>
        <w:t>3.1.2 Clinical and Cardiometabolic Characteristics</w:t>
      </w:r>
    </w:p>
    <w:p w14:paraId="7DF75445"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Table 2 summarises the clinical and cardiometabolic characteristics of participants according to clustered cardiometabolic abnormality (CCA) burden. Participants with a higher CCA burden consistently demonstrated less favourable cardiometabolic profiles than those with a lower burden. The mean body mass index was higher among participants with higher CCA burden than among those with lower burden (33.99 ± 8.01 vs 26.15 ± 5.38 kg/m²; p&lt;.001). Similarly, both systolic and diastolic blood pressures were markedly higher in the higher CCA burden group. Mean systolic blood pressure was 141.55 ± 21.90 mmHg compared with 111.80 ± 12.59 mmHg in the lower burden group, while mean diastolic blood pressure was 95.97 ± 18.02 mmHg compared with 73.60 ± 10.19 mmHg, respectively (both p&lt;.001).</w:t>
      </w:r>
    </w:p>
    <w:p w14:paraId="1468C8FD"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Furthermore, the fasting blood glucose also differed significantly between the two groups, with participants in the higher CCA burden group recording a mean value of 7.50 ± 2.32 mmol/L compared with 4.16 ± 0.44 mmol/L among those with lower burden (p&lt;.001). In addition, total cholesterol, triglycerides, LDL-C and VLDL-C were all significantly higher among participants with higher CCA burden. Mean total cholesterol was 3.66 ± 0.77 mmol/L in the higher burden group compared with 3.04 ± 0.47 mmol/L in the lower burden group, while triglyceride concentrations were 1.45 ± 0.25 mmol/L and 1.18 ± 0.16 mmol/L, respectively (both p&lt;.001). Mean LDL-C was likewise higher among participants with higher burden (1.61 ± 0.72 vs 1.08 ± 0.46 mmol/L; p&lt;.001), as was VLDL-C (0.66 ± 0.11 vs 0.54 ± 0.07 mmol/L; p&lt;.001).</w:t>
      </w:r>
    </w:p>
    <w:p w14:paraId="12F3575F"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In contrast, HDL-C concentrations were similar between participants with higher and lower CCA burden (1.40 ± 0.22 vs 1.42 ± 0.23 mmol/L), and the difference was not statistically significant (p=.460). Overall, higher CCA burden was characterised by significantly greater adiposity, higher blood pressure, elevated fasting glucose and a less favourable lipid profile, with the exception of HDL-C.</w:t>
      </w:r>
    </w:p>
    <w:p w14:paraId="1C6B999A" w14:textId="77777777" w:rsidR="00D065D9" w:rsidRPr="00305CEB" w:rsidRDefault="00000000">
      <w:pPr>
        <w:spacing w:before="120" w:after="80"/>
        <w:rPr>
          <w:rFonts w:ascii="Arial" w:hAnsi="Arial" w:cs="Arial"/>
          <w:b/>
          <w:sz w:val="20"/>
          <w:szCs w:val="20"/>
        </w:rPr>
      </w:pPr>
      <w:r w:rsidRPr="00B85224">
        <w:rPr>
          <w:rFonts w:ascii="Arial" w:hAnsi="Arial" w:cs="Arial"/>
          <w:b/>
          <w:sz w:val="20"/>
        </w:rPr>
        <w:t>Table 2. Clinical and cardiometabolic characteristics of participants according to CCA burden</w:t>
      </w:r>
      <w:r w:rsidR="00305CEB">
        <w:rPr>
          <w:rFonts w:ascii="Arial" w:hAnsi="Arial" w:cs="Arial"/>
          <w:b/>
          <w:sz w:val="20"/>
        </w:rPr>
        <w:t xml:space="preserve"> </w:t>
      </w:r>
      <w:r w:rsidR="00305CEB" w:rsidRPr="00B85224">
        <w:rPr>
          <w:rFonts w:ascii="Arial" w:hAnsi="Arial" w:cs="Arial"/>
          <w:b/>
          <w:sz w:val="20"/>
          <w:szCs w:val="20"/>
        </w:rPr>
        <w:t>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0"/>
        <w:gridCol w:w="1531"/>
        <w:gridCol w:w="2071"/>
        <w:gridCol w:w="1935"/>
        <w:gridCol w:w="136"/>
        <w:gridCol w:w="963"/>
      </w:tblGrid>
      <w:tr w:rsidR="00B85224" w:rsidRPr="00C40275" w14:paraId="0F175F2C" w14:textId="77777777" w:rsidTr="00B85224">
        <w:tc>
          <w:tcPr>
            <w:tcW w:w="2976" w:type="dxa"/>
            <w:tcBorders>
              <w:top w:val="single" w:sz="4" w:space="0" w:color="auto"/>
              <w:bottom w:val="single" w:sz="4" w:space="0" w:color="auto"/>
            </w:tcBorders>
            <w:vAlign w:val="center"/>
          </w:tcPr>
          <w:p w14:paraId="66F0645D"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Characteristic</w:t>
            </w:r>
          </w:p>
        </w:tc>
        <w:tc>
          <w:tcPr>
            <w:tcW w:w="1560" w:type="dxa"/>
            <w:tcBorders>
              <w:top w:val="single" w:sz="4" w:space="0" w:color="auto"/>
              <w:bottom w:val="single" w:sz="4" w:space="0" w:color="auto"/>
            </w:tcBorders>
            <w:vAlign w:val="center"/>
          </w:tcPr>
          <w:p w14:paraId="2F471F33"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 xml:space="preserve">Overall </w:t>
            </w:r>
          </w:p>
          <w:p w14:paraId="5684B214"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(n=477)</w:t>
            </w:r>
          </w:p>
        </w:tc>
        <w:tc>
          <w:tcPr>
            <w:tcW w:w="2126" w:type="dxa"/>
            <w:tcBorders>
              <w:top w:val="single" w:sz="4" w:space="0" w:color="auto"/>
              <w:bottom w:val="single" w:sz="4" w:space="0" w:color="auto"/>
            </w:tcBorders>
            <w:vAlign w:val="center"/>
          </w:tcPr>
          <w:p w14:paraId="3BB09F34"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Lower CCA burden (n=180)</w:t>
            </w:r>
          </w:p>
        </w:tc>
        <w:tc>
          <w:tcPr>
            <w:tcW w:w="1984" w:type="dxa"/>
            <w:tcBorders>
              <w:top w:val="single" w:sz="4" w:space="0" w:color="auto"/>
              <w:bottom w:val="single" w:sz="4" w:space="0" w:color="auto"/>
            </w:tcBorders>
            <w:vAlign w:val="center"/>
          </w:tcPr>
          <w:p w14:paraId="01D863FD"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Higher CCA burden (n=297)</w:t>
            </w:r>
          </w:p>
        </w:tc>
        <w:tc>
          <w:tcPr>
            <w:tcW w:w="1116" w:type="dxa"/>
            <w:gridSpan w:val="2"/>
            <w:tcBorders>
              <w:top w:val="single" w:sz="4" w:space="0" w:color="auto"/>
              <w:bottom w:val="single" w:sz="4" w:space="0" w:color="auto"/>
            </w:tcBorders>
            <w:vAlign w:val="center"/>
          </w:tcPr>
          <w:p w14:paraId="65808912"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P-value</w:t>
            </w:r>
          </w:p>
        </w:tc>
      </w:tr>
      <w:tr w:rsidR="00B137FA" w:rsidRPr="00C40275" w14:paraId="742A236A" w14:textId="77777777" w:rsidTr="00C14824">
        <w:tc>
          <w:tcPr>
            <w:tcW w:w="2976" w:type="dxa"/>
          </w:tcPr>
          <w:p w14:paraId="0EAAC71F" w14:textId="77777777" w:rsidR="00B137FA" w:rsidRPr="00C40275" w:rsidRDefault="00B137FA" w:rsidP="00B137FA">
            <w:pPr>
              <w:rPr>
                <w:rFonts w:ascii="Arial" w:hAnsi="Arial" w:cs="Arial"/>
                <w:sz w:val="20"/>
                <w:szCs w:val="20"/>
              </w:rPr>
            </w:pPr>
            <w:r w:rsidRPr="00C40275">
              <w:rPr>
                <w:rFonts w:ascii="Arial" w:hAnsi="Arial" w:cs="Arial"/>
                <w:sz w:val="20"/>
                <w:szCs w:val="20"/>
              </w:rPr>
              <w:t>BMI, kg/m²</w:t>
            </w:r>
          </w:p>
        </w:tc>
        <w:tc>
          <w:tcPr>
            <w:tcW w:w="1560" w:type="dxa"/>
          </w:tcPr>
          <w:p w14:paraId="48A5A336" w14:textId="77777777" w:rsidR="00B137FA" w:rsidRPr="00C40275" w:rsidRDefault="00B137FA" w:rsidP="00B137FA">
            <w:pPr>
              <w:rPr>
                <w:rFonts w:ascii="Arial" w:hAnsi="Arial" w:cs="Arial"/>
                <w:sz w:val="20"/>
                <w:szCs w:val="20"/>
              </w:rPr>
            </w:pPr>
            <w:r w:rsidRPr="00C40275">
              <w:rPr>
                <w:rFonts w:ascii="Arial" w:hAnsi="Arial" w:cs="Arial"/>
                <w:sz w:val="20"/>
                <w:szCs w:val="20"/>
              </w:rPr>
              <w:t>31.03 ± 8.08</w:t>
            </w:r>
          </w:p>
        </w:tc>
        <w:tc>
          <w:tcPr>
            <w:tcW w:w="2126" w:type="dxa"/>
          </w:tcPr>
          <w:p w14:paraId="15733C3D" w14:textId="77777777" w:rsidR="00B137FA" w:rsidRPr="00C40275" w:rsidRDefault="00B137FA" w:rsidP="00B137FA">
            <w:pPr>
              <w:rPr>
                <w:rFonts w:ascii="Arial" w:hAnsi="Arial" w:cs="Arial"/>
                <w:sz w:val="20"/>
                <w:szCs w:val="20"/>
              </w:rPr>
            </w:pPr>
            <w:r w:rsidRPr="00C40275">
              <w:rPr>
                <w:rFonts w:ascii="Arial" w:hAnsi="Arial" w:cs="Arial"/>
                <w:sz w:val="20"/>
                <w:szCs w:val="20"/>
              </w:rPr>
              <w:t>26.15 ± 5.38</w:t>
            </w:r>
          </w:p>
        </w:tc>
        <w:tc>
          <w:tcPr>
            <w:tcW w:w="2126" w:type="dxa"/>
            <w:gridSpan w:val="2"/>
          </w:tcPr>
          <w:p w14:paraId="00DAC00A" w14:textId="77777777" w:rsidR="00B137FA" w:rsidRPr="00C40275" w:rsidRDefault="00B137FA" w:rsidP="00B137FA">
            <w:pPr>
              <w:rPr>
                <w:rFonts w:ascii="Arial" w:hAnsi="Arial" w:cs="Arial"/>
                <w:sz w:val="20"/>
                <w:szCs w:val="20"/>
              </w:rPr>
            </w:pPr>
            <w:r w:rsidRPr="00C40275">
              <w:rPr>
                <w:rFonts w:ascii="Arial" w:hAnsi="Arial" w:cs="Arial"/>
                <w:sz w:val="20"/>
                <w:szCs w:val="20"/>
              </w:rPr>
              <w:t>33.99 ± 8.01</w:t>
            </w:r>
          </w:p>
        </w:tc>
        <w:tc>
          <w:tcPr>
            <w:tcW w:w="974" w:type="dxa"/>
          </w:tcPr>
          <w:p w14:paraId="6305E4DF"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68F147F1" w14:textId="77777777" w:rsidTr="00C14824">
        <w:tc>
          <w:tcPr>
            <w:tcW w:w="2976" w:type="dxa"/>
          </w:tcPr>
          <w:p w14:paraId="0F9D8E19" w14:textId="77777777" w:rsidR="00B137FA" w:rsidRPr="00C40275" w:rsidRDefault="00B137FA" w:rsidP="00B137FA">
            <w:pPr>
              <w:rPr>
                <w:rFonts w:ascii="Arial" w:hAnsi="Arial" w:cs="Arial"/>
                <w:sz w:val="20"/>
                <w:szCs w:val="20"/>
              </w:rPr>
            </w:pPr>
            <w:r w:rsidRPr="00C40275">
              <w:rPr>
                <w:rFonts w:ascii="Arial" w:hAnsi="Arial" w:cs="Arial"/>
                <w:sz w:val="20"/>
                <w:szCs w:val="20"/>
              </w:rPr>
              <w:t>SBP, mmHg</w:t>
            </w:r>
          </w:p>
        </w:tc>
        <w:tc>
          <w:tcPr>
            <w:tcW w:w="1560" w:type="dxa"/>
          </w:tcPr>
          <w:p w14:paraId="2A6120D6" w14:textId="77777777" w:rsidR="00B137FA" w:rsidRPr="00C40275" w:rsidRDefault="00B137FA" w:rsidP="00B137FA">
            <w:pPr>
              <w:rPr>
                <w:rFonts w:ascii="Arial" w:hAnsi="Arial" w:cs="Arial"/>
                <w:sz w:val="20"/>
                <w:szCs w:val="20"/>
              </w:rPr>
            </w:pPr>
            <w:r w:rsidRPr="00C40275">
              <w:rPr>
                <w:rFonts w:ascii="Arial" w:hAnsi="Arial" w:cs="Arial"/>
                <w:sz w:val="20"/>
                <w:szCs w:val="20"/>
              </w:rPr>
              <w:t>130.32 ± 23.79</w:t>
            </w:r>
          </w:p>
        </w:tc>
        <w:tc>
          <w:tcPr>
            <w:tcW w:w="2126" w:type="dxa"/>
          </w:tcPr>
          <w:p w14:paraId="6B357DB8" w14:textId="77777777" w:rsidR="00B137FA" w:rsidRPr="00C40275" w:rsidRDefault="00B137FA" w:rsidP="00B137FA">
            <w:pPr>
              <w:rPr>
                <w:rFonts w:ascii="Arial" w:hAnsi="Arial" w:cs="Arial"/>
                <w:sz w:val="20"/>
                <w:szCs w:val="20"/>
              </w:rPr>
            </w:pPr>
            <w:r w:rsidRPr="00C40275">
              <w:rPr>
                <w:rFonts w:ascii="Arial" w:hAnsi="Arial" w:cs="Arial"/>
                <w:sz w:val="20"/>
                <w:szCs w:val="20"/>
              </w:rPr>
              <w:t>111.80 ± 12.59</w:t>
            </w:r>
          </w:p>
        </w:tc>
        <w:tc>
          <w:tcPr>
            <w:tcW w:w="2126" w:type="dxa"/>
            <w:gridSpan w:val="2"/>
          </w:tcPr>
          <w:p w14:paraId="7E24DCB9" w14:textId="77777777" w:rsidR="00B137FA" w:rsidRPr="00C40275" w:rsidRDefault="00B137FA" w:rsidP="00B137FA">
            <w:pPr>
              <w:rPr>
                <w:rFonts w:ascii="Arial" w:hAnsi="Arial" w:cs="Arial"/>
                <w:sz w:val="20"/>
                <w:szCs w:val="20"/>
              </w:rPr>
            </w:pPr>
            <w:r w:rsidRPr="00C40275">
              <w:rPr>
                <w:rFonts w:ascii="Arial" w:hAnsi="Arial" w:cs="Arial"/>
                <w:sz w:val="20"/>
                <w:szCs w:val="20"/>
              </w:rPr>
              <w:t>141.55 ± 21.90</w:t>
            </w:r>
          </w:p>
        </w:tc>
        <w:tc>
          <w:tcPr>
            <w:tcW w:w="974" w:type="dxa"/>
          </w:tcPr>
          <w:p w14:paraId="6734A02A"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0A9B7D6E" w14:textId="77777777" w:rsidTr="00C14824">
        <w:tc>
          <w:tcPr>
            <w:tcW w:w="2976" w:type="dxa"/>
          </w:tcPr>
          <w:p w14:paraId="0B61DCD8" w14:textId="77777777" w:rsidR="00B137FA" w:rsidRPr="00C40275" w:rsidRDefault="00B137FA" w:rsidP="00B137FA">
            <w:pPr>
              <w:rPr>
                <w:rFonts w:ascii="Arial" w:hAnsi="Arial" w:cs="Arial"/>
                <w:sz w:val="20"/>
                <w:szCs w:val="20"/>
              </w:rPr>
            </w:pPr>
            <w:r w:rsidRPr="00C40275">
              <w:rPr>
                <w:rFonts w:ascii="Arial" w:hAnsi="Arial" w:cs="Arial"/>
                <w:sz w:val="20"/>
                <w:szCs w:val="20"/>
              </w:rPr>
              <w:t>DBP, mmHg</w:t>
            </w:r>
          </w:p>
        </w:tc>
        <w:tc>
          <w:tcPr>
            <w:tcW w:w="1560" w:type="dxa"/>
          </w:tcPr>
          <w:p w14:paraId="4461FA59" w14:textId="77777777" w:rsidR="00B137FA" w:rsidRPr="00C40275" w:rsidRDefault="00B137FA" w:rsidP="00B137FA">
            <w:pPr>
              <w:rPr>
                <w:rFonts w:ascii="Arial" w:hAnsi="Arial" w:cs="Arial"/>
                <w:sz w:val="20"/>
                <w:szCs w:val="20"/>
              </w:rPr>
            </w:pPr>
            <w:r w:rsidRPr="00C40275">
              <w:rPr>
                <w:rFonts w:ascii="Arial" w:hAnsi="Arial" w:cs="Arial"/>
                <w:sz w:val="20"/>
                <w:szCs w:val="20"/>
              </w:rPr>
              <w:t>87.53 ± 18.94</w:t>
            </w:r>
          </w:p>
        </w:tc>
        <w:tc>
          <w:tcPr>
            <w:tcW w:w="2126" w:type="dxa"/>
          </w:tcPr>
          <w:p w14:paraId="7DCE04CA" w14:textId="77777777" w:rsidR="00B137FA" w:rsidRPr="00C40275" w:rsidRDefault="00B137FA" w:rsidP="00B137FA">
            <w:pPr>
              <w:rPr>
                <w:rFonts w:ascii="Arial" w:hAnsi="Arial" w:cs="Arial"/>
                <w:sz w:val="20"/>
                <w:szCs w:val="20"/>
              </w:rPr>
            </w:pPr>
            <w:r w:rsidRPr="00C40275">
              <w:rPr>
                <w:rFonts w:ascii="Arial" w:hAnsi="Arial" w:cs="Arial"/>
                <w:sz w:val="20"/>
                <w:szCs w:val="20"/>
              </w:rPr>
              <w:t>73.60 ± 10.19</w:t>
            </w:r>
          </w:p>
        </w:tc>
        <w:tc>
          <w:tcPr>
            <w:tcW w:w="2126" w:type="dxa"/>
            <w:gridSpan w:val="2"/>
          </w:tcPr>
          <w:p w14:paraId="639ABF21" w14:textId="77777777" w:rsidR="00B137FA" w:rsidRPr="00C40275" w:rsidRDefault="00B137FA" w:rsidP="00B137FA">
            <w:pPr>
              <w:rPr>
                <w:rFonts w:ascii="Arial" w:hAnsi="Arial" w:cs="Arial"/>
                <w:sz w:val="20"/>
                <w:szCs w:val="20"/>
              </w:rPr>
            </w:pPr>
            <w:r w:rsidRPr="00C40275">
              <w:rPr>
                <w:rFonts w:ascii="Arial" w:hAnsi="Arial" w:cs="Arial"/>
                <w:sz w:val="20"/>
                <w:szCs w:val="20"/>
              </w:rPr>
              <w:t>95.97 ± 18.02</w:t>
            </w:r>
          </w:p>
        </w:tc>
        <w:tc>
          <w:tcPr>
            <w:tcW w:w="974" w:type="dxa"/>
          </w:tcPr>
          <w:p w14:paraId="42A337AB"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40025CD" w14:textId="77777777" w:rsidTr="00C14824">
        <w:tc>
          <w:tcPr>
            <w:tcW w:w="2976" w:type="dxa"/>
          </w:tcPr>
          <w:p w14:paraId="0A27A46E" w14:textId="77777777" w:rsidR="00B137FA" w:rsidRPr="00C40275" w:rsidRDefault="00B137FA" w:rsidP="00B137FA">
            <w:pPr>
              <w:rPr>
                <w:rFonts w:ascii="Arial" w:hAnsi="Arial" w:cs="Arial"/>
                <w:sz w:val="20"/>
                <w:szCs w:val="20"/>
              </w:rPr>
            </w:pPr>
            <w:r w:rsidRPr="00C40275">
              <w:rPr>
                <w:rFonts w:ascii="Arial" w:hAnsi="Arial" w:cs="Arial"/>
                <w:sz w:val="20"/>
                <w:szCs w:val="20"/>
              </w:rPr>
              <w:t>Fasting blood glucose, mmol/L</w:t>
            </w:r>
          </w:p>
        </w:tc>
        <w:tc>
          <w:tcPr>
            <w:tcW w:w="1560" w:type="dxa"/>
          </w:tcPr>
          <w:p w14:paraId="2DDBBDAB" w14:textId="77777777" w:rsidR="00B137FA" w:rsidRPr="00C40275" w:rsidRDefault="00B137FA" w:rsidP="00B137FA">
            <w:pPr>
              <w:rPr>
                <w:rFonts w:ascii="Arial" w:hAnsi="Arial" w:cs="Arial"/>
                <w:sz w:val="20"/>
                <w:szCs w:val="20"/>
              </w:rPr>
            </w:pPr>
            <w:r w:rsidRPr="00C40275">
              <w:rPr>
                <w:rFonts w:ascii="Arial" w:hAnsi="Arial" w:cs="Arial"/>
                <w:sz w:val="20"/>
                <w:szCs w:val="20"/>
              </w:rPr>
              <w:t>6.24 ± 2.46</w:t>
            </w:r>
          </w:p>
        </w:tc>
        <w:tc>
          <w:tcPr>
            <w:tcW w:w="2126" w:type="dxa"/>
          </w:tcPr>
          <w:p w14:paraId="62081B51" w14:textId="77777777" w:rsidR="00B137FA" w:rsidRPr="00C40275" w:rsidRDefault="00B137FA" w:rsidP="00B137FA">
            <w:pPr>
              <w:rPr>
                <w:rFonts w:ascii="Arial" w:hAnsi="Arial" w:cs="Arial"/>
                <w:sz w:val="20"/>
                <w:szCs w:val="20"/>
              </w:rPr>
            </w:pPr>
            <w:r w:rsidRPr="00C40275">
              <w:rPr>
                <w:rFonts w:ascii="Arial" w:hAnsi="Arial" w:cs="Arial"/>
                <w:sz w:val="20"/>
                <w:szCs w:val="20"/>
              </w:rPr>
              <w:t>4.16 ± 0.44</w:t>
            </w:r>
          </w:p>
        </w:tc>
        <w:tc>
          <w:tcPr>
            <w:tcW w:w="2126" w:type="dxa"/>
            <w:gridSpan w:val="2"/>
          </w:tcPr>
          <w:p w14:paraId="6C0CD63A" w14:textId="77777777" w:rsidR="00B137FA" w:rsidRPr="00C40275" w:rsidRDefault="00B137FA" w:rsidP="00B137FA">
            <w:pPr>
              <w:rPr>
                <w:rFonts w:ascii="Arial" w:hAnsi="Arial" w:cs="Arial"/>
                <w:sz w:val="20"/>
                <w:szCs w:val="20"/>
              </w:rPr>
            </w:pPr>
            <w:r w:rsidRPr="00C40275">
              <w:rPr>
                <w:rFonts w:ascii="Arial" w:hAnsi="Arial" w:cs="Arial"/>
                <w:sz w:val="20"/>
                <w:szCs w:val="20"/>
              </w:rPr>
              <w:t>7.50 ± 2.32</w:t>
            </w:r>
          </w:p>
        </w:tc>
        <w:tc>
          <w:tcPr>
            <w:tcW w:w="974" w:type="dxa"/>
          </w:tcPr>
          <w:p w14:paraId="43836D2D"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116CBE75" w14:textId="77777777" w:rsidTr="00C14824">
        <w:tc>
          <w:tcPr>
            <w:tcW w:w="2976" w:type="dxa"/>
          </w:tcPr>
          <w:p w14:paraId="34B6E3C5" w14:textId="77777777" w:rsidR="00B137FA" w:rsidRPr="00C40275" w:rsidRDefault="00B137FA" w:rsidP="00B137FA">
            <w:pPr>
              <w:rPr>
                <w:rFonts w:ascii="Arial" w:hAnsi="Arial" w:cs="Arial"/>
                <w:sz w:val="20"/>
                <w:szCs w:val="20"/>
              </w:rPr>
            </w:pPr>
            <w:r w:rsidRPr="00C40275">
              <w:rPr>
                <w:rFonts w:ascii="Arial" w:hAnsi="Arial" w:cs="Arial"/>
                <w:sz w:val="20"/>
                <w:szCs w:val="20"/>
              </w:rPr>
              <w:t>Total cholesterol, mmol/L</w:t>
            </w:r>
          </w:p>
        </w:tc>
        <w:tc>
          <w:tcPr>
            <w:tcW w:w="1560" w:type="dxa"/>
          </w:tcPr>
          <w:p w14:paraId="674CBC2E" w14:textId="77777777" w:rsidR="00B137FA" w:rsidRPr="00C40275" w:rsidRDefault="00B137FA" w:rsidP="00B137FA">
            <w:pPr>
              <w:rPr>
                <w:rFonts w:ascii="Arial" w:hAnsi="Arial" w:cs="Arial"/>
                <w:sz w:val="20"/>
                <w:szCs w:val="20"/>
              </w:rPr>
            </w:pPr>
            <w:r w:rsidRPr="00C40275">
              <w:rPr>
                <w:rFonts w:ascii="Arial" w:hAnsi="Arial" w:cs="Arial"/>
                <w:sz w:val="20"/>
                <w:szCs w:val="20"/>
              </w:rPr>
              <w:t>3.43 ± 0.74</w:t>
            </w:r>
          </w:p>
        </w:tc>
        <w:tc>
          <w:tcPr>
            <w:tcW w:w="2126" w:type="dxa"/>
          </w:tcPr>
          <w:p w14:paraId="05DC12B9" w14:textId="77777777" w:rsidR="00B137FA" w:rsidRPr="00C40275" w:rsidRDefault="00B137FA" w:rsidP="00B137FA">
            <w:pPr>
              <w:rPr>
                <w:rFonts w:ascii="Arial" w:hAnsi="Arial" w:cs="Arial"/>
                <w:sz w:val="20"/>
                <w:szCs w:val="20"/>
              </w:rPr>
            </w:pPr>
            <w:r w:rsidRPr="00C40275">
              <w:rPr>
                <w:rFonts w:ascii="Arial" w:hAnsi="Arial" w:cs="Arial"/>
                <w:sz w:val="20"/>
                <w:szCs w:val="20"/>
              </w:rPr>
              <w:t>3.04 ± 0.47</w:t>
            </w:r>
          </w:p>
        </w:tc>
        <w:tc>
          <w:tcPr>
            <w:tcW w:w="2126" w:type="dxa"/>
            <w:gridSpan w:val="2"/>
          </w:tcPr>
          <w:p w14:paraId="66C6E6CC" w14:textId="77777777" w:rsidR="00B137FA" w:rsidRPr="00C40275" w:rsidRDefault="00B137FA" w:rsidP="00B137FA">
            <w:pPr>
              <w:rPr>
                <w:rFonts w:ascii="Arial" w:hAnsi="Arial" w:cs="Arial"/>
                <w:sz w:val="20"/>
                <w:szCs w:val="20"/>
              </w:rPr>
            </w:pPr>
            <w:r w:rsidRPr="00C40275">
              <w:rPr>
                <w:rFonts w:ascii="Arial" w:hAnsi="Arial" w:cs="Arial"/>
                <w:sz w:val="20"/>
                <w:szCs w:val="20"/>
              </w:rPr>
              <w:t>3.66 ± 0.77</w:t>
            </w:r>
          </w:p>
        </w:tc>
        <w:tc>
          <w:tcPr>
            <w:tcW w:w="974" w:type="dxa"/>
          </w:tcPr>
          <w:p w14:paraId="779104A9"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009E8641" w14:textId="77777777" w:rsidTr="00C14824">
        <w:tc>
          <w:tcPr>
            <w:tcW w:w="2976" w:type="dxa"/>
          </w:tcPr>
          <w:p w14:paraId="13D35A1C" w14:textId="77777777" w:rsidR="00B137FA" w:rsidRPr="00C40275" w:rsidRDefault="00B137FA" w:rsidP="00B137FA">
            <w:pPr>
              <w:rPr>
                <w:rFonts w:ascii="Arial" w:hAnsi="Arial" w:cs="Arial"/>
                <w:sz w:val="20"/>
                <w:szCs w:val="20"/>
              </w:rPr>
            </w:pPr>
            <w:r w:rsidRPr="00C40275">
              <w:rPr>
                <w:rFonts w:ascii="Arial" w:hAnsi="Arial" w:cs="Arial"/>
                <w:sz w:val="20"/>
                <w:szCs w:val="20"/>
              </w:rPr>
              <w:t>Triglycerides, mmol/L</w:t>
            </w:r>
          </w:p>
        </w:tc>
        <w:tc>
          <w:tcPr>
            <w:tcW w:w="1560" w:type="dxa"/>
          </w:tcPr>
          <w:p w14:paraId="2E34A237" w14:textId="77777777" w:rsidR="00B137FA" w:rsidRPr="00C40275" w:rsidRDefault="00B137FA" w:rsidP="00B137FA">
            <w:pPr>
              <w:rPr>
                <w:rFonts w:ascii="Arial" w:hAnsi="Arial" w:cs="Arial"/>
                <w:sz w:val="20"/>
                <w:szCs w:val="20"/>
              </w:rPr>
            </w:pPr>
            <w:r w:rsidRPr="00C40275">
              <w:rPr>
                <w:rFonts w:ascii="Arial" w:hAnsi="Arial" w:cs="Arial"/>
                <w:sz w:val="20"/>
                <w:szCs w:val="20"/>
              </w:rPr>
              <w:t>1.35 ± 0.26</w:t>
            </w:r>
          </w:p>
        </w:tc>
        <w:tc>
          <w:tcPr>
            <w:tcW w:w="2126" w:type="dxa"/>
          </w:tcPr>
          <w:p w14:paraId="343FDABE" w14:textId="77777777" w:rsidR="00B137FA" w:rsidRPr="00C40275" w:rsidRDefault="00B137FA" w:rsidP="00B137FA">
            <w:pPr>
              <w:rPr>
                <w:rFonts w:ascii="Arial" w:hAnsi="Arial" w:cs="Arial"/>
                <w:sz w:val="20"/>
                <w:szCs w:val="20"/>
              </w:rPr>
            </w:pPr>
            <w:r w:rsidRPr="00C40275">
              <w:rPr>
                <w:rFonts w:ascii="Arial" w:hAnsi="Arial" w:cs="Arial"/>
                <w:sz w:val="20"/>
                <w:szCs w:val="20"/>
              </w:rPr>
              <w:t>1.18 ± 0.16</w:t>
            </w:r>
          </w:p>
        </w:tc>
        <w:tc>
          <w:tcPr>
            <w:tcW w:w="2126" w:type="dxa"/>
            <w:gridSpan w:val="2"/>
          </w:tcPr>
          <w:p w14:paraId="10B77ECC" w14:textId="77777777" w:rsidR="00B137FA" w:rsidRPr="00C40275" w:rsidRDefault="00B137FA" w:rsidP="00B137FA">
            <w:pPr>
              <w:rPr>
                <w:rFonts w:ascii="Arial" w:hAnsi="Arial" w:cs="Arial"/>
                <w:sz w:val="20"/>
                <w:szCs w:val="20"/>
              </w:rPr>
            </w:pPr>
            <w:r w:rsidRPr="00C40275">
              <w:rPr>
                <w:rFonts w:ascii="Arial" w:hAnsi="Arial" w:cs="Arial"/>
                <w:sz w:val="20"/>
                <w:szCs w:val="20"/>
              </w:rPr>
              <w:t>1.45 ± 0.25</w:t>
            </w:r>
          </w:p>
        </w:tc>
        <w:tc>
          <w:tcPr>
            <w:tcW w:w="974" w:type="dxa"/>
          </w:tcPr>
          <w:p w14:paraId="6A880E6E"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009C04D1" w14:textId="77777777" w:rsidTr="00C14824">
        <w:tc>
          <w:tcPr>
            <w:tcW w:w="2976" w:type="dxa"/>
          </w:tcPr>
          <w:p w14:paraId="5C911B7E" w14:textId="77777777" w:rsidR="00B137FA" w:rsidRPr="00C40275" w:rsidRDefault="00B137FA" w:rsidP="00B137FA">
            <w:pPr>
              <w:rPr>
                <w:rFonts w:ascii="Arial" w:hAnsi="Arial" w:cs="Arial"/>
                <w:sz w:val="20"/>
                <w:szCs w:val="20"/>
              </w:rPr>
            </w:pPr>
            <w:r w:rsidRPr="00C40275">
              <w:rPr>
                <w:rFonts w:ascii="Arial" w:hAnsi="Arial" w:cs="Arial"/>
                <w:sz w:val="20"/>
                <w:szCs w:val="20"/>
              </w:rPr>
              <w:t>HDL-C, mmol/L</w:t>
            </w:r>
          </w:p>
        </w:tc>
        <w:tc>
          <w:tcPr>
            <w:tcW w:w="1560" w:type="dxa"/>
          </w:tcPr>
          <w:p w14:paraId="45D88D3C" w14:textId="77777777" w:rsidR="00B137FA" w:rsidRPr="00C40275" w:rsidRDefault="00B137FA" w:rsidP="00B137FA">
            <w:pPr>
              <w:rPr>
                <w:rFonts w:ascii="Arial" w:hAnsi="Arial" w:cs="Arial"/>
                <w:sz w:val="20"/>
                <w:szCs w:val="20"/>
              </w:rPr>
            </w:pPr>
            <w:r w:rsidRPr="00C40275">
              <w:rPr>
                <w:rFonts w:ascii="Arial" w:hAnsi="Arial" w:cs="Arial"/>
                <w:sz w:val="20"/>
                <w:szCs w:val="20"/>
              </w:rPr>
              <w:t>1.41 ± 0.23</w:t>
            </w:r>
          </w:p>
        </w:tc>
        <w:tc>
          <w:tcPr>
            <w:tcW w:w="2126" w:type="dxa"/>
          </w:tcPr>
          <w:p w14:paraId="1FAF21A6" w14:textId="77777777" w:rsidR="00B137FA" w:rsidRPr="00C40275" w:rsidRDefault="00B137FA" w:rsidP="00B137FA">
            <w:pPr>
              <w:rPr>
                <w:rFonts w:ascii="Arial" w:hAnsi="Arial" w:cs="Arial"/>
                <w:sz w:val="20"/>
                <w:szCs w:val="20"/>
              </w:rPr>
            </w:pPr>
            <w:r w:rsidRPr="00C40275">
              <w:rPr>
                <w:rFonts w:ascii="Arial" w:hAnsi="Arial" w:cs="Arial"/>
                <w:sz w:val="20"/>
                <w:szCs w:val="20"/>
              </w:rPr>
              <w:t>1.42 ± 0.23</w:t>
            </w:r>
          </w:p>
        </w:tc>
        <w:tc>
          <w:tcPr>
            <w:tcW w:w="2126" w:type="dxa"/>
            <w:gridSpan w:val="2"/>
          </w:tcPr>
          <w:p w14:paraId="1CAA9188" w14:textId="77777777" w:rsidR="00B137FA" w:rsidRPr="00C40275" w:rsidRDefault="00B137FA" w:rsidP="00B137FA">
            <w:pPr>
              <w:rPr>
                <w:rFonts w:ascii="Arial" w:hAnsi="Arial" w:cs="Arial"/>
                <w:sz w:val="20"/>
                <w:szCs w:val="20"/>
              </w:rPr>
            </w:pPr>
            <w:r w:rsidRPr="00C40275">
              <w:rPr>
                <w:rFonts w:ascii="Arial" w:hAnsi="Arial" w:cs="Arial"/>
                <w:sz w:val="20"/>
                <w:szCs w:val="20"/>
              </w:rPr>
              <w:t>1.40 ± 0.22</w:t>
            </w:r>
          </w:p>
        </w:tc>
        <w:tc>
          <w:tcPr>
            <w:tcW w:w="974" w:type="dxa"/>
          </w:tcPr>
          <w:p w14:paraId="569DD909" w14:textId="77777777" w:rsidR="00B137FA" w:rsidRPr="00C40275" w:rsidRDefault="00B137FA" w:rsidP="00B137FA">
            <w:pPr>
              <w:rPr>
                <w:rFonts w:ascii="Arial" w:hAnsi="Arial" w:cs="Arial"/>
                <w:sz w:val="20"/>
                <w:szCs w:val="20"/>
              </w:rPr>
            </w:pPr>
            <w:r w:rsidRPr="00C40275">
              <w:rPr>
                <w:rFonts w:ascii="Arial" w:hAnsi="Arial" w:cs="Arial"/>
                <w:sz w:val="20"/>
                <w:szCs w:val="20"/>
              </w:rPr>
              <w:t>.460</w:t>
            </w:r>
          </w:p>
        </w:tc>
      </w:tr>
      <w:tr w:rsidR="00B137FA" w:rsidRPr="00C40275" w14:paraId="5FD61BB0" w14:textId="77777777" w:rsidTr="00C14824">
        <w:tc>
          <w:tcPr>
            <w:tcW w:w="2976" w:type="dxa"/>
          </w:tcPr>
          <w:p w14:paraId="7C717188" w14:textId="77777777" w:rsidR="00B137FA" w:rsidRPr="00C40275" w:rsidRDefault="00B137FA" w:rsidP="00B137FA">
            <w:pPr>
              <w:rPr>
                <w:rFonts w:ascii="Arial" w:hAnsi="Arial" w:cs="Arial"/>
                <w:sz w:val="20"/>
                <w:szCs w:val="20"/>
              </w:rPr>
            </w:pPr>
            <w:r w:rsidRPr="00C40275">
              <w:rPr>
                <w:rFonts w:ascii="Arial" w:hAnsi="Arial" w:cs="Arial"/>
                <w:sz w:val="20"/>
                <w:szCs w:val="20"/>
              </w:rPr>
              <w:t>LDL-C, mmol/L</w:t>
            </w:r>
          </w:p>
        </w:tc>
        <w:tc>
          <w:tcPr>
            <w:tcW w:w="1560" w:type="dxa"/>
          </w:tcPr>
          <w:p w14:paraId="271D63AC" w14:textId="77777777" w:rsidR="00B137FA" w:rsidRPr="00C40275" w:rsidRDefault="00B137FA" w:rsidP="00B137FA">
            <w:pPr>
              <w:rPr>
                <w:rFonts w:ascii="Arial" w:hAnsi="Arial" w:cs="Arial"/>
                <w:sz w:val="20"/>
                <w:szCs w:val="20"/>
              </w:rPr>
            </w:pPr>
            <w:r w:rsidRPr="00C40275">
              <w:rPr>
                <w:rFonts w:ascii="Arial" w:hAnsi="Arial" w:cs="Arial"/>
                <w:sz w:val="20"/>
                <w:szCs w:val="20"/>
              </w:rPr>
              <w:t>1.41 ± 0.68</w:t>
            </w:r>
          </w:p>
        </w:tc>
        <w:tc>
          <w:tcPr>
            <w:tcW w:w="2126" w:type="dxa"/>
          </w:tcPr>
          <w:p w14:paraId="2D8586D7" w14:textId="77777777" w:rsidR="00B137FA" w:rsidRPr="00C40275" w:rsidRDefault="00B137FA" w:rsidP="00B137FA">
            <w:pPr>
              <w:rPr>
                <w:rFonts w:ascii="Arial" w:hAnsi="Arial" w:cs="Arial"/>
                <w:sz w:val="20"/>
                <w:szCs w:val="20"/>
              </w:rPr>
            </w:pPr>
            <w:r w:rsidRPr="00C40275">
              <w:rPr>
                <w:rFonts w:ascii="Arial" w:hAnsi="Arial" w:cs="Arial"/>
                <w:sz w:val="20"/>
                <w:szCs w:val="20"/>
              </w:rPr>
              <w:t>1.08 ± 0.46</w:t>
            </w:r>
          </w:p>
        </w:tc>
        <w:tc>
          <w:tcPr>
            <w:tcW w:w="2126" w:type="dxa"/>
            <w:gridSpan w:val="2"/>
          </w:tcPr>
          <w:p w14:paraId="7692B946" w14:textId="77777777" w:rsidR="00B137FA" w:rsidRPr="00C40275" w:rsidRDefault="00B137FA" w:rsidP="00B137FA">
            <w:pPr>
              <w:rPr>
                <w:rFonts w:ascii="Arial" w:hAnsi="Arial" w:cs="Arial"/>
                <w:sz w:val="20"/>
                <w:szCs w:val="20"/>
              </w:rPr>
            </w:pPr>
            <w:r w:rsidRPr="00C40275">
              <w:rPr>
                <w:rFonts w:ascii="Arial" w:hAnsi="Arial" w:cs="Arial"/>
                <w:sz w:val="20"/>
                <w:szCs w:val="20"/>
              </w:rPr>
              <w:t>1.61 ± 0.72</w:t>
            </w:r>
          </w:p>
        </w:tc>
        <w:tc>
          <w:tcPr>
            <w:tcW w:w="974" w:type="dxa"/>
          </w:tcPr>
          <w:p w14:paraId="75DAA418"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69ACAAD" w14:textId="77777777" w:rsidTr="00C14824">
        <w:tc>
          <w:tcPr>
            <w:tcW w:w="2976" w:type="dxa"/>
          </w:tcPr>
          <w:p w14:paraId="33F1093A" w14:textId="77777777" w:rsidR="00B137FA" w:rsidRPr="00C40275" w:rsidRDefault="00B137FA" w:rsidP="00B137FA">
            <w:pPr>
              <w:rPr>
                <w:rFonts w:ascii="Arial" w:hAnsi="Arial" w:cs="Arial"/>
                <w:sz w:val="20"/>
                <w:szCs w:val="20"/>
              </w:rPr>
            </w:pPr>
            <w:r w:rsidRPr="00C40275">
              <w:rPr>
                <w:rFonts w:ascii="Arial" w:hAnsi="Arial" w:cs="Arial"/>
                <w:sz w:val="20"/>
                <w:szCs w:val="20"/>
              </w:rPr>
              <w:t>VLDL-C, mmol/L</w:t>
            </w:r>
          </w:p>
        </w:tc>
        <w:tc>
          <w:tcPr>
            <w:tcW w:w="1560" w:type="dxa"/>
          </w:tcPr>
          <w:p w14:paraId="40FBCB30" w14:textId="77777777" w:rsidR="00B137FA" w:rsidRPr="00C40275" w:rsidRDefault="00B137FA" w:rsidP="00B137FA">
            <w:pPr>
              <w:rPr>
                <w:rFonts w:ascii="Arial" w:hAnsi="Arial" w:cs="Arial"/>
                <w:sz w:val="20"/>
                <w:szCs w:val="20"/>
              </w:rPr>
            </w:pPr>
            <w:r w:rsidRPr="00C40275">
              <w:rPr>
                <w:rFonts w:ascii="Arial" w:hAnsi="Arial" w:cs="Arial"/>
                <w:sz w:val="20"/>
                <w:szCs w:val="20"/>
              </w:rPr>
              <w:t>0.61 ± 0.12</w:t>
            </w:r>
          </w:p>
        </w:tc>
        <w:tc>
          <w:tcPr>
            <w:tcW w:w="2126" w:type="dxa"/>
          </w:tcPr>
          <w:p w14:paraId="16AED777" w14:textId="77777777" w:rsidR="00B137FA" w:rsidRPr="00C40275" w:rsidRDefault="00B137FA" w:rsidP="00B137FA">
            <w:pPr>
              <w:rPr>
                <w:rFonts w:ascii="Arial" w:hAnsi="Arial" w:cs="Arial"/>
                <w:sz w:val="20"/>
                <w:szCs w:val="20"/>
              </w:rPr>
            </w:pPr>
            <w:r w:rsidRPr="00C40275">
              <w:rPr>
                <w:rFonts w:ascii="Arial" w:hAnsi="Arial" w:cs="Arial"/>
                <w:sz w:val="20"/>
                <w:szCs w:val="20"/>
              </w:rPr>
              <w:t>0.54 ± 0.07</w:t>
            </w:r>
          </w:p>
        </w:tc>
        <w:tc>
          <w:tcPr>
            <w:tcW w:w="2126" w:type="dxa"/>
            <w:gridSpan w:val="2"/>
          </w:tcPr>
          <w:p w14:paraId="4C8CC0B4" w14:textId="77777777" w:rsidR="00B137FA" w:rsidRPr="00C40275" w:rsidRDefault="00B137FA" w:rsidP="00B137FA">
            <w:pPr>
              <w:rPr>
                <w:rFonts w:ascii="Arial" w:hAnsi="Arial" w:cs="Arial"/>
                <w:sz w:val="20"/>
                <w:szCs w:val="20"/>
              </w:rPr>
            </w:pPr>
            <w:r w:rsidRPr="00C40275">
              <w:rPr>
                <w:rFonts w:ascii="Arial" w:hAnsi="Arial" w:cs="Arial"/>
                <w:sz w:val="20"/>
                <w:szCs w:val="20"/>
              </w:rPr>
              <w:t>0.66 ± 0.11</w:t>
            </w:r>
          </w:p>
        </w:tc>
        <w:tc>
          <w:tcPr>
            <w:tcW w:w="974" w:type="dxa"/>
          </w:tcPr>
          <w:p w14:paraId="4EC99660"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bl>
    <w:p w14:paraId="1B5E149C" w14:textId="77777777" w:rsidR="00B85224" w:rsidRPr="00B85224" w:rsidRDefault="00000000" w:rsidP="00B85224">
      <w:pPr>
        <w:spacing w:after="120"/>
        <w:jc w:val="both"/>
        <w:rPr>
          <w:rFonts w:ascii="Arial" w:hAnsi="Arial" w:cs="Arial"/>
          <w:i/>
          <w:sz w:val="18"/>
          <w:szCs w:val="18"/>
        </w:rPr>
      </w:pPr>
      <w:r w:rsidRPr="00B85224">
        <w:rPr>
          <w:rFonts w:ascii="Arial" w:hAnsi="Arial" w:cs="Arial"/>
          <w:i/>
          <w:sz w:val="18"/>
          <w:szCs w:val="18"/>
        </w:rPr>
        <w:t xml:space="preserve">Values are mean ± SD or n (%) as appropriate. </w:t>
      </w:r>
      <w:r w:rsidR="00B85224" w:rsidRPr="00B85224">
        <w:rPr>
          <w:rFonts w:ascii="Arial" w:hAnsi="Arial" w:cs="Arial"/>
          <w:i/>
          <w:iCs/>
          <w:sz w:val="18"/>
          <w:szCs w:val="18"/>
        </w:rPr>
        <w:t xml:space="preserve">Values are presented as mean ± standard deviation (SD). Lower clustered cardiometabolic abnormality (CCA) burden was defined as 0–1 cardiometabolic abnormalities, while higher CCA burden was </w:t>
      </w:r>
      <w:r w:rsidR="00B85224" w:rsidRPr="00B85224">
        <w:rPr>
          <w:rFonts w:ascii="Arial" w:hAnsi="Arial" w:cs="Arial"/>
          <w:i/>
          <w:iCs/>
          <w:sz w:val="18"/>
          <w:szCs w:val="18"/>
        </w:rPr>
        <w:lastRenderedPageBreak/>
        <w:t>defined as ≥2 abnormalities. BMI, body mass index; SBP, systolic blood pressure; DBP, diastolic blood pressure; HDL-C, high-density lipoprotein cholesterol; LDL-C, low-density lipoprotein cholesterol; VLDL-C, very-low-density lipoprotein cholesterol. P-values compare participants with lower and higher CCA burden; statistical significance was set at p&lt;0.05. Exact p-values are reported except where p&lt;0.001.</w:t>
      </w:r>
    </w:p>
    <w:p w14:paraId="03495C46" w14:textId="77777777" w:rsidR="00D065D9" w:rsidRPr="00B85224" w:rsidRDefault="00000000">
      <w:pPr>
        <w:spacing w:before="160" w:after="100"/>
        <w:rPr>
          <w:rFonts w:ascii="Arial" w:hAnsi="Arial" w:cs="Arial"/>
          <w:sz w:val="22"/>
          <w:szCs w:val="22"/>
        </w:rPr>
      </w:pPr>
      <w:r w:rsidRPr="00B85224">
        <w:rPr>
          <w:rFonts w:ascii="Arial" w:hAnsi="Arial" w:cs="Arial"/>
          <w:b/>
          <w:sz w:val="22"/>
          <w:szCs w:val="22"/>
        </w:rPr>
        <w:t>3.1.3 Components and Distribution of CCA</w:t>
      </w:r>
    </w:p>
    <w:p w14:paraId="3065945D" w14:textId="77777777" w:rsidR="00090D32" w:rsidRPr="00090D32" w:rsidRDefault="00090D32" w:rsidP="00090D32">
      <w:pPr>
        <w:spacing w:after="120"/>
        <w:jc w:val="both"/>
        <w:rPr>
          <w:rFonts w:ascii="Arial" w:hAnsi="Arial" w:cs="Arial"/>
          <w:sz w:val="20"/>
        </w:rPr>
      </w:pPr>
      <w:r w:rsidRPr="00090D32">
        <w:rPr>
          <w:rFonts w:ascii="Arial" w:hAnsi="Arial" w:cs="Arial"/>
          <w:sz w:val="20"/>
        </w:rPr>
        <w:t>Table 3 presents the continuous cardiometabolic measures and prevalence of the individual abnormalities contributing to the CCA construct. Participants with higher CCA burden demonstrated substantially less favourable cardiometabolic profiles than those with lower burden. Mean BMI was higher among participants with higher CCA burden than among those with lower burden (33.99 ± 8.01 vs 26.15 ± 5.38 kg/m²; p&lt;.001). Similarly, mean systolic blood pressure (141.55 ± 21.90 vs 111.80 ± 12.59 mmHg), diastolic blood pressure (95.97 ± 18.02 vs 73.60 ± 10.19 mmHg), fasting blood glucose (7.50 ± 2.32 vs 4.16 ± 0.44 mmol/L), and triglycerides (1.45 ± 0.25 vs 1.18 ± 0.16 mmol/L) were significantly higher among participants with higher CCA burden (all p&lt;.001). In contrast, HDL-C concentrations were comparable between the higher and lower CCA burden groups (1.40 ± 0.22 vs 1.42 ± 0.23 mmol/L; p=.460).</w:t>
      </w:r>
    </w:p>
    <w:p w14:paraId="43F990B3" w14:textId="77777777" w:rsidR="00090D32" w:rsidRDefault="00090D32" w:rsidP="00090D32">
      <w:pPr>
        <w:spacing w:after="120"/>
        <w:jc w:val="both"/>
        <w:rPr>
          <w:rFonts w:ascii="Arial" w:hAnsi="Arial" w:cs="Arial"/>
          <w:sz w:val="20"/>
        </w:rPr>
      </w:pPr>
      <w:r w:rsidRPr="00090D32">
        <w:rPr>
          <w:rFonts w:ascii="Arial" w:hAnsi="Arial" w:cs="Arial"/>
          <w:sz w:val="20"/>
        </w:rPr>
        <w:t>Elevated blood pressure was the most prevalent individual cardiometabolic abnormality, affecting 315 (66.0%) participants overall, followed by dysglycaemia in 227 (47.6%) and general obesity in 223 (46.8%). Reduced HDL-C and hypertriglyceridaemia were present in 99 (20.8%) and 86 (18.0%) participants, respectively. Each individual abnormality was significantly more prevalent among participants with higher CCA burden (all p&lt;.001). Notably, elevated blood pressure was present in 90.9% of participants with higher CCA burden compared with 25.0% of those with lower burden, while general obesity occurred in 63.6% and 18.9%, respectively. Dysglycaemia and hypertriglyceridaemia were observed exclusively within the higher CCA burden group, affecting 76.4% and 29.0% of participants, respectively.</w:t>
      </w:r>
      <w:r>
        <w:rPr>
          <w:rFonts w:ascii="Arial" w:hAnsi="Arial" w:cs="Arial"/>
          <w:sz w:val="20"/>
        </w:rPr>
        <w:t xml:space="preserve"> </w:t>
      </w:r>
      <w:r w:rsidRPr="00090D32">
        <w:rPr>
          <w:rFonts w:ascii="Arial" w:hAnsi="Arial" w:cs="Arial"/>
          <w:sz w:val="20"/>
        </w:rPr>
        <w:t xml:space="preserve">As shown in Table </w:t>
      </w:r>
      <w:r>
        <w:rPr>
          <w:rFonts w:ascii="Arial" w:hAnsi="Arial" w:cs="Arial"/>
          <w:sz w:val="20"/>
        </w:rPr>
        <w:t>4</w:t>
      </w:r>
      <w:r w:rsidRPr="00090D32">
        <w:rPr>
          <w:rFonts w:ascii="Arial" w:hAnsi="Arial" w:cs="Arial"/>
          <w:sz w:val="20"/>
        </w:rPr>
        <w:t>, 92 (19.3%) participants had no cardiometabolic abnormality and 88 (18.4%) had one abnormality. In contrast, 117 (24.5%) had two abnormalities, 115 (24.1%) had three, 43 (9.0%) had four, and 22 (4.6%) had all five abnormalities. Consequently, 297 (62.3%) participants had at least two co-occurring cardiometabolic abnormalities and were classified as having higher CCA burden. Furthermore, 180 (37.7%) participants had three or more abnormalities, representing the secondary higher-burden phenotype.</w:t>
      </w:r>
    </w:p>
    <w:p w14:paraId="5830F67F" w14:textId="77777777" w:rsidR="00D065D9" w:rsidRPr="00090D32" w:rsidRDefault="00000000">
      <w:pPr>
        <w:spacing w:before="120" w:after="80"/>
        <w:rPr>
          <w:rFonts w:ascii="Arial" w:hAnsi="Arial" w:cs="Arial"/>
          <w:b/>
          <w:sz w:val="20"/>
        </w:rPr>
      </w:pPr>
      <w:r w:rsidRPr="00090D32">
        <w:rPr>
          <w:rFonts w:ascii="Arial" w:hAnsi="Arial" w:cs="Arial"/>
          <w:b/>
          <w:sz w:val="20"/>
        </w:rPr>
        <w:t>Table 3. Continuous CCA measures and prevalence of individual cardiometabolic abnormalities</w:t>
      </w:r>
      <w:r w:rsidR="00090D32">
        <w:rPr>
          <w:rFonts w:ascii="Arial" w:hAnsi="Arial" w:cs="Arial"/>
          <w:b/>
          <w:sz w:val="20"/>
        </w:rPr>
        <w:t xml:space="preserve"> </w:t>
      </w:r>
      <w:r w:rsidR="00090D32" w:rsidRPr="00B85224">
        <w:rPr>
          <w:rFonts w:ascii="Arial" w:hAnsi="Arial" w:cs="Arial"/>
          <w:b/>
          <w:sz w:val="20"/>
          <w:szCs w:val="20"/>
        </w:rPr>
        <w:t>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1792"/>
        <w:gridCol w:w="1793"/>
        <w:gridCol w:w="1792"/>
        <w:gridCol w:w="1095"/>
      </w:tblGrid>
      <w:tr w:rsidR="00090D32" w:rsidRPr="00090D32" w14:paraId="618908DE" w14:textId="77777777" w:rsidTr="00090D32">
        <w:tc>
          <w:tcPr>
            <w:tcW w:w="3118" w:type="dxa"/>
            <w:tcBorders>
              <w:top w:val="single" w:sz="4" w:space="0" w:color="auto"/>
              <w:bottom w:val="single" w:sz="4" w:space="0" w:color="auto"/>
            </w:tcBorders>
            <w:vAlign w:val="center"/>
          </w:tcPr>
          <w:p w14:paraId="696D4D50"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Component/measure</w:t>
            </w:r>
          </w:p>
        </w:tc>
        <w:tc>
          <w:tcPr>
            <w:tcW w:w="1843" w:type="dxa"/>
            <w:tcBorders>
              <w:top w:val="single" w:sz="4" w:space="0" w:color="auto"/>
              <w:bottom w:val="single" w:sz="4" w:space="0" w:color="auto"/>
            </w:tcBorders>
            <w:vAlign w:val="center"/>
          </w:tcPr>
          <w:p w14:paraId="213BD479" w14:textId="77777777" w:rsidR="00DA0E4C"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Overall </w:t>
            </w:r>
          </w:p>
          <w:p w14:paraId="0F52FAB4"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(n=477)</w:t>
            </w:r>
          </w:p>
        </w:tc>
        <w:tc>
          <w:tcPr>
            <w:tcW w:w="1843" w:type="dxa"/>
            <w:tcBorders>
              <w:top w:val="single" w:sz="4" w:space="0" w:color="auto"/>
              <w:bottom w:val="single" w:sz="4" w:space="0" w:color="auto"/>
            </w:tcBorders>
            <w:vAlign w:val="center"/>
          </w:tcPr>
          <w:p w14:paraId="7D688F92" w14:textId="77777777" w:rsid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Lower CCA </w:t>
            </w:r>
          </w:p>
          <w:p w14:paraId="2F58DF7B"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burden (n=180)</w:t>
            </w:r>
          </w:p>
        </w:tc>
        <w:tc>
          <w:tcPr>
            <w:tcW w:w="1842" w:type="dxa"/>
            <w:tcBorders>
              <w:top w:val="single" w:sz="4" w:space="0" w:color="auto"/>
              <w:bottom w:val="single" w:sz="4" w:space="0" w:color="auto"/>
            </w:tcBorders>
            <w:vAlign w:val="center"/>
          </w:tcPr>
          <w:p w14:paraId="7F824CDE" w14:textId="77777777" w:rsidR="00DA0E4C"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Higher CCA </w:t>
            </w:r>
          </w:p>
          <w:p w14:paraId="44CBE306"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burden (n=297)</w:t>
            </w:r>
          </w:p>
        </w:tc>
        <w:tc>
          <w:tcPr>
            <w:tcW w:w="1116" w:type="dxa"/>
            <w:tcBorders>
              <w:top w:val="single" w:sz="4" w:space="0" w:color="auto"/>
              <w:bottom w:val="single" w:sz="4" w:space="0" w:color="auto"/>
            </w:tcBorders>
            <w:vAlign w:val="center"/>
          </w:tcPr>
          <w:p w14:paraId="5CD1391E"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P-value</w:t>
            </w:r>
          </w:p>
        </w:tc>
      </w:tr>
      <w:tr w:rsidR="00DA0E4C" w:rsidRPr="00090D32" w14:paraId="0AB6FC61" w14:textId="77777777" w:rsidTr="00090D32">
        <w:tc>
          <w:tcPr>
            <w:tcW w:w="9762" w:type="dxa"/>
            <w:gridSpan w:val="5"/>
            <w:tcBorders>
              <w:top w:val="single" w:sz="4" w:space="0" w:color="auto"/>
            </w:tcBorders>
            <w:vAlign w:val="center"/>
          </w:tcPr>
          <w:p w14:paraId="612605BD" w14:textId="77777777" w:rsidR="00DA0E4C" w:rsidRPr="00090D32" w:rsidRDefault="00DA0E4C" w:rsidP="00305CEB">
            <w:pPr>
              <w:contextualSpacing/>
              <w:rPr>
                <w:rFonts w:ascii="Arial" w:hAnsi="Arial" w:cs="Arial"/>
                <w:sz w:val="20"/>
                <w:szCs w:val="20"/>
              </w:rPr>
            </w:pPr>
            <w:r w:rsidRPr="00090D32">
              <w:rPr>
                <w:rFonts w:ascii="Arial" w:hAnsi="Arial" w:cs="Arial"/>
                <w:b/>
                <w:bCs/>
                <w:sz w:val="20"/>
                <w:szCs w:val="20"/>
              </w:rPr>
              <w:t>Continuous measures, mean ± SD</w:t>
            </w:r>
          </w:p>
        </w:tc>
      </w:tr>
      <w:tr w:rsidR="00412BF4" w:rsidRPr="00090D32" w14:paraId="62F2876D" w14:textId="77777777" w:rsidTr="00090D32">
        <w:tc>
          <w:tcPr>
            <w:tcW w:w="3118" w:type="dxa"/>
            <w:vAlign w:val="center"/>
          </w:tcPr>
          <w:p w14:paraId="28FCCB1D"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BMI, kg/m²</w:t>
            </w:r>
          </w:p>
        </w:tc>
        <w:tc>
          <w:tcPr>
            <w:tcW w:w="1843" w:type="dxa"/>
            <w:vAlign w:val="center"/>
          </w:tcPr>
          <w:p w14:paraId="0508E20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31.03 ± 8.08</w:t>
            </w:r>
          </w:p>
        </w:tc>
        <w:tc>
          <w:tcPr>
            <w:tcW w:w="1843" w:type="dxa"/>
            <w:vAlign w:val="center"/>
          </w:tcPr>
          <w:p w14:paraId="40D37C0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26.15 ± 5.38</w:t>
            </w:r>
          </w:p>
        </w:tc>
        <w:tc>
          <w:tcPr>
            <w:tcW w:w="1842" w:type="dxa"/>
            <w:vAlign w:val="center"/>
          </w:tcPr>
          <w:p w14:paraId="0C4B25A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33.99 ± 8.01</w:t>
            </w:r>
          </w:p>
        </w:tc>
        <w:tc>
          <w:tcPr>
            <w:tcW w:w="1116" w:type="dxa"/>
            <w:vAlign w:val="center"/>
          </w:tcPr>
          <w:p w14:paraId="39F0B8E9"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753E4B1" w14:textId="77777777" w:rsidTr="00090D32">
        <w:tc>
          <w:tcPr>
            <w:tcW w:w="3118" w:type="dxa"/>
            <w:vAlign w:val="center"/>
          </w:tcPr>
          <w:p w14:paraId="0D425710"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SBP, mmHg</w:t>
            </w:r>
          </w:p>
        </w:tc>
        <w:tc>
          <w:tcPr>
            <w:tcW w:w="1843" w:type="dxa"/>
            <w:vAlign w:val="center"/>
          </w:tcPr>
          <w:p w14:paraId="4512BAF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130.32 ± 23.79</w:t>
            </w:r>
          </w:p>
        </w:tc>
        <w:tc>
          <w:tcPr>
            <w:tcW w:w="1843" w:type="dxa"/>
            <w:vAlign w:val="center"/>
          </w:tcPr>
          <w:p w14:paraId="7A9B210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111.80 ± 12.59</w:t>
            </w:r>
          </w:p>
        </w:tc>
        <w:tc>
          <w:tcPr>
            <w:tcW w:w="1842" w:type="dxa"/>
            <w:vAlign w:val="center"/>
          </w:tcPr>
          <w:p w14:paraId="2C4F8D3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141.55 ± 21.90</w:t>
            </w:r>
          </w:p>
        </w:tc>
        <w:tc>
          <w:tcPr>
            <w:tcW w:w="1116" w:type="dxa"/>
            <w:vAlign w:val="center"/>
          </w:tcPr>
          <w:p w14:paraId="02EA733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0E3FECBD" w14:textId="77777777" w:rsidTr="00090D32">
        <w:tc>
          <w:tcPr>
            <w:tcW w:w="3118" w:type="dxa"/>
            <w:vAlign w:val="center"/>
          </w:tcPr>
          <w:p w14:paraId="68794BF8"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DBP, mmHg</w:t>
            </w:r>
          </w:p>
        </w:tc>
        <w:tc>
          <w:tcPr>
            <w:tcW w:w="1843" w:type="dxa"/>
            <w:vAlign w:val="center"/>
          </w:tcPr>
          <w:p w14:paraId="106448A1"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87.53 ± 18.94</w:t>
            </w:r>
          </w:p>
        </w:tc>
        <w:tc>
          <w:tcPr>
            <w:tcW w:w="1843" w:type="dxa"/>
            <w:vAlign w:val="center"/>
          </w:tcPr>
          <w:p w14:paraId="724312A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73.60 ± 10.19</w:t>
            </w:r>
          </w:p>
        </w:tc>
        <w:tc>
          <w:tcPr>
            <w:tcW w:w="1842" w:type="dxa"/>
            <w:vAlign w:val="center"/>
          </w:tcPr>
          <w:p w14:paraId="122FFD3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95.97 ± 18.02</w:t>
            </w:r>
          </w:p>
        </w:tc>
        <w:tc>
          <w:tcPr>
            <w:tcW w:w="1116" w:type="dxa"/>
            <w:vAlign w:val="center"/>
          </w:tcPr>
          <w:p w14:paraId="561211C1"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681B541" w14:textId="77777777" w:rsidTr="00090D32">
        <w:tc>
          <w:tcPr>
            <w:tcW w:w="3118" w:type="dxa"/>
            <w:vAlign w:val="center"/>
          </w:tcPr>
          <w:p w14:paraId="4569B70C"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Fasting blood glucose, mmol/L</w:t>
            </w:r>
          </w:p>
        </w:tc>
        <w:tc>
          <w:tcPr>
            <w:tcW w:w="1843" w:type="dxa"/>
            <w:vAlign w:val="center"/>
          </w:tcPr>
          <w:p w14:paraId="03A01D8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6.24 ± 2.46</w:t>
            </w:r>
          </w:p>
        </w:tc>
        <w:tc>
          <w:tcPr>
            <w:tcW w:w="1843" w:type="dxa"/>
            <w:vAlign w:val="center"/>
          </w:tcPr>
          <w:p w14:paraId="3099998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4.16 ± 0.44</w:t>
            </w:r>
          </w:p>
        </w:tc>
        <w:tc>
          <w:tcPr>
            <w:tcW w:w="1842" w:type="dxa"/>
            <w:vAlign w:val="center"/>
          </w:tcPr>
          <w:p w14:paraId="0FA4004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7.50 ± 2.32</w:t>
            </w:r>
          </w:p>
        </w:tc>
        <w:tc>
          <w:tcPr>
            <w:tcW w:w="1116" w:type="dxa"/>
            <w:vAlign w:val="center"/>
          </w:tcPr>
          <w:p w14:paraId="21AB5FA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1919236" w14:textId="77777777" w:rsidTr="00090D32">
        <w:tc>
          <w:tcPr>
            <w:tcW w:w="3118" w:type="dxa"/>
            <w:vAlign w:val="center"/>
          </w:tcPr>
          <w:p w14:paraId="791356CD"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Triglycerides, mmol/L</w:t>
            </w:r>
          </w:p>
        </w:tc>
        <w:tc>
          <w:tcPr>
            <w:tcW w:w="1843" w:type="dxa"/>
            <w:vAlign w:val="center"/>
          </w:tcPr>
          <w:p w14:paraId="75F5EEA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1.35 ± 0.26</w:t>
            </w:r>
          </w:p>
        </w:tc>
        <w:tc>
          <w:tcPr>
            <w:tcW w:w="1843" w:type="dxa"/>
            <w:vAlign w:val="center"/>
          </w:tcPr>
          <w:p w14:paraId="76D18A5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1.18 ± 0.16</w:t>
            </w:r>
          </w:p>
        </w:tc>
        <w:tc>
          <w:tcPr>
            <w:tcW w:w="1842" w:type="dxa"/>
            <w:vAlign w:val="center"/>
          </w:tcPr>
          <w:p w14:paraId="5FB5B17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1.45 ± 0.25</w:t>
            </w:r>
          </w:p>
        </w:tc>
        <w:tc>
          <w:tcPr>
            <w:tcW w:w="1116" w:type="dxa"/>
            <w:vAlign w:val="center"/>
          </w:tcPr>
          <w:p w14:paraId="58668F3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6447356D" w14:textId="77777777" w:rsidTr="00090D32">
        <w:tc>
          <w:tcPr>
            <w:tcW w:w="3118" w:type="dxa"/>
            <w:vAlign w:val="center"/>
          </w:tcPr>
          <w:p w14:paraId="78A32244"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HDL-C, mmol/L</w:t>
            </w:r>
          </w:p>
        </w:tc>
        <w:tc>
          <w:tcPr>
            <w:tcW w:w="1843" w:type="dxa"/>
            <w:vAlign w:val="center"/>
          </w:tcPr>
          <w:p w14:paraId="25668643"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1.41 ± 0.23</w:t>
            </w:r>
          </w:p>
        </w:tc>
        <w:tc>
          <w:tcPr>
            <w:tcW w:w="1843" w:type="dxa"/>
            <w:vAlign w:val="center"/>
          </w:tcPr>
          <w:p w14:paraId="6939800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1.42 ± 0.23</w:t>
            </w:r>
          </w:p>
        </w:tc>
        <w:tc>
          <w:tcPr>
            <w:tcW w:w="1842" w:type="dxa"/>
            <w:vAlign w:val="center"/>
          </w:tcPr>
          <w:p w14:paraId="5DF21FA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1.40 ± 0.22</w:t>
            </w:r>
          </w:p>
        </w:tc>
        <w:tc>
          <w:tcPr>
            <w:tcW w:w="1116" w:type="dxa"/>
            <w:vAlign w:val="center"/>
          </w:tcPr>
          <w:p w14:paraId="2CB62F74"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.460</w:t>
            </w:r>
          </w:p>
        </w:tc>
      </w:tr>
      <w:tr w:rsidR="00DA0E4C" w:rsidRPr="00090D32" w14:paraId="279AD23C" w14:textId="77777777" w:rsidTr="00090D32">
        <w:tc>
          <w:tcPr>
            <w:tcW w:w="9762" w:type="dxa"/>
            <w:gridSpan w:val="5"/>
            <w:vAlign w:val="center"/>
          </w:tcPr>
          <w:p w14:paraId="1AD990F5" w14:textId="77777777" w:rsidR="00DA0E4C" w:rsidRPr="00090D32" w:rsidRDefault="00DA0E4C" w:rsidP="00305CEB">
            <w:pPr>
              <w:contextualSpacing/>
              <w:rPr>
                <w:rFonts w:ascii="Arial" w:hAnsi="Arial" w:cs="Arial"/>
                <w:sz w:val="20"/>
                <w:szCs w:val="20"/>
              </w:rPr>
            </w:pPr>
            <w:r w:rsidRPr="00090D32">
              <w:rPr>
                <w:rFonts w:ascii="Arial" w:hAnsi="Arial" w:cs="Arial"/>
                <w:b/>
                <w:bCs/>
                <w:sz w:val="20"/>
                <w:szCs w:val="20"/>
              </w:rPr>
              <w:t>Individual cardiometabolic abnormalities, n (%)</w:t>
            </w:r>
          </w:p>
        </w:tc>
      </w:tr>
      <w:tr w:rsidR="00412BF4" w:rsidRPr="00090D32" w14:paraId="16A4BFA1" w14:textId="77777777" w:rsidTr="00090D32">
        <w:tc>
          <w:tcPr>
            <w:tcW w:w="3118" w:type="dxa"/>
            <w:vAlign w:val="center"/>
          </w:tcPr>
          <w:p w14:paraId="7980095B"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General obesity</w:t>
            </w:r>
          </w:p>
        </w:tc>
        <w:tc>
          <w:tcPr>
            <w:tcW w:w="1843" w:type="dxa"/>
            <w:vAlign w:val="center"/>
          </w:tcPr>
          <w:p w14:paraId="3FF3E5C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223 (46.8)</w:t>
            </w:r>
          </w:p>
        </w:tc>
        <w:tc>
          <w:tcPr>
            <w:tcW w:w="1843" w:type="dxa"/>
            <w:vAlign w:val="center"/>
          </w:tcPr>
          <w:p w14:paraId="0AC3486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34 (18.9)</w:t>
            </w:r>
          </w:p>
        </w:tc>
        <w:tc>
          <w:tcPr>
            <w:tcW w:w="1842" w:type="dxa"/>
            <w:vAlign w:val="center"/>
          </w:tcPr>
          <w:p w14:paraId="00BE79D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189 (63.6)</w:t>
            </w:r>
          </w:p>
        </w:tc>
        <w:tc>
          <w:tcPr>
            <w:tcW w:w="1116" w:type="dxa"/>
            <w:vAlign w:val="center"/>
          </w:tcPr>
          <w:p w14:paraId="26549A0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BB13D1A" w14:textId="77777777" w:rsidTr="00090D32">
        <w:tc>
          <w:tcPr>
            <w:tcW w:w="3118" w:type="dxa"/>
            <w:vAlign w:val="center"/>
          </w:tcPr>
          <w:p w14:paraId="4958495C"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Elevated blood pressure</w:t>
            </w:r>
          </w:p>
        </w:tc>
        <w:tc>
          <w:tcPr>
            <w:tcW w:w="1843" w:type="dxa"/>
            <w:vAlign w:val="center"/>
          </w:tcPr>
          <w:p w14:paraId="5B0323A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315 (66.0)</w:t>
            </w:r>
          </w:p>
        </w:tc>
        <w:tc>
          <w:tcPr>
            <w:tcW w:w="1843" w:type="dxa"/>
            <w:vAlign w:val="center"/>
          </w:tcPr>
          <w:p w14:paraId="227B9BE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45 (25.0)</w:t>
            </w:r>
          </w:p>
        </w:tc>
        <w:tc>
          <w:tcPr>
            <w:tcW w:w="1842" w:type="dxa"/>
            <w:vAlign w:val="center"/>
          </w:tcPr>
          <w:p w14:paraId="7B19C044"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270 (90.9)</w:t>
            </w:r>
          </w:p>
        </w:tc>
        <w:tc>
          <w:tcPr>
            <w:tcW w:w="1116" w:type="dxa"/>
            <w:vAlign w:val="center"/>
          </w:tcPr>
          <w:p w14:paraId="25F1E37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02A9F34" w14:textId="77777777" w:rsidTr="00090D32">
        <w:tc>
          <w:tcPr>
            <w:tcW w:w="3118" w:type="dxa"/>
            <w:vAlign w:val="center"/>
          </w:tcPr>
          <w:p w14:paraId="6981F099"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Dysglycaemia</w:t>
            </w:r>
          </w:p>
        </w:tc>
        <w:tc>
          <w:tcPr>
            <w:tcW w:w="1843" w:type="dxa"/>
            <w:vAlign w:val="center"/>
          </w:tcPr>
          <w:p w14:paraId="38F81BD6"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227 (47.6)</w:t>
            </w:r>
          </w:p>
        </w:tc>
        <w:tc>
          <w:tcPr>
            <w:tcW w:w="1843" w:type="dxa"/>
            <w:vAlign w:val="center"/>
          </w:tcPr>
          <w:p w14:paraId="2150BD0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0 (0.0)</w:t>
            </w:r>
          </w:p>
        </w:tc>
        <w:tc>
          <w:tcPr>
            <w:tcW w:w="1842" w:type="dxa"/>
            <w:vAlign w:val="center"/>
          </w:tcPr>
          <w:p w14:paraId="31719389"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227 (76.4)</w:t>
            </w:r>
          </w:p>
        </w:tc>
        <w:tc>
          <w:tcPr>
            <w:tcW w:w="1116" w:type="dxa"/>
            <w:vAlign w:val="center"/>
          </w:tcPr>
          <w:p w14:paraId="6D35B34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587DCFC9" w14:textId="77777777" w:rsidTr="00090D32">
        <w:tc>
          <w:tcPr>
            <w:tcW w:w="3118" w:type="dxa"/>
            <w:vAlign w:val="center"/>
          </w:tcPr>
          <w:p w14:paraId="3E2A5898"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Hypertriglyceridaemia</w:t>
            </w:r>
          </w:p>
        </w:tc>
        <w:tc>
          <w:tcPr>
            <w:tcW w:w="1843" w:type="dxa"/>
            <w:vAlign w:val="center"/>
          </w:tcPr>
          <w:p w14:paraId="79959CB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86 (18.0)</w:t>
            </w:r>
          </w:p>
        </w:tc>
        <w:tc>
          <w:tcPr>
            <w:tcW w:w="1843" w:type="dxa"/>
            <w:vAlign w:val="center"/>
          </w:tcPr>
          <w:p w14:paraId="7BAA7FC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0 (0.0)</w:t>
            </w:r>
          </w:p>
        </w:tc>
        <w:tc>
          <w:tcPr>
            <w:tcW w:w="1842" w:type="dxa"/>
            <w:vAlign w:val="center"/>
          </w:tcPr>
          <w:p w14:paraId="56F5115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86 (29.0)</w:t>
            </w:r>
          </w:p>
        </w:tc>
        <w:tc>
          <w:tcPr>
            <w:tcW w:w="1116" w:type="dxa"/>
            <w:vAlign w:val="center"/>
          </w:tcPr>
          <w:p w14:paraId="12A82AC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3970EB03" w14:textId="77777777" w:rsidTr="00090D32">
        <w:tc>
          <w:tcPr>
            <w:tcW w:w="3118" w:type="dxa"/>
            <w:vAlign w:val="center"/>
          </w:tcPr>
          <w:p w14:paraId="6D993466"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Reduced HDL-C</w:t>
            </w:r>
          </w:p>
        </w:tc>
        <w:tc>
          <w:tcPr>
            <w:tcW w:w="1843" w:type="dxa"/>
            <w:vAlign w:val="center"/>
          </w:tcPr>
          <w:p w14:paraId="297C19D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99 (20.8)</w:t>
            </w:r>
          </w:p>
        </w:tc>
        <w:tc>
          <w:tcPr>
            <w:tcW w:w="1843" w:type="dxa"/>
            <w:vAlign w:val="center"/>
          </w:tcPr>
          <w:p w14:paraId="18F89026"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 (5.0)</w:t>
            </w:r>
          </w:p>
        </w:tc>
        <w:tc>
          <w:tcPr>
            <w:tcW w:w="1842" w:type="dxa"/>
            <w:vAlign w:val="center"/>
          </w:tcPr>
          <w:p w14:paraId="12BEAE04"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90 (30.3)</w:t>
            </w:r>
          </w:p>
        </w:tc>
        <w:tc>
          <w:tcPr>
            <w:tcW w:w="1116" w:type="dxa"/>
            <w:vAlign w:val="center"/>
          </w:tcPr>
          <w:p w14:paraId="3826896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bl>
    <w:p w14:paraId="3BF4A257" w14:textId="77777777" w:rsidR="00305CEB" w:rsidRPr="00090D32" w:rsidRDefault="00DA0E4C" w:rsidP="00EE7CCF">
      <w:pPr>
        <w:contextualSpacing/>
        <w:jc w:val="both"/>
        <w:rPr>
          <w:rFonts w:ascii="Arial" w:hAnsi="Arial" w:cs="Arial"/>
          <w:i/>
          <w:iCs/>
          <w:sz w:val="18"/>
          <w:szCs w:val="18"/>
        </w:rPr>
      </w:pPr>
      <w:r w:rsidRPr="00090D32">
        <w:rPr>
          <w:rFonts w:ascii="Arial" w:hAnsi="Arial" w:cs="Arial"/>
          <w:i/>
          <w:iCs/>
          <w:sz w:val="18"/>
          <w:szCs w:val="18"/>
        </w:rPr>
        <w:t>Values are presented as mean ± standard deviation (SD) for continuous variables and frequency (%) for categorical variables. Lower clustered cardiometabolic abnormality (CCA) burden was defined as 0–1 cardiometabolic abnormalities, while higher CCA burden was defined as ≥2 abnormalities. BMI, body mass index; SBP, systolic blood pressure; DBP, diastolic blood pressure; HDL-C, high-density lipoprotein cholesterol. P-values compare participants with lower and higher CCA burden. Statistical significance was set at p&lt;0.05; exact p-values are reported except where p&lt;0.001.</w:t>
      </w:r>
    </w:p>
    <w:p w14:paraId="3304ABB0" w14:textId="77777777" w:rsidR="00305CEB" w:rsidRPr="00090D32" w:rsidRDefault="00DA0E4C">
      <w:pPr>
        <w:spacing w:before="120" w:after="80"/>
        <w:rPr>
          <w:rFonts w:ascii="Arial" w:hAnsi="Arial" w:cs="Arial"/>
          <w:b/>
          <w:bCs/>
          <w:sz w:val="20"/>
          <w:szCs w:val="20"/>
        </w:rPr>
      </w:pPr>
      <w:r w:rsidRPr="00090D32">
        <w:rPr>
          <w:rFonts w:ascii="Arial" w:hAnsi="Arial" w:cs="Arial"/>
          <w:b/>
          <w:bCs/>
          <w:sz w:val="20"/>
          <w:szCs w:val="20"/>
        </w:rPr>
        <w:t xml:space="preserve">Table 4. Distribution of the number of cardiometabolic abnormalities </w:t>
      </w:r>
      <w:r w:rsidR="002470CB">
        <w:rPr>
          <w:rFonts w:ascii="Arial" w:hAnsi="Arial" w:cs="Arial"/>
          <w:b/>
          <w:sz w:val="20"/>
          <w:szCs w:val="20"/>
        </w:rPr>
        <w:t>a</w:t>
      </w:r>
      <w:r w:rsidR="00090D32" w:rsidRPr="00B85224">
        <w:rPr>
          <w:rFonts w:ascii="Arial" w:hAnsi="Arial" w:cs="Arial"/>
          <w:b/>
          <w:sz w:val="20"/>
          <w:szCs w:val="20"/>
        </w:rPr>
        <w:t>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3"/>
        <w:gridCol w:w="2764"/>
        <w:gridCol w:w="2339"/>
      </w:tblGrid>
      <w:tr w:rsidR="00090D32" w:rsidRPr="00C40275" w14:paraId="23C47451" w14:textId="77777777" w:rsidTr="00090D32">
        <w:tc>
          <w:tcPr>
            <w:tcW w:w="4536" w:type="dxa"/>
            <w:tcBorders>
              <w:top w:val="single" w:sz="4" w:space="0" w:color="auto"/>
              <w:bottom w:val="single" w:sz="4" w:space="0" w:color="auto"/>
            </w:tcBorders>
            <w:vAlign w:val="center"/>
          </w:tcPr>
          <w:p w14:paraId="553B4EBC"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Number of abnormalities</w:t>
            </w:r>
          </w:p>
        </w:tc>
        <w:tc>
          <w:tcPr>
            <w:tcW w:w="2835" w:type="dxa"/>
            <w:tcBorders>
              <w:top w:val="single" w:sz="4" w:space="0" w:color="auto"/>
              <w:bottom w:val="single" w:sz="4" w:space="0" w:color="auto"/>
            </w:tcBorders>
            <w:vAlign w:val="center"/>
          </w:tcPr>
          <w:p w14:paraId="5F486D4B"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n</w:t>
            </w:r>
          </w:p>
        </w:tc>
        <w:tc>
          <w:tcPr>
            <w:tcW w:w="2391" w:type="dxa"/>
            <w:tcBorders>
              <w:top w:val="single" w:sz="4" w:space="0" w:color="auto"/>
              <w:bottom w:val="single" w:sz="4" w:space="0" w:color="auto"/>
            </w:tcBorders>
            <w:vAlign w:val="center"/>
          </w:tcPr>
          <w:p w14:paraId="7895BEC5"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w:t>
            </w:r>
          </w:p>
        </w:tc>
      </w:tr>
      <w:tr w:rsidR="00090D32" w:rsidRPr="00C40275" w14:paraId="2717FB71" w14:textId="77777777" w:rsidTr="00090D32">
        <w:tc>
          <w:tcPr>
            <w:tcW w:w="4536" w:type="dxa"/>
            <w:tcBorders>
              <w:top w:val="single" w:sz="4" w:space="0" w:color="auto"/>
            </w:tcBorders>
            <w:vAlign w:val="center"/>
          </w:tcPr>
          <w:p w14:paraId="42AF1ED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0</w:t>
            </w:r>
          </w:p>
        </w:tc>
        <w:tc>
          <w:tcPr>
            <w:tcW w:w="2835" w:type="dxa"/>
            <w:tcBorders>
              <w:top w:val="single" w:sz="4" w:space="0" w:color="auto"/>
            </w:tcBorders>
            <w:vAlign w:val="center"/>
          </w:tcPr>
          <w:p w14:paraId="53400383"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92</w:t>
            </w:r>
          </w:p>
        </w:tc>
        <w:tc>
          <w:tcPr>
            <w:tcW w:w="2391" w:type="dxa"/>
            <w:tcBorders>
              <w:top w:val="single" w:sz="4" w:space="0" w:color="auto"/>
            </w:tcBorders>
            <w:vAlign w:val="center"/>
          </w:tcPr>
          <w:p w14:paraId="59D3A2C3"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19.3</w:t>
            </w:r>
          </w:p>
        </w:tc>
      </w:tr>
      <w:tr w:rsidR="00090D32" w:rsidRPr="00C40275" w14:paraId="019C4673" w14:textId="77777777" w:rsidTr="00090D32">
        <w:tc>
          <w:tcPr>
            <w:tcW w:w="4536" w:type="dxa"/>
            <w:vAlign w:val="center"/>
          </w:tcPr>
          <w:p w14:paraId="5E15E767"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w:t>
            </w:r>
          </w:p>
        </w:tc>
        <w:tc>
          <w:tcPr>
            <w:tcW w:w="2835" w:type="dxa"/>
            <w:vAlign w:val="center"/>
          </w:tcPr>
          <w:p w14:paraId="095B53F5"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88</w:t>
            </w:r>
          </w:p>
        </w:tc>
        <w:tc>
          <w:tcPr>
            <w:tcW w:w="2391" w:type="dxa"/>
            <w:vAlign w:val="center"/>
          </w:tcPr>
          <w:p w14:paraId="0FB082F2"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18.4</w:t>
            </w:r>
          </w:p>
        </w:tc>
      </w:tr>
      <w:tr w:rsidR="00090D32" w:rsidRPr="00C40275" w14:paraId="4F7C103D" w14:textId="77777777" w:rsidTr="00090D32">
        <w:tc>
          <w:tcPr>
            <w:tcW w:w="4536" w:type="dxa"/>
            <w:vAlign w:val="center"/>
          </w:tcPr>
          <w:p w14:paraId="634756A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w:t>
            </w:r>
          </w:p>
        </w:tc>
        <w:tc>
          <w:tcPr>
            <w:tcW w:w="2835" w:type="dxa"/>
            <w:vAlign w:val="center"/>
          </w:tcPr>
          <w:p w14:paraId="42D463AB"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117</w:t>
            </w:r>
          </w:p>
        </w:tc>
        <w:tc>
          <w:tcPr>
            <w:tcW w:w="2391" w:type="dxa"/>
            <w:vAlign w:val="center"/>
          </w:tcPr>
          <w:p w14:paraId="690066F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24.5</w:t>
            </w:r>
          </w:p>
        </w:tc>
      </w:tr>
      <w:tr w:rsidR="00090D32" w:rsidRPr="00C40275" w14:paraId="05CC6E32" w14:textId="77777777" w:rsidTr="00090D32">
        <w:tc>
          <w:tcPr>
            <w:tcW w:w="4536" w:type="dxa"/>
            <w:vAlign w:val="center"/>
          </w:tcPr>
          <w:p w14:paraId="6587D890"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3</w:t>
            </w:r>
          </w:p>
        </w:tc>
        <w:tc>
          <w:tcPr>
            <w:tcW w:w="2835" w:type="dxa"/>
            <w:vAlign w:val="center"/>
          </w:tcPr>
          <w:p w14:paraId="278BF570"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115</w:t>
            </w:r>
          </w:p>
        </w:tc>
        <w:tc>
          <w:tcPr>
            <w:tcW w:w="2391" w:type="dxa"/>
            <w:vAlign w:val="center"/>
          </w:tcPr>
          <w:p w14:paraId="3F539D75"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24.1</w:t>
            </w:r>
          </w:p>
        </w:tc>
      </w:tr>
      <w:tr w:rsidR="00090D32" w:rsidRPr="00C40275" w14:paraId="6E4851B6" w14:textId="77777777" w:rsidTr="00090D32">
        <w:tc>
          <w:tcPr>
            <w:tcW w:w="4536" w:type="dxa"/>
            <w:vAlign w:val="center"/>
          </w:tcPr>
          <w:p w14:paraId="0EAC1BBB"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w:t>
            </w:r>
          </w:p>
        </w:tc>
        <w:tc>
          <w:tcPr>
            <w:tcW w:w="2835" w:type="dxa"/>
            <w:vAlign w:val="center"/>
          </w:tcPr>
          <w:p w14:paraId="7BB084CF"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43</w:t>
            </w:r>
          </w:p>
        </w:tc>
        <w:tc>
          <w:tcPr>
            <w:tcW w:w="2391" w:type="dxa"/>
            <w:vAlign w:val="center"/>
          </w:tcPr>
          <w:p w14:paraId="3DE3FC06"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9.0</w:t>
            </w:r>
          </w:p>
        </w:tc>
      </w:tr>
      <w:tr w:rsidR="00090D32" w:rsidRPr="00C40275" w14:paraId="0F5D259C" w14:textId="77777777" w:rsidTr="00090D32">
        <w:tc>
          <w:tcPr>
            <w:tcW w:w="4536" w:type="dxa"/>
            <w:vAlign w:val="center"/>
          </w:tcPr>
          <w:p w14:paraId="6773A3A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lastRenderedPageBreak/>
              <w:t>5</w:t>
            </w:r>
          </w:p>
        </w:tc>
        <w:tc>
          <w:tcPr>
            <w:tcW w:w="2835" w:type="dxa"/>
            <w:vAlign w:val="center"/>
          </w:tcPr>
          <w:p w14:paraId="5A5A5DA3"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22</w:t>
            </w:r>
          </w:p>
        </w:tc>
        <w:tc>
          <w:tcPr>
            <w:tcW w:w="2391" w:type="dxa"/>
            <w:vAlign w:val="center"/>
          </w:tcPr>
          <w:p w14:paraId="57C72ED9"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4.6</w:t>
            </w:r>
          </w:p>
        </w:tc>
      </w:tr>
      <w:tr w:rsidR="00090D32" w:rsidRPr="00C40275" w14:paraId="04218484" w14:textId="77777777" w:rsidTr="00090D32">
        <w:tc>
          <w:tcPr>
            <w:tcW w:w="4536" w:type="dxa"/>
            <w:vAlign w:val="center"/>
          </w:tcPr>
          <w:p w14:paraId="03787EEF"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Total</w:t>
            </w:r>
          </w:p>
        </w:tc>
        <w:tc>
          <w:tcPr>
            <w:tcW w:w="2835" w:type="dxa"/>
            <w:vAlign w:val="center"/>
          </w:tcPr>
          <w:p w14:paraId="40AA3F36"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477</w:t>
            </w:r>
          </w:p>
        </w:tc>
        <w:tc>
          <w:tcPr>
            <w:tcW w:w="2391" w:type="dxa"/>
            <w:vAlign w:val="center"/>
          </w:tcPr>
          <w:p w14:paraId="5E47D0C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100.0</w:t>
            </w:r>
          </w:p>
        </w:tc>
      </w:tr>
    </w:tbl>
    <w:p w14:paraId="14E57919" w14:textId="77777777" w:rsidR="00DA0E4C" w:rsidRPr="00DA0E4C" w:rsidRDefault="00DA0E4C" w:rsidP="00DA0E4C">
      <w:pPr>
        <w:pStyle w:val="p1"/>
        <w:spacing w:before="0" w:beforeAutospacing="0" w:after="0" w:afterAutospacing="0"/>
        <w:contextualSpacing/>
        <w:jc w:val="both"/>
        <w:rPr>
          <w:rFonts w:ascii="Arial" w:hAnsi="Arial" w:cs="Arial"/>
          <w:i/>
          <w:iCs/>
          <w:sz w:val="18"/>
          <w:szCs w:val="18"/>
        </w:rPr>
      </w:pPr>
      <w:r w:rsidRPr="00DA0E4C">
        <w:rPr>
          <w:rFonts w:ascii="Arial" w:hAnsi="Arial" w:cs="Arial"/>
          <w:i/>
          <w:iCs/>
          <w:sz w:val="18"/>
          <w:szCs w:val="18"/>
        </w:rPr>
        <w:t>The CCA count ranged from 0 to 5 abnormalities. Participants with 0–1 abnormalities were classified as having lower CCA burden, whereas those with ≥2 abnormalities were classified as having higher CCA burden. A threshold of ≥3 abnormalities was additionally considered the secondary higher-burden phenotype.</w:t>
      </w:r>
    </w:p>
    <w:p w14:paraId="42636FF3" w14:textId="77777777" w:rsidR="00D065D9" w:rsidRPr="002470CB" w:rsidRDefault="00000000">
      <w:pPr>
        <w:spacing w:before="160" w:after="100"/>
        <w:rPr>
          <w:rFonts w:ascii="Arial" w:hAnsi="Arial" w:cs="Arial"/>
          <w:sz w:val="22"/>
          <w:szCs w:val="22"/>
        </w:rPr>
      </w:pPr>
      <w:r w:rsidRPr="002470CB">
        <w:rPr>
          <w:rFonts w:ascii="Arial" w:hAnsi="Arial" w:cs="Arial"/>
          <w:b/>
          <w:sz w:val="22"/>
          <w:szCs w:val="22"/>
        </w:rPr>
        <w:t>3.1.4 Food-group Intake According to CCA Burden</w:t>
      </w:r>
    </w:p>
    <w:p w14:paraId="7BCA9C22" w14:textId="77777777" w:rsidR="003E48C9" w:rsidRPr="003E48C9" w:rsidRDefault="003E48C9" w:rsidP="003E48C9">
      <w:pPr>
        <w:spacing w:after="120"/>
        <w:jc w:val="both"/>
        <w:rPr>
          <w:rFonts w:ascii="Arial" w:hAnsi="Arial" w:cs="Arial"/>
          <w:sz w:val="20"/>
        </w:rPr>
      </w:pPr>
      <w:r w:rsidRPr="003E48C9">
        <w:rPr>
          <w:rFonts w:ascii="Arial" w:hAnsi="Arial" w:cs="Arial"/>
          <w:sz w:val="20"/>
        </w:rPr>
        <w:t xml:space="preserve">Table </w:t>
      </w:r>
      <w:r w:rsidR="008221AB">
        <w:rPr>
          <w:rFonts w:ascii="Arial" w:hAnsi="Arial" w:cs="Arial"/>
          <w:sz w:val="20"/>
        </w:rPr>
        <w:t>5</w:t>
      </w:r>
      <w:r w:rsidRPr="003E48C9">
        <w:rPr>
          <w:rFonts w:ascii="Arial" w:hAnsi="Arial" w:cs="Arial"/>
          <w:sz w:val="20"/>
        </w:rPr>
        <w:t xml:space="preserve"> presents the frequency of NiDST food-group intake according to clustered cardiometabolic abnormality (CCA) burden among adults in Ikwerre Local Government Area, Rivers State, Nigeria. Statistically significant differences between participants with lower and higher CCA burden were observed for white lean meat, fried foods, soups and stews, fats and oils, desserts and sweets, alcoholic drinks, seasoning, and salty foods.</w:t>
      </w:r>
      <w:r w:rsidR="008221AB">
        <w:rPr>
          <w:rFonts w:ascii="Arial" w:hAnsi="Arial" w:cs="Arial"/>
          <w:sz w:val="20"/>
        </w:rPr>
        <w:t xml:space="preserve"> </w:t>
      </w:r>
      <w:r w:rsidRPr="003E48C9">
        <w:rPr>
          <w:rFonts w:ascii="Arial" w:hAnsi="Arial" w:cs="Arial"/>
          <w:sz w:val="20"/>
        </w:rPr>
        <w:t>White lean meat intake was significantly higher among participants with lower CCA burden, with a median intake score of 0.57 (IQR 0.21–0.57), compared with 0.21 (IQR 0.21–0.57) among those with higher CCA burden (p=.033). In contrast, fried-food intake was significantly higher among participants with higher CCA burden, with a median score of 0.57 (IQR 0.00–0.57) compared with 0.21 (IQR 0.21–0.57) in the lower-burden group (p=.049).</w:t>
      </w:r>
    </w:p>
    <w:p w14:paraId="26D4C2E8" w14:textId="77777777" w:rsidR="003E48C9" w:rsidRPr="003E48C9" w:rsidRDefault="003E48C9" w:rsidP="003E48C9">
      <w:pPr>
        <w:spacing w:after="120"/>
        <w:jc w:val="both"/>
        <w:rPr>
          <w:rFonts w:ascii="Arial" w:hAnsi="Arial" w:cs="Arial"/>
          <w:sz w:val="20"/>
        </w:rPr>
      </w:pPr>
      <w:r w:rsidRPr="003E48C9">
        <w:rPr>
          <w:rFonts w:ascii="Arial" w:hAnsi="Arial" w:cs="Arial"/>
          <w:sz w:val="20"/>
        </w:rPr>
        <w:t>Participants with higher CCA burden also reported significantly greater intake of soups and stews [0.57 (IQR 0.21–1.00) vs 0.21 (IQR 0.21–0.57); p=.031], fats and oils [0.57 (IQR 0.21–1.00) vs 0.21 (IQR 0.21–0.57); p=.005], and desserts and sweets [0.57 (IQR 0.21–0.57) vs 0.21 (IQR 0.21–0.57); p=.010]. Although the median intake score for alcoholic drinks was 0.21 in both groups, the overall distribution differed significantly between lower and higher CCA-burden participants (p=.009), indicating a greater frequency of alcohol intake within the higher-burden group.</w:t>
      </w:r>
      <w:r w:rsidR="008221AB">
        <w:rPr>
          <w:rFonts w:ascii="Arial" w:hAnsi="Arial" w:cs="Arial"/>
          <w:sz w:val="20"/>
        </w:rPr>
        <w:t xml:space="preserve"> </w:t>
      </w:r>
      <w:r w:rsidRPr="003E48C9">
        <w:rPr>
          <w:rFonts w:ascii="Arial" w:hAnsi="Arial" w:cs="Arial"/>
          <w:sz w:val="20"/>
        </w:rPr>
        <w:t>The most marked between-group differences were observed for seasoning and salty foods. Median seasoning intake was 1.00 (IQR 0.57–1.00) among participants with higher CCA burden compared with 0.57 (IQR 0.21–0.57) among those with lower burden (p&lt;.001). Similarly, median salty-food intake was 1.00 (IQR 0.57–1.00) in the higher CCA-burden group and 0.57 (IQR 0.21–0.68) in the lower-burden group (p&lt;.001).</w:t>
      </w:r>
    </w:p>
    <w:p w14:paraId="4B46102D" w14:textId="77777777" w:rsidR="003E48C9" w:rsidRDefault="003E48C9" w:rsidP="003E48C9">
      <w:pPr>
        <w:spacing w:after="120"/>
        <w:jc w:val="both"/>
        <w:rPr>
          <w:rFonts w:ascii="Arial" w:hAnsi="Arial" w:cs="Arial"/>
          <w:sz w:val="20"/>
        </w:rPr>
      </w:pPr>
      <w:r w:rsidRPr="003E48C9">
        <w:rPr>
          <w:rFonts w:ascii="Arial" w:hAnsi="Arial" w:cs="Arial"/>
          <w:sz w:val="20"/>
        </w:rPr>
        <w:t>No statistically significant differences were observed between the CCA-burden groups for fruit, vegetables, rice, wheat, breakfast cereals, legumes, nuts and seeds, red meat, processed foods, eggs and egg products, fish and seafood, fast foods, tuber foods, soft drinks, tea and coffee, or dairy products (all p&gt;0.05). Overall, higher CCA burden was associated with more frequent intake of several energy-dense and sodium-related food groups, while white lean meat intake was more frequent among participants with lower CCA burden.</w:t>
      </w:r>
    </w:p>
    <w:p w14:paraId="59E77CA4" w14:textId="77777777" w:rsidR="002470CB" w:rsidRPr="00090D32" w:rsidRDefault="00000000" w:rsidP="002470CB">
      <w:pPr>
        <w:spacing w:before="120" w:after="80"/>
        <w:rPr>
          <w:rFonts w:ascii="Arial" w:hAnsi="Arial" w:cs="Arial"/>
          <w:b/>
          <w:bCs/>
          <w:sz w:val="20"/>
          <w:szCs w:val="20"/>
        </w:rPr>
      </w:pPr>
      <w:r w:rsidRPr="00B85224">
        <w:rPr>
          <w:rFonts w:ascii="Arial" w:hAnsi="Arial" w:cs="Arial"/>
          <w:b/>
          <w:sz w:val="20"/>
        </w:rPr>
        <w:t xml:space="preserve">Table </w:t>
      </w:r>
      <w:r w:rsidR="003E48C9">
        <w:rPr>
          <w:rFonts w:ascii="Arial" w:hAnsi="Arial" w:cs="Arial"/>
          <w:b/>
          <w:sz w:val="20"/>
        </w:rPr>
        <w:t>5</w:t>
      </w:r>
      <w:r w:rsidRPr="00B85224">
        <w:rPr>
          <w:rFonts w:ascii="Arial" w:hAnsi="Arial" w:cs="Arial"/>
          <w:b/>
          <w:sz w:val="20"/>
        </w:rPr>
        <w:t>. Frequency of NiDST food-group intake according to CCA burden</w:t>
      </w:r>
      <w:r w:rsidR="002470CB">
        <w:rPr>
          <w:rFonts w:ascii="Arial" w:hAnsi="Arial" w:cs="Arial"/>
          <w:b/>
          <w:sz w:val="20"/>
        </w:rPr>
        <w:t xml:space="preserve"> </w:t>
      </w:r>
      <w:r w:rsidR="002470CB">
        <w:rPr>
          <w:rFonts w:ascii="Arial" w:hAnsi="Arial" w:cs="Arial"/>
          <w:b/>
          <w:sz w:val="20"/>
          <w:szCs w:val="20"/>
        </w:rPr>
        <w:t>a</w:t>
      </w:r>
      <w:r w:rsidR="002470CB" w:rsidRPr="00B85224">
        <w:rPr>
          <w:rFonts w:ascii="Arial" w:hAnsi="Arial" w:cs="Arial"/>
          <w:b/>
          <w:sz w:val="20"/>
          <w:szCs w:val="20"/>
        </w:rPr>
        <w:t>mong Adults in Ikwerre Local Government Area, Rivers State, Nigeria</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2076"/>
        <w:gridCol w:w="1940"/>
        <w:gridCol w:w="1805"/>
        <w:gridCol w:w="964"/>
      </w:tblGrid>
      <w:tr w:rsidR="004537E7" w:rsidRPr="00DA117A" w14:paraId="76C9F159" w14:textId="77777777" w:rsidTr="00DA117A">
        <w:tc>
          <w:tcPr>
            <w:tcW w:w="2977" w:type="dxa"/>
            <w:tcBorders>
              <w:top w:val="single" w:sz="4" w:space="0" w:color="auto"/>
              <w:bottom w:val="single" w:sz="4" w:space="0" w:color="auto"/>
            </w:tcBorders>
            <w:vAlign w:val="center"/>
          </w:tcPr>
          <w:p w14:paraId="20A587CE" w14:textId="77777777" w:rsidR="004537E7" w:rsidRPr="00DA117A" w:rsidRDefault="00DA117A"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F</w:t>
            </w:r>
            <w:r w:rsidR="004537E7" w:rsidRPr="00DA117A">
              <w:rPr>
                <w:rFonts w:ascii="Arial" w:hAnsi="Arial" w:cs="Arial"/>
                <w:b/>
                <w:bCs/>
                <w:sz w:val="20"/>
                <w:szCs w:val="20"/>
              </w:rPr>
              <w:t>ood group</w:t>
            </w:r>
            <w:r w:rsidRPr="00DA117A">
              <w:rPr>
                <w:rFonts w:ascii="Arial" w:hAnsi="Arial" w:cs="Arial"/>
                <w:b/>
                <w:bCs/>
                <w:sz w:val="20"/>
                <w:szCs w:val="20"/>
              </w:rPr>
              <w:t xml:space="preserve"> Intake</w:t>
            </w:r>
          </w:p>
        </w:tc>
        <w:tc>
          <w:tcPr>
            <w:tcW w:w="2126" w:type="dxa"/>
            <w:tcBorders>
              <w:top w:val="single" w:sz="4" w:space="0" w:color="auto"/>
              <w:bottom w:val="single" w:sz="4" w:space="0" w:color="auto"/>
            </w:tcBorders>
            <w:vAlign w:val="center"/>
          </w:tcPr>
          <w:p w14:paraId="0957B6B7"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 xml:space="preserve">Overall </w:t>
            </w:r>
          </w:p>
          <w:p w14:paraId="05094BE6"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(n=477)</w:t>
            </w:r>
          </w:p>
        </w:tc>
        <w:tc>
          <w:tcPr>
            <w:tcW w:w="1984" w:type="dxa"/>
            <w:tcBorders>
              <w:top w:val="single" w:sz="4" w:space="0" w:color="auto"/>
              <w:bottom w:val="single" w:sz="4" w:space="0" w:color="auto"/>
            </w:tcBorders>
            <w:vAlign w:val="center"/>
          </w:tcPr>
          <w:p w14:paraId="50B1599F"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Lower CCA burden (n=180)</w:t>
            </w:r>
          </w:p>
        </w:tc>
        <w:tc>
          <w:tcPr>
            <w:tcW w:w="1843" w:type="dxa"/>
            <w:tcBorders>
              <w:top w:val="single" w:sz="4" w:space="0" w:color="auto"/>
              <w:bottom w:val="single" w:sz="4" w:space="0" w:color="auto"/>
            </w:tcBorders>
            <w:vAlign w:val="center"/>
          </w:tcPr>
          <w:p w14:paraId="3EC802E7"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Higher CCA burden (n=297)</w:t>
            </w:r>
          </w:p>
        </w:tc>
        <w:tc>
          <w:tcPr>
            <w:tcW w:w="974" w:type="dxa"/>
            <w:tcBorders>
              <w:top w:val="single" w:sz="4" w:space="0" w:color="auto"/>
              <w:bottom w:val="single" w:sz="4" w:space="0" w:color="auto"/>
            </w:tcBorders>
            <w:vAlign w:val="center"/>
          </w:tcPr>
          <w:p w14:paraId="1A241F1A"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i/>
                <w:iCs/>
                <w:sz w:val="20"/>
                <w:szCs w:val="20"/>
              </w:rPr>
              <w:t>P</w:t>
            </w:r>
            <w:r w:rsidRPr="00DA117A">
              <w:rPr>
                <w:rFonts w:ascii="Arial" w:hAnsi="Arial" w:cs="Arial"/>
                <w:b/>
                <w:bCs/>
                <w:sz w:val="20"/>
                <w:szCs w:val="20"/>
              </w:rPr>
              <w:t>-value</w:t>
            </w:r>
          </w:p>
        </w:tc>
      </w:tr>
      <w:tr w:rsidR="004537E7" w:rsidRPr="00DA117A" w14:paraId="1B03EE78" w14:textId="77777777" w:rsidTr="00DA117A">
        <w:tc>
          <w:tcPr>
            <w:tcW w:w="2977" w:type="dxa"/>
            <w:tcBorders>
              <w:top w:val="single" w:sz="4" w:space="0" w:color="auto"/>
            </w:tcBorders>
            <w:vAlign w:val="center"/>
          </w:tcPr>
          <w:p w14:paraId="3C3CD96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Fruit</w:t>
            </w:r>
          </w:p>
        </w:tc>
        <w:tc>
          <w:tcPr>
            <w:tcW w:w="2126" w:type="dxa"/>
            <w:tcBorders>
              <w:top w:val="single" w:sz="4" w:space="0" w:color="auto"/>
            </w:tcBorders>
            <w:vAlign w:val="center"/>
          </w:tcPr>
          <w:p w14:paraId="056DC1E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tcBorders>
              <w:top w:val="single" w:sz="4" w:space="0" w:color="auto"/>
            </w:tcBorders>
            <w:vAlign w:val="center"/>
          </w:tcPr>
          <w:p w14:paraId="5EB4813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tcBorders>
              <w:top w:val="single" w:sz="4" w:space="0" w:color="auto"/>
            </w:tcBorders>
            <w:vAlign w:val="center"/>
          </w:tcPr>
          <w:p w14:paraId="4DCD69E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974" w:type="dxa"/>
            <w:tcBorders>
              <w:top w:val="single" w:sz="4" w:space="0" w:color="auto"/>
            </w:tcBorders>
            <w:vAlign w:val="center"/>
          </w:tcPr>
          <w:p w14:paraId="5C649DB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.123</w:t>
            </w:r>
          </w:p>
        </w:tc>
      </w:tr>
      <w:tr w:rsidR="004537E7" w:rsidRPr="00DA117A" w14:paraId="13B8627C" w14:textId="77777777" w:rsidTr="00DA117A">
        <w:tc>
          <w:tcPr>
            <w:tcW w:w="2977" w:type="dxa"/>
            <w:vAlign w:val="center"/>
          </w:tcPr>
          <w:p w14:paraId="00E03BC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Vegetables</w:t>
            </w:r>
          </w:p>
        </w:tc>
        <w:tc>
          <w:tcPr>
            <w:tcW w:w="2126" w:type="dxa"/>
            <w:vAlign w:val="center"/>
          </w:tcPr>
          <w:p w14:paraId="3561EE0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08F546E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(0.16–0.30)</w:t>
            </w:r>
          </w:p>
        </w:tc>
        <w:tc>
          <w:tcPr>
            <w:tcW w:w="1843" w:type="dxa"/>
            <w:vAlign w:val="center"/>
          </w:tcPr>
          <w:p w14:paraId="44ACFDE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3B96654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.648</w:t>
            </w:r>
          </w:p>
        </w:tc>
      </w:tr>
      <w:tr w:rsidR="004537E7" w:rsidRPr="00DA117A" w14:paraId="44F4A0F3" w14:textId="77777777" w:rsidTr="00DA117A">
        <w:tc>
          <w:tcPr>
            <w:tcW w:w="2977" w:type="dxa"/>
            <w:vAlign w:val="center"/>
          </w:tcPr>
          <w:p w14:paraId="23A6F50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Rice</w:t>
            </w:r>
          </w:p>
        </w:tc>
        <w:tc>
          <w:tcPr>
            <w:tcW w:w="2126" w:type="dxa"/>
            <w:vAlign w:val="center"/>
          </w:tcPr>
          <w:p w14:paraId="5713006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0F03811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843" w:type="dxa"/>
            <w:vAlign w:val="center"/>
          </w:tcPr>
          <w:p w14:paraId="147BBA4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69A6F43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.083</w:t>
            </w:r>
          </w:p>
        </w:tc>
      </w:tr>
      <w:tr w:rsidR="004537E7" w:rsidRPr="00DA117A" w14:paraId="0BC7122E" w14:textId="77777777" w:rsidTr="00DA117A">
        <w:tc>
          <w:tcPr>
            <w:tcW w:w="2977" w:type="dxa"/>
            <w:vAlign w:val="center"/>
          </w:tcPr>
          <w:p w14:paraId="77CF6D7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Wheat</w:t>
            </w:r>
          </w:p>
        </w:tc>
        <w:tc>
          <w:tcPr>
            <w:tcW w:w="2126" w:type="dxa"/>
            <w:vAlign w:val="center"/>
          </w:tcPr>
          <w:p w14:paraId="6BA7F46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255802D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3C71A97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6F7F901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.995</w:t>
            </w:r>
          </w:p>
        </w:tc>
      </w:tr>
      <w:tr w:rsidR="004537E7" w:rsidRPr="00DA117A" w14:paraId="2E035BBD" w14:textId="77777777" w:rsidTr="00DA117A">
        <w:tc>
          <w:tcPr>
            <w:tcW w:w="2977" w:type="dxa"/>
            <w:vAlign w:val="center"/>
          </w:tcPr>
          <w:p w14:paraId="6F112A20"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 xml:space="preserve">Breakfast </w:t>
            </w:r>
            <w:r w:rsidR="004537E7" w:rsidRPr="00DA117A">
              <w:rPr>
                <w:rFonts w:ascii="Arial" w:hAnsi="Arial" w:cs="Arial"/>
                <w:sz w:val="20"/>
                <w:szCs w:val="20"/>
              </w:rPr>
              <w:t>Cereals</w:t>
            </w:r>
          </w:p>
        </w:tc>
        <w:tc>
          <w:tcPr>
            <w:tcW w:w="2126" w:type="dxa"/>
            <w:vAlign w:val="center"/>
          </w:tcPr>
          <w:p w14:paraId="008A0F6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984" w:type="dxa"/>
            <w:vAlign w:val="center"/>
          </w:tcPr>
          <w:p w14:paraId="4B7DACF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843" w:type="dxa"/>
            <w:vAlign w:val="center"/>
          </w:tcPr>
          <w:p w14:paraId="2F619C0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0.00 (0.00–0.21)</w:t>
            </w:r>
          </w:p>
        </w:tc>
        <w:tc>
          <w:tcPr>
            <w:tcW w:w="974" w:type="dxa"/>
            <w:vAlign w:val="center"/>
          </w:tcPr>
          <w:p w14:paraId="4EABC07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.056</w:t>
            </w:r>
          </w:p>
        </w:tc>
      </w:tr>
      <w:tr w:rsidR="004537E7" w:rsidRPr="00DA117A" w14:paraId="75DAB919" w14:textId="77777777" w:rsidTr="00DA117A">
        <w:tc>
          <w:tcPr>
            <w:tcW w:w="2977" w:type="dxa"/>
            <w:vAlign w:val="center"/>
          </w:tcPr>
          <w:p w14:paraId="51E33894"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Legumes (</w:t>
            </w:r>
            <w:r w:rsidR="004537E7" w:rsidRPr="00DA117A">
              <w:rPr>
                <w:rFonts w:ascii="Arial" w:hAnsi="Arial" w:cs="Arial"/>
                <w:sz w:val="20"/>
                <w:szCs w:val="20"/>
              </w:rPr>
              <w:t>Beans</w:t>
            </w:r>
            <w:r>
              <w:rPr>
                <w:rFonts w:ascii="Arial" w:hAnsi="Arial" w:cs="Arial"/>
                <w:sz w:val="20"/>
                <w:szCs w:val="20"/>
              </w:rPr>
              <w:t>)</w:t>
            </w:r>
          </w:p>
        </w:tc>
        <w:tc>
          <w:tcPr>
            <w:tcW w:w="2126" w:type="dxa"/>
            <w:vAlign w:val="center"/>
          </w:tcPr>
          <w:p w14:paraId="14FE543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7BF1A2A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7FF92D3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154792E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.720</w:t>
            </w:r>
          </w:p>
        </w:tc>
      </w:tr>
      <w:tr w:rsidR="004537E7" w:rsidRPr="00DA117A" w14:paraId="5AF50A56" w14:textId="77777777" w:rsidTr="00DA117A">
        <w:tc>
          <w:tcPr>
            <w:tcW w:w="2977" w:type="dxa"/>
            <w:vAlign w:val="center"/>
          </w:tcPr>
          <w:p w14:paraId="62FBDB7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Nuts</w:t>
            </w:r>
            <w:r w:rsidR="003E48C9">
              <w:rPr>
                <w:rFonts w:ascii="Arial" w:hAnsi="Arial" w:cs="Arial"/>
                <w:sz w:val="20"/>
                <w:szCs w:val="20"/>
              </w:rPr>
              <w:t xml:space="preserve"> and Seeds</w:t>
            </w:r>
          </w:p>
        </w:tc>
        <w:tc>
          <w:tcPr>
            <w:tcW w:w="2126" w:type="dxa"/>
            <w:vAlign w:val="center"/>
          </w:tcPr>
          <w:p w14:paraId="731FF0F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984" w:type="dxa"/>
            <w:vAlign w:val="center"/>
          </w:tcPr>
          <w:p w14:paraId="2B6D556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1C71561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42FF65E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.076</w:t>
            </w:r>
          </w:p>
        </w:tc>
      </w:tr>
      <w:tr w:rsidR="004537E7" w:rsidRPr="00DA117A" w14:paraId="50C2E47B" w14:textId="77777777" w:rsidTr="00DA117A">
        <w:tc>
          <w:tcPr>
            <w:tcW w:w="2977" w:type="dxa"/>
            <w:vAlign w:val="center"/>
          </w:tcPr>
          <w:p w14:paraId="059A60A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Red meat</w:t>
            </w:r>
          </w:p>
        </w:tc>
        <w:tc>
          <w:tcPr>
            <w:tcW w:w="2126" w:type="dxa"/>
            <w:vAlign w:val="center"/>
          </w:tcPr>
          <w:p w14:paraId="0E7AD79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984" w:type="dxa"/>
            <w:vAlign w:val="center"/>
          </w:tcPr>
          <w:p w14:paraId="19AD651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843" w:type="dxa"/>
            <w:vAlign w:val="center"/>
          </w:tcPr>
          <w:p w14:paraId="2C0B134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3FEF0C9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.547</w:t>
            </w:r>
          </w:p>
        </w:tc>
      </w:tr>
      <w:tr w:rsidR="004537E7" w:rsidRPr="00DA117A" w14:paraId="3A213459" w14:textId="77777777" w:rsidTr="00DA117A">
        <w:tc>
          <w:tcPr>
            <w:tcW w:w="2977" w:type="dxa"/>
            <w:vAlign w:val="center"/>
          </w:tcPr>
          <w:p w14:paraId="5FC4248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White</w:t>
            </w:r>
            <w:r w:rsidR="003E48C9">
              <w:rPr>
                <w:rFonts w:ascii="Arial" w:hAnsi="Arial" w:cs="Arial"/>
                <w:sz w:val="20"/>
                <w:szCs w:val="20"/>
              </w:rPr>
              <w:t xml:space="preserve"> (lean)</w:t>
            </w:r>
            <w:r w:rsidRPr="00DA117A">
              <w:rPr>
                <w:rFonts w:ascii="Arial" w:hAnsi="Arial" w:cs="Arial"/>
                <w:sz w:val="20"/>
                <w:szCs w:val="20"/>
              </w:rPr>
              <w:t xml:space="preserve"> meat</w:t>
            </w:r>
          </w:p>
        </w:tc>
        <w:tc>
          <w:tcPr>
            <w:tcW w:w="2126" w:type="dxa"/>
            <w:vAlign w:val="center"/>
          </w:tcPr>
          <w:p w14:paraId="02BAA48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4D46226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16A1FFE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5FE39D9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.033</w:t>
            </w:r>
          </w:p>
        </w:tc>
      </w:tr>
      <w:tr w:rsidR="004537E7" w:rsidRPr="00DA117A" w14:paraId="30BCA10F" w14:textId="77777777" w:rsidTr="00DA117A">
        <w:tc>
          <w:tcPr>
            <w:tcW w:w="2977" w:type="dxa"/>
            <w:vAlign w:val="center"/>
          </w:tcPr>
          <w:p w14:paraId="26E1FE4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Processed foods</w:t>
            </w:r>
          </w:p>
        </w:tc>
        <w:tc>
          <w:tcPr>
            <w:tcW w:w="2126" w:type="dxa"/>
            <w:vAlign w:val="center"/>
          </w:tcPr>
          <w:p w14:paraId="46E5536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984" w:type="dxa"/>
            <w:vAlign w:val="center"/>
          </w:tcPr>
          <w:p w14:paraId="66BE17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843" w:type="dxa"/>
            <w:vAlign w:val="center"/>
          </w:tcPr>
          <w:p w14:paraId="2592854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010ED2E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.237</w:t>
            </w:r>
          </w:p>
        </w:tc>
      </w:tr>
      <w:tr w:rsidR="004537E7" w:rsidRPr="00DA117A" w14:paraId="1E0D7C1C" w14:textId="77777777" w:rsidTr="00DA117A">
        <w:tc>
          <w:tcPr>
            <w:tcW w:w="2977" w:type="dxa"/>
            <w:vAlign w:val="center"/>
          </w:tcPr>
          <w:p w14:paraId="4F7B937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Eggs</w:t>
            </w:r>
            <w:r w:rsidR="003E48C9">
              <w:rPr>
                <w:rFonts w:ascii="Arial" w:hAnsi="Arial" w:cs="Arial"/>
                <w:sz w:val="20"/>
                <w:szCs w:val="20"/>
              </w:rPr>
              <w:t xml:space="preserve"> and Eggs products</w:t>
            </w:r>
          </w:p>
        </w:tc>
        <w:tc>
          <w:tcPr>
            <w:tcW w:w="2126" w:type="dxa"/>
            <w:vAlign w:val="center"/>
          </w:tcPr>
          <w:p w14:paraId="52D436F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324DB33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9E2219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2330B14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.533</w:t>
            </w:r>
          </w:p>
        </w:tc>
      </w:tr>
      <w:tr w:rsidR="004537E7" w:rsidRPr="00DA117A" w14:paraId="5106D032" w14:textId="77777777" w:rsidTr="00DA117A">
        <w:tc>
          <w:tcPr>
            <w:tcW w:w="2977" w:type="dxa"/>
            <w:vAlign w:val="center"/>
          </w:tcPr>
          <w:p w14:paraId="065F021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Fish</w:t>
            </w:r>
            <w:r w:rsidR="003E48C9">
              <w:rPr>
                <w:rFonts w:ascii="Arial" w:hAnsi="Arial" w:cs="Arial"/>
                <w:sz w:val="20"/>
                <w:szCs w:val="20"/>
              </w:rPr>
              <w:t xml:space="preserve"> and Seefods</w:t>
            </w:r>
          </w:p>
        </w:tc>
        <w:tc>
          <w:tcPr>
            <w:tcW w:w="2126" w:type="dxa"/>
            <w:vAlign w:val="center"/>
          </w:tcPr>
          <w:p w14:paraId="05DEC2A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4DDE6C4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8EC403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0.39 (0.21–0.57)</w:t>
            </w:r>
          </w:p>
        </w:tc>
        <w:tc>
          <w:tcPr>
            <w:tcW w:w="974" w:type="dxa"/>
            <w:vAlign w:val="center"/>
          </w:tcPr>
          <w:p w14:paraId="4A699F0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.593</w:t>
            </w:r>
          </w:p>
        </w:tc>
      </w:tr>
      <w:tr w:rsidR="004537E7" w:rsidRPr="00DA117A" w14:paraId="2302E2C6" w14:textId="77777777" w:rsidTr="00DA117A">
        <w:tc>
          <w:tcPr>
            <w:tcW w:w="2977" w:type="dxa"/>
            <w:vAlign w:val="center"/>
          </w:tcPr>
          <w:p w14:paraId="0D6DE34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Fried foods</w:t>
            </w:r>
          </w:p>
        </w:tc>
        <w:tc>
          <w:tcPr>
            <w:tcW w:w="2126" w:type="dxa"/>
            <w:vAlign w:val="center"/>
          </w:tcPr>
          <w:p w14:paraId="4BB5282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7FD3638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B9ECED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(0.00–0.57)</w:t>
            </w:r>
          </w:p>
        </w:tc>
        <w:tc>
          <w:tcPr>
            <w:tcW w:w="974" w:type="dxa"/>
            <w:vAlign w:val="center"/>
          </w:tcPr>
          <w:p w14:paraId="46721E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.049</w:t>
            </w:r>
          </w:p>
        </w:tc>
      </w:tr>
      <w:tr w:rsidR="004537E7" w:rsidRPr="00DA117A" w14:paraId="5E22948A" w14:textId="77777777" w:rsidTr="00DA117A">
        <w:tc>
          <w:tcPr>
            <w:tcW w:w="2977" w:type="dxa"/>
            <w:vAlign w:val="center"/>
          </w:tcPr>
          <w:p w14:paraId="40C2806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Fast foods</w:t>
            </w:r>
          </w:p>
        </w:tc>
        <w:tc>
          <w:tcPr>
            <w:tcW w:w="2126" w:type="dxa"/>
            <w:vAlign w:val="center"/>
          </w:tcPr>
          <w:p w14:paraId="00C3B06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6E541F5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843" w:type="dxa"/>
            <w:vAlign w:val="center"/>
          </w:tcPr>
          <w:p w14:paraId="2C43FD7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(0.00–0.68)</w:t>
            </w:r>
          </w:p>
        </w:tc>
        <w:tc>
          <w:tcPr>
            <w:tcW w:w="974" w:type="dxa"/>
            <w:vAlign w:val="center"/>
          </w:tcPr>
          <w:p w14:paraId="47608D8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.544</w:t>
            </w:r>
          </w:p>
        </w:tc>
      </w:tr>
      <w:tr w:rsidR="004537E7" w:rsidRPr="00DA117A" w14:paraId="2C4E14F8" w14:textId="77777777" w:rsidTr="00DA117A">
        <w:tc>
          <w:tcPr>
            <w:tcW w:w="2977" w:type="dxa"/>
            <w:vAlign w:val="center"/>
          </w:tcPr>
          <w:p w14:paraId="6FA94ED1"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Tuber</w:t>
            </w:r>
            <w:r w:rsidR="004537E7" w:rsidRPr="00DA117A">
              <w:rPr>
                <w:rFonts w:ascii="Arial" w:hAnsi="Arial" w:cs="Arial"/>
                <w:sz w:val="20"/>
                <w:szCs w:val="20"/>
              </w:rPr>
              <w:t xml:space="preserve"> foods</w:t>
            </w:r>
          </w:p>
        </w:tc>
        <w:tc>
          <w:tcPr>
            <w:tcW w:w="2126" w:type="dxa"/>
            <w:vAlign w:val="center"/>
          </w:tcPr>
          <w:p w14:paraId="4D419C3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6912C03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0F65272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369C7C0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.991</w:t>
            </w:r>
          </w:p>
        </w:tc>
      </w:tr>
      <w:tr w:rsidR="004537E7" w:rsidRPr="00DA117A" w14:paraId="70DC4B64" w14:textId="77777777" w:rsidTr="00DA117A">
        <w:tc>
          <w:tcPr>
            <w:tcW w:w="2977" w:type="dxa"/>
            <w:vAlign w:val="center"/>
          </w:tcPr>
          <w:p w14:paraId="4A87496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Soup</w:t>
            </w:r>
            <w:r w:rsidR="003E48C9">
              <w:rPr>
                <w:rFonts w:ascii="Arial" w:hAnsi="Arial" w:cs="Arial"/>
                <w:sz w:val="20"/>
                <w:szCs w:val="20"/>
              </w:rPr>
              <w:t>s and Stews</w:t>
            </w:r>
          </w:p>
        </w:tc>
        <w:tc>
          <w:tcPr>
            <w:tcW w:w="2126" w:type="dxa"/>
            <w:vAlign w:val="center"/>
          </w:tcPr>
          <w:p w14:paraId="4318EAE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(0.21–1.00)</w:t>
            </w:r>
          </w:p>
        </w:tc>
        <w:tc>
          <w:tcPr>
            <w:tcW w:w="1984" w:type="dxa"/>
            <w:vAlign w:val="center"/>
          </w:tcPr>
          <w:p w14:paraId="2DF8C05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3AF79F5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48A8053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.031</w:t>
            </w:r>
          </w:p>
        </w:tc>
      </w:tr>
      <w:tr w:rsidR="004537E7" w:rsidRPr="00DA117A" w14:paraId="60FE379B" w14:textId="77777777" w:rsidTr="00DA117A">
        <w:tc>
          <w:tcPr>
            <w:tcW w:w="2977" w:type="dxa"/>
            <w:vAlign w:val="center"/>
          </w:tcPr>
          <w:p w14:paraId="4E4541A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Fats</w:t>
            </w:r>
            <w:r w:rsidR="003E48C9">
              <w:rPr>
                <w:rFonts w:ascii="Arial" w:hAnsi="Arial" w:cs="Arial"/>
                <w:sz w:val="20"/>
                <w:szCs w:val="20"/>
              </w:rPr>
              <w:t xml:space="preserve"> and </w:t>
            </w:r>
            <w:r w:rsidRPr="00DA117A">
              <w:rPr>
                <w:rFonts w:ascii="Arial" w:hAnsi="Arial" w:cs="Arial"/>
                <w:sz w:val="20"/>
                <w:szCs w:val="20"/>
              </w:rPr>
              <w:t>oils</w:t>
            </w:r>
          </w:p>
        </w:tc>
        <w:tc>
          <w:tcPr>
            <w:tcW w:w="2126" w:type="dxa"/>
            <w:vAlign w:val="center"/>
          </w:tcPr>
          <w:p w14:paraId="51F5578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4C2C7D8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1D9BFC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799EED3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.005</w:t>
            </w:r>
          </w:p>
        </w:tc>
      </w:tr>
      <w:tr w:rsidR="004537E7" w:rsidRPr="00DA117A" w14:paraId="62512DEF" w14:textId="77777777" w:rsidTr="00DA117A">
        <w:tc>
          <w:tcPr>
            <w:tcW w:w="2977" w:type="dxa"/>
            <w:vAlign w:val="center"/>
          </w:tcPr>
          <w:p w14:paraId="13A8282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Desserts</w:t>
            </w:r>
            <w:r w:rsidR="003E48C9">
              <w:rPr>
                <w:rFonts w:ascii="Arial" w:hAnsi="Arial" w:cs="Arial"/>
                <w:sz w:val="20"/>
                <w:szCs w:val="20"/>
              </w:rPr>
              <w:t xml:space="preserve"> and sweats</w:t>
            </w:r>
          </w:p>
        </w:tc>
        <w:tc>
          <w:tcPr>
            <w:tcW w:w="2126" w:type="dxa"/>
            <w:vAlign w:val="center"/>
          </w:tcPr>
          <w:p w14:paraId="351A0B4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432FA73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162DDB1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974" w:type="dxa"/>
            <w:vAlign w:val="center"/>
          </w:tcPr>
          <w:p w14:paraId="7839F3F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.010</w:t>
            </w:r>
          </w:p>
        </w:tc>
      </w:tr>
      <w:tr w:rsidR="004537E7" w:rsidRPr="00DA117A" w14:paraId="12B877B4" w14:textId="77777777" w:rsidTr="00DA117A">
        <w:tc>
          <w:tcPr>
            <w:tcW w:w="2977" w:type="dxa"/>
            <w:vAlign w:val="center"/>
          </w:tcPr>
          <w:p w14:paraId="5F5C168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Soft drinks</w:t>
            </w:r>
          </w:p>
        </w:tc>
        <w:tc>
          <w:tcPr>
            <w:tcW w:w="2126" w:type="dxa"/>
            <w:vAlign w:val="center"/>
          </w:tcPr>
          <w:p w14:paraId="6AD9C1D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984" w:type="dxa"/>
            <w:vAlign w:val="center"/>
          </w:tcPr>
          <w:p w14:paraId="3EEE2BC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5213111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408393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.375</w:t>
            </w:r>
          </w:p>
        </w:tc>
      </w:tr>
      <w:tr w:rsidR="004537E7" w:rsidRPr="00DA117A" w14:paraId="267E4AAC" w14:textId="77777777" w:rsidTr="00DA117A">
        <w:tc>
          <w:tcPr>
            <w:tcW w:w="2977" w:type="dxa"/>
            <w:vAlign w:val="center"/>
          </w:tcPr>
          <w:p w14:paraId="49D4FAF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Alcohol</w:t>
            </w:r>
            <w:r w:rsidR="003E48C9">
              <w:rPr>
                <w:rFonts w:ascii="Arial" w:hAnsi="Arial" w:cs="Arial"/>
                <w:sz w:val="20"/>
                <w:szCs w:val="20"/>
              </w:rPr>
              <w:t>ic drinks</w:t>
            </w:r>
          </w:p>
        </w:tc>
        <w:tc>
          <w:tcPr>
            <w:tcW w:w="2126" w:type="dxa"/>
            <w:vAlign w:val="center"/>
          </w:tcPr>
          <w:p w14:paraId="0AAD005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29F2FA4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843" w:type="dxa"/>
            <w:vAlign w:val="center"/>
          </w:tcPr>
          <w:p w14:paraId="697916A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6566740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.009</w:t>
            </w:r>
          </w:p>
        </w:tc>
      </w:tr>
      <w:tr w:rsidR="004537E7" w:rsidRPr="00DA117A" w14:paraId="5707B057" w14:textId="77777777" w:rsidTr="00DA117A">
        <w:tc>
          <w:tcPr>
            <w:tcW w:w="2977" w:type="dxa"/>
            <w:vAlign w:val="center"/>
          </w:tcPr>
          <w:p w14:paraId="5603745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Tea</w:t>
            </w:r>
            <w:r w:rsidR="003E48C9">
              <w:rPr>
                <w:rFonts w:ascii="Arial" w:hAnsi="Arial" w:cs="Arial"/>
                <w:sz w:val="20"/>
                <w:szCs w:val="20"/>
              </w:rPr>
              <w:t xml:space="preserve"> and </w:t>
            </w:r>
            <w:r w:rsidRPr="00DA117A">
              <w:rPr>
                <w:rFonts w:ascii="Arial" w:hAnsi="Arial" w:cs="Arial"/>
                <w:sz w:val="20"/>
                <w:szCs w:val="20"/>
              </w:rPr>
              <w:t>coffee</w:t>
            </w:r>
          </w:p>
        </w:tc>
        <w:tc>
          <w:tcPr>
            <w:tcW w:w="2126" w:type="dxa"/>
            <w:vAlign w:val="center"/>
          </w:tcPr>
          <w:p w14:paraId="5D91F40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434ACD7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27BA094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2703C77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.097</w:t>
            </w:r>
          </w:p>
        </w:tc>
      </w:tr>
      <w:tr w:rsidR="004537E7" w:rsidRPr="00DA117A" w14:paraId="52607C04" w14:textId="77777777" w:rsidTr="00DA117A">
        <w:tc>
          <w:tcPr>
            <w:tcW w:w="2977" w:type="dxa"/>
            <w:vAlign w:val="center"/>
          </w:tcPr>
          <w:p w14:paraId="5D04D577"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D</w:t>
            </w:r>
            <w:r w:rsidR="004537E7" w:rsidRPr="00DA117A">
              <w:rPr>
                <w:rFonts w:ascii="Arial" w:hAnsi="Arial" w:cs="Arial"/>
                <w:sz w:val="20"/>
                <w:szCs w:val="20"/>
              </w:rPr>
              <w:t>airy</w:t>
            </w:r>
            <w:r>
              <w:rPr>
                <w:rFonts w:ascii="Arial" w:hAnsi="Arial" w:cs="Arial"/>
                <w:sz w:val="20"/>
                <w:szCs w:val="20"/>
              </w:rPr>
              <w:t xml:space="preserve"> products</w:t>
            </w:r>
          </w:p>
        </w:tc>
        <w:tc>
          <w:tcPr>
            <w:tcW w:w="2126" w:type="dxa"/>
            <w:vAlign w:val="center"/>
          </w:tcPr>
          <w:p w14:paraId="1D7E2A9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0C34E66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0.39 (0.21–0.57)</w:t>
            </w:r>
          </w:p>
        </w:tc>
        <w:tc>
          <w:tcPr>
            <w:tcW w:w="1843" w:type="dxa"/>
            <w:vAlign w:val="center"/>
          </w:tcPr>
          <w:p w14:paraId="6478E24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974" w:type="dxa"/>
            <w:vAlign w:val="center"/>
          </w:tcPr>
          <w:p w14:paraId="0C8E83B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.749</w:t>
            </w:r>
          </w:p>
        </w:tc>
      </w:tr>
      <w:tr w:rsidR="004537E7" w:rsidRPr="00DA117A" w14:paraId="3C4A0C65" w14:textId="77777777" w:rsidTr="00DA117A">
        <w:tc>
          <w:tcPr>
            <w:tcW w:w="2977" w:type="dxa"/>
            <w:vAlign w:val="center"/>
          </w:tcPr>
          <w:p w14:paraId="5A82928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Seasoning</w:t>
            </w:r>
          </w:p>
        </w:tc>
        <w:tc>
          <w:tcPr>
            <w:tcW w:w="2126" w:type="dxa"/>
            <w:vAlign w:val="center"/>
          </w:tcPr>
          <w:p w14:paraId="5E3CF0A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0.78 (0.21–1.00)</w:t>
            </w:r>
          </w:p>
        </w:tc>
        <w:tc>
          <w:tcPr>
            <w:tcW w:w="1984" w:type="dxa"/>
            <w:vAlign w:val="center"/>
          </w:tcPr>
          <w:p w14:paraId="62EA2BA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4C99D42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1.00 (0.57–1.00)</w:t>
            </w:r>
          </w:p>
        </w:tc>
        <w:tc>
          <w:tcPr>
            <w:tcW w:w="974" w:type="dxa"/>
            <w:vAlign w:val="center"/>
          </w:tcPr>
          <w:p w14:paraId="446D9DC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&lt;.001</w:t>
            </w:r>
          </w:p>
        </w:tc>
      </w:tr>
      <w:tr w:rsidR="004537E7" w:rsidRPr="00DA117A" w14:paraId="3DB64D02" w14:textId="77777777" w:rsidTr="00DA117A">
        <w:tc>
          <w:tcPr>
            <w:tcW w:w="2977" w:type="dxa"/>
            <w:vAlign w:val="center"/>
          </w:tcPr>
          <w:p w14:paraId="7FCA4E4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Salt</w:t>
            </w:r>
            <w:r w:rsidR="003E48C9">
              <w:rPr>
                <w:rFonts w:ascii="Arial" w:hAnsi="Arial" w:cs="Arial"/>
                <w:sz w:val="20"/>
                <w:szCs w:val="20"/>
              </w:rPr>
              <w:t>y Foods</w:t>
            </w:r>
          </w:p>
        </w:tc>
        <w:tc>
          <w:tcPr>
            <w:tcW w:w="2126" w:type="dxa"/>
            <w:vAlign w:val="center"/>
          </w:tcPr>
          <w:p w14:paraId="0F295CC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(0.57–1.00)</w:t>
            </w:r>
          </w:p>
        </w:tc>
        <w:tc>
          <w:tcPr>
            <w:tcW w:w="1984" w:type="dxa"/>
            <w:vAlign w:val="center"/>
          </w:tcPr>
          <w:p w14:paraId="40D9CCB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(0.21–0.68)</w:t>
            </w:r>
          </w:p>
        </w:tc>
        <w:tc>
          <w:tcPr>
            <w:tcW w:w="1843" w:type="dxa"/>
            <w:vAlign w:val="center"/>
          </w:tcPr>
          <w:p w14:paraId="7E8F2A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1.00 (0.57–1.00)</w:t>
            </w:r>
          </w:p>
        </w:tc>
        <w:tc>
          <w:tcPr>
            <w:tcW w:w="974" w:type="dxa"/>
            <w:vAlign w:val="center"/>
          </w:tcPr>
          <w:p w14:paraId="5558761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&lt;.001</w:t>
            </w:r>
          </w:p>
        </w:tc>
      </w:tr>
    </w:tbl>
    <w:p w14:paraId="15B50F9C" w14:textId="77777777" w:rsidR="002470CB" w:rsidRPr="00DA117A" w:rsidRDefault="00DA117A" w:rsidP="00DA117A">
      <w:pPr>
        <w:jc w:val="both"/>
        <w:rPr>
          <w:rFonts w:ascii="Arial" w:hAnsi="Arial" w:cs="Arial"/>
          <w:i/>
          <w:iCs/>
          <w:sz w:val="18"/>
          <w:szCs w:val="18"/>
        </w:rPr>
      </w:pPr>
      <w:r w:rsidRPr="00DA117A">
        <w:rPr>
          <w:rFonts w:ascii="Arial" w:hAnsi="Arial" w:cs="Arial"/>
          <w:i/>
          <w:iCs/>
          <w:sz w:val="18"/>
          <w:szCs w:val="18"/>
        </w:rPr>
        <w:lastRenderedPageBreak/>
        <w:t>Values are presented as median (interquartile range [IQR]). Lower clustered cardiometabolic abnormality (CCA) burden was defined as 0–1 abnormalities and higher CCA burden as ≥2 abnormalities. Between-group differences were assessed using the Mann–Whitney U test. Statistical significance was defined as p&lt;0.05. NiDST, Nigerian Diet Screening Tool.</w:t>
      </w:r>
    </w:p>
    <w:p w14:paraId="5E248AE4" w14:textId="77777777" w:rsidR="00D065D9" w:rsidRPr="00B4381E" w:rsidRDefault="00000000">
      <w:pPr>
        <w:spacing w:before="160" w:after="100"/>
        <w:rPr>
          <w:rFonts w:ascii="Arial" w:hAnsi="Arial" w:cs="Arial"/>
        </w:rPr>
      </w:pPr>
      <w:r w:rsidRPr="00B4381E">
        <w:rPr>
          <w:rFonts w:ascii="Arial" w:hAnsi="Arial" w:cs="Arial"/>
          <w:b/>
          <w:sz w:val="20"/>
        </w:rPr>
        <w:t xml:space="preserve">3.1.5 </w:t>
      </w:r>
      <w:r w:rsidR="00B4381E" w:rsidRPr="00B4381E">
        <w:rPr>
          <w:rFonts w:ascii="Arial" w:hAnsi="Arial" w:cs="Arial"/>
          <w:b/>
          <w:sz w:val="20"/>
        </w:rPr>
        <w:t>Derivation and Characterisation of Dietary Patterns</w:t>
      </w:r>
    </w:p>
    <w:p w14:paraId="3AF14803" w14:textId="77777777" w:rsidR="0034647F" w:rsidRDefault="0034647F" w:rsidP="0034647F">
      <w:pPr>
        <w:spacing w:after="120"/>
        <w:jc w:val="both"/>
        <w:rPr>
          <w:rFonts w:ascii="Arial" w:hAnsi="Arial" w:cs="Arial"/>
          <w:sz w:val="20"/>
        </w:rPr>
      </w:pPr>
      <w:r w:rsidRPr="0034647F">
        <w:rPr>
          <w:rFonts w:ascii="Arial" w:hAnsi="Arial" w:cs="Arial"/>
          <w:sz w:val="20"/>
        </w:rPr>
        <w:t>The dietary data were suitable for principal component analysis, with a Kaiser–Meyer–Olkin measure of sampling adequacy of 0.817 and a significant Bartlett’s test of sphericity (p&lt;0.001). Although six observed eigenvalues exceeded 1.0, parallel analysis and comparison of candidate solutions supported retention of three components. The three-component solution showed no weakly defined components and demonstrated greater stability and interpretability than higher-dimensional alternatives. Collectively, the retained components explained 50.8% of the total variance in dietary intake.</w:t>
      </w:r>
      <w:r>
        <w:rPr>
          <w:rFonts w:ascii="Arial" w:hAnsi="Arial" w:cs="Arial"/>
          <w:sz w:val="20"/>
        </w:rPr>
        <w:t xml:space="preserve"> </w:t>
      </w:r>
      <w:r w:rsidRPr="0034647F">
        <w:rPr>
          <w:rFonts w:ascii="Arial" w:hAnsi="Arial" w:cs="Arial"/>
          <w:sz w:val="20"/>
        </w:rPr>
        <w:t>As shown in Table 5</w:t>
      </w:r>
      <w:r w:rsidR="005F2EF5">
        <w:rPr>
          <w:rFonts w:ascii="Arial" w:hAnsi="Arial" w:cs="Arial"/>
          <w:sz w:val="20"/>
        </w:rPr>
        <w:t xml:space="preserve"> and Figure 1</w:t>
      </w:r>
      <w:r w:rsidRPr="0034647F">
        <w:rPr>
          <w:rFonts w:ascii="Arial" w:hAnsi="Arial" w:cs="Arial"/>
          <w:sz w:val="20"/>
        </w:rPr>
        <w:t>, Pattern 1 was defined predominantly by positive loadings for fried foods, fast foods, fats and oils, desserts and sweets, soft drinks, alcoholic drinks, soups and stews, starchy foods, red meat, and eggs, and was labelled the fried/fast food–fats/oils–dessert/soft drink–alcohol dietary pattern. Pattern 2 was characterised by positive loadings for wheat, breakfast cereals, legumes, and white lean meat, together with inverse loadings for processed foods/meat, seasoning, and salty foods, and was labelled the grain–legume–white meat dietary pattern. Pattern 3 was characterised by fruit, vegetables, rice, nuts and seeds, fish and seafood, tea and coffee, and dairy products, and was labelled the dairy–tea/coffee–fish–nuts–fruit/vegetable dietary pattern.</w:t>
      </w:r>
    </w:p>
    <w:p w14:paraId="5564663E" w14:textId="7E1F4AB6" w:rsidR="008221AB" w:rsidRDefault="00000000" w:rsidP="003A1B77">
      <w:pPr>
        <w:spacing w:before="120" w:after="80"/>
        <w:jc w:val="both"/>
        <w:rPr>
          <w:rFonts w:ascii="Arial" w:hAnsi="Arial" w:cs="Arial"/>
          <w:b/>
          <w:sz w:val="20"/>
        </w:rPr>
      </w:pPr>
      <w:r w:rsidRPr="00B85224">
        <w:rPr>
          <w:rFonts w:ascii="Arial" w:hAnsi="Arial" w:cs="Arial"/>
          <w:b/>
          <w:sz w:val="20"/>
        </w:rPr>
        <w:t xml:space="preserve">Table </w:t>
      </w:r>
      <w:r w:rsidR="00BE25F5">
        <w:rPr>
          <w:rFonts w:ascii="Arial" w:hAnsi="Arial" w:cs="Arial"/>
          <w:b/>
          <w:sz w:val="20"/>
        </w:rPr>
        <w:t>6</w:t>
      </w:r>
      <w:r w:rsidRPr="00B85224">
        <w:rPr>
          <w:rFonts w:ascii="Arial" w:hAnsi="Arial" w:cs="Arial"/>
          <w:b/>
          <w:sz w:val="20"/>
        </w:rPr>
        <w:t xml:space="preserve">. </w:t>
      </w:r>
      <w:r w:rsidR="0034647F" w:rsidRPr="0034647F">
        <w:rPr>
          <w:rFonts w:ascii="Arial" w:hAnsi="Arial" w:cs="Arial"/>
          <w:b/>
          <w:sz w:val="20"/>
        </w:rPr>
        <w:t>Food-group loadings defining the three retained dietary patterns 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2367"/>
        <w:gridCol w:w="1793"/>
      </w:tblGrid>
      <w:tr w:rsidR="008221AB" w:rsidRPr="0034647F" w14:paraId="13FEA2AF" w14:textId="77777777" w:rsidTr="0034647F">
        <w:tc>
          <w:tcPr>
            <w:tcW w:w="5528" w:type="dxa"/>
            <w:tcBorders>
              <w:top w:val="single" w:sz="4" w:space="0" w:color="auto"/>
              <w:bottom w:val="single" w:sz="4" w:space="0" w:color="auto"/>
            </w:tcBorders>
            <w:vAlign w:val="center"/>
          </w:tcPr>
          <w:p w14:paraId="07B3397C"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Dietary pattern</w:t>
            </w:r>
          </w:p>
        </w:tc>
        <w:tc>
          <w:tcPr>
            <w:tcW w:w="2410" w:type="dxa"/>
            <w:tcBorders>
              <w:top w:val="single" w:sz="4" w:space="0" w:color="auto"/>
              <w:bottom w:val="single" w:sz="4" w:space="0" w:color="auto"/>
            </w:tcBorders>
            <w:vAlign w:val="center"/>
          </w:tcPr>
          <w:p w14:paraId="01B0FF2D"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Defining food group</w:t>
            </w:r>
          </w:p>
        </w:tc>
        <w:tc>
          <w:tcPr>
            <w:tcW w:w="1824" w:type="dxa"/>
            <w:tcBorders>
              <w:top w:val="single" w:sz="4" w:space="0" w:color="auto"/>
              <w:bottom w:val="single" w:sz="4" w:space="0" w:color="auto"/>
            </w:tcBorders>
            <w:vAlign w:val="center"/>
          </w:tcPr>
          <w:p w14:paraId="7E3A0C81"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Rotated loading</w:t>
            </w:r>
          </w:p>
        </w:tc>
      </w:tr>
      <w:tr w:rsidR="008221AB" w:rsidRPr="0034647F" w14:paraId="2B035BFB" w14:textId="77777777" w:rsidTr="0034647F">
        <w:tc>
          <w:tcPr>
            <w:tcW w:w="5528" w:type="dxa"/>
            <w:tcBorders>
              <w:top w:val="single" w:sz="4" w:space="0" w:color="auto"/>
            </w:tcBorders>
            <w:vAlign w:val="center"/>
          </w:tcPr>
          <w:p w14:paraId="2AB3DAA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1: Fried/fast food–fats/oils–dessert/soft drink–alcohol</w:t>
            </w:r>
          </w:p>
        </w:tc>
        <w:tc>
          <w:tcPr>
            <w:tcW w:w="2410" w:type="dxa"/>
            <w:tcBorders>
              <w:top w:val="single" w:sz="4" w:space="0" w:color="auto"/>
            </w:tcBorders>
            <w:vAlign w:val="center"/>
          </w:tcPr>
          <w:p w14:paraId="50D92D83"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Red meat</w:t>
            </w:r>
          </w:p>
        </w:tc>
        <w:tc>
          <w:tcPr>
            <w:tcW w:w="1824" w:type="dxa"/>
            <w:tcBorders>
              <w:top w:val="single" w:sz="4" w:space="0" w:color="auto"/>
            </w:tcBorders>
            <w:vAlign w:val="center"/>
          </w:tcPr>
          <w:p w14:paraId="36B3CE6F"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0.42</w:t>
            </w:r>
          </w:p>
        </w:tc>
      </w:tr>
      <w:tr w:rsidR="008221AB" w:rsidRPr="0034647F" w14:paraId="42A77E53" w14:textId="77777777" w:rsidTr="0034647F">
        <w:tc>
          <w:tcPr>
            <w:tcW w:w="5528" w:type="dxa"/>
            <w:vAlign w:val="center"/>
          </w:tcPr>
          <w:p w14:paraId="3AEC75F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C77418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Eggs</w:t>
            </w:r>
          </w:p>
        </w:tc>
        <w:tc>
          <w:tcPr>
            <w:tcW w:w="1824" w:type="dxa"/>
            <w:vAlign w:val="center"/>
          </w:tcPr>
          <w:p w14:paraId="2619B0FC"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0.43</w:t>
            </w:r>
          </w:p>
        </w:tc>
      </w:tr>
      <w:tr w:rsidR="008221AB" w:rsidRPr="0034647F" w14:paraId="6698785A" w14:textId="77777777" w:rsidTr="0034647F">
        <w:tc>
          <w:tcPr>
            <w:tcW w:w="5528" w:type="dxa"/>
            <w:vAlign w:val="center"/>
          </w:tcPr>
          <w:p w14:paraId="2EA61AA2"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3558829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Fried foods</w:t>
            </w:r>
          </w:p>
        </w:tc>
        <w:tc>
          <w:tcPr>
            <w:tcW w:w="1824" w:type="dxa"/>
            <w:vAlign w:val="center"/>
          </w:tcPr>
          <w:p w14:paraId="1F965DC8"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0.74</w:t>
            </w:r>
          </w:p>
        </w:tc>
      </w:tr>
      <w:tr w:rsidR="008221AB" w:rsidRPr="0034647F" w14:paraId="3C30E151" w14:textId="77777777" w:rsidTr="0034647F">
        <w:tc>
          <w:tcPr>
            <w:tcW w:w="5528" w:type="dxa"/>
            <w:vAlign w:val="center"/>
          </w:tcPr>
          <w:p w14:paraId="024E057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63467D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Fast foods</w:t>
            </w:r>
          </w:p>
        </w:tc>
        <w:tc>
          <w:tcPr>
            <w:tcW w:w="1824" w:type="dxa"/>
            <w:vAlign w:val="center"/>
          </w:tcPr>
          <w:p w14:paraId="23818DFD"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0.69</w:t>
            </w:r>
          </w:p>
        </w:tc>
      </w:tr>
      <w:tr w:rsidR="008221AB" w:rsidRPr="0034647F" w14:paraId="1EC8A273" w14:textId="77777777" w:rsidTr="0034647F">
        <w:tc>
          <w:tcPr>
            <w:tcW w:w="5528" w:type="dxa"/>
            <w:vAlign w:val="center"/>
          </w:tcPr>
          <w:p w14:paraId="3A40B6C8"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FB0EA6D"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Starchy foods</w:t>
            </w:r>
          </w:p>
        </w:tc>
        <w:tc>
          <w:tcPr>
            <w:tcW w:w="1824" w:type="dxa"/>
            <w:vAlign w:val="center"/>
          </w:tcPr>
          <w:p w14:paraId="211E3449"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0.59</w:t>
            </w:r>
          </w:p>
        </w:tc>
      </w:tr>
      <w:tr w:rsidR="008221AB" w:rsidRPr="0034647F" w14:paraId="7BEBE822" w14:textId="77777777" w:rsidTr="0034647F">
        <w:tc>
          <w:tcPr>
            <w:tcW w:w="5528" w:type="dxa"/>
            <w:vAlign w:val="center"/>
          </w:tcPr>
          <w:p w14:paraId="120CC5A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F079A7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Soups and stews</w:t>
            </w:r>
          </w:p>
        </w:tc>
        <w:tc>
          <w:tcPr>
            <w:tcW w:w="1824" w:type="dxa"/>
            <w:vAlign w:val="center"/>
          </w:tcPr>
          <w:p w14:paraId="31BEB329"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0.76</w:t>
            </w:r>
          </w:p>
        </w:tc>
      </w:tr>
      <w:tr w:rsidR="008221AB" w:rsidRPr="0034647F" w14:paraId="2BEDBC52" w14:textId="77777777" w:rsidTr="0034647F">
        <w:tc>
          <w:tcPr>
            <w:tcW w:w="5528" w:type="dxa"/>
            <w:vAlign w:val="center"/>
          </w:tcPr>
          <w:p w14:paraId="2435620E"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EFF76B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Fats and oils</w:t>
            </w:r>
          </w:p>
        </w:tc>
        <w:tc>
          <w:tcPr>
            <w:tcW w:w="1824" w:type="dxa"/>
            <w:vAlign w:val="center"/>
          </w:tcPr>
          <w:p w14:paraId="197B580D"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0.75</w:t>
            </w:r>
          </w:p>
        </w:tc>
      </w:tr>
      <w:tr w:rsidR="008221AB" w:rsidRPr="0034647F" w14:paraId="286B2DD3" w14:textId="77777777" w:rsidTr="0034647F">
        <w:tc>
          <w:tcPr>
            <w:tcW w:w="5528" w:type="dxa"/>
            <w:vAlign w:val="center"/>
          </w:tcPr>
          <w:p w14:paraId="5A5E6835"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2D0B1F6"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Desserts and sweets</w:t>
            </w:r>
          </w:p>
        </w:tc>
        <w:tc>
          <w:tcPr>
            <w:tcW w:w="1824" w:type="dxa"/>
            <w:vAlign w:val="center"/>
          </w:tcPr>
          <w:p w14:paraId="4B481C1C"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0.77</w:t>
            </w:r>
          </w:p>
        </w:tc>
      </w:tr>
      <w:tr w:rsidR="008221AB" w:rsidRPr="0034647F" w14:paraId="07D3D3F8" w14:textId="77777777" w:rsidTr="0034647F">
        <w:tc>
          <w:tcPr>
            <w:tcW w:w="5528" w:type="dxa"/>
            <w:vAlign w:val="center"/>
          </w:tcPr>
          <w:p w14:paraId="32C9AE5A"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E327D1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Soft drinks</w:t>
            </w:r>
          </w:p>
        </w:tc>
        <w:tc>
          <w:tcPr>
            <w:tcW w:w="1824" w:type="dxa"/>
            <w:vAlign w:val="center"/>
          </w:tcPr>
          <w:p w14:paraId="71F6101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0.74</w:t>
            </w:r>
          </w:p>
        </w:tc>
      </w:tr>
      <w:tr w:rsidR="008221AB" w:rsidRPr="0034647F" w14:paraId="38B8C203" w14:textId="77777777" w:rsidTr="0034647F">
        <w:tc>
          <w:tcPr>
            <w:tcW w:w="5528" w:type="dxa"/>
            <w:vAlign w:val="center"/>
          </w:tcPr>
          <w:p w14:paraId="64777894"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659BB67"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Alcoholic drinks</w:t>
            </w:r>
          </w:p>
        </w:tc>
        <w:tc>
          <w:tcPr>
            <w:tcW w:w="1824" w:type="dxa"/>
            <w:vAlign w:val="center"/>
          </w:tcPr>
          <w:p w14:paraId="4B773F0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0.73</w:t>
            </w:r>
          </w:p>
        </w:tc>
      </w:tr>
      <w:tr w:rsidR="008221AB" w:rsidRPr="0034647F" w14:paraId="3ADB07B0" w14:textId="77777777" w:rsidTr="0034647F">
        <w:tc>
          <w:tcPr>
            <w:tcW w:w="5528" w:type="dxa"/>
            <w:vAlign w:val="center"/>
          </w:tcPr>
          <w:p w14:paraId="22F7ACDB"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2: Grain–legume–white meat</w:t>
            </w:r>
          </w:p>
        </w:tc>
        <w:tc>
          <w:tcPr>
            <w:tcW w:w="2410" w:type="dxa"/>
            <w:vAlign w:val="center"/>
          </w:tcPr>
          <w:p w14:paraId="12AF1724"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Wheat</w:t>
            </w:r>
          </w:p>
        </w:tc>
        <w:tc>
          <w:tcPr>
            <w:tcW w:w="1824" w:type="dxa"/>
            <w:vAlign w:val="center"/>
          </w:tcPr>
          <w:p w14:paraId="621781CA"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0.65</w:t>
            </w:r>
          </w:p>
        </w:tc>
      </w:tr>
      <w:tr w:rsidR="008221AB" w:rsidRPr="0034647F" w14:paraId="3A5D9F82" w14:textId="77777777" w:rsidTr="0034647F">
        <w:tc>
          <w:tcPr>
            <w:tcW w:w="5528" w:type="dxa"/>
            <w:vAlign w:val="center"/>
          </w:tcPr>
          <w:p w14:paraId="7FC2B49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B96F3E6"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Breakfast cereals</w:t>
            </w:r>
          </w:p>
        </w:tc>
        <w:tc>
          <w:tcPr>
            <w:tcW w:w="1824" w:type="dxa"/>
            <w:vAlign w:val="center"/>
          </w:tcPr>
          <w:p w14:paraId="19179FE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0.60</w:t>
            </w:r>
          </w:p>
        </w:tc>
      </w:tr>
      <w:tr w:rsidR="008221AB" w:rsidRPr="0034647F" w14:paraId="74573085" w14:textId="77777777" w:rsidTr="0034647F">
        <w:tc>
          <w:tcPr>
            <w:tcW w:w="5528" w:type="dxa"/>
            <w:vAlign w:val="center"/>
          </w:tcPr>
          <w:p w14:paraId="34BD021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206DBBD"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Legumes (beans)</w:t>
            </w:r>
          </w:p>
        </w:tc>
        <w:tc>
          <w:tcPr>
            <w:tcW w:w="1824" w:type="dxa"/>
            <w:vAlign w:val="center"/>
          </w:tcPr>
          <w:p w14:paraId="6C28CD41"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0.67</w:t>
            </w:r>
          </w:p>
        </w:tc>
      </w:tr>
      <w:tr w:rsidR="008221AB" w:rsidRPr="0034647F" w14:paraId="5202356C" w14:textId="77777777" w:rsidTr="0034647F">
        <w:tc>
          <w:tcPr>
            <w:tcW w:w="5528" w:type="dxa"/>
            <w:vAlign w:val="center"/>
          </w:tcPr>
          <w:p w14:paraId="4FED4C8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D9E051A"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White lean meat</w:t>
            </w:r>
          </w:p>
        </w:tc>
        <w:tc>
          <w:tcPr>
            <w:tcW w:w="1824" w:type="dxa"/>
            <w:vAlign w:val="center"/>
          </w:tcPr>
          <w:p w14:paraId="12368E6A"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0.63</w:t>
            </w:r>
          </w:p>
        </w:tc>
      </w:tr>
      <w:tr w:rsidR="008221AB" w:rsidRPr="0034647F" w14:paraId="54769BED" w14:textId="77777777" w:rsidTr="0034647F">
        <w:tc>
          <w:tcPr>
            <w:tcW w:w="5528" w:type="dxa"/>
            <w:vAlign w:val="center"/>
          </w:tcPr>
          <w:p w14:paraId="39C863E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7AE3FF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Processed foods/meat</w:t>
            </w:r>
          </w:p>
        </w:tc>
        <w:tc>
          <w:tcPr>
            <w:tcW w:w="1824" w:type="dxa"/>
            <w:vAlign w:val="center"/>
          </w:tcPr>
          <w:p w14:paraId="52D87112"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−0.52</w:t>
            </w:r>
          </w:p>
        </w:tc>
      </w:tr>
      <w:tr w:rsidR="008221AB" w:rsidRPr="0034647F" w14:paraId="22DA2870" w14:textId="77777777" w:rsidTr="0034647F">
        <w:tc>
          <w:tcPr>
            <w:tcW w:w="5528" w:type="dxa"/>
            <w:vAlign w:val="center"/>
          </w:tcPr>
          <w:p w14:paraId="6548AB83"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FE8A751"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Seasoning</w:t>
            </w:r>
          </w:p>
        </w:tc>
        <w:tc>
          <w:tcPr>
            <w:tcW w:w="1824" w:type="dxa"/>
            <w:vAlign w:val="center"/>
          </w:tcPr>
          <w:p w14:paraId="0B67A96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−0.66</w:t>
            </w:r>
          </w:p>
        </w:tc>
      </w:tr>
      <w:tr w:rsidR="008221AB" w:rsidRPr="0034647F" w14:paraId="6C1A978D" w14:textId="77777777" w:rsidTr="0034647F">
        <w:tc>
          <w:tcPr>
            <w:tcW w:w="5528" w:type="dxa"/>
            <w:vAlign w:val="center"/>
          </w:tcPr>
          <w:p w14:paraId="264E12A0"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C2D57F9"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Salty foods</w:t>
            </w:r>
          </w:p>
        </w:tc>
        <w:tc>
          <w:tcPr>
            <w:tcW w:w="1824" w:type="dxa"/>
            <w:vAlign w:val="center"/>
          </w:tcPr>
          <w:p w14:paraId="1294A8C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−0.67</w:t>
            </w:r>
          </w:p>
        </w:tc>
      </w:tr>
      <w:tr w:rsidR="008221AB" w:rsidRPr="0034647F" w14:paraId="7770D902" w14:textId="77777777" w:rsidTr="0034647F">
        <w:tc>
          <w:tcPr>
            <w:tcW w:w="5528" w:type="dxa"/>
            <w:vAlign w:val="center"/>
          </w:tcPr>
          <w:p w14:paraId="5334F934"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3: Dairy–tea/coffee–fish–nuts–fruit/vegetable</w:t>
            </w:r>
          </w:p>
        </w:tc>
        <w:tc>
          <w:tcPr>
            <w:tcW w:w="2410" w:type="dxa"/>
            <w:vAlign w:val="center"/>
          </w:tcPr>
          <w:p w14:paraId="324918D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Fruit</w:t>
            </w:r>
          </w:p>
        </w:tc>
        <w:tc>
          <w:tcPr>
            <w:tcW w:w="1824" w:type="dxa"/>
            <w:vAlign w:val="center"/>
          </w:tcPr>
          <w:p w14:paraId="394A6E28"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0.51</w:t>
            </w:r>
          </w:p>
        </w:tc>
      </w:tr>
      <w:tr w:rsidR="008221AB" w:rsidRPr="0034647F" w14:paraId="170C79A8" w14:textId="77777777" w:rsidTr="0034647F">
        <w:tc>
          <w:tcPr>
            <w:tcW w:w="5528" w:type="dxa"/>
            <w:vAlign w:val="center"/>
          </w:tcPr>
          <w:p w14:paraId="3F4211D2"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4B274F0"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Vegetables</w:t>
            </w:r>
          </w:p>
        </w:tc>
        <w:tc>
          <w:tcPr>
            <w:tcW w:w="1824" w:type="dxa"/>
            <w:vAlign w:val="center"/>
          </w:tcPr>
          <w:p w14:paraId="2D3CF84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0.50</w:t>
            </w:r>
          </w:p>
        </w:tc>
      </w:tr>
      <w:tr w:rsidR="008221AB" w:rsidRPr="0034647F" w14:paraId="7DAB2D75" w14:textId="77777777" w:rsidTr="0034647F">
        <w:tc>
          <w:tcPr>
            <w:tcW w:w="5528" w:type="dxa"/>
            <w:vAlign w:val="center"/>
          </w:tcPr>
          <w:p w14:paraId="54A3E3AB"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E61F57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Rice</w:t>
            </w:r>
          </w:p>
        </w:tc>
        <w:tc>
          <w:tcPr>
            <w:tcW w:w="1824" w:type="dxa"/>
            <w:vAlign w:val="center"/>
          </w:tcPr>
          <w:p w14:paraId="7F125747"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0.57</w:t>
            </w:r>
          </w:p>
        </w:tc>
      </w:tr>
      <w:tr w:rsidR="008221AB" w:rsidRPr="0034647F" w14:paraId="496933A1" w14:textId="77777777" w:rsidTr="0034647F">
        <w:tc>
          <w:tcPr>
            <w:tcW w:w="5528" w:type="dxa"/>
            <w:vAlign w:val="center"/>
          </w:tcPr>
          <w:p w14:paraId="2AFBECA6"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DB25B9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Nuts and seeds</w:t>
            </w:r>
          </w:p>
        </w:tc>
        <w:tc>
          <w:tcPr>
            <w:tcW w:w="1824" w:type="dxa"/>
            <w:vAlign w:val="center"/>
          </w:tcPr>
          <w:p w14:paraId="5E71A8E5"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0.58</w:t>
            </w:r>
          </w:p>
        </w:tc>
      </w:tr>
      <w:tr w:rsidR="008221AB" w:rsidRPr="0034647F" w14:paraId="3CC5EB2E" w14:textId="77777777" w:rsidTr="0034647F">
        <w:tc>
          <w:tcPr>
            <w:tcW w:w="5528" w:type="dxa"/>
            <w:vAlign w:val="center"/>
          </w:tcPr>
          <w:p w14:paraId="63EE8A8B"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145D54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Fish and seafood</w:t>
            </w:r>
          </w:p>
        </w:tc>
        <w:tc>
          <w:tcPr>
            <w:tcW w:w="1824" w:type="dxa"/>
            <w:vAlign w:val="center"/>
          </w:tcPr>
          <w:p w14:paraId="7F13FC6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0.66</w:t>
            </w:r>
          </w:p>
        </w:tc>
      </w:tr>
      <w:tr w:rsidR="008221AB" w:rsidRPr="0034647F" w14:paraId="583E1B0A" w14:textId="77777777" w:rsidTr="0034647F">
        <w:tc>
          <w:tcPr>
            <w:tcW w:w="5528" w:type="dxa"/>
            <w:vAlign w:val="center"/>
          </w:tcPr>
          <w:p w14:paraId="0FDC2ABE"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C606523"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Tea and coffee</w:t>
            </w:r>
          </w:p>
        </w:tc>
        <w:tc>
          <w:tcPr>
            <w:tcW w:w="1824" w:type="dxa"/>
            <w:vAlign w:val="center"/>
          </w:tcPr>
          <w:p w14:paraId="6914A656"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0.79</w:t>
            </w:r>
          </w:p>
        </w:tc>
      </w:tr>
      <w:tr w:rsidR="008221AB" w:rsidRPr="0034647F" w14:paraId="0A63FF71" w14:textId="77777777" w:rsidTr="0034647F">
        <w:tc>
          <w:tcPr>
            <w:tcW w:w="5528" w:type="dxa"/>
            <w:vAlign w:val="center"/>
          </w:tcPr>
          <w:p w14:paraId="61A03AC1"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AFADC12"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Dairy products</w:t>
            </w:r>
          </w:p>
        </w:tc>
        <w:tc>
          <w:tcPr>
            <w:tcW w:w="1824" w:type="dxa"/>
            <w:vAlign w:val="center"/>
          </w:tcPr>
          <w:p w14:paraId="64D99633"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0.82</w:t>
            </w:r>
          </w:p>
        </w:tc>
      </w:tr>
    </w:tbl>
    <w:p w14:paraId="394B4E85" w14:textId="77777777" w:rsidR="008221AB" w:rsidRDefault="008221AB" w:rsidP="008221AB">
      <w:pPr>
        <w:pStyle w:val="p1"/>
        <w:spacing w:before="0" w:beforeAutospacing="0" w:after="0" w:afterAutospacing="0"/>
        <w:jc w:val="both"/>
        <w:rPr>
          <w:rFonts w:ascii="Arial" w:hAnsi="Arial" w:cs="Arial"/>
          <w:sz w:val="18"/>
          <w:szCs w:val="18"/>
        </w:rPr>
      </w:pPr>
      <w:r w:rsidRPr="008221AB">
        <w:rPr>
          <w:rFonts w:ascii="Arial" w:hAnsi="Arial" w:cs="Arial"/>
          <w:i/>
          <w:iCs/>
          <w:sz w:val="18"/>
          <w:szCs w:val="18"/>
        </w:rPr>
        <w:t>Principal component analysis was based on the NiDST food-group intake variables. Only food groups with absolute rotated factor loadings ≥0.40 are presented. Positive loadings indicate direct contribution to the dietary pattern, whereas negative loadings indicate inverse contribution. Where a food group cross-loaded on more than one component, it was assigned to the component with the larger absolute</w:t>
      </w:r>
      <w:r w:rsidRPr="008221AB">
        <w:rPr>
          <w:rFonts w:ascii="Arial" w:hAnsi="Arial" w:cs="Arial"/>
          <w:sz w:val="18"/>
          <w:szCs w:val="18"/>
        </w:rPr>
        <w:t xml:space="preserve"> loading. KMO=0.817; Bartlett’s test of sphericity, </w:t>
      </w:r>
      <w:r w:rsidRPr="008221AB">
        <w:rPr>
          <w:rStyle w:val="s1"/>
          <w:rFonts w:ascii="Arial" w:hAnsi="Arial" w:cs="Arial"/>
          <w:i/>
          <w:iCs/>
          <w:sz w:val="18"/>
          <w:szCs w:val="18"/>
        </w:rPr>
        <w:t>p</w:t>
      </w:r>
      <w:r w:rsidRPr="008221AB">
        <w:rPr>
          <w:rFonts w:ascii="Arial" w:hAnsi="Arial" w:cs="Arial"/>
          <w:sz w:val="18"/>
          <w:szCs w:val="18"/>
        </w:rPr>
        <w:t>&lt;0.001. The retained three-component solution explained 50.8% of the total variance.</w:t>
      </w:r>
    </w:p>
    <w:p w14:paraId="19100E33" w14:textId="77777777" w:rsidR="003A1B77" w:rsidRPr="008221AB" w:rsidRDefault="003A1B77" w:rsidP="008221AB">
      <w:pPr>
        <w:pStyle w:val="p1"/>
        <w:spacing w:before="0" w:beforeAutospacing="0" w:after="0" w:afterAutospacing="0"/>
        <w:jc w:val="both"/>
        <w:rPr>
          <w:rFonts w:ascii="Arial" w:hAnsi="Arial" w:cs="Arial"/>
          <w:sz w:val="18"/>
          <w:szCs w:val="18"/>
        </w:rPr>
      </w:pPr>
    </w:p>
    <w:p w14:paraId="17FD71C1" w14:textId="77777777" w:rsidR="00D065D9" w:rsidRPr="00B85224" w:rsidRDefault="00000000">
      <w:pPr>
        <w:jc w:val="center"/>
        <w:rPr>
          <w:rFonts w:ascii="Arial" w:hAnsi="Arial" w:cs="Arial"/>
        </w:rPr>
      </w:pPr>
      <w:r w:rsidRPr="00B85224">
        <w:rPr>
          <w:rFonts w:ascii="Arial" w:hAnsi="Arial" w:cs="Arial"/>
          <w:noProof/>
        </w:rPr>
        <w:lastRenderedPageBreak/>
        <w:drawing>
          <wp:inline distT="0" distB="0" distL="0" distR="0" wp14:anchorId="19263F2A" wp14:editId="6B51DAB0">
            <wp:extent cx="5120640" cy="31582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1_scree_parallel.png"/>
                    <pic:cNvPicPr/>
                  </pic:nvPicPr>
                  <pic:blipFill>
                    <a:blip r:embed="rId8"/>
                    <a:stretch>
                      <a:fillRect/>
                    </a:stretch>
                  </pic:blipFill>
                  <pic:spPr>
                    <a:xfrm>
                      <a:off x="0" y="0"/>
                      <a:ext cx="5120640" cy="3158269"/>
                    </a:xfrm>
                    <a:prstGeom prst="rect">
                      <a:avLst/>
                    </a:prstGeom>
                  </pic:spPr>
                </pic:pic>
              </a:graphicData>
            </a:graphic>
          </wp:inline>
        </w:drawing>
      </w:r>
    </w:p>
    <w:p w14:paraId="7101A791" w14:textId="77777777" w:rsidR="00D065D9" w:rsidRPr="00B85224" w:rsidRDefault="00000000">
      <w:pPr>
        <w:jc w:val="center"/>
        <w:rPr>
          <w:rFonts w:ascii="Arial" w:hAnsi="Arial" w:cs="Arial"/>
        </w:rPr>
      </w:pPr>
      <w:r w:rsidRPr="00B85224">
        <w:rPr>
          <w:rFonts w:ascii="Arial" w:hAnsi="Arial" w:cs="Arial"/>
          <w:sz w:val="18"/>
        </w:rPr>
        <w:t>Fig</w:t>
      </w:r>
      <w:r w:rsidR="00E73B2B">
        <w:rPr>
          <w:rFonts w:ascii="Arial" w:hAnsi="Arial" w:cs="Arial"/>
          <w:sz w:val="18"/>
        </w:rPr>
        <w:t>ure</w:t>
      </w:r>
      <w:r w:rsidRPr="00B85224">
        <w:rPr>
          <w:rFonts w:ascii="Arial" w:hAnsi="Arial" w:cs="Arial"/>
          <w:sz w:val="18"/>
        </w:rPr>
        <w:t xml:space="preserve"> 1. Scree plot and parallel analysis for component retention</w:t>
      </w:r>
    </w:p>
    <w:p w14:paraId="67865731" w14:textId="77777777" w:rsidR="00D065D9" w:rsidRPr="00EA4B67" w:rsidRDefault="00000000">
      <w:pPr>
        <w:spacing w:before="160" w:after="100"/>
        <w:rPr>
          <w:rFonts w:ascii="Arial" w:hAnsi="Arial" w:cs="Arial"/>
        </w:rPr>
      </w:pPr>
      <w:r w:rsidRPr="00EA4B67">
        <w:rPr>
          <w:rFonts w:ascii="Arial" w:hAnsi="Arial" w:cs="Arial"/>
          <w:b/>
          <w:sz w:val="20"/>
        </w:rPr>
        <w:t xml:space="preserve">3.1.6 </w:t>
      </w:r>
      <w:r w:rsidR="00EA4B67" w:rsidRPr="00EA4B67">
        <w:rPr>
          <w:rFonts w:ascii="Arial" w:hAnsi="Arial" w:cs="Arial"/>
          <w:b/>
          <w:sz w:val="20"/>
        </w:rPr>
        <w:t xml:space="preserve"> Dietary Pattern Adherence and Distribution According to CCA Burden</w:t>
      </w:r>
    </w:p>
    <w:p w14:paraId="27CBD3D6" w14:textId="6AD901DC" w:rsidR="00EA4B67" w:rsidRPr="00EA4B67" w:rsidRDefault="00EA4B67" w:rsidP="00433F4C">
      <w:pPr>
        <w:spacing w:before="120" w:after="80"/>
        <w:jc w:val="both"/>
        <w:rPr>
          <w:rFonts w:ascii="Arial" w:hAnsi="Arial" w:cs="Arial"/>
          <w:sz w:val="20"/>
        </w:rPr>
      </w:pPr>
      <w:r w:rsidRPr="00EA4B67">
        <w:rPr>
          <w:rFonts w:ascii="Arial" w:hAnsi="Arial" w:cs="Arial"/>
          <w:sz w:val="20"/>
        </w:rPr>
        <w:t xml:space="preserve">Table </w:t>
      </w:r>
      <w:r w:rsidR="00BE25F5">
        <w:rPr>
          <w:rFonts w:ascii="Arial" w:hAnsi="Arial" w:cs="Arial"/>
          <w:sz w:val="20"/>
        </w:rPr>
        <w:t>7</w:t>
      </w:r>
      <w:r w:rsidRPr="00EA4B67">
        <w:rPr>
          <w:rFonts w:ascii="Arial" w:hAnsi="Arial" w:cs="Arial"/>
          <w:sz w:val="20"/>
        </w:rPr>
        <w:t xml:space="preserve"> presents dietary-pattern scores, high-adherence prevalence, and predominant dietary-pattern distribution according to clustered cardiometabolic abnormality (CCA) burden. Participants with higher CCA burden had significantly higher scores for Pattern 1, the fried/fast food–high-fat–dessert/soft drink–alcohol pattern, than those with lower CCA burden (0.17 ± 1.10 vs −0.29 ± 0.74; p&lt;.001). High adherence to Pattern 1 was also more frequent among participants with higher CCA burden than among those with lower burden [130 (43.8%) vs 29 (16.1%); p&lt;.001].</w:t>
      </w:r>
      <w:r>
        <w:rPr>
          <w:rFonts w:ascii="Arial" w:hAnsi="Arial" w:cs="Arial"/>
          <w:sz w:val="20"/>
        </w:rPr>
        <w:t xml:space="preserve"> </w:t>
      </w:r>
      <w:r w:rsidRPr="00EA4B67">
        <w:rPr>
          <w:rFonts w:ascii="Arial" w:hAnsi="Arial" w:cs="Arial"/>
          <w:sz w:val="20"/>
        </w:rPr>
        <w:t>In contrast, Pattern 2, the grain–legume–lean meat pattern, was more strongly represented among participants with lower CCA burden. Mean Pattern 2 scores were higher in the lower-burden group than in the higher-burden group (0.24 ± 0.88 vs −0.14 ± 1.05; p=.005). Similarly, high adherence to Pattern 2 was more common among participants with lower CCA burden [81 (45.0%) vs 78 (26.3%); p=.009].</w:t>
      </w:r>
    </w:p>
    <w:p w14:paraId="518A74D5" w14:textId="77777777" w:rsidR="00EA4B67" w:rsidRDefault="00433F4C" w:rsidP="00433F4C">
      <w:pPr>
        <w:spacing w:before="120" w:after="80"/>
        <w:jc w:val="both"/>
        <w:rPr>
          <w:rFonts w:ascii="Arial" w:hAnsi="Arial" w:cs="Arial"/>
          <w:sz w:val="20"/>
        </w:rPr>
      </w:pPr>
      <w:r>
        <w:rPr>
          <w:rFonts w:ascii="Arial" w:hAnsi="Arial" w:cs="Arial"/>
          <w:sz w:val="20"/>
        </w:rPr>
        <w:t>Similarly, f</w:t>
      </w:r>
      <w:r w:rsidR="00EA4B67" w:rsidRPr="00EA4B67">
        <w:rPr>
          <w:rFonts w:ascii="Arial" w:hAnsi="Arial" w:cs="Arial"/>
          <w:sz w:val="20"/>
        </w:rPr>
        <w:t>or Pattern 3, the fruit/vegetable–fish–nuts–dairy–tea/coffee pattern, mean scores did not differ significantly between participants with lower and higher CCA burden (−0.12 ± 0.96 vs 0.07 ± 1.02; p=.160). Likewise, high adherence to Pattern 3 was not significantly different between the two groups [52 (28.9%) vs 107 (36.0%); p=.323].</w:t>
      </w:r>
      <w:r>
        <w:rPr>
          <w:rFonts w:ascii="Arial" w:hAnsi="Arial" w:cs="Arial"/>
          <w:sz w:val="20"/>
        </w:rPr>
        <w:t xml:space="preserve"> </w:t>
      </w:r>
      <w:r w:rsidR="00EA4B67" w:rsidRPr="00EA4B67">
        <w:rPr>
          <w:rFonts w:ascii="Arial" w:hAnsi="Arial" w:cs="Arial"/>
          <w:sz w:val="20"/>
        </w:rPr>
        <w:t>The distribution of predominant dietary patterns also differed significantly according to CCA burden (global p&lt;.001). Pattern 1 was the predominant dietary pattern among 158 (53.2%) participants with higher CCA burden compared with 45 (25.0%) participants with lower burden. Conversely, Pattern 2 predominated among 110 (61.1%) participants with lower CCA burden compared with 74 (24.9%) participants with higher burden. Pattern 3 was predominant among 65 (21.9%) participants with higher CCA burden and 25 (13.9%) of those with lower burden.</w:t>
      </w:r>
      <w:r>
        <w:rPr>
          <w:rFonts w:ascii="Arial" w:hAnsi="Arial" w:cs="Arial"/>
          <w:sz w:val="20"/>
        </w:rPr>
        <w:t xml:space="preserve"> </w:t>
      </w:r>
      <w:r w:rsidR="00EA4B67" w:rsidRPr="00EA4B67">
        <w:rPr>
          <w:rFonts w:ascii="Arial" w:hAnsi="Arial" w:cs="Arial"/>
          <w:sz w:val="20"/>
        </w:rPr>
        <w:t>Overall, higher CCA burden was characterised by greater adherence to, and predominance of, the fried/fast food–high-fat–dessert/soft drink–alcohol dietary pattern, whereas lower CCA burden was more strongly associated with the grain–legume–lean meat dietary pattern.</w:t>
      </w:r>
    </w:p>
    <w:p w14:paraId="47B10325" w14:textId="2D10A307" w:rsidR="00657749" w:rsidRDefault="00657749" w:rsidP="00EA4B67">
      <w:pPr>
        <w:spacing w:before="120" w:after="80"/>
        <w:rPr>
          <w:rFonts w:ascii="Arial" w:hAnsi="Arial" w:cs="Arial"/>
          <w:b/>
          <w:bCs/>
          <w:sz w:val="20"/>
          <w:szCs w:val="20"/>
        </w:rPr>
      </w:pPr>
      <w:r w:rsidRPr="00657749">
        <w:rPr>
          <w:rFonts w:ascii="Arial" w:hAnsi="Arial" w:cs="Arial"/>
          <w:b/>
          <w:bCs/>
          <w:sz w:val="20"/>
          <w:szCs w:val="20"/>
        </w:rPr>
        <w:t xml:space="preserve">Table </w:t>
      </w:r>
      <w:r w:rsidR="00BE25F5">
        <w:rPr>
          <w:rFonts w:ascii="Arial" w:hAnsi="Arial" w:cs="Arial"/>
          <w:b/>
          <w:bCs/>
          <w:sz w:val="20"/>
          <w:szCs w:val="20"/>
        </w:rPr>
        <w:t>7</w:t>
      </w:r>
      <w:r w:rsidRPr="00657749">
        <w:rPr>
          <w:rFonts w:ascii="Arial" w:hAnsi="Arial" w:cs="Arial"/>
          <w:b/>
          <w:bCs/>
          <w:sz w:val="20"/>
          <w:szCs w:val="20"/>
        </w:rPr>
        <w:t>. Dietary pattern scores and high adherence according to CCA burden among adults in Ikwerre Local Government Area, Rivers State, Nigeria</w:t>
      </w:r>
    </w:p>
    <w:tbl>
      <w:tblPr>
        <w:tblStyle w:val="TableGrid"/>
        <w:tblW w:w="0" w:type="auto"/>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2078"/>
        <w:gridCol w:w="1669"/>
        <w:gridCol w:w="2331"/>
      </w:tblGrid>
      <w:tr w:rsidR="00DD572E" w:rsidRPr="00E73B2B" w14:paraId="2BF5D55E" w14:textId="77777777" w:rsidTr="00EE7CCF">
        <w:tc>
          <w:tcPr>
            <w:tcW w:w="3402" w:type="dxa"/>
            <w:tcBorders>
              <w:top w:val="single" w:sz="4" w:space="0" w:color="auto"/>
              <w:bottom w:val="single" w:sz="4" w:space="0" w:color="auto"/>
            </w:tcBorders>
          </w:tcPr>
          <w:p w14:paraId="6CD26E44" w14:textId="77777777" w:rsidR="00DD572E" w:rsidRPr="00E73B2B" w:rsidRDefault="00DD572E" w:rsidP="00DD572E">
            <w:pPr>
              <w:pStyle w:val="p1"/>
              <w:spacing w:before="0" w:beforeAutospacing="0" w:after="0" w:afterAutospacing="0"/>
              <w:contextualSpacing/>
              <w:jc w:val="center"/>
              <w:rPr>
                <w:rFonts w:ascii="Arial" w:hAnsi="Arial" w:cs="Arial"/>
                <w:b/>
                <w:bCs/>
                <w:sz w:val="20"/>
                <w:szCs w:val="20"/>
              </w:rPr>
            </w:pPr>
            <w:r w:rsidRPr="00E73B2B">
              <w:rPr>
                <w:rFonts w:ascii="Arial" w:hAnsi="Arial" w:cs="Arial"/>
                <w:b/>
                <w:bCs/>
                <w:sz w:val="20"/>
                <w:szCs w:val="20"/>
              </w:rPr>
              <w:t>Characteristic</w:t>
            </w:r>
          </w:p>
        </w:tc>
        <w:tc>
          <w:tcPr>
            <w:tcW w:w="2127" w:type="dxa"/>
            <w:tcBorders>
              <w:top w:val="single" w:sz="4" w:space="0" w:color="auto"/>
              <w:bottom w:val="single" w:sz="4" w:space="0" w:color="auto"/>
            </w:tcBorders>
          </w:tcPr>
          <w:p w14:paraId="5FDD2003"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1</w:t>
            </w:r>
          </w:p>
        </w:tc>
        <w:tc>
          <w:tcPr>
            <w:tcW w:w="1701" w:type="dxa"/>
            <w:tcBorders>
              <w:top w:val="single" w:sz="4" w:space="0" w:color="auto"/>
              <w:bottom w:val="single" w:sz="4" w:space="0" w:color="auto"/>
            </w:tcBorders>
          </w:tcPr>
          <w:p w14:paraId="4121EFED"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2</w:t>
            </w:r>
          </w:p>
        </w:tc>
        <w:tc>
          <w:tcPr>
            <w:tcW w:w="2391" w:type="dxa"/>
            <w:tcBorders>
              <w:top w:val="single" w:sz="4" w:space="0" w:color="auto"/>
              <w:bottom w:val="single" w:sz="4" w:space="0" w:color="auto"/>
            </w:tcBorders>
          </w:tcPr>
          <w:p w14:paraId="4DFE32F6"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3</w:t>
            </w:r>
          </w:p>
        </w:tc>
      </w:tr>
      <w:tr w:rsidR="00DD572E" w:rsidRPr="00E73B2B" w14:paraId="613C25C3" w14:textId="77777777" w:rsidTr="00E173CF">
        <w:tc>
          <w:tcPr>
            <w:tcW w:w="9621" w:type="dxa"/>
            <w:gridSpan w:val="4"/>
            <w:tcBorders>
              <w:top w:val="single" w:sz="4" w:space="0" w:color="auto"/>
            </w:tcBorders>
            <w:vAlign w:val="center"/>
          </w:tcPr>
          <w:p w14:paraId="1107545D" w14:textId="77777777" w:rsidR="00DD572E" w:rsidRPr="00E73B2B" w:rsidRDefault="00DD572E" w:rsidP="00DD572E">
            <w:pPr>
              <w:contextualSpacing/>
              <w:rPr>
                <w:rFonts w:ascii="Arial" w:hAnsi="Arial" w:cs="Arial"/>
                <w:sz w:val="20"/>
                <w:szCs w:val="20"/>
              </w:rPr>
            </w:pPr>
            <w:r w:rsidRPr="00E73B2B">
              <w:rPr>
                <w:rFonts w:ascii="Arial" w:hAnsi="Arial" w:cs="Arial"/>
                <w:b/>
                <w:bCs/>
                <w:sz w:val="20"/>
                <w:szCs w:val="20"/>
              </w:rPr>
              <w:t>Pattern score, mean ± SD</w:t>
            </w:r>
          </w:p>
        </w:tc>
      </w:tr>
      <w:tr w:rsidR="00DD572E" w:rsidRPr="00E73B2B" w14:paraId="196E47FB" w14:textId="77777777" w:rsidTr="00EE7CCF">
        <w:tc>
          <w:tcPr>
            <w:tcW w:w="3402" w:type="dxa"/>
            <w:vAlign w:val="center"/>
          </w:tcPr>
          <w:p w14:paraId="5B818999"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Overall</w:t>
            </w:r>
          </w:p>
        </w:tc>
        <w:tc>
          <w:tcPr>
            <w:tcW w:w="2127" w:type="dxa"/>
            <w:vAlign w:val="center"/>
          </w:tcPr>
          <w:p w14:paraId="138891A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c>
          <w:tcPr>
            <w:tcW w:w="1701" w:type="dxa"/>
            <w:vAlign w:val="center"/>
          </w:tcPr>
          <w:p w14:paraId="794913DA"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c>
          <w:tcPr>
            <w:tcW w:w="2391" w:type="dxa"/>
            <w:vAlign w:val="center"/>
          </w:tcPr>
          <w:p w14:paraId="038B7E05"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r>
      <w:tr w:rsidR="00DD572E" w:rsidRPr="00E73B2B" w14:paraId="44BF4D1A" w14:textId="77777777" w:rsidTr="00EE7CCF">
        <w:tc>
          <w:tcPr>
            <w:tcW w:w="3402" w:type="dxa"/>
            <w:vAlign w:val="center"/>
          </w:tcPr>
          <w:p w14:paraId="36CC2A92"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Lower CCA burden (n=180)</w:t>
            </w:r>
          </w:p>
        </w:tc>
        <w:tc>
          <w:tcPr>
            <w:tcW w:w="2127" w:type="dxa"/>
            <w:vAlign w:val="center"/>
          </w:tcPr>
          <w:p w14:paraId="5189FA54"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−0.29 ± 0.74</w:t>
            </w:r>
          </w:p>
        </w:tc>
        <w:tc>
          <w:tcPr>
            <w:tcW w:w="1701" w:type="dxa"/>
            <w:vAlign w:val="center"/>
          </w:tcPr>
          <w:p w14:paraId="355559CF"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0.24 ± 0.88</w:t>
            </w:r>
          </w:p>
        </w:tc>
        <w:tc>
          <w:tcPr>
            <w:tcW w:w="2391" w:type="dxa"/>
            <w:vAlign w:val="center"/>
          </w:tcPr>
          <w:p w14:paraId="26632641"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−0.12 ± 0.96</w:t>
            </w:r>
          </w:p>
        </w:tc>
      </w:tr>
      <w:tr w:rsidR="00DD572E" w:rsidRPr="00E73B2B" w14:paraId="101320CE" w14:textId="77777777" w:rsidTr="00EE7CCF">
        <w:tc>
          <w:tcPr>
            <w:tcW w:w="3402" w:type="dxa"/>
            <w:vAlign w:val="center"/>
          </w:tcPr>
          <w:p w14:paraId="79FDAED7"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Higher CCA burden (n=297)</w:t>
            </w:r>
          </w:p>
        </w:tc>
        <w:tc>
          <w:tcPr>
            <w:tcW w:w="2127" w:type="dxa"/>
            <w:vAlign w:val="center"/>
          </w:tcPr>
          <w:p w14:paraId="14296A7D"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0.17 ± 1.10</w:t>
            </w:r>
          </w:p>
        </w:tc>
        <w:tc>
          <w:tcPr>
            <w:tcW w:w="1701" w:type="dxa"/>
            <w:vAlign w:val="center"/>
          </w:tcPr>
          <w:p w14:paraId="13E704F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−0.14 ± 1.05</w:t>
            </w:r>
          </w:p>
        </w:tc>
        <w:tc>
          <w:tcPr>
            <w:tcW w:w="2391" w:type="dxa"/>
            <w:vAlign w:val="center"/>
          </w:tcPr>
          <w:p w14:paraId="20B6637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0.07 ± 1.02</w:t>
            </w:r>
          </w:p>
        </w:tc>
      </w:tr>
      <w:tr w:rsidR="00DD572E" w:rsidRPr="00E73B2B" w14:paraId="2121046C" w14:textId="77777777" w:rsidTr="00EE7CCF">
        <w:tc>
          <w:tcPr>
            <w:tcW w:w="3402" w:type="dxa"/>
            <w:vAlign w:val="center"/>
          </w:tcPr>
          <w:p w14:paraId="48DE3E60" w14:textId="77777777" w:rsidR="00DD572E" w:rsidRPr="00E73B2B" w:rsidRDefault="00DD572E" w:rsidP="00E173CF">
            <w:pPr>
              <w:pStyle w:val="p1"/>
              <w:spacing w:before="0" w:beforeAutospacing="0" w:after="0" w:afterAutospacing="0"/>
              <w:ind w:firstLine="181"/>
              <w:contextualSpacing/>
              <w:rPr>
                <w:rStyle w:val="s2"/>
                <w:rFonts w:ascii="Arial" w:hAnsi="Arial" w:cs="Arial"/>
                <w:sz w:val="20"/>
                <w:szCs w:val="20"/>
              </w:rPr>
            </w:pPr>
            <w:r w:rsidRPr="00E73B2B">
              <w:rPr>
                <w:rFonts w:ascii="Arial" w:hAnsi="Arial" w:cs="Arial"/>
                <w:i/>
                <w:iCs/>
                <w:sz w:val="20"/>
                <w:szCs w:val="20"/>
              </w:rPr>
              <w:t>P</w:t>
            </w:r>
            <w:r w:rsidRPr="00E73B2B">
              <w:rPr>
                <w:rStyle w:val="s2"/>
                <w:rFonts w:ascii="Arial" w:hAnsi="Arial" w:cs="Arial"/>
                <w:sz w:val="20"/>
                <w:szCs w:val="20"/>
              </w:rPr>
              <w:t>-value</w:t>
            </w:r>
          </w:p>
        </w:tc>
        <w:tc>
          <w:tcPr>
            <w:tcW w:w="2127" w:type="dxa"/>
            <w:vAlign w:val="center"/>
          </w:tcPr>
          <w:p w14:paraId="110BC3E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&lt;.001</w:t>
            </w:r>
          </w:p>
        </w:tc>
        <w:tc>
          <w:tcPr>
            <w:tcW w:w="1701" w:type="dxa"/>
            <w:vAlign w:val="center"/>
          </w:tcPr>
          <w:p w14:paraId="0B67B616"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.005</w:t>
            </w:r>
          </w:p>
        </w:tc>
        <w:tc>
          <w:tcPr>
            <w:tcW w:w="2391" w:type="dxa"/>
            <w:vAlign w:val="center"/>
          </w:tcPr>
          <w:p w14:paraId="24C127CF"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.160</w:t>
            </w:r>
          </w:p>
        </w:tc>
      </w:tr>
      <w:tr w:rsidR="00E173CF" w:rsidRPr="00E73B2B" w14:paraId="7327FE47" w14:textId="77777777" w:rsidTr="00EE7CCF">
        <w:tc>
          <w:tcPr>
            <w:tcW w:w="3402" w:type="dxa"/>
            <w:vAlign w:val="center"/>
          </w:tcPr>
          <w:p w14:paraId="0AB35D02" w14:textId="77777777" w:rsidR="00E173CF" w:rsidRPr="00E73B2B" w:rsidRDefault="00E173CF" w:rsidP="00DD572E">
            <w:pPr>
              <w:pStyle w:val="p1"/>
              <w:spacing w:before="0" w:beforeAutospacing="0" w:after="0" w:afterAutospacing="0"/>
              <w:contextualSpacing/>
              <w:rPr>
                <w:rFonts w:ascii="Arial" w:hAnsi="Arial" w:cs="Arial"/>
                <w:i/>
                <w:iCs/>
                <w:sz w:val="20"/>
                <w:szCs w:val="20"/>
              </w:rPr>
            </w:pPr>
          </w:p>
        </w:tc>
        <w:tc>
          <w:tcPr>
            <w:tcW w:w="2127" w:type="dxa"/>
            <w:vAlign w:val="center"/>
          </w:tcPr>
          <w:p w14:paraId="1E03CAEE" w14:textId="77777777" w:rsidR="00E173CF" w:rsidRPr="00E73B2B" w:rsidRDefault="00E173CF" w:rsidP="00DD572E">
            <w:pPr>
              <w:pStyle w:val="p1"/>
              <w:spacing w:before="0" w:beforeAutospacing="0" w:after="0" w:afterAutospacing="0"/>
              <w:contextualSpacing/>
              <w:rPr>
                <w:rFonts w:ascii="Arial" w:hAnsi="Arial" w:cs="Arial"/>
                <w:b/>
                <w:bCs/>
                <w:sz w:val="20"/>
                <w:szCs w:val="20"/>
              </w:rPr>
            </w:pPr>
          </w:p>
        </w:tc>
        <w:tc>
          <w:tcPr>
            <w:tcW w:w="1701" w:type="dxa"/>
            <w:vAlign w:val="center"/>
          </w:tcPr>
          <w:p w14:paraId="128CBE97" w14:textId="77777777" w:rsidR="00E173CF" w:rsidRPr="00E73B2B" w:rsidRDefault="00E173CF" w:rsidP="00DD572E">
            <w:pPr>
              <w:pStyle w:val="p1"/>
              <w:spacing w:before="0" w:beforeAutospacing="0" w:after="0" w:afterAutospacing="0"/>
              <w:contextualSpacing/>
              <w:rPr>
                <w:rFonts w:ascii="Arial" w:hAnsi="Arial" w:cs="Arial"/>
                <w:b/>
                <w:bCs/>
                <w:sz w:val="20"/>
                <w:szCs w:val="20"/>
              </w:rPr>
            </w:pPr>
          </w:p>
        </w:tc>
        <w:tc>
          <w:tcPr>
            <w:tcW w:w="2391" w:type="dxa"/>
            <w:vAlign w:val="center"/>
          </w:tcPr>
          <w:p w14:paraId="3C786E30" w14:textId="77777777" w:rsidR="00E173CF" w:rsidRPr="00E73B2B" w:rsidRDefault="00E173CF" w:rsidP="00DD572E">
            <w:pPr>
              <w:pStyle w:val="p1"/>
              <w:spacing w:before="0" w:beforeAutospacing="0" w:after="0" w:afterAutospacing="0"/>
              <w:contextualSpacing/>
              <w:rPr>
                <w:rFonts w:ascii="Arial" w:hAnsi="Arial" w:cs="Arial"/>
                <w:sz w:val="20"/>
                <w:szCs w:val="20"/>
              </w:rPr>
            </w:pPr>
          </w:p>
        </w:tc>
      </w:tr>
      <w:tr w:rsidR="00DD572E" w:rsidRPr="00E73B2B" w14:paraId="65276D24" w14:textId="77777777" w:rsidTr="00E173CF">
        <w:tc>
          <w:tcPr>
            <w:tcW w:w="9621" w:type="dxa"/>
            <w:gridSpan w:val="4"/>
            <w:vAlign w:val="center"/>
          </w:tcPr>
          <w:p w14:paraId="6052D7A3" w14:textId="77777777" w:rsidR="00DD572E" w:rsidRPr="00E73B2B" w:rsidRDefault="00DD572E" w:rsidP="00DD572E">
            <w:pPr>
              <w:contextualSpacing/>
              <w:rPr>
                <w:rFonts w:ascii="Arial" w:hAnsi="Arial" w:cs="Arial"/>
                <w:sz w:val="20"/>
                <w:szCs w:val="20"/>
              </w:rPr>
            </w:pPr>
            <w:r w:rsidRPr="00E73B2B">
              <w:rPr>
                <w:rFonts w:ascii="Arial" w:hAnsi="Arial" w:cs="Arial"/>
                <w:b/>
                <w:bCs/>
                <w:sz w:val="20"/>
                <w:szCs w:val="20"/>
              </w:rPr>
              <w:t>High adherence, n (%)</w:t>
            </w:r>
          </w:p>
        </w:tc>
      </w:tr>
      <w:tr w:rsidR="00DD572E" w:rsidRPr="00E73B2B" w14:paraId="7D76B231" w14:textId="77777777" w:rsidTr="00EE7CCF">
        <w:tc>
          <w:tcPr>
            <w:tcW w:w="3402" w:type="dxa"/>
            <w:vAlign w:val="center"/>
          </w:tcPr>
          <w:p w14:paraId="3492F19E"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Overall</w:t>
            </w:r>
          </w:p>
        </w:tc>
        <w:tc>
          <w:tcPr>
            <w:tcW w:w="2127" w:type="dxa"/>
            <w:vAlign w:val="center"/>
          </w:tcPr>
          <w:p w14:paraId="044C17B0"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c>
          <w:tcPr>
            <w:tcW w:w="1701" w:type="dxa"/>
            <w:vAlign w:val="center"/>
          </w:tcPr>
          <w:p w14:paraId="763573E1"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c>
          <w:tcPr>
            <w:tcW w:w="2391" w:type="dxa"/>
            <w:vAlign w:val="center"/>
          </w:tcPr>
          <w:p w14:paraId="7BAB80BC"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r>
      <w:tr w:rsidR="00DD572E" w:rsidRPr="00E73B2B" w14:paraId="7230ABF7" w14:textId="77777777" w:rsidTr="00EE7CCF">
        <w:tc>
          <w:tcPr>
            <w:tcW w:w="3402" w:type="dxa"/>
            <w:vAlign w:val="center"/>
          </w:tcPr>
          <w:p w14:paraId="4D9EF26B"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Lower CCA burden (n=180)</w:t>
            </w:r>
          </w:p>
        </w:tc>
        <w:tc>
          <w:tcPr>
            <w:tcW w:w="2127" w:type="dxa"/>
            <w:vAlign w:val="center"/>
          </w:tcPr>
          <w:p w14:paraId="65C6CD02"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29 (16.1)</w:t>
            </w:r>
          </w:p>
        </w:tc>
        <w:tc>
          <w:tcPr>
            <w:tcW w:w="1701" w:type="dxa"/>
            <w:vAlign w:val="center"/>
          </w:tcPr>
          <w:p w14:paraId="16B3B346"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81 (45.0)</w:t>
            </w:r>
          </w:p>
        </w:tc>
        <w:tc>
          <w:tcPr>
            <w:tcW w:w="2391" w:type="dxa"/>
            <w:vAlign w:val="center"/>
          </w:tcPr>
          <w:p w14:paraId="06F14D57"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52 (28.9)</w:t>
            </w:r>
          </w:p>
        </w:tc>
      </w:tr>
      <w:tr w:rsidR="00DD572E" w:rsidRPr="00E73B2B" w14:paraId="46D0FA5B" w14:textId="77777777" w:rsidTr="00EE7CCF">
        <w:tc>
          <w:tcPr>
            <w:tcW w:w="3402" w:type="dxa"/>
            <w:vAlign w:val="center"/>
          </w:tcPr>
          <w:p w14:paraId="504206C2"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Higher CCA burden (n=297)</w:t>
            </w:r>
          </w:p>
        </w:tc>
        <w:tc>
          <w:tcPr>
            <w:tcW w:w="2127" w:type="dxa"/>
            <w:vAlign w:val="center"/>
          </w:tcPr>
          <w:p w14:paraId="100A2D33"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130 (43.8)</w:t>
            </w:r>
          </w:p>
        </w:tc>
        <w:tc>
          <w:tcPr>
            <w:tcW w:w="1701" w:type="dxa"/>
            <w:vAlign w:val="center"/>
          </w:tcPr>
          <w:p w14:paraId="7174C681"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78 (26.3)</w:t>
            </w:r>
          </w:p>
        </w:tc>
        <w:tc>
          <w:tcPr>
            <w:tcW w:w="2391" w:type="dxa"/>
            <w:vAlign w:val="center"/>
          </w:tcPr>
          <w:p w14:paraId="27F03FEC"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107 (36.0)</w:t>
            </w:r>
          </w:p>
        </w:tc>
      </w:tr>
      <w:tr w:rsidR="00DD572E" w:rsidRPr="00E73B2B" w14:paraId="439B2153" w14:textId="77777777" w:rsidTr="00EE7CCF">
        <w:tc>
          <w:tcPr>
            <w:tcW w:w="3402" w:type="dxa"/>
            <w:vAlign w:val="center"/>
          </w:tcPr>
          <w:p w14:paraId="5A2142AF" w14:textId="77777777" w:rsidR="00DD572E" w:rsidRPr="00E73B2B" w:rsidRDefault="00DD572E" w:rsidP="00E173CF">
            <w:pPr>
              <w:pStyle w:val="p1"/>
              <w:spacing w:before="0" w:beforeAutospacing="0" w:after="0" w:afterAutospacing="0"/>
              <w:ind w:firstLine="181"/>
              <w:contextualSpacing/>
              <w:rPr>
                <w:rStyle w:val="s2"/>
                <w:rFonts w:ascii="Arial" w:hAnsi="Arial" w:cs="Arial"/>
                <w:sz w:val="20"/>
                <w:szCs w:val="20"/>
              </w:rPr>
            </w:pPr>
            <w:r w:rsidRPr="00E73B2B">
              <w:rPr>
                <w:rFonts w:ascii="Arial" w:hAnsi="Arial" w:cs="Arial"/>
                <w:i/>
                <w:iCs/>
                <w:sz w:val="20"/>
                <w:szCs w:val="20"/>
              </w:rPr>
              <w:lastRenderedPageBreak/>
              <w:t>P</w:t>
            </w:r>
            <w:r w:rsidRPr="00E73B2B">
              <w:rPr>
                <w:rStyle w:val="s2"/>
                <w:rFonts w:ascii="Arial" w:hAnsi="Arial" w:cs="Arial"/>
                <w:sz w:val="20"/>
                <w:szCs w:val="20"/>
              </w:rPr>
              <w:t>-value</w:t>
            </w:r>
          </w:p>
        </w:tc>
        <w:tc>
          <w:tcPr>
            <w:tcW w:w="2127" w:type="dxa"/>
            <w:vAlign w:val="center"/>
          </w:tcPr>
          <w:p w14:paraId="4908144E"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&lt;.001</w:t>
            </w:r>
          </w:p>
        </w:tc>
        <w:tc>
          <w:tcPr>
            <w:tcW w:w="1701" w:type="dxa"/>
            <w:vAlign w:val="center"/>
          </w:tcPr>
          <w:p w14:paraId="55FFE14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.009</w:t>
            </w:r>
          </w:p>
        </w:tc>
        <w:tc>
          <w:tcPr>
            <w:tcW w:w="2391" w:type="dxa"/>
            <w:vAlign w:val="center"/>
          </w:tcPr>
          <w:p w14:paraId="5472650A"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.323</w:t>
            </w:r>
          </w:p>
        </w:tc>
      </w:tr>
      <w:tr w:rsidR="00EA4B67" w:rsidRPr="00E73B2B" w14:paraId="68AC195B" w14:textId="77777777" w:rsidTr="00EE7CCF">
        <w:tc>
          <w:tcPr>
            <w:tcW w:w="3402" w:type="dxa"/>
            <w:vAlign w:val="center"/>
          </w:tcPr>
          <w:p w14:paraId="315A4E30" w14:textId="77777777" w:rsidR="00EA4B67" w:rsidRPr="00E73B2B" w:rsidRDefault="00EA4B67" w:rsidP="00EA4B67">
            <w:pPr>
              <w:pStyle w:val="p1"/>
              <w:spacing w:before="0" w:beforeAutospacing="0" w:after="0" w:afterAutospacing="0"/>
              <w:contextualSpacing/>
              <w:rPr>
                <w:rFonts w:ascii="Arial" w:hAnsi="Arial" w:cs="Arial"/>
                <w:i/>
                <w:iCs/>
                <w:sz w:val="20"/>
                <w:szCs w:val="20"/>
              </w:rPr>
            </w:pPr>
            <w:r w:rsidRPr="00E73B2B">
              <w:rPr>
                <w:b/>
                <w:bCs/>
                <w:sz w:val="20"/>
                <w:szCs w:val="20"/>
              </w:rPr>
              <w:t>Predominant dietary pattern, n (%)</w:t>
            </w:r>
          </w:p>
        </w:tc>
        <w:tc>
          <w:tcPr>
            <w:tcW w:w="2127" w:type="dxa"/>
            <w:vAlign w:val="center"/>
          </w:tcPr>
          <w:p w14:paraId="70764387" w14:textId="77777777" w:rsidR="00EA4B67" w:rsidRPr="00E73B2B" w:rsidRDefault="00EA4B67" w:rsidP="00DD572E">
            <w:pPr>
              <w:pStyle w:val="p1"/>
              <w:spacing w:before="0" w:beforeAutospacing="0" w:after="0" w:afterAutospacing="0"/>
              <w:contextualSpacing/>
              <w:rPr>
                <w:rFonts w:ascii="Arial" w:hAnsi="Arial" w:cs="Arial"/>
                <w:b/>
                <w:bCs/>
                <w:sz w:val="20"/>
                <w:szCs w:val="20"/>
              </w:rPr>
            </w:pPr>
          </w:p>
        </w:tc>
        <w:tc>
          <w:tcPr>
            <w:tcW w:w="1701" w:type="dxa"/>
            <w:vAlign w:val="center"/>
          </w:tcPr>
          <w:p w14:paraId="040985D0" w14:textId="77777777" w:rsidR="00EA4B67" w:rsidRPr="00E73B2B" w:rsidRDefault="00EA4B67" w:rsidP="00DD572E">
            <w:pPr>
              <w:pStyle w:val="p1"/>
              <w:spacing w:before="0" w:beforeAutospacing="0" w:after="0" w:afterAutospacing="0"/>
              <w:contextualSpacing/>
              <w:rPr>
                <w:rFonts w:ascii="Arial" w:hAnsi="Arial" w:cs="Arial"/>
                <w:b/>
                <w:bCs/>
                <w:sz w:val="20"/>
                <w:szCs w:val="20"/>
              </w:rPr>
            </w:pPr>
          </w:p>
        </w:tc>
        <w:tc>
          <w:tcPr>
            <w:tcW w:w="2391" w:type="dxa"/>
            <w:vAlign w:val="center"/>
          </w:tcPr>
          <w:p w14:paraId="7C5F2219" w14:textId="77777777" w:rsidR="00EA4B67" w:rsidRPr="00E73B2B" w:rsidRDefault="00EA4B67" w:rsidP="00DD572E">
            <w:pPr>
              <w:pStyle w:val="p1"/>
              <w:spacing w:before="0" w:beforeAutospacing="0" w:after="0" w:afterAutospacing="0"/>
              <w:contextualSpacing/>
              <w:rPr>
                <w:rFonts w:ascii="Arial" w:hAnsi="Arial" w:cs="Arial"/>
                <w:sz w:val="20"/>
                <w:szCs w:val="20"/>
              </w:rPr>
            </w:pPr>
          </w:p>
        </w:tc>
      </w:tr>
      <w:tr w:rsidR="00EA4B67" w:rsidRPr="00E73B2B" w14:paraId="28453C7F" w14:textId="77777777" w:rsidTr="00EE7CCF">
        <w:tc>
          <w:tcPr>
            <w:tcW w:w="3402" w:type="dxa"/>
            <w:vAlign w:val="center"/>
          </w:tcPr>
          <w:p w14:paraId="2D55B710" w14:textId="77777777" w:rsidR="00EA4B67" w:rsidRPr="00E73B2B" w:rsidRDefault="00EA4B67" w:rsidP="00EA4B67">
            <w:pPr>
              <w:pStyle w:val="p1"/>
              <w:rPr>
                <w:sz w:val="20"/>
                <w:szCs w:val="20"/>
              </w:rPr>
            </w:pPr>
            <w:r w:rsidRPr="00E73B2B">
              <w:rPr>
                <w:sz w:val="20"/>
                <w:szCs w:val="20"/>
              </w:rPr>
              <w:t>Overall (n=477)</w:t>
            </w:r>
          </w:p>
        </w:tc>
        <w:tc>
          <w:tcPr>
            <w:tcW w:w="2127" w:type="dxa"/>
            <w:vAlign w:val="center"/>
          </w:tcPr>
          <w:p w14:paraId="4C5CB615" w14:textId="77777777" w:rsidR="00EA4B67" w:rsidRPr="00E73B2B" w:rsidRDefault="00EA4B67" w:rsidP="00EA4B67">
            <w:pPr>
              <w:pStyle w:val="p1"/>
              <w:rPr>
                <w:sz w:val="20"/>
                <w:szCs w:val="20"/>
              </w:rPr>
            </w:pPr>
            <w:r w:rsidRPr="00E73B2B">
              <w:rPr>
                <w:sz w:val="20"/>
                <w:szCs w:val="20"/>
              </w:rPr>
              <w:t>203 (42.6)</w:t>
            </w:r>
          </w:p>
        </w:tc>
        <w:tc>
          <w:tcPr>
            <w:tcW w:w="1701" w:type="dxa"/>
            <w:vAlign w:val="center"/>
          </w:tcPr>
          <w:p w14:paraId="1BC2123B" w14:textId="77777777" w:rsidR="00EA4B67" w:rsidRPr="00E73B2B" w:rsidRDefault="00EA4B67" w:rsidP="00EA4B67">
            <w:pPr>
              <w:pStyle w:val="p1"/>
              <w:rPr>
                <w:sz w:val="20"/>
                <w:szCs w:val="20"/>
              </w:rPr>
            </w:pPr>
            <w:r w:rsidRPr="00E73B2B">
              <w:rPr>
                <w:sz w:val="20"/>
                <w:szCs w:val="20"/>
              </w:rPr>
              <w:t>184 (38.6)</w:t>
            </w:r>
          </w:p>
        </w:tc>
        <w:tc>
          <w:tcPr>
            <w:tcW w:w="2391" w:type="dxa"/>
            <w:vAlign w:val="center"/>
          </w:tcPr>
          <w:p w14:paraId="7F4229A9" w14:textId="77777777" w:rsidR="00EA4B67" w:rsidRPr="00E73B2B" w:rsidRDefault="00EA4B67" w:rsidP="00EA4B67">
            <w:pPr>
              <w:pStyle w:val="p1"/>
              <w:rPr>
                <w:sz w:val="20"/>
                <w:szCs w:val="20"/>
              </w:rPr>
            </w:pPr>
            <w:r w:rsidRPr="00E73B2B">
              <w:rPr>
                <w:sz w:val="20"/>
                <w:szCs w:val="20"/>
              </w:rPr>
              <w:t>90 (18.9)</w:t>
            </w:r>
          </w:p>
        </w:tc>
      </w:tr>
      <w:tr w:rsidR="00EA4B67" w:rsidRPr="00E73B2B" w14:paraId="0AD89D74" w14:textId="77777777" w:rsidTr="00EE7CCF">
        <w:tc>
          <w:tcPr>
            <w:tcW w:w="3402" w:type="dxa"/>
            <w:vAlign w:val="center"/>
          </w:tcPr>
          <w:p w14:paraId="032E909C" w14:textId="77777777" w:rsidR="00EA4B67" w:rsidRPr="00E73B2B" w:rsidRDefault="00EA4B67" w:rsidP="00EA4B67">
            <w:pPr>
              <w:pStyle w:val="p1"/>
              <w:rPr>
                <w:sz w:val="20"/>
                <w:szCs w:val="20"/>
              </w:rPr>
            </w:pPr>
            <w:r w:rsidRPr="00E73B2B">
              <w:rPr>
                <w:sz w:val="20"/>
                <w:szCs w:val="20"/>
              </w:rPr>
              <w:t>Lower CCA burden (n=180)</w:t>
            </w:r>
          </w:p>
        </w:tc>
        <w:tc>
          <w:tcPr>
            <w:tcW w:w="2127" w:type="dxa"/>
            <w:vAlign w:val="center"/>
          </w:tcPr>
          <w:p w14:paraId="2C6E5430" w14:textId="77777777" w:rsidR="00EA4B67" w:rsidRPr="00E73B2B" w:rsidRDefault="00EA4B67" w:rsidP="00EA4B67">
            <w:pPr>
              <w:pStyle w:val="p1"/>
              <w:rPr>
                <w:sz w:val="20"/>
                <w:szCs w:val="20"/>
              </w:rPr>
            </w:pPr>
            <w:r w:rsidRPr="00E73B2B">
              <w:rPr>
                <w:sz w:val="20"/>
                <w:szCs w:val="20"/>
              </w:rPr>
              <w:t>45 (25.0)</w:t>
            </w:r>
          </w:p>
        </w:tc>
        <w:tc>
          <w:tcPr>
            <w:tcW w:w="1701" w:type="dxa"/>
            <w:vAlign w:val="center"/>
          </w:tcPr>
          <w:p w14:paraId="1FA09307" w14:textId="77777777" w:rsidR="00EA4B67" w:rsidRPr="00E73B2B" w:rsidRDefault="00EA4B67" w:rsidP="00EA4B67">
            <w:pPr>
              <w:pStyle w:val="p1"/>
              <w:rPr>
                <w:sz w:val="20"/>
                <w:szCs w:val="20"/>
              </w:rPr>
            </w:pPr>
            <w:r w:rsidRPr="00E73B2B">
              <w:rPr>
                <w:sz w:val="20"/>
                <w:szCs w:val="20"/>
              </w:rPr>
              <w:t>110 (61.1)</w:t>
            </w:r>
          </w:p>
        </w:tc>
        <w:tc>
          <w:tcPr>
            <w:tcW w:w="2391" w:type="dxa"/>
            <w:vAlign w:val="center"/>
          </w:tcPr>
          <w:p w14:paraId="6E353900" w14:textId="77777777" w:rsidR="00EA4B67" w:rsidRPr="00E73B2B" w:rsidRDefault="00EA4B67" w:rsidP="00EA4B67">
            <w:pPr>
              <w:pStyle w:val="p1"/>
              <w:rPr>
                <w:sz w:val="20"/>
                <w:szCs w:val="20"/>
              </w:rPr>
            </w:pPr>
            <w:r w:rsidRPr="00E73B2B">
              <w:rPr>
                <w:sz w:val="20"/>
                <w:szCs w:val="20"/>
              </w:rPr>
              <w:t>25 (13.9)</w:t>
            </w:r>
          </w:p>
        </w:tc>
      </w:tr>
      <w:tr w:rsidR="00EA4B67" w:rsidRPr="00E73B2B" w14:paraId="5106C9ED" w14:textId="77777777" w:rsidTr="00EE7CCF">
        <w:tc>
          <w:tcPr>
            <w:tcW w:w="3402" w:type="dxa"/>
            <w:vAlign w:val="center"/>
          </w:tcPr>
          <w:p w14:paraId="331D26B6" w14:textId="77777777" w:rsidR="00EA4B67" w:rsidRPr="00E73B2B" w:rsidRDefault="00EA4B67" w:rsidP="00EA4B67">
            <w:pPr>
              <w:pStyle w:val="p1"/>
              <w:rPr>
                <w:sz w:val="20"/>
                <w:szCs w:val="20"/>
              </w:rPr>
            </w:pPr>
            <w:r w:rsidRPr="00E73B2B">
              <w:rPr>
                <w:sz w:val="20"/>
                <w:szCs w:val="20"/>
              </w:rPr>
              <w:t>Higher CCA burden (n=297)</w:t>
            </w:r>
          </w:p>
        </w:tc>
        <w:tc>
          <w:tcPr>
            <w:tcW w:w="2127" w:type="dxa"/>
            <w:vAlign w:val="center"/>
          </w:tcPr>
          <w:p w14:paraId="0062D71B" w14:textId="77777777" w:rsidR="00EA4B67" w:rsidRPr="00E73B2B" w:rsidRDefault="00EA4B67" w:rsidP="00EA4B67">
            <w:pPr>
              <w:pStyle w:val="p1"/>
              <w:rPr>
                <w:sz w:val="20"/>
                <w:szCs w:val="20"/>
              </w:rPr>
            </w:pPr>
            <w:r w:rsidRPr="00E73B2B">
              <w:rPr>
                <w:sz w:val="20"/>
                <w:szCs w:val="20"/>
              </w:rPr>
              <w:t>158 (53.2)</w:t>
            </w:r>
          </w:p>
        </w:tc>
        <w:tc>
          <w:tcPr>
            <w:tcW w:w="1701" w:type="dxa"/>
            <w:vAlign w:val="center"/>
          </w:tcPr>
          <w:p w14:paraId="6AE2E91E" w14:textId="77777777" w:rsidR="00EA4B67" w:rsidRPr="00E73B2B" w:rsidRDefault="00EA4B67" w:rsidP="00EA4B67">
            <w:pPr>
              <w:pStyle w:val="p1"/>
              <w:rPr>
                <w:sz w:val="20"/>
                <w:szCs w:val="20"/>
              </w:rPr>
            </w:pPr>
            <w:r w:rsidRPr="00E73B2B">
              <w:rPr>
                <w:sz w:val="20"/>
                <w:szCs w:val="20"/>
              </w:rPr>
              <w:t>74 (24.9)</w:t>
            </w:r>
          </w:p>
        </w:tc>
        <w:tc>
          <w:tcPr>
            <w:tcW w:w="2391" w:type="dxa"/>
            <w:vAlign w:val="center"/>
          </w:tcPr>
          <w:p w14:paraId="1E161A97" w14:textId="77777777" w:rsidR="00EA4B67" w:rsidRPr="00E73B2B" w:rsidRDefault="00EA4B67" w:rsidP="00EA4B67">
            <w:pPr>
              <w:pStyle w:val="p1"/>
              <w:rPr>
                <w:sz w:val="20"/>
                <w:szCs w:val="20"/>
              </w:rPr>
            </w:pPr>
            <w:r w:rsidRPr="00E73B2B">
              <w:rPr>
                <w:sz w:val="20"/>
                <w:szCs w:val="20"/>
              </w:rPr>
              <w:t>65 (21.9)</w:t>
            </w:r>
          </w:p>
        </w:tc>
      </w:tr>
      <w:tr w:rsidR="00EA4B67" w:rsidRPr="00E73B2B" w14:paraId="503A8934" w14:textId="77777777" w:rsidTr="00EE7CCF">
        <w:tc>
          <w:tcPr>
            <w:tcW w:w="3402" w:type="dxa"/>
            <w:vAlign w:val="center"/>
          </w:tcPr>
          <w:p w14:paraId="0C7D7659" w14:textId="77777777" w:rsidR="00EA4B67" w:rsidRPr="00E73B2B" w:rsidRDefault="00EA4B67" w:rsidP="00EA4B67">
            <w:pPr>
              <w:pStyle w:val="p1"/>
              <w:rPr>
                <w:rStyle w:val="s1"/>
                <w:sz w:val="20"/>
                <w:szCs w:val="20"/>
              </w:rPr>
            </w:pPr>
            <w:r w:rsidRPr="00E73B2B">
              <w:rPr>
                <w:sz w:val="20"/>
                <w:szCs w:val="20"/>
              </w:rPr>
              <w:t xml:space="preserve">Global </w:t>
            </w:r>
            <w:r w:rsidRPr="00E73B2B">
              <w:rPr>
                <w:rStyle w:val="s2"/>
                <w:i/>
                <w:iCs/>
                <w:sz w:val="20"/>
                <w:szCs w:val="20"/>
              </w:rPr>
              <w:t>P</w:t>
            </w:r>
            <w:r w:rsidRPr="00E73B2B">
              <w:rPr>
                <w:rStyle w:val="s1"/>
                <w:sz w:val="20"/>
                <w:szCs w:val="20"/>
              </w:rPr>
              <w:t>-value</w:t>
            </w:r>
          </w:p>
        </w:tc>
        <w:tc>
          <w:tcPr>
            <w:tcW w:w="2127" w:type="dxa"/>
            <w:vAlign w:val="center"/>
          </w:tcPr>
          <w:p w14:paraId="4431E15D" w14:textId="77777777" w:rsidR="00EA4B67" w:rsidRPr="00E73B2B" w:rsidRDefault="00EA4B67" w:rsidP="00EA4B67">
            <w:pPr>
              <w:pStyle w:val="p1"/>
              <w:rPr>
                <w:sz w:val="20"/>
                <w:szCs w:val="20"/>
              </w:rPr>
            </w:pPr>
            <w:r w:rsidRPr="00E73B2B">
              <w:rPr>
                <w:b/>
                <w:bCs/>
                <w:sz w:val="20"/>
                <w:szCs w:val="20"/>
              </w:rPr>
              <w:t>&lt;.001</w:t>
            </w:r>
          </w:p>
        </w:tc>
        <w:tc>
          <w:tcPr>
            <w:tcW w:w="1701" w:type="dxa"/>
            <w:vAlign w:val="center"/>
          </w:tcPr>
          <w:p w14:paraId="489F8CFE" w14:textId="77777777" w:rsidR="00EA4B67" w:rsidRPr="00E73B2B" w:rsidRDefault="00EA4B67" w:rsidP="00EA4B67">
            <w:pPr>
              <w:pStyle w:val="p1"/>
              <w:spacing w:before="0" w:beforeAutospacing="0" w:after="0" w:afterAutospacing="0"/>
              <w:contextualSpacing/>
              <w:rPr>
                <w:rFonts w:ascii="Arial" w:hAnsi="Arial" w:cs="Arial"/>
                <w:b/>
                <w:bCs/>
                <w:sz w:val="20"/>
                <w:szCs w:val="20"/>
              </w:rPr>
            </w:pPr>
          </w:p>
        </w:tc>
        <w:tc>
          <w:tcPr>
            <w:tcW w:w="2391" w:type="dxa"/>
            <w:vAlign w:val="center"/>
          </w:tcPr>
          <w:p w14:paraId="2BF0CECE" w14:textId="77777777" w:rsidR="00EA4B67" w:rsidRPr="00E73B2B" w:rsidRDefault="00EA4B67" w:rsidP="00EA4B67">
            <w:pPr>
              <w:pStyle w:val="p1"/>
              <w:spacing w:before="0" w:beforeAutospacing="0" w:after="0" w:afterAutospacing="0"/>
              <w:contextualSpacing/>
              <w:rPr>
                <w:rFonts w:ascii="Arial" w:hAnsi="Arial" w:cs="Arial"/>
                <w:sz w:val="20"/>
                <w:szCs w:val="20"/>
              </w:rPr>
            </w:pPr>
          </w:p>
        </w:tc>
      </w:tr>
    </w:tbl>
    <w:p w14:paraId="70AE7DF5" w14:textId="77777777" w:rsidR="00EA4B67" w:rsidRPr="00E73B2B" w:rsidRDefault="00DD572E" w:rsidP="00DD572E">
      <w:pPr>
        <w:pStyle w:val="p1"/>
        <w:spacing w:before="0" w:beforeAutospacing="0" w:after="0" w:afterAutospacing="0"/>
        <w:contextualSpacing/>
        <w:jc w:val="both"/>
        <w:rPr>
          <w:i/>
          <w:iCs/>
          <w:sz w:val="18"/>
          <w:szCs w:val="18"/>
        </w:rPr>
      </w:pPr>
      <w:r w:rsidRPr="00E73B2B">
        <w:rPr>
          <w:i/>
          <w:iCs/>
          <w:sz w:val="18"/>
          <w:szCs w:val="18"/>
        </w:rPr>
        <w:t xml:space="preserve">Pattern scores are standardised principal component analysis (PCA) factor scores and are presented as mean ± standard deviation (SD). High adherence was defined as membership in the highest tertile of the respective dietary-pattern score. Lower clustered cardiometabolic abnormality (CCA) burden was defined as 0–1 cardiometabolic abnormalities, whereas higher CCA burden was defined as ≥2 abnormalities. Statistical significance was set at </w:t>
      </w:r>
      <w:r w:rsidRPr="00E73B2B">
        <w:rPr>
          <w:rStyle w:val="s1"/>
          <w:i/>
          <w:iCs/>
          <w:sz w:val="18"/>
          <w:szCs w:val="18"/>
        </w:rPr>
        <w:t>p</w:t>
      </w:r>
      <w:r w:rsidRPr="00E73B2B">
        <w:rPr>
          <w:i/>
          <w:iCs/>
          <w:sz w:val="18"/>
          <w:szCs w:val="18"/>
        </w:rPr>
        <w:t>&lt;0.05.</w:t>
      </w:r>
    </w:p>
    <w:p w14:paraId="712319AF" w14:textId="77777777" w:rsidR="00D065D9" w:rsidRPr="00760287" w:rsidRDefault="00000000">
      <w:pPr>
        <w:spacing w:before="160" w:after="100"/>
        <w:rPr>
          <w:rFonts w:ascii="Arial" w:hAnsi="Arial" w:cs="Arial"/>
        </w:rPr>
      </w:pPr>
      <w:r w:rsidRPr="00760287">
        <w:rPr>
          <w:rFonts w:ascii="Arial" w:hAnsi="Arial" w:cs="Arial"/>
          <w:b/>
          <w:sz w:val="20"/>
        </w:rPr>
        <w:t xml:space="preserve">3.1.7 </w:t>
      </w:r>
      <w:r w:rsidR="00760287" w:rsidRPr="00760287">
        <w:rPr>
          <w:rFonts w:ascii="Arial" w:hAnsi="Arial" w:cs="Arial"/>
          <w:b/>
          <w:sz w:val="20"/>
        </w:rPr>
        <w:t>Adjusted Associations Between Dietary Patterns and Higher CCA Burden</w:t>
      </w:r>
    </w:p>
    <w:p w14:paraId="6A9D4E2D" w14:textId="77777777" w:rsidR="00760287" w:rsidRPr="00760287" w:rsidRDefault="003C275A" w:rsidP="00760287">
      <w:pPr>
        <w:spacing w:after="120"/>
        <w:jc w:val="both"/>
        <w:rPr>
          <w:rFonts w:ascii="Arial" w:hAnsi="Arial" w:cs="Arial"/>
          <w:sz w:val="20"/>
          <w:szCs w:val="20"/>
        </w:rPr>
      </w:pPr>
      <w:r>
        <w:rPr>
          <w:rFonts w:ascii="Arial" w:hAnsi="Arial" w:cs="Arial"/>
          <w:sz w:val="20"/>
          <w:szCs w:val="20"/>
        </w:rPr>
        <w:t>Table 8 and Figure 2 illustrate the adjusted associations between dietary-pattern scores and elevated clustered cardiometabolic abnormality (CCA) burden. In the primary mutually adjusted model, Pattern 1 — characterised by fried/fast foods, fats/oils, desserts/soft drinks and alcohol — demonstrated a positive association with increased CCA burden. A 1-SD increment in the Pattern 1 score corresponded to a 15% higher prevalence of elevated CCA burden (adjusted prevalence ratio [aPR] 1.15, 95% CI 1.05–1.26; p = 0.004). Conversely, Pattern 2 — comprising grains, legumes and white meat — exhibited an inverse relationship with CCA burden. Each 1-SD increase in the Pattern 2 score was associated with a 19% reduction in the prevalence of elevated CCA burden (aPR 0.81, 95% CI 0.71–0.92; p &lt; 0.001).</w:t>
      </w:r>
    </w:p>
    <w:p w14:paraId="2FCCFB13" w14:textId="77777777" w:rsidR="003C275A" w:rsidRDefault="003C275A" w:rsidP="00760287">
      <w:pPr>
        <w:spacing w:after="120"/>
        <w:jc w:val="both"/>
        <w:rPr>
          <w:rFonts w:ascii="Arial" w:hAnsi="Arial" w:cs="Arial"/>
          <w:sz w:val="20"/>
          <w:szCs w:val="20"/>
        </w:rPr>
      </w:pPr>
      <w:r>
        <w:rPr>
          <w:rFonts w:ascii="Arial" w:hAnsi="Arial" w:cs="Arial"/>
          <w:sz w:val="20"/>
          <w:szCs w:val="20"/>
        </w:rPr>
        <w:t>Conversely, Pattern 3 – characterised by dairy, tea/coffee, fish, nuts, and fruit/vegetables – demonstrated a positive association with increased carotid intima-media thickness (CCA) burden. Each 1-SD increment in the Pattern 3 score corresponded to a 22% rise in the prevalence of elevated CCA burden (adjusted prevalence ratio [aPR] 1.22, 95% confidence interval [CI] 1.09–1.36; p &lt; 0.001). These associations remained largely unaltered in the extended model following additional adjustment for marital status and economic activity. Pattern 1 continued to show a positive association (aPR 1.15, 95% CI 1.05–1.26; p = 0.003), Pattern 2 a negative association (aPR 0.80, 95% CI 0.70–0.90; p &lt; 0.001), and Pattern 3 a positive association (aPR 1.23, 95% CI 1.10–1.38; p &lt; 0.001).  The restricted-score analysis, limited to the defining food groups, yielded estimates in the same direction. Pattern 1 remained positively associated (aPR 1.12, 95% CI 1.02–1.23; p = 0.016), Pattern 2 negatively associated (aPR 0.80, 95% CI 0.70–0.91; p &lt; 0.001), and Pattern 3 positively associated (aPR 1.19, 95% CI 1.07–1.32; p = 0.002). Strong correlations were observed between the full principal component analysis (PCA)-derived scores and their restricted counterparts for Pattern 1 (r = 0.996), Pattern 2 (r = 0.976), and Pattern 3 (r = 0.983), confirming close agreement between the two scoring methods.</w:t>
      </w:r>
    </w:p>
    <w:p w14:paraId="65C8E2DD" w14:textId="77777777" w:rsidR="00460992" w:rsidRPr="00460992" w:rsidRDefault="00460992" w:rsidP="00760287">
      <w:pPr>
        <w:spacing w:after="120"/>
        <w:jc w:val="both"/>
        <w:rPr>
          <w:rFonts w:ascii="Arial" w:hAnsi="Arial" w:cs="Arial"/>
          <w:b/>
          <w:bCs/>
          <w:sz w:val="20"/>
          <w:szCs w:val="20"/>
        </w:rPr>
      </w:pPr>
      <w:r w:rsidRPr="00460992">
        <w:rPr>
          <w:rFonts w:ascii="Arial" w:hAnsi="Arial" w:cs="Arial"/>
          <w:b/>
          <w:bCs/>
          <w:sz w:val="20"/>
          <w:szCs w:val="20"/>
        </w:rPr>
        <w:t>Table 8. Adjusted prevalence ratios for higher CCA burden according to dietary-pattern scores</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7"/>
        <w:gridCol w:w="2493"/>
        <w:gridCol w:w="2208"/>
        <w:gridCol w:w="2218"/>
      </w:tblGrid>
      <w:tr w:rsidR="002F704B" w:rsidRPr="0070287D" w14:paraId="60F1244A" w14:textId="77777777" w:rsidTr="00E73B2B">
        <w:tc>
          <w:tcPr>
            <w:tcW w:w="2693" w:type="dxa"/>
            <w:tcBorders>
              <w:top w:val="single" w:sz="4" w:space="0" w:color="auto"/>
              <w:bottom w:val="single" w:sz="4" w:space="0" w:color="auto"/>
            </w:tcBorders>
          </w:tcPr>
          <w:p w14:paraId="66B425C1"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Model</w:t>
            </w:r>
          </w:p>
        </w:tc>
        <w:tc>
          <w:tcPr>
            <w:tcW w:w="2551" w:type="dxa"/>
            <w:tcBorders>
              <w:top w:val="single" w:sz="4" w:space="0" w:color="auto"/>
              <w:bottom w:val="single" w:sz="4" w:space="0" w:color="auto"/>
            </w:tcBorders>
          </w:tcPr>
          <w:p w14:paraId="2819456A"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1 </w:t>
            </w:r>
          </w:p>
          <w:p w14:paraId="6C88C75A"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Fried/fast food–fats/oils–dessert/soft drink–alcohol</w:t>
            </w:r>
          </w:p>
        </w:tc>
        <w:tc>
          <w:tcPr>
            <w:tcW w:w="2268" w:type="dxa"/>
            <w:tcBorders>
              <w:top w:val="single" w:sz="4" w:space="0" w:color="auto"/>
              <w:bottom w:val="single" w:sz="4" w:space="0" w:color="auto"/>
            </w:tcBorders>
          </w:tcPr>
          <w:p w14:paraId="5654AB59"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2 </w:t>
            </w:r>
          </w:p>
          <w:p w14:paraId="093E65A7"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Grain–legume–white meat</w:t>
            </w:r>
          </w:p>
        </w:tc>
        <w:tc>
          <w:tcPr>
            <w:tcW w:w="2250" w:type="dxa"/>
            <w:tcBorders>
              <w:top w:val="single" w:sz="4" w:space="0" w:color="auto"/>
              <w:bottom w:val="single" w:sz="4" w:space="0" w:color="auto"/>
            </w:tcBorders>
          </w:tcPr>
          <w:p w14:paraId="39CE75DC"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3 </w:t>
            </w:r>
          </w:p>
          <w:p w14:paraId="408C499F"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Dairy–tea/coffee–fish–nuts–fruit/vegetable</w:t>
            </w:r>
          </w:p>
        </w:tc>
      </w:tr>
      <w:tr w:rsidR="002F704B" w:rsidRPr="0070287D" w14:paraId="38311173" w14:textId="77777777" w:rsidTr="00E73B2B">
        <w:tc>
          <w:tcPr>
            <w:tcW w:w="2693" w:type="dxa"/>
            <w:tcBorders>
              <w:top w:val="single" w:sz="4" w:space="0" w:color="auto"/>
            </w:tcBorders>
            <w:vAlign w:val="center"/>
          </w:tcPr>
          <w:p w14:paraId="1E0A085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Primary model</w:t>
            </w:r>
          </w:p>
        </w:tc>
        <w:tc>
          <w:tcPr>
            <w:tcW w:w="2551" w:type="dxa"/>
            <w:tcBorders>
              <w:top w:val="single" w:sz="4" w:space="0" w:color="auto"/>
            </w:tcBorders>
            <w:vAlign w:val="center"/>
          </w:tcPr>
          <w:p w14:paraId="01EDF8AD" w14:textId="77777777" w:rsidR="002F704B" w:rsidRPr="0070287D" w:rsidRDefault="002F704B" w:rsidP="002F704B">
            <w:pPr>
              <w:contextualSpacing/>
              <w:rPr>
                <w:rFonts w:ascii="Arial" w:hAnsi="Arial" w:cs="Arial"/>
                <w:sz w:val="20"/>
                <w:szCs w:val="20"/>
              </w:rPr>
            </w:pPr>
          </w:p>
        </w:tc>
        <w:tc>
          <w:tcPr>
            <w:tcW w:w="2268" w:type="dxa"/>
            <w:tcBorders>
              <w:top w:val="single" w:sz="4" w:space="0" w:color="auto"/>
            </w:tcBorders>
            <w:vAlign w:val="center"/>
          </w:tcPr>
          <w:p w14:paraId="2169B1E2" w14:textId="77777777" w:rsidR="002F704B" w:rsidRPr="0070287D" w:rsidRDefault="002F704B" w:rsidP="002F704B">
            <w:pPr>
              <w:contextualSpacing/>
              <w:rPr>
                <w:rFonts w:ascii="Arial" w:hAnsi="Arial" w:cs="Arial"/>
                <w:sz w:val="20"/>
                <w:szCs w:val="20"/>
              </w:rPr>
            </w:pPr>
          </w:p>
        </w:tc>
        <w:tc>
          <w:tcPr>
            <w:tcW w:w="2250" w:type="dxa"/>
            <w:tcBorders>
              <w:top w:val="single" w:sz="4" w:space="0" w:color="auto"/>
            </w:tcBorders>
            <w:vAlign w:val="center"/>
          </w:tcPr>
          <w:p w14:paraId="6ED9E4F2" w14:textId="77777777" w:rsidR="002F704B" w:rsidRPr="0070287D" w:rsidRDefault="002F704B" w:rsidP="002F704B">
            <w:pPr>
              <w:contextualSpacing/>
              <w:rPr>
                <w:rFonts w:ascii="Arial" w:hAnsi="Arial" w:cs="Arial"/>
                <w:sz w:val="20"/>
                <w:szCs w:val="20"/>
              </w:rPr>
            </w:pPr>
          </w:p>
        </w:tc>
      </w:tr>
      <w:tr w:rsidR="002F704B" w:rsidRPr="0070287D" w14:paraId="54A09CB6" w14:textId="77777777" w:rsidTr="00E73B2B">
        <w:tc>
          <w:tcPr>
            <w:tcW w:w="2693" w:type="dxa"/>
            <w:vAlign w:val="center"/>
          </w:tcPr>
          <w:p w14:paraId="4D77343B"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r w:rsidRPr="0070287D">
              <w:rPr>
                <w:rFonts w:ascii="Arial" w:hAnsi="Arial" w:cs="Arial"/>
                <w:sz w:val="20"/>
                <w:szCs w:val="20"/>
              </w:rPr>
              <w:t>aPR (95% CI)</w:t>
            </w:r>
          </w:p>
        </w:tc>
        <w:tc>
          <w:tcPr>
            <w:tcW w:w="2551" w:type="dxa"/>
            <w:vAlign w:val="center"/>
          </w:tcPr>
          <w:p w14:paraId="711B91E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1.15 (1.05–1.26)</w:t>
            </w:r>
          </w:p>
        </w:tc>
        <w:tc>
          <w:tcPr>
            <w:tcW w:w="2268" w:type="dxa"/>
            <w:vAlign w:val="center"/>
          </w:tcPr>
          <w:p w14:paraId="49B915E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0.81 (0.71–0.92)</w:t>
            </w:r>
          </w:p>
        </w:tc>
        <w:tc>
          <w:tcPr>
            <w:tcW w:w="2250" w:type="dxa"/>
            <w:vAlign w:val="center"/>
          </w:tcPr>
          <w:p w14:paraId="5C8AD1D4"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1.22 (1.09–1.36)</w:t>
            </w:r>
          </w:p>
        </w:tc>
      </w:tr>
      <w:tr w:rsidR="002F704B" w:rsidRPr="0070287D" w14:paraId="686D10B3" w14:textId="77777777" w:rsidTr="00E73B2B">
        <w:tc>
          <w:tcPr>
            <w:tcW w:w="2693" w:type="dxa"/>
            <w:vAlign w:val="center"/>
          </w:tcPr>
          <w:p w14:paraId="30A8E522"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5A6B1C39"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.004</w:t>
            </w:r>
          </w:p>
        </w:tc>
        <w:tc>
          <w:tcPr>
            <w:tcW w:w="2268" w:type="dxa"/>
            <w:vAlign w:val="center"/>
          </w:tcPr>
          <w:p w14:paraId="5A268C80"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13E8E385"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r>
      <w:tr w:rsidR="002F704B" w:rsidRPr="0070287D" w14:paraId="0266C30C" w14:textId="77777777" w:rsidTr="00E73B2B">
        <w:tc>
          <w:tcPr>
            <w:tcW w:w="2693" w:type="dxa"/>
            <w:vAlign w:val="center"/>
          </w:tcPr>
          <w:p w14:paraId="3B268363"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Extended model</w:t>
            </w:r>
          </w:p>
        </w:tc>
        <w:tc>
          <w:tcPr>
            <w:tcW w:w="2551" w:type="dxa"/>
            <w:vAlign w:val="center"/>
          </w:tcPr>
          <w:p w14:paraId="4F8B3711" w14:textId="77777777" w:rsidR="002F704B" w:rsidRPr="0070287D" w:rsidRDefault="002F704B" w:rsidP="002F704B">
            <w:pPr>
              <w:contextualSpacing/>
              <w:rPr>
                <w:rFonts w:ascii="Arial" w:hAnsi="Arial" w:cs="Arial"/>
                <w:sz w:val="20"/>
                <w:szCs w:val="20"/>
              </w:rPr>
            </w:pPr>
          </w:p>
        </w:tc>
        <w:tc>
          <w:tcPr>
            <w:tcW w:w="2268" w:type="dxa"/>
            <w:vAlign w:val="center"/>
          </w:tcPr>
          <w:p w14:paraId="2ACC79AB" w14:textId="77777777" w:rsidR="002F704B" w:rsidRPr="0070287D" w:rsidRDefault="002F704B" w:rsidP="002F704B">
            <w:pPr>
              <w:contextualSpacing/>
              <w:rPr>
                <w:rFonts w:ascii="Arial" w:hAnsi="Arial" w:cs="Arial"/>
                <w:sz w:val="20"/>
                <w:szCs w:val="20"/>
              </w:rPr>
            </w:pPr>
          </w:p>
        </w:tc>
        <w:tc>
          <w:tcPr>
            <w:tcW w:w="2250" w:type="dxa"/>
            <w:vAlign w:val="center"/>
          </w:tcPr>
          <w:p w14:paraId="01645D95" w14:textId="77777777" w:rsidR="002F704B" w:rsidRPr="0070287D" w:rsidRDefault="002F704B" w:rsidP="002F704B">
            <w:pPr>
              <w:contextualSpacing/>
              <w:rPr>
                <w:rFonts w:ascii="Arial" w:hAnsi="Arial" w:cs="Arial"/>
                <w:sz w:val="20"/>
                <w:szCs w:val="20"/>
              </w:rPr>
            </w:pPr>
          </w:p>
        </w:tc>
      </w:tr>
      <w:tr w:rsidR="002F704B" w:rsidRPr="0070287D" w14:paraId="3EBDEA12" w14:textId="77777777" w:rsidTr="00E73B2B">
        <w:tc>
          <w:tcPr>
            <w:tcW w:w="2693" w:type="dxa"/>
            <w:vAlign w:val="center"/>
          </w:tcPr>
          <w:p w14:paraId="3B555364"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r w:rsidRPr="0070287D">
              <w:rPr>
                <w:rFonts w:ascii="Arial" w:hAnsi="Arial" w:cs="Arial"/>
                <w:sz w:val="20"/>
                <w:szCs w:val="20"/>
              </w:rPr>
              <w:t>aPR (95% CI)</w:t>
            </w:r>
          </w:p>
        </w:tc>
        <w:tc>
          <w:tcPr>
            <w:tcW w:w="2551" w:type="dxa"/>
            <w:vAlign w:val="center"/>
          </w:tcPr>
          <w:p w14:paraId="536CF2D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1.15 (1.05–1.26)</w:t>
            </w:r>
          </w:p>
        </w:tc>
        <w:tc>
          <w:tcPr>
            <w:tcW w:w="2268" w:type="dxa"/>
            <w:vAlign w:val="center"/>
          </w:tcPr>
          <w:p w14:paraId="15ADD71D"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0.80 (0.70–0.90)</w:t>
            </w:r>
          </w:p>
        </w:tc>
        <w:tc>
          <w:tcPr>
            <w:tcW w:w="2250" w:type="dxa"/>
            <w:vAlign w:val="center"/>
          </w:tcPr>
          <w:p w14:paraId="49222A4F"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1.23 (1.10–1.38)</w:t>
            </w:r>
          </w:p>
        </w:tc>
      </w:tr>
      <w:tr w:rsidR="002F704B" w:rsidRPr="0070287D" w14:paraId="5FFB4E55" w14:textId="77777777" w:rsidTr="00E73B2B">
        <w:tc>
          <w:tcPr>
            <w:tcW w:w="2693" w:type="dxa"/>
            <w:vAlign w:val="center"/>
          </w:tcPr>
          <w:p w14:paraId="16C9986C"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4EE91F94"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.003</w:t>
            </w:r>
          </w:p>
        </w:tc>
        <w:tc>
          <w:tcPr>
            <w:tcW w:w="2268" w:type="dxa"/>
            <w:vAlign w:val="center"/>
          </w:tcPr>
          <w:p w14:paraId="606D616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5F3DC6AA"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r>
      <w:tr w:rsidR="002F704B" w:rsidRPr="0070287D" w14:paraId="400A79D2" w14:textId="77777777" w:rsidTr="00E73B2B">
        <w:tc>
          <w:tcPr>
            <w:tcW w:w="2693" w:type="dxa"/>
            <w:vAlign w:val="center"/>
          </w:tcPr>
          <w:p w14:paraId="46F90645"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Restricted-score model</w:t>
            </w:r>
          </w:p>
        </w:tc>
        <w:tc>
          <w:tcPr>
            <w:tcW w:w="2551" w:type="dxa"/>
            <w:vAlign w:val="center"/>
          </w:tcPr>
          <w:p w14:paraId="5A72546A" w14:textId="77777777" w:rsidR="002F704B" w:rsidRPr="0070287D" w:rsidRDefault="002F704B" w:rsidP="002F704B">
            <w:pPr>
              <w:contextualSpacing/>
              <w:rPr>
                <w:rFonts w:ascii="Arial" w:hAnsi="Arial" w:cs="Arial"/>
                <w:sz w:val="20"/>
                <w:szCs w:val="20"/>
              </w:rPr>
            </w:pPr>
          </w:p>
        </w:tc>
        <w:tc>
          <w:tcPr>
            <w:tcW w:w="2268" w:type="dxa"/>
            <w:vAlign w:val="center"/>
          </w:tcPr>
          <w:p w14:paraId="6F1D4E0E" w14:textId="77777777" w:rsidR="002F704B" w:rsidRPr="0070287D" w:rsidRDefault="002F704B" w:rsidP="002F704B">
            <w:pPr>
              <w:contextualSpacing/>
              <w:rPr>
                <w:rFonts w:ascii="Arial" w:hAnsi="Arial" w:cs="Arial"/>
                <w:sz w:val="20"/>
                <w:szCs w:val="20"/>
              </w:rPr>
            </w:pPr>
          </w:p>
        </w:tc>
        <w:tc>
          <w:tcPr>
            <w:tcW w:w="2250" w:type="dxa"/>
            <w:vAlign w:val="center"/>
          </w:tcPr>
          <w:p w14:paraId="52487056" w14:textId="77777777" w:rsidR="002F704B" w:rsidRPr="0070287D" w:rsidRDefault="002F704B" w:rsidP="002F704B">
            <w:pPr>
              <w:contextualSpacing/>
              <w:rPr>
                <w:rFonts w:ascii="Arial" w:hAnsi="Arial" w:cs="Arial"/>
                <w:sz w:val="20"/>
                <w:szCs w:val="20"/>
              </w:rPr>
            </w:pPr>
          </w:p>
        </w:tc>
      </w:tr>
      <w:tr w:rsidR="002F704B" w:rsidRPr="0070287D" w14:paraId="4A93356E" w14:textId="77777777" w:rsidTr="00E73B2B">
        <w:tc>
          <w:tcPr>
            <w:tcW w:w="2693" w:type="dxa"/>
            <w:vAlign w:val="center"/>
          </w:tcPr>
          <w:p w14:paraId="6CF03A50"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r w:rsidRPr="0070287D">
              <w:rPr>
                <w:rFonts w:ascii="Arial" w:hAnsi="Arial" w:cs="Arial"/>
                <w:sz w:val="20"/>
                <w:szCs w:val="20"/>
              </w:rPr>
              <w:t>aPR (95% CI)</w:t>
            </w:r>
          </w:p>
        </w:tc>
        <w:tc>
          <w:tcPr>
            <w:tcW w:w="2551" w:type="dxa"/>
            <w:vAlign w:val="center"/>
          </w:tcPr>
          <w:p w14:paraId="56FA04C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1.12 (1.02–1.23)</w:t>
            </w:r>
          </w:p>
        </w:tc>
        <w:tc>
          <w:tcPr>
            <w:tcW w:w="2268" w:type="dxa"/>
            <w:vAlign w:val="center"/>
          </w:tcPr>
          <w:p w14:paraId="5096078E"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0.80 (0.70–0.91)</w:t>
            </w:r>
          </w:p>
        </w:tc>
        <w:tc>
          <w:tcPr>
            <w:tcW w:w="2250" w:type="dxa"/>
            <w:vAlign w:val="center"/>
          </w:tcPr>
          <w:p w14:paraId="26ACB47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1.19 (1.07–1.32)</w:t>
            </w:r>
          </w:p>
        </w:tc>
      </w:tr>
      <w:tr w:rsidR="002F704B" w:rsidRPr="0070287D" w14:paraId="2115BF7F" w14:textId="77777777" w:rsidTr="00E73B2B">
        <w:tc>
          <w:tcPr>
            <w:tcW w:w="2693" w:type="dxa"/>
            <w:vAlign w:val="center"/>
          </w:tcPr>
          <w:p w14:paraId="0C75A9C3"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18FE476E"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.016</w:t>
            </w:r>
          </w:p>
        </w:tc>
        <w:tc>
          <w:tcPr>
            <w:tcW w:w="2268" w:type="dxa"/>
            <w:vAlign w:val="center"/>
          </w:tcPr>
          <w:p w14:paraId="6E06F32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1BAB98E8"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.002</w:t>
            </w:r>
          </w:p>
        </w:tc>
      </w:tr>
      <w:tr w:rsidR="002F704B" w:rsidRPr="0070287D" w14:paraId="074105F6" w14:textId="77777777" w:rsidTr="00E73B2B">
        <w:tc>
          <w:tcPr>
            <w:tcW w:w="2693" w:type="dxa"/>
            <w:vAlign w:val="center"/>
          </w:tcPr>
          <w:p w14:paraId="5A601BFD"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Full–restricted score correlation, r</w:t>
            </w:r>
          </w:p>
        </w:tc>
        <w:tc>
          <w:tcPr>
            <w:tcW w:w="2551" w:type="dxa"/>
            <w:vAlign w:val="center"/>
          </w:tcPr>
          <w:p w14:paraId="341EA33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.996</w:t>
            </w:r>
          </w:p>
        </w:tc>
        <w:tc>
          <w:tcPr>
            <w:tcW w:w="2268" w:type="dxa"/>
            <w:vAlign w:val="center"/>
          </w:tcPr>
          <w:p w14:paraId="166904F9"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.976</w:t>
            </w:r>
          </w:p>
        </w:tc>
        <w:tc>
          <w:tcPr>
            <w:tcW w:w="2250" w:type="dxa"/>
            <w:vAlign w:val="center"/>
          </w:tcPr>
          <w:p w14:paraId="55F0859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.983</w:t>
            </w:r>
          </w:p>
        </w:tc>
      </w:tr>
    </w:tbl>
    <w:p w14:paraId="648E72A0" w14:textId="77777777" w:rsidR="00460992" w:rsidRPr="00E73B2B" w:rsidRDefault="00460992" w:rsidP="002F704B">
      <w:pPr>
        <w:pStyle w:val="p1"/>
        <w:spacing w:before="0" w:beforeAutospacing="0" w:after="0" w:afterAutospacing="0"/>
        <w:contextualSpacing/>
        <w:jc w:val="both"/>
        <w:rPr>
          <w:i/>
          <w:iCs/>
          <w:sz w:val="18"/>
          <w:szCs w:val="18"/>
        </w:rPr>
      </w:pPr>
      <w:r w:rsidRPr="00E73B2B">
        <w:rPr>
          <w:i/>
          <w:iCs/>
          <w:sz w:val="18"/>
          <w:szCs w:val="18"/>
        </w:rPr>
        <w:t xml:space="preserve">aPR, adjusted prevalence ratio; CI, confidence interval; PCA, principal component analysis; CCA, clustered cardiometabolic abnormalities. Estimates represent the change in prevalence of higher CCA burden (CCA ≥2 abnormalities) per 1-SD increase in each dietary-pattern score. The primary model included all three dietary-pattern scores and adjusted for age, sex, education and ethnicity. The extended model additionally adjusted for marital status and economically active employment. The restricted-score model used loading-weighted scores derived from the defining food groups only. Statistical significance was set at </w:t>
      </w:r>
      <w:r w:rsidRPr="00E73B2B">
        <w:rPr>
          <w:rStyle w:val="s1"/>
          <w:i/>
          <w:iCs/>
          <w:sz w:val="18"/>
          <w:szCs w:val="18"/>
        </w:rPr>
        <w:t>p</w:t>
      </w:r>
      <w:r w:rsidRPr="00E73B2B">
        <w:rPr>
          <w:i/>
          <w:iCs/>
          <w:sz w:val="18"/>
          <w:szCs w:val="18"/>
        </w:rPr>
        <w:t>&lt;0.05.</w:t>
      </w:r>
    </w:p>
    <w:p w14:paraId="47D0502C" w14:textId="77777777" w:rsidR="00760287" w:rsidRPr="00B85224" w:rsidRDefault="00760287" w:rsidP="00760287">
      <w:pPr>
        <w:spacing w:after="120"/>
        <w:jc w:val="both"/>
        <w:rPr>
          <w:rFonts w:ascii="Arial" w:hAnsi="Arial" w:cs="Arial"/>
        </w:rPr>
      </w:pPr>
    </w:p>
    <w:p w14:paraId="1DA07EFB" w14:textId="77777777" w:rsidR="00D065D9" w:rsidRPr="00B85224" w:rsidRDefault="00000000">
      <w:pPr>
        <w:jc w:val="center"/>
        <w:rPr>
          <w:rFonts w:ascii="Arial" w:hAnsi="Arial" w:cs="Arial"/>
        </w:rPr>
      </w:pPr>
      <w:r w:rsidRPr="00B85224">
        <w:rPr>
          <w:rFonts w:ascii="Arial" w:hAnsi="Arial" w:cs="Arial"/>
          <w:noProof/>
        </w:rPr>
        <w:lastRenderedPageBreak/>
        <w:drawing>
          <wp:inline distT="0" distB="0" distL="0" distR="0" wp14:anchorId="3E3F8720" wp14:editId="262FB3C3">
            <wp:extent cx="5120640" cy="2933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1_three_pattern_CCA2_forest.png"/>
                    <pic:cNvPicPr/>
                  </pic:nvPicPr>
                  <pic:blipFill>
                    <a:blip r:embed="rId9"/>
                    <a:stretch>
                      <a:fillRect/>
                    </a:stretch>
                  </pic:blipFill>
                  <pic:spPr>
                    <a:xfrm>
                      <a:off x="0" y="0"/>
                      <a:ext cx="5120640" cy="2933613"/>
                    </a:xfrm>
                    <a:prstGeom prst="rect">
                      <a:avLst/>
                    </a:prstGeom>
                  </pic:spPr>
                </pic:pic>
              </a:graphicData>
            </a:graphic>
          </wp:inline>
        </w:drawing>
      </w:r>
    </w:p>
    <w:p w14:paraId="3134123D" w14:textId="77777777" w:rsidR="00D065D9" w:rsidRPr="00B85224" w:rsidRDefault="00460992" w:rsidP="00460992">
      <w:pPr>
        <w:rPr>
          <w:rFonts w:ascii="Arial" w:hAnsi="Arial" w:cs="Arial"/>
        </w:rPr>
      </w:pPr>
      <w:r w:rsidRPr="00460992">
        <w:rPr>
          <w:rFonts w:ascii="Arial" w:hAnsi="Arial" w:cs="Arial"/>
          <w:sz w:val="18"/>
        </w:rPr>
        <w:t>Figure 2. Adjusted prevalence ratios for higher clustered cardiometabolic abnormality burden per 1-SD increase in dietary-pattern scores</w:t>
      </w:r>
    </w:p>
    <w:p w14:paraId="35AC8AB3" w14:textId="77777777" w:rsidR="00D065D9" w:rsidRPr="007E3224" w:rsidRDefault="00000000">
      <w:pPr>
        <w:spacing w:before="160" w:after="100"/>
        <w:rPr>
          <w:rFonts w:ascii="Arial" w:hAnsi="Arial" w:cs="Arial"/>
          <w:sz w:val="22"/>
          <w:szCs w:val="22"/>
        </w:rPr>
      </w:pPr>
      <w:r w:rsidRPr="007E3224">
        <w:rPr>
          <w:rFonts w:ascii="Arial" w:hAnsi="Arial" w:cs="Arial"/>
          <w:b/>
          <w:sz w:val="22"/>
          <w:szCs w:val="22"/>
        </w:rPr>
        <w:t xml:space="preserve">3.1.8 </w:t>
      </w:r>
      <w:r w:rsidR="00E60BE8" w:rsidRPr="007E3224">
        <w:rPr>
          <w:rFonts w:ascii="Arial" w:hAnsi="Arial" w:cs="Arial"/>
          <w:b/>
          <w:sz w:val="22"/>
          <w:szCs w:val="22"/>
        </w:rPr>
        <w:t>Associations With CCA ≥3 and Individual Cardiometabolic Abnormalities</w:t>
      </w:r>
    </w:p>
    <w:p w14:paraId="3751B504" w14:textId="77777777" w:rsidR="007E3224" w:rsidRPr="007E3224" w:rsidRDefault="007E3224" w:rsidP="007E3224">
      <w:pPr>
        <w:spacing w:after="120"/>
        <w:jc w:val="both"/>
        <w:rPr>
          <w:rFonts w:ascii="Arial" w:hAnsi="Arial" w:cs="Arial"/>
          <w:sz w:val="20"/>
        </w:rPr>
      </w:pPr>
      <w:r w:rsidRPr="007E3224">
        <w:rPr>
          <w:rFonts w:ascii="Arial" w:hAnsi="Arial" w:cs="Arial"/>
          <w:sz w:val="20"/>
        </w:rPr>
        <w:t>Table 9 presents the associations of the three dietary-pattern scores with the more severe CCA phenotype, defined as three or more cardiometabolic abnormalities, and with the individual cardiometabolic components. Pattern 1, the fried/fast food–fats/oils–dessert/soft drink–alcohol pattern, remained positively associated with CCA ≥3, with each 1-SD increase in score corresponding to a 17% higher prevalence of this phenotype (aPR 1.17, 95% CI 1.01–1.36; p=.038). Pattern 1 was also positively associated with dysglycaemia (aPR 1.19, 95% CI 1.06–1.33; p=.004) and hypertriglyceridaemia (aPR 1.38, 95% CI 1.01–1.89; p=.046). The association with general obesity was borderline (aPR 1.15, 95% CI 1.00–1.31; p=.050), while no statistically significant associations were observed with elevated blood pressure or reduced HDL-C.</w:t>
      </w:r>
    </w:p>
    <w:p w14:paraId="549A38F0" w14:textId="77777777" w:rsidR="007E3224" w:rsidRPr="007E3224" w:rsidRDefault="007E3224" w:rsidP="007E3224">
      <w:pPr>
        <w:spacing w:after="120"/>
        <w:jc w:val="both"/>
        <w:rPr>
          <w:rFonts w:ascii="Arial" w:hAnsi="Arial" w:cs="Arial"/>
          <w:sz w:val="20"/>
        </w:rPr>
      </w:pPr>
      <w:r w:rsidRPr="007E3224">
        <w:rPr>
          <w:rFonts w:ascii="Arial" w:hAnsi="Arial" w:cs="Arial"/>
          <w:sz w:val="20"/>
        </w:rPr>
        <w:t>Pattern 2, the grain–legume–white meat pattern, showed a strong inverse association with CCA ≥3. Each 1-SD increase in Pattern 2 score was associated with a 52% lower prevalence of having at least three cardiometabolic abnormalities (aPR 0.48, 95% CI 0.38–0.61; p&lt;.001). In component-specific analyses, Pattern 2 was inversely associated with general obesity (aPR 0.77, 95% CI 0.64–0.93; p=.007), elevated blood pressure (aPR 0.80, 95% CI 0.72–0.90; p&lt;.001), and dysglycaemia (aPR 0.63, 95% CI 0.52–0.76; p&lt;.001). Associations with hypertriglyceridaemia and reduced HDL-C were not statistically significant.</w:t>
      </w:r>
    </w:p>
    <w:p w14:paraId="3B872AE6" w14:textId="77777777" w:rsidR="007E3224" w:rsidRPr="007E3224" w:rsidRDefault="007E3224" w:rsidP="007E3224">
      <w:pPr>
        <w:spacing w:after="120"/>
        <w:jc w:val="both"/>
        <w:rPr>
          <w:rFonts w:ascii="Arial" w:hAnsi="Arial" w:cs="Arial"/>
          <w:sz w:val="20"/>
        </w:rPr>
      </w:pPr>
      <w:r w:rsidRPr="007E3224">
        <w:rPr>
          <w:rFonts w:ascii="Arial" w:hAnsi="Arial" w:cs="Arial"/>
          <w:sz w:val="20"/>
        </w:rPr>
        <w:t>Pattern 3, the dairy–tea/coffee–fish–nuts–fruit/vegetable pattern, was positively associated with CCA ≥3, with each 1-SD increase in score associated with a 36% higher prevalence (aPR 1.36, 95% CI 1.16–1.59; p&lt;.001). Pattern 3 was also positively associated with elevated blood pressure (aPR 1.16, 95% CI 1.05–1.28; p=.005) and dysglycaemia (aPR 1.30, 95% CI 1.14–1.49; p&lt;.001). However, no statistically significant associations were observed with general obesity, hypertriglyceridaemia or reduced HDL-C.</w:t>
      </w:r>
    </w:p>
    <w:p w14:paraId="4B859FFB" w14:textId="77777777" w:rsidR="007E3224" w:rsidRDefault="007E3224" w:rsidP="007E3224">
      <w:pPr>
        <w:spacing w:after="120"/>
        <w:jc w:val="both"/>
        <w:rPr>
          <w:rFonts w:ascii="Arial" w:hAnsi="Arial" w:cs="Arial"/>
          <w:sz w:val="20"/>
        </w:rPr>
      </w:pPr>
      <w:r w:rsidRPr="007E3224">
        <w:rPr>
          <w:rFonts w:ascii="Arial" w:hAnsi="Arial" w:cs="Arial"/>
          <w:sz w:val="20"/>
        </w:rPr>
        <w:t>Overall, the component-specific analyses showed that the dietary patterns were not uniformly associated with all cardiometabolic abnormalities. Pattern 2 demonstrated the most consistent inverse associations, particularly for obesity, elevated blood pressure and dysglycaemia, whereas Patterns 1 and 3 showed positive associations with the composite CCA phenotype but differed in the individual abnormalities with which they were associated.</w:t>
      </w:r>
    </w:p>
    <w:p w14:paraId="605745A3" w14:textId="77777777" w:rsidR="00D065D9" w:rsidRDefault="00E60BE8" w:rsidP="00F2045E">
      <w:pPr>
        <w:spacing w:before="120" w:after="80"/>
        <w:jc w:val="both"/>
        <w:rPr>
          <w:rFonts w:ascii="Arial" w:hAnsi="Arial" w:cs="Arial"/>
          <w:b/>
          <w:sz w:val="20"/>
        </w:rPr>
      </w:pPr>
      <w:r w:rsidRPr="00E60BE8">
        <w:rPr>
          <w:rFonts w:ascii="Arial" w:hAnsi="Arial" w:cs="Arial"/>
          <w:b/>
          <w:sz w:val="20"/>
        </w:rPr>
        <w:t>Table 9. Adjusted associations of dietary-pattern scores with CCA ≥3 and individual cardiometabolic abnormalities</w:t>
      </w:r>
    </w:p>
    <w:p w14:paraId="0F1755CF" w14:textId="77777777" w:rsidR="007E3224" w:rsidRDefault="007E3224">
      <w:pPr>
        <w:spacing w:before="120" w:after="80"/>
        <w:rPr>
          <w:rFonts w:ascii="Arial" w:hAnsi="Arial" w:cs="Arial"/>
        </w:rPr>
      </w:pPr>
    </w:p>
    <w:tbl>
      <w:tblPr>
        <w:tblW w:w="4710" w:type="pct"/>
        <w:tblInd w:w="606" w:type="dxa"/>
        <w:tblBorders>
          <w:top w:val="single" w:sz="4" w:space="0" w:color="auto"/>
          <w:bottom w:val="single" w:sz="4" w:space="0" w:color="auto"/>
        </w:tblBorders>
        <w:tblLayout w:type="fixed"/>
        <w:tblCellMar>
          <w:top w:w="160" w:type="dxa"/>
          <w:left w:w="160" w:type="dxa"/>
          <w:bottom w:w="160" w:type="dxa"/>
          <w:right w:w="160" w:type="dxa"/>
        </w:tblCellMar>
        <w:tblLook w:val="04A0" w:firstRow="1" w:lastRow="0" w:firstColumn="1" w:lastColumn="0" w:noHBand="0" w:noVBand="1"/>
      </w:tblPr>
      <w:tblGrid>
        <w:gridCol w:w="1779"/>
        <w:gridCol w:w="2600"/>
        <w:gridCol w:w="2602"/>
        <w:gridCol w:w="2514"/>
      </w:tblGrid>
      <w:tr w:rsidR="00412BF4" w:rsidRPr="00F2045E" w14:paraId="6630AA83" w14:textId="77777777" w:rsidTr="00383A07">
        <w:trPr>
          <w:tblHeader/>
        </w:trPr>
        <w:tc>
          <w:tcPr>
            <w:tcW w:w="937" w:type="pct"/>
            <w:tcBorders>
              <w:top w:val="single" w:sz="4" w:space="0" w:color="auto"/>
              <w:bottom w:val="single" w:sz="4" w:space="0" w:color="auto"/>
            </w:tcBorders>
            <w:noWrap/>
            <w:tcMar>
              <w:top w:w="120" w:type="dxa"/>
              <w:left w:w="180" w:type="dxa"/>
              <w:bottom w:w="120" w:type="dxa"/>
              <w:right w:w="180" w:type="dxa"/>
            </w:tcMar>
            <w:hideMark/>
          </w:tcPr>
          <w:p w14:paraId="0D43A6A4"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lastRenderedPageBreak/>
              <w:t>Outcome</w:t>
            </w:r>
          </w:p>
        </w:tc>
        <w:tc>
          <w:tcPr>
            <w:tcW w:w="1369" w:type="pct"/>
            <w:tcBorders>
              <w:top w:val="single" w:sz="4" w:space="0" w:color="auto"/>
              <w:bottom w:val="single" w:sz="4" w:space="0" w:color="auto"/>
            </w:tcBorders>
            <w:noWrap/>
            <w:tcMar>
              <w:top w:w="120" w:type="dxa"/>
              <w:left w:w="180" w:type="dxa"/>
              <w:bottom w:w="120" w:type="dxa"/>
              <w:right w:w="180" w:type="dxa"/>
            </w:tcMar>
            <w:hideMark/>
          </w:tcPr>
          <w:p w14:paraId="775C9D25"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1: Fried/fast food–fats/oils–dessert/soft drink–alcohol</w:t>
            </w:r>
          </w:p>
        </w:tc>
        <w:tc>
          <w:tcPr>
            <w:tcW w:w="1370" w:type="pct"/>
            <w:tcBorders>
              <w:top w:val="single" w:sz="4" w:space="0" w:color="auto"/>
              <w:bottom w:val="single" w:sz="4" w:space="0" w:color="auto"/>
            </w:tcBorders>
            <w:noWrap/>
            <w:tcMar>
              <w:top w:w="120" w:type="dxa"/>
              <w:left w:w="180" w:type="dxa"/>
              <w:bottom w:w="120" w:type="dxa"/>
              <w:right w:w="180" w:type="dxa"/>
            </w:tcMar>
            <w:hideMark/>
          </w:tcPr>
          <w:p w14:paraId="37057DCB"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2: Grain–legume–white meat</w:t>
            </w:r>
          </w:p>
        </w:tc>
        <w:tc>
          <w:tcPr>
            <w:tcW w:w="1324" w:type="pct"/>
            <w:tcBorders>
              <w:top w:val="single" w:sz="4" w:space="0" w:color="auto"/>
              <w:bottom w:val="single" w:sz="4" w:space="0" w:color="auto"/>
            </w:tcBorders>
            <w:noWrap/>
            <w:tcMar>
              <w:top w:w="120" w:type="dxa"/>
              <w:left w:w="180" w:type="dxa"/>
              <w:bottom w:w="120" w:type="dxa"/>
              <w:right w:w="180" w:type="dxa"/>
            </w:tcMar>
            <w:hideMark/>
          </w:tcPr>
          <w:p w14:paraId="68B79735"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3: Dairy–tea/coffee–fish–nuts–fruit/vegetable</w:t>
            </w:r>
          </w:p>
        </w:tc>
      </w:tr>
      <w:tr w:rsidR="00412BF4" w:rsidRPr="00F2045E" w14:paraId="5E40C4B4" w14:textId="77777777" w:rsidTr="00383A07">
        <w:tc>
          <w:tcPr>
            <w:tcW w:w="937" w:type="pct"/>
            <w:tcBorders>
              <w:top w:val="single" w:sz="4" w:space="0" w:color="auto"/>
            </w:tcBorders>
            <w:noWrap/>
            <w:tcMar>
              <w:top w:w="120" w:type="dxa"/>
              <w:left w:w="180" w:type="dxa"/>
              <w:bottom w:w="120" w:type="dxa"/>
              <w:right w:w="180" w:type="dxa"/>
            </w:tcMar>
            <w:vAlign w:val="center"/>
            <w:hideMark/>
          </w:tcPr>
          <w:p w14:paraId="740A50C2"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CCA ≥3 abnormalities</w:t>
            </w:r>
          </w:p>
        </w:tc>
        <w:tc>
          <w:tcPr>
            <w:tcW w:w="1369" w:type="pct"/>
            <w:tcBorders>
              <w:top w:val="single" w:sz="4" w:space="0" w:color="auto"/>
            </w:tcBorders>
            <w:noWrap/>
            <w:tcMar>
              <w:top w:w="120" w:type="dxa"/>
              <w:left w:w="180" w:type="dxa"/>
              <w:bottom w:w="120" w:type="dxa"/>
              <w:right w:w="180" w:type="dxa"/>
            </w:tcMar>
            <w:vAlign w:val="center"/>
            <w:hideMark/>
          </w:tcPr>
          <w:p w14:paraId="4AC91544"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1.17 (1.01–1.36); </w:t>
            </w:r>
            <w:r w:rsidRPr="00F2045E">
              <w:rPr>
                <w:rStyle w:val="s1"/>
                <w:rFonts w:ascii="Arial" w:hAnsi="Arial" w:cs="Arial"/>
                <w:i/>
                <w:iCs/>
                <w:sz w:val="20"/>
                <w:szCs w:val="20"/>
              </w:rPr>
              <w:t>p</w:t>
            </w:r>
            <w:r w:rsidRPr="00F2045E">
              <w:rPr>
                <w:rFonts w:ascii="Arial" w:hAnsi="Arial" w:cs="Arial"/>
                <w:sz w:val="20"/>
                <w:szCs w:val="20"/>
              </w:rPr>
              <w:t>=.038</w:t>
            </w:r>
          </w:p>
        </w:tc>
        <w:tc>
          <w:tcPr>
            <w:tcW w:w="1370" w:type="pct"/>
            <w:tcBorders>
              <w:top w:val="single" w:sz="4" w:space="0" w:color="auto"/>
            </w:tcBorders>
            <w:noWrap/>
            <w:tcMar>
              <w:top w:w="120" w:type="dxa"/>
              <w:left w:w="180" w:type="dxa"/>
              <w:bottom w:w="120" w:type="dxa"/>
              <w:right w:w="180" w:type="dxa"/>
            </w:tcMar>
            <w:vAlign w:val="center"/>
            <w:hideMark/>
          </w:tcPr>
          <w:p w14:paraId="1F41B60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0.48 (0.38–0.61);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tcBorders>
              <w:top w:val="single" w:sz="4" w:space="0" w:color="auto"/>
            </w:tcBorders>
            <w:noWrap/>
            <w:tcMar>
              <w:top w:w="120" w:type="dxa"/>
              <w:left w:w="180" w:type="dxa"/>
              <w:bottom w:w="120" w:type="dxa"/>
              <w:right w:w="180" w:type="dxa"/>
            </w:tcMar>
            <w:vAlign w:val="center"/>
            <w:hideMark/>
          </w:tcPr>
          <w:p w14:paraId="36F13310"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1.36 (1.16–1.59); </w:t>
            </w:r>
            <w:r w:rsidRPr="00F2045E">
              <w:rPr>
                <w:rStyle w:val="s1"/>
                <w:rFonts w:ascii="Arial" w:hAnsi="Arial" w:cs="Arial"/>
                <w:i/>
                <w:iCs/>
                <w:sz w:val="20"/>
                <w:szCs w:val="20"/>
              </w:rPr>
              <w:t>p</w:t>
            </w:r>
            <w:r w:rsidRPr="00F2045E">
              <w:rPr>
                <w:rFonts w:ascii="Arial" w:hAnsi="Arial" w:cs="Arial"/>
                <w:sz w:val="20"/>
                <w:szCs w:val="20"/>
              </w:rPr>
              <w:t>&lt;.001</w:t>
            </w:r>
          </w:p>
        </w:tc>
      </w:tr>
      <w:tr w:rsidR="007E3224" w:rsidRPr="00F2045E" w14:paraId="319EFFCF" w14:textId="77777777" w:rsidTr="00383A07">
        <w:tc>
          <w:tcPr>
            <w:tcW w:w="937" w:type="pct"/>
            <w:noWrap/>
            <w:tcMar>
              <w:top w:w="120" w:type="dxa"/>
              <w:left w:w="180" w:type="dxa"/>
              <w:bottom w:w="120" w:type="dxa"/>
              <w:right w:w="180" w:type="dxa"/>
            </w:tcMar>
            <w:vAlign w:val="center"/>
            <w:hideMark/>
          </w:tcPr>
          <w:p w14:paraId="75C709B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General obesity</w:t>
            </w:r>
          </w:p>
        </w:tc>
        <w:tc>
          <w:tcPr>
            <w:tcW w:w="1369" w:type="pct"/>
            <w:noWrap/>
            <w:tcMar>
              <w:top w:w="120" w:type="dxa"/>
              <w:left w:w="180" w:type="dxa"/>
              <w:bottom w:w="120" w:type="dxa"/>
              <w:right w:w="180" w:type="dxa"/>
            </w:tcMar>
            <w:vAlign w:val="center"/>
            <w:hideMark/>
          </w:tcPr>
          <w:p w14:paraId="6FCC0FD6"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1.15 (1.00–1.31); </w:t>
            </w:r>
            <w:r w:rsidRPr="00F2045E">
              <w:rPr>
                <w:rStyle w:val="s1"/>
                <w:rFonts w:ascii="Arial" w:hAnsi="Arial" w:cs="Arial"/>
                <w:i/>
                <w:iCs/>
                <w:sz w:val="20"/>
                <w:szCs w:val="20"/>
              </w:rPr>
              <w:t>p</w:t>
            </w:r>
            <w:r w:rsidRPr="00F2045E">
              <w:rPr>
                <w:rFonts w:ascii="Arial" w:hAnsi="Arial" w:cs="Arial"/>
                <w:sz w:val="20"/>
                <w:szCs w:val="20"/>
              </w:rPr>
              <w:t>=.050</w:t>
            </w:r>
          </w:p>
        </w:tc>
        <w:tc>
          <w:tcPr>
            <w:tcW w:w="1370" w:type="pct"/>
            <w:noWrap/>
            <w:tcMar>
              <w:top w:w="120" w:type="dxa"/>
              <w:left w:w="180" w:type="dxa"/>
              <w:bottom w:w="120" w:type="dxa"/>
              <w:right w:w="180" w:type="dxa"/>
            </w:tcMar>
            <w:vAlign w:val="center"/>
            <w:hideMark/>
          </w:tcPr>
          <w:p w14:paraId="02886FAB"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0.77 (0.64–0.93); </w:t>
            </w:r>
            <w:r w:rsidRPr="00F2045E">
              <w:rPr>
                <w:rStyle w:val="s1"/>
                <w:rFonts w:ascii="Arial" w:hAnsi="Arial" w:cs="Arial"/>
                <w:i/>
                <w:iCs/>
                <w:sz w:val="20"/>
                <w:szCs w:val="20"/>
              </w:rPr>
              <w:t>p</w:t>
            </w:r>
            <w:r w:rsidRPr="00F2045E">
              <w:rPr>
                <w:rFonts w:ascii="Arial" w:hAnsi="Arial" w:cs="Arial"/>
                <w:sz w:val="20"/>
                <w:szCs w:val="20"/>
              </w:rPr>
              <w:t>=.007</w:t>
            </w:r>
          </w:p>
        </w:tc>
        <w:tc>
          <w:tcPr>
            <w:tcW w:w="1324" w:type="pct"/>
            <w:noWrap/>
            <w:tcMar>
              <w:top w:w="120" w:type="dxa"/>
              <w:left w:w="180" w:type="dxa"/>
              <w:bottom w:w="120" w:type="dxa"/>
              <w:right w:w="180" w:type="dxa"/>
            </w:tcMar>
            <w:vAlign w:val="center"/>
            <w:hideMark/>
          </w:tcPr>
          <w:p w14:paraId="4730AE64"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(0.99–1.37); </w:t>
            </w:r>
            <w:r w:rsidRPr="00F2045E">
              <w:rPr>
                <w:rStyle w:val="s1"/>
                <w:rFonts w:ascii="Arial" w:hAnsi="Arial" w:cs="Arial"/>
                <w:i/>
                <w:iCs/>
                <w:sz w:val="20"/>
                <w:szCs w:val="20"/>
              </w:rPr>
              <w:t>p</w:t>
            </w:r>
            <w:r w:rsidRPr="00F2045E">
              <w:rPr>
                <w:rFonts w:ascii="Arial" w:hAnsi="Arial" w:cs="Arial"/>
                <w:sz w:val="20"/>
                <w:szCs w:val="20"/>
              </w:rPr>
              <w:t>=.070</w:t>
            </w:r>
          </w:p>
        </w:tc>
      </w:tr>
      <w:tr w:rsidR="007E3224" w:rsidRPr="00F2045E" w14:paraId="13BCF389" w14:textId="77777777" w:rsidTr="00383A07">
        <w:tc>
          <w:tcPr>
            <w:tcW w:w="937" w:type="pct"/>
            <w:noWrap/>
            <w:tcMar>
              <w:top w:w="120" w:type="dxa"/>
              <w:left w:w="180" w:type="dxa"/>
              <w:bottom w:w="120" w:type="dxa"/>
              <w:right w:w="180" w:type="dxa"/>
            </w:tcMar>
            <w:vAlign w:val="center"/>
            <w:hideMark/>
          </w:tcPr>
          <w:p w14:paraId="3BC86BA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Elevated blood pressure</w:t>
            </w:r>
          </w:p>
        </w:tc>
        <w:tc>
          <w:tcPr>
            <w:tcW w:w="1369" w:type="pct"/>
            <w:noWrap/>
            <w:tcMar>
              <w:top w:w="120" w:type="dxa"/>
              <w:left w:w="180" w:type="dxa"/>
              <w:bottom w:w="120" w:type="dxa"/>
              <w:right w:w="180" w:type="dxa"/>
            </w:tcMar>
            <w:vAlign w:val="center"/>
            <w:hideMark/>
          </w:tcPr>
          <w:p w14:paraId="12D611F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1.07 (0.98–1.15); </w:t>
            </w:r>
            <w:r w:rsidRPr="00F2045E">
              <w:rPr>
                <w:rStyle w:val="s1"/>
                <w:rFonts w:ascii="Arial" w:hAnsi="Arial" w:cs="Arial"/>
                <w:i/>
                <w:iCs/>
                <w:sz w:val="20"/>
                <w:szCs w:val="20"/>
              </w:rPr>
              <w:t>p</w:t>
            </w:r>
            <w:r w:rsidRPr="00F2045E">
              <w:rPr>
                <w:rFonts w:ascii="Arial" w:hAnsi="Arial" w:cs="Arial"/>
                <w:sz w:val="20"/>
                <w:szCs w:val="20"/>
              </w:rPr>
              <w:t>=.115</w:t>
            </w:r>
          </w:p>
        </w:tc>
        <w:tc>
          <w:tcPr>
            <w:tcW w:w="1370" w:type="pct"/>
            <w:noWrap/>
            <w:tcMar>
              <w:top w:w="120" w:type="dxa"/>
              <w:left w:w="180" w:type="dxa"/>
              <w:bottom w:w="120" w:type="dxa"/>
              <w:right w:w="180" w:type="dxa"/>
            </w:tcMar>
            <w:vAlign w:val="center"/>
            <w:hideMark/>
          </w:tcPr>
          <w:p w14:paraId="397C5B6B"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0.80 (0.72–0.90);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noWrap/>
            <w:tcMar>
              <w:top w:w="120" w:type="dxa"/>
              <w:left w:w="180" w:type="dxa"/>
              <w:bottom w:w="120" w:type="dxa"/>
              <w:right w:w="180" w:type="dxa"/>
            </w:tcMar>
            <w:vAlign w:val="center"/>
            <w:hideMark/>
          </w:tcPr>
          <w:p w14:paraId="72CBE92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(1.05–1.28); </w:t>
            </w:r>
            <w:r w:rsidRPr="00F2045E">
              <w:rPr>
                <w:rStyle w:val="s1"/>
                <w:rFonts w:ascii="Arial" w:hAnsi="Arial" w:cs="Arial"/>
                <w:i/>
                <w:iCs/>
                <w:sz w:val="20"/>
                <w:szCs w:val="20"/>
              </w:rPr>
              <w:t>p</w:t>
            </w:r>
            <w:r w:rsidRPr="00F2045E">
              <w:rPr>
                <w:rFonts w:ascii="Arial" w:hAnsi="Arial" w:cs="Arial"/>
                <w:sz w:val="20"/>
                <w:szCs w:val="20"/>
              </w:rPr>
              <w:t>=.005</w:t>
            </w:r>
          </w:p>
        </w:tc>
      </w:tr>
      <w:tr w:rsidR="007E3224" w:rsidRPr="00F2045E" w14:paraId="6271F169" w14:textId="77777777" w:rsidTr="00383A07">
        <w:tc>
          <w:tcPr>
            <w:tcW w:w="937" w:type="pct"/>
            <w:noWrap/>
            <w:tcMar>
              <w:top w:w="120" w:type="dxa"/>
              <w:left w:w="180" w:type="dxa"/>
              <w:bottom w:w="120" w:type="dxa"/>
              <w:right w:w="180" w:type="dxa"/>
            </w:tcMar>
            <w:vAlign w:val="center"/>
            <w:hideMark/>
          </w:tcPr>
          <w:p w14:paraId="52D78B3C"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Dysglycaemia</w:t>
            </w:r>
          </w:p>
        </w:tc>
        <w:tc>
          <w:tcPr>
            <w:tcW w:w="1369" w:type="pct"/>
            <w:noWrap/>
            <w:tcMar>
              <w:top w:w="120" w:type="dxa"/>
              <w:left w:w="180" w:type="dxa"/>
              <w:bottom w:w="120" w:type="dxa"/>
              <w:right w:w="180" w:type="dxa"/>
            </w:tcMar>
            <w:vAlign w:val="center"/>
            <w:hideMark/>
          </w:tcPr>
          <w:p w14:paraId="32056D0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1.19 (1.06–1.33); </w:t>
            </w:r>
            <w:r w:rsidRPr="00F2045E">
              <w:rPr>
                <w:rStyle w:val="s1"/>
                <w:rFonts w:ascii="Arial" w:hAnsi="Arial" w:cs="Arial"/>
                <w:i/>
                <w:iCs/>
                <w:sz w:val="20"/>
                <w:szCs w:val="20"/>
              </w:rPr>
              <w:t>p</w:t>
            </w:r>
            <w:r w:rsidRPr="00F2045E">
              <w:rPr>
                <w:rFonts w:ascii="Arial" w:hAnsi="Arial" w:cs="Arial"/>
                <w:sz w:val="20"/>
                <w:szCs w:val="20"/>
              </w:rPr>
              <w:t>=.004</w:t>
            </w:r>
          </w:p>
        </w:tc>
        <w:tc>
          <w:tcPr>
            <w:tcW w:w="1370" w:type="pct"/>
            <w:noWrap/>
            <w:tcMar>
              <w:top w:w="120" w:type="dxa"/>
              <w:left w:w="180" w:type="dxa"/>
              <w:bottom w:w="120" w:type="dxa"/>
              <w:right w:w="180" w:type="dxa"/>
            </w:tcMar>
            <w:vAlign w:val="center"/>
            <w:hideMark/>
          </w:tcPr>
          <w:p w14:paraId="1534F63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0.63 (0.52–0.76);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noWrap/>
            <w:tcMar>
              <w:top w:w="120" w:type="dxa"/>
              <w:left w:w="180" w:type="dxa"/>
              <w:bottom w:w="120" w:type="dxa"/>
              <w:right w:w="180" w:type="dxa"/>
            </w:tcMar>
            <w:vAlign w:val="center"/>
            <w:hideMark/>
          </w:tcPr>
          <w:p w14:paraId="2BD6972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1.30 (1.14–1.49); </w:t>
            </w:r>
            <w:r w:rsidRPr="00F2045E">
              <w:rPr>
                <w:rStyle w:val="s1"/>
                <w:rFonts w:ascii="Arial" w:hAnsi="Arial" w:cs="Arial"/>
                <w:i/>
                <w:iCs/>
                <w:sz w:val="20"/>
                <w:szCs w:val="20"/>
              </w:rPr>
              <w:t>p</w:t>
            </w:r>
            <w:r w:rsidRPr="00F2045E">
              <w:rPr>
                <w:rFonts w:ascii="Arial" w:hAnsi="Arial" w:cs="Arial"/>
                <w:sz w:val="20"/>
                <w:szCs w:val="20"/>
              </w:rPr>
              <w:t>&lt;.001</w:t>
            </w:r>
          </w:p>
        </w:tc>
      </w:tr>
      <w:tr w:rsidR="007E3224" w:rsidRPr="00F2045E" w14:paraId="34AB2E7D" w14:textId="77777777" w:rsidTr="00383A07">
        <w:tc>
          <w:tcPr>
            <w:tcW w:w="937" w:type="pct"/>
            <w:noWrap/>
            <w:tcMar>
              <w:top w:w="120" w:type="dxa"/>
              <w:left w:w="180" w:type="dxa"/>
              <w:bottom w:w="120" w:type="dxa"/>
              <w:right w:w="180" w:type="dxa"/>
            </w:tcMar>
            <w:vAlign w:val="center"/>
            <w:hideMark/>
          </w:tcPr>
          <w:p w14:paraId="48472A1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Hypertriglyceridaemia</w:t>
            </w:r>
          </w:p>
        </w:tc>
        <w:tc>
          <w:tcPr>
            <w:tcW w:w="1369" w:type="pct"/>
            <w:noWrap/>
            <w:tcMar>
              <w:top w:w="120" w:type="dxa"/>
              <w:left w:w="180" w:type="dxa"/>
              <w:bottom w:w="120" w:type="dxa"/>
              <w:right w:w="180" w:type="dxa"/>
            </w:tcMar>
            <w:vAlign w:val="center"/>
            <w:hideMark/>
          </w:tcPr>
          <w:p w14:paraId="6D2702EE"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1.38 (1.01–1.89); </w:t>
            </w:r>
            <w:r w:rsidRPr="00F2045E">
              <w:rPr>
                <w:rStyle w:val="s1"/>
                <w:rFonts w:ascii="Arial" w:hAnsi="Arial" w:cs="Arial"/>
                <w:i/>
                <w:iCs/>
                <w:sz w:val="20"/>
                <w:szCs w:val="20"/>
              </w:rPr>
              <w:t>p</w:t>
            </w:r>
            <w:r w:rsidRPr="00F2045E">
              <w:rPr>
                <w:rFonts w:ascii="Arial" w:hAnsi="Arial" w:cs="Arial"/>
                <w:sz w:val="20"/>
                <w:szCs w:val="20"/>
              </w:rPr>
              <w:t>=.046</w:t>
            </w:r>
          </w:p>
        </w:tc>
        <w:tc>
          <w:tcPr>
            <w:tcW w:w="1370" w:type="pct"/>
            <w:noWrap/>
            <w:tcMar>
              <w:top w:w="120" w:type="dxa"/>
              <w:left w:w="180" w:type="dxa"/>
              <w:bottom w:w="120" w:type="dxa"/>
              <w:right w:w="180" w:type="dxa"/>
            </w:tcMar>
            <w:vAlign w:val="center"/>
            <w:hideMark/>
          </w:tcPr>
          <w:p w14:paraId="0CA85C5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0.72 (0.52–1.02); </w:t>
            </w:r>
            <w:r w:rsidRPr="00F2045E">
              <w:rPr>
                <w:rStyle w:val="s1"/>
                <w:rFonts w:ascii="Arial" w:hAnsi="Arial" w:cs="Arial"/>
                <w:i/>
                <w:iCs/>
                <w:sz w:val="20"/>
                <w:szCs w:val="20"/>
              </w:rPr>
              <w:t>p</w:t>
            </w:r>
            <w:r w:rsidRPr="00F2045E">
              <w:rPr>
                <w:rFonts w:ascii="Arial" w:hAnsi="Arial" w:cs="Arial"/>
                <w:sz w:val="20"/>
                <w:szCs w:val="20"/>
              </w:rPr>
              <w:t>=.063</w:t>
            </w:r>
          </w:p>
        </w:tc>
        <w:tc>
          <w:tcPr>
            <w:tcW w:w="1324" w:type="pct"/>
            <w:noWrap/>
            <w:tcMar>
              <w:top w:w="120" w:type="dxa"/>
              <w:left w:w="180" w:type="dxa"/>
              <w:bottom w:w="120" w:type="dxa"/>
              <w:right w:w="180" w:type="dxa"/>
            </w:tcMar>
            <w:vAlign w:val="center"/>
            <w:hideMark/>
          </w:tcPr>
          <w:p w14:paraId="31EB8DC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1.04 (0.82–1.32); </w:t>
            </w:r>
            <w:r w:rsidRPr="00F2045E">
              <w:rPr>
                <w:rStyle w:val="s1"/>
                <w:rFonts w:ascii="Arial" w:hAnsi="Arial" w:cs="Arial"/>
                <w:i/>
                <w:iCs/>
                <w:sz w:val="20"/>
                <w:szCs w:val="20"/>
              </w:rPr>
              <w:t>p</w:t>
            </w:r>
            <w:r w:rsidRPr="00F2045E">
              <w:rPr>
                <w:rFonts w:ascii="Arial" w:hAnsi="Arial" w:cs="Arial"/>
                <w:sz w:val="20"/>
                <w:szCs w:val="20"/>
              </w:rPr>
              <w:t>=.728</w:t>
            </w:r>
          </w:p>
        </w:tc>
      </w:tr>
      <w:tr w:rsidR="007E3224" w:rsidRPr="00F2045E" w14:paraId="5E04EB09" w14:textId="77777777" w:rsidTr="00383A07">
        <w:tc>
          <w:tcPr>
            <w:tcW w:w="937" w:type="pct"/>
            <w:noWrap/>
            <w:tcMar>
              <w:top w:w="120" w:type="dxa"/>
              <w:left w:w="180" w:type="dxa"/>
              <w:bottom w:w="120" w:type="dxa"/>
              <w:right w:w="180" w:type="dxa"/>
            </w:tcMar>
            <w:vAlign w:val="center"/>
            <w:hideMark/>
          </w:tcPr>
          <w:p w14:paraId="26233C6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Reduced HDL-C</w:t>
            </w:r>
          </w:p>
        </w:tc>
        <w:tc>
          <w:tcPr>
            <w:tcW w:w="1369" w:type="pct"/>
            <w:noWrap/>
            <w:tcMar>
              <w:top w:w="120" w:type="dxa"/>
              <w:left w:w="180" w:type="dxa"/>
              <w:bottom w:w="120" w:type="dxa"/>
              <w:right w:w="180" w:type="dxa"/>
            </w:tcMar>
            <w:vAlign w:val="center"/>
            <w:hideMark/>
          </w:tcPr>
          <w:p w14:paraId="30D18188"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(0.87–1.55); </w:t>
            </w:r>
            <w:r w:rsidRPr="00F2045E">
              <w:rPr>
                <w:rStyle w:val="s1"/>
                <w:rFonts w:ascii="Arial" w:hAnsi="Arial" w:cs="Arial"/>
                <w:i/>
                <w:iCs/>
                <w:sz w:val="20"/>
                <w:szCs w:val="20"/>
              </w:rPr>
              <w:t>p</w:t>
            </w:r>
            <w:r w:rsidRPr="00F2045E">
              <w:rPr>
                <w:rFonts w:ascii="Arial" w:hAnsi="Arial" w:cs="Arial"/>
                <w:sz w:val="20"/>
                <w:szCs w:val="20"/>
              </w:rPr>
              <w:t>=.316</w:t>
            </w:r>
          </w:p>
        </w:tc>
        <w:tc>
          <w:tcPr>
            <w:tcW w:w="1370" w:type="pct"/>
            <w:noWrap/>
            <w:tcMar>
              <w:top w:w="120" w:type="dxa"/>
              <w:left w:w="180" w:type="dxa"/>
              <w:bottom w:w="120" w:type="dxa"/>
              <w:right w:w="180" w:type="dxa"/>
            </w:tcMar>
            <w:vAlign w:val="center"/>
            <w:hideMark/>
          </w:tcPr>
          <w:p w14:paraId="7062FBC5"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1.15 (0.79–1.68); </w:t>
            </w:r>
            <w:r w:rsidRPr="00F2045E">
              <w:rPr>
                <w:rStyle w:val="s1"/>
                <w:rFonts w:ascii="Arial" w:hAnsi="Arial" w:cs="Arial"/>
                <w:i/>
                <w:iCs/>
                <w:sz w:val="20"/>
                <w:szCs w:val="20"/>
              </w:rPr>
              <w:t>p</w:t>
            </w:r>
            <w:r w:rsidRPr="00F2045E">
              <w:rPr>
                <w:rFonts w:ascii="Arial" w:hAnsi="Arial" w:cs="Arial"/>
                <w:sz w:val="20"/>
                <w:szCs w:val="20"/>
              </w:rPr>
              <w:t>=.465</w:t>
            </w:r>
          </w:p>
        </w:tc>
        <w:tc>
          <w:tcPr>
            <w:tcW w:w="1324" w:type="pct"/>
            <w:noWrap/>
            <w:tcMar>
              <w:top w:w="120" w:type="dxa"/>
              <w:left w:w="180" w:type="dxa"/>
              <w:bottom w:w="120" w:type="dxa"/>
              <w:right w:w="180" w:type="dxa"/>
            </w:tcMar>
            <w:vAlign w:val="center"/>
            <w:hideMark/>
          </w:tcPr>
          <w:p w14:paraId="2061ABB4"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0.94 (0.69–1.30); </w:t>
            </w:r>
            <w:r w:rsidRPr="00F2045E">
              <w:rPr>
                <w:rStyle w:val="s1"/>
                <w:rFonts w:ascii="Arial" w:hAnsi="Arial" w:cs="Arial"/>
                <w:i/>
                <w:iCs/>
                <w:sz w:val="20"/>
                <w:szCs w:val="20"/>
              </w:rPr>
              <w:t>p</w:t>
            </w:r>
            <w:r w:rsidRPr="00F2045E">
              <w:rPr>
                <w:rFonts w:ascii="Arial" w:hAnsi="Arial" w:cs="Arial"/>
                <w:sz w:val="20"/>
                <w:szCs w:val="20"/>
              </w:rPr>
              <w:t>=.724</w:t>
            </w:r>
          </w:p>
        </w:tc>
      </w:tr>
    </w:tbl>
    <w:p w14:paraId="7DB99F84" w14:textId="77777777" w:rsidR="007E3224" w:rsidRPr="00F2045E" w:rsidRDefault="007E3224" w:rsidP="007E3224">
      <w:pPr>
        <w:pStyle w:val="p1"/>
        <w:spacing w:before="0" w:beforeAutospacing="0" w:after="0" w:afterAutospacing="0"/>
        <w:contextualSpacing/>
        <w:jc w:val="both"/>
        <w:rPr>
          <w:i/>
          <w:iCs/>
          <w:sz w:val="18"/>
          <w:szCs w:val="18"/>
        </w:rPr>
      </w:pPr>
      <w:r w:rsidRPr="00F2045E">
        <w:rPr>
          <w:i/>
          <w:iCs/>
          <w:sz w:val="18"/>
          <w:szCs w:val="18"/>
        </w:rPr>
        <w:t xml:space="preserve">Values are adjusted prevalence ratios (aPRs) with 95% confidence intervals (CIs) per 1-SD increase in each dietary-pattern score. All models were mutually adjusted for the three dietary-pattern scores and further adjusted for age, sex, educational level and ethnicity. CCA, clustered cardiometabolic abnormalities; BP, blood pressure; HDL-C, high-density lipoprotein cholesterol. Statistical significance was set at </w:t>
      </w:r>
      <w:r w:rsidRPr="00F2045E">
        <w:rPr>
          <w:rStyle w:val="s1"/>
          <w:i/>
          <w:iCs/>
          <w:sz w:val="18"/>
          <w:szCs w:val="18"/>
        </w:rPr>
        <w:t>p</w:t>
      </w:r>
      <w:r w:rsidRPr="00F2045E">
        <w:rPr>
          <w:i/>
          <w:iCs/>
          <w:sz w:val="18"/>
          <w:szCs w:val="18"/>
        </w:rPr>
        <w:t>&lt;0.05.</w:t>
      </w:r>
    </w:p>
    <w:p w14:paraId="552996B2" w14:textId="77777777" w:rsidR="00D065D9" w:rsidRPr="00B85224" w:rsidRDefault="00000000">
      <w:pPr>
        <w:spacing w:before="160" w:after="100"/>
        <w:rPr>
          <w:rFonts w:ascii="Arial" w:hAnsi="Arial" w:cs="Arial"/>
        </w:rPr>
      </w:pPr>
      <w:r w:rsidRPr="00B85224">
        <w:rPr>
          <w:rFonts w:ascii="Arial" w:hAnsi="Arial" w:cs="Arial"/>
          <w:b/>
          <w:sz w:val="22"/>
        </w:rPr>
        <w:t>3.2 Discussion</w:t>
      </w:r>
    </w:p>
    <w:p w14:paraId="3786FB5D" w14:textId="77777777" w:rsidR="00D065D9" w:rsidRPr="00B85224" w:rsidRDefault="00000000" w:rsidP="0007191D">
      <w:pPr>
        <w:spacing w:after="120"/>
        <w:jc w:val="both"/>
        <w:rPr>
          <w:rFonts w:ascii="Arial" w:hAnsi="Arial" w:cs="Arial"/>
        </w:rPr>
      </w:pPr>
      <w:r w:rsidRPr="00B85224">
        <w:rPr>
          <w:rFonts w:ascii="Arial" w:hAnsi="Arial" w:cs="Arial"/>
          <w:sz w:val="20"/>
        </w:rPr>
        <w:t>This community-based study identified three stable and interpretable dietary patterns and demonstrated that each had a distinct relationship with clustered cardiometabolic burden. Nearly two-thirds of participants had at least two cardiometabolic abnormalities, and more than one-third had three or more. A dietary pattern characterised by fried foods, fast foods, fats/oils, desserts, soft drinks and alcohol was positively associated with both higher CCA burden and CCA ≥3. In contrast, a grain–legume–white meat pattern with inverse loadings for processed foods, seasoning and salt was consistently associated with lower burden. The third pattern, comprising dairy, tea/coffee, fish, nuts, fruit, vegetables and rice, was positively associated with CCA despite containing several foods usually regarded as cardiometabolically favourable. The restricted-score sensitivity analysis reproduced all three primary associations.</w:t>
      </w:r>
    </w:p>
    <w:p w14:paraId="5065EA50" w14:textId="77777777" w:rsidR="00D065D9" w:rsidRPr="00B85224" w:rsidRDefault="00000000" w:rsidP="0007191D">
      <w:pPr>
        <w:spacing w:after="120"/>
        <w:jc w:val="both"/>
        <w:rPr>
          <w:rFonts w:ascii="Arial" w:hAnsi="Arial" w:cs="Arial"/>
        </w:rPr>
      </w:pPr>
      <w:r w:rsidRPr="00B85224">
        <w:rPr>
          <w:rFonts w:ascii="Arial" w:hAnsi="Arial" w:cs="Arial"/>
          <w:sz w:val="20"/>
        </w:rPr>
        <w:t>The high prevalence of CCA in this community is consistent with the wider transition toward cardiometabolic multimorbidity in sub-Saharan Africa. Otieno et al. (2023) demonstrated that high blood sugar, hypercholesterolaemia, hypertension and cardiovascular disease can form distinct multimorbidity clusters across African populations. In Nigeria, the background prevalence of hypertension, obesity and dyslipidaemia is already substantial (Adeloye et al., 2021a, 2021b; Chori et al., 2022). The present data extend this evidence by showing how frequently several abnormalities coexist within the same community-dwelling adult. The higher-burden group was older and had markedly higher BMI, blood pressure, fasting glucose, total cholesterol, triglycerides and LDL-C, supporting the clinical coherence of the burden classification.</w:t>
      </w:r>
    </w:p>
    <w:p w14:paraId="70DADC7F" w14:textId="77777777" w:rsidR="00D065D9" w:rsidRPr="00B85224" w:rsidRDefault="00000000" w:rsidP="0007191D">
      <w:pPr>
        <w:spacing w:after="120"/>
        <w:jc w:val="both"/>
        <w:rPr>
          <w:rFonts w:ascii="Arial" w:hAnsi="Arial" w:cs="Arial"/>
        </w:rPr>
      </w:pPr>
      <w:r w:rsidRPr="00B85224">
        <w:rPr>
          <w:rFonts w:ascii="Arial" w:hAnsi="Arial" w:cs="Arial"/>
          <w:sz w:val="20"/>
        </w:rPr>
        <w:t>The adverse association of Pattern 1 is the most straightforward biologically. Its defining foods include fried foods, fast foods, fats/oils, desserts, soft drinks and alcohol, with additional contributions from soup, starchy foods, eggs and red meat. This combination is consistent with a transitional, energy-dense dietary behaviour rather than a purely 'Western' pattern because locally consumed soups and starches remain embedded within it. Recent sub-Saharan African evidence shows that traditional and processed dietary behaviours commonly coexist during nutrition transition (Ekerette et al., 2026; Kushitor et al., 2023).</w:t>
      </w:r>
    </w:p>
    <w:p w14:paraId="1749E163" w14:textId="77777777" w:rsidR="00D065D9" w:rsidRPr="00B85224" w:rsidRDefault="00000000" w:rsidP="0007191D">
      <w:pPr>
        <w:spacing w:after="120"/>
        <w:jc w:val="both"/>
        <w:rPr>
          <w:rFonts w:ascii="Arial" w:hAnsi="Arial" w:cs="Arial"/>
        </w:rPr>
      </w:pPr>
      <w:r w:rsidRPr="00B85224">
        <w:rPr>
          <w:rFonts w:ascii="Arial" w:hAnsi="Arial" w:cs="Arial"/>
          <w:sz w:val="20"/>
        </w:rPr>
        <w:t>The positive association with CCA is also consistent with broader evidence on highly processed and energy-dense foods. Prospective reviews link greater ultra-processed-food intake with incident obesity, hypertension, diabetes and dyslipidaemia (Mambrini et al., 2023), while meta-analysis shows higher metabolic-syndrome risk with greater consumption (Shu et al., 2023). Harb et al. (2023) similarly reviewed evidence linking ultra-processed foods with adult obesity. The individual food-group comparisons in the present study point in the same direction: fried foods, fats/oils, desserts and alcohol were reported more frequently among participants with higher CCA burden. These converging findings strengthen the interpretation that Pattern 1 captures a genuinely adverse behavioural configuration, although the observational design does not establish causality.</w:t>
      </w:r>
    </w:p>
    <w:p w14:paraId="08584026" w14:textId="77777777" w:rsidR="00D065D9" w:rsidRPr="00B85224" w:rsidRDefault="00000000" w:rsidP="0007191D">
      <w:pPr>
        <w:spacing w:after="120"/>
        <w:jc w:val="both"/>
        <w:rPr>
          <w:rFonts w:ascii="Arial" w:hAnsi="Arial" w:cs="Arial"/>
        </w:rPr>
      </w:pPr>
      <w:r w:rsidRPr="00B85224">
        <w:rPr>
          <w:rFonts w:ascii="Arial" w:hAnsi="Arial" w:cs="Arial"/>
          <w:sz w:val="20"/>
        </w:rPr>
        <w:lastRenderedPageBreak/>
        <w:t>Pattern 2 showed the strongest inverse association with cardiometabolic burden. It was defined by wheat, cereals, beans and white meat and, importantly, by negative loadings for processed foods/meat, seasoning and salt. Consequently, its inverse association should not be interpreted simply as an effect of grains or white meat in isolation. Rather, the factor appears to represent a broader substitution pattern in which staple grains, legumes and leaner animal-source food</w:t>
      </w:r>
      <w:r w:rsidR="00760287">
        <w:rPr>
          <w:rFonts w:ascii="Arial" w:hAnsi="Arial" w:cs="Arial"/>
          <w:sz w:val="20"/>
        </w:rPr>
        <w:t>s</w:t>
      </w:r>
      <w:r w:rsidRPr="00B85224">
        <w:rPr>
          <w:rFonts w:ascii="Arial" w:hAnsi="Arial" w:cs="Arial"/>
          <w:sz w:val="20"/>
        </w:rPr>
        <w:t xml:space="preserve"> occur together with lower consumption of processed foods and highly seasoned or salty foods.</w:t>
      </w:r>
    </w:p>
    <w:p w14:paraId="3CA1B996" w14:textId="77777777" w:rsidR="00D065D9" w:rsidRPr="00B85224" w:rsidRDefault="00000000" w:rsidP="0007191D">
      <w:pPr>
        <w:spacing w:after="120"/>
        <w:jc w:val="both"/>
        <w:rPr>
          <w:rFonts w:ascii="Arial" w:hAnsi="Arial" w:cs="Arial"/>
        </w:rPr>
      </w:pPr>
      <w:r w:rsidRPr="00B85224">
        <w:rPr>
          <w:rFonts w:ascii="Arial" w:hAnsi="Arial" w:cs="Arial"/>
          <w:sz w:val="20"/>
        </w:rPr>
        <w:t>This interpretation is compatible with contemporary dietary guidance that emphasises high-quality carbohydrate sources, legumes and minimally processed proteins while limiting sodium and processed products (Pagidipati et al., 2025). It also aligns with African empirical studies showing that fish-, grain- and plant-associated patterns can differ from snack- or processed-food patterns in their health associations (Weil et al., 2023; Ekerette et al., 2026). The marked predominance of Pattern 2 among participants with lower burden—61.2% compared with 25.0% in the higher-burden group—provides an intuitive descriptive complement to the adjusted inverse prevalence ratio.</w:t>
      </w:r>
    </w:p>
    <w:p w14:paraId="235989C8" w14:textId="77777777" w:rsidR="00D065D9" w:rsidRPr="00B85224" w:rsidRDefault="00000000" w:rsidP="0007191D">
      <w:pPr>
        <w:spacing w:after="120"/>
        <w:jc w:val="both"/>
        <w:rPr>
          <w:rFonts w:ascii="Arial" w:hAnsi="Arial" w:cs="Arial"/>
        </w:rPr>
      </w:pPr>
      <w:r w:rsidRPr="00B85224">
        <w:rPr>
          <w:rFonts w:ascii="Arial" w:hAnsi="Arial" w:cs="Arial"/>
          <w:sz w:val="20"/>
        </w:rPr>
        <w:t>Pattern 3 requires the greatest caution. It was characterised by milk/dairy, tea/coffee, fish, nuts, fruit, vegetables and rice, yet higher scores were associated with greater CCA burden. It would therefore be inappropriate to label this factor 'healthy' or 'prudent' and then treat the positive association as evidence that these foods are harmful. Data-driven patterns are empirical covariance structures, not prespecified diet-quality scores. Segun et al. (2024) demonstrated in Nigerian adults that two ostensibly traditional patterns could have opposing obesity associations, while Moe et al. (2024) and Liu et al. (2024) show that pattern-level associations with metabolic syndrome depend on the exact composition and population context.</w:t>
      </w:r>
    </w:p>
    <w:p w14:paraId="3D0792C6" w14:textId="77777777" w:rsidR="00D065D9" w:rsidRPr="00B85224" w:rsidRDefault="00000000" w:rsidP="0007191D">
      <w:pPr>
        <w:spacing w:after="120"/>
        <w:jc w:val="both"/>
        <w:rPr>
          <w:rFonts w:ascii="Arial" w:hAnsi="Arial" w:cs="Arial"/>
        </w:rPr>
      </w:pPr>
      <w:r w:rsidRPr="00B85224">
        <w:rPr>
          <w:rFonts w:ascii="Arial" w:hAnsi="Arial" w:cs="Arial"/>
          <w:sz w:val="20"/>
        </w:rPr>
        <w:t>Several explanations are plausible. First, rice was an important positive loading, so the pattern may partly represent frequent staple carbohydrate consumption alongside nutrient-dense foods. Second, frequency data do not quantify portion size, energy intake, preparation method, added oils, sugar in tea/coffee or type of dairy product. Third, residual confounding may remain despite adjustment. Finally, reverse causation is particularly credible in a cross-sectional community study: individuals who know they have hypertension, diabetes or obesity may increase fish, fruit, vegetables or dairy and reduce other perceived high-risk foods after counselling. The thesis itself recognises post-diagnosis dietary modification as a potential source of paradoxical diet–disease associations. The positive Pattern 3 association should therefore be presented as an epidemiological observation requiring longitudinal confirmation rather than as evidence against established cardiometabolic dietary guidance.</w:t>
      </w:r>
    </w:p>
    <w:p w14:paraId="66969CF4" w14:textId="77777777" w:rsidR="00D065D9" w:rsidRPr="00B85224" w:rsidRDefault="00000000" w:rsidP="0007191D">
      <w:pPr>
        <w:spacing w:after="120"/>
        <w:jc w:val="both"/>
        <w:rPr>
          <w:rFonts w:ascii="Arial" w:hAnsi="Arial" w:cs="Arial"/>
        </w:rPr>
      </w:pPr>
      <w:r w:rsidRPr="00B85224">
        <w:rPr>
          <w:rFonts w:ascii="Arial" w:hAnsi="Arial" w:cs="Arial"/>
          <w:sz w:val="20"/>
        </w:rPr>
        <w:t>The observed burden differences by age, education, marital status, employment and family size are consistent with the thesis conceptual framework, which treats dietary behaviour as embedded within household, socioeconomic and community contexts. Ikwerre LGA is undergoing rapid urbanisation while retaining strong agrarian and traditional food systems. This creates a layered food environment in which locally grown staples and vegetables coexist with commercial fried foods, processed snacks, sweetened beverages and restaurant foods. Studies in Accra and Burkina Faso similarly show that dietary-pattern adherence varies with age, education, socioeconomic position and urban context (Kushitor et al., 2023; Weil et al., 2023). These social gradients matter because interventions targeted only at individual knowledge may be insufficient if food availability, household size, affordability and eating outside the home shape pattern adherence.</w:t>
      </w:r>
    </w:p>
    <w:p w14:paraId="3B10337A" w14:textId="77777777" w:rsidR="00D065D9" w:rsidRPr="00B85224" w:rsidRDefault="00000000" w:rsidP="0007191D">
      <w:pPr>
        <w:spacing w:after="120"/>
        <w:jc w:val="both"/>
        <w:rPr>
          <w:rFonts w:ascii="Arial" w:hAnsi="Arial" w:cs="Arial"/>
        </w:rPr>
      </w:pPr>
      <w:r w:rsidRPr="00B85224">
        <w:rPr>
          <w:rFonts w:ascii="Arial" w:hAnsi="Arial" w:cs="Arial"/>
          <w:sz w:val="20"/>
        </w:rPr>
        <w:t>The final analytical pathway has two methodological strengths. First, component retention was not based on the Kaiser criterion alone. Although six eigenvalues exceeded one, parallel analysis supported three components, and bootstrap evaluation showed that additional components became unstable or sparsely defined. This prevented over-extraction and produced three patterns with multiple salient foods. Second, the study separated pattern definition from exposure scoring. Foods with absolute loadings ≥0.40 were used to name and interpret patterns, while complete PCA factor scores were used for primary regression because they preserve the covariance structure of all included foods. The restricted loading-weighted sensitivity scores were then used to show that the primary associations were driven by the core defining foods. The very high correlations between full and restricted scores and the replication of all three associations provide reassuring internal robustness.</w:t>
      </w:r>
    </w:p>
    <w:p w14:paraId="7793AC4E" w14:textId="77777777" w:rsidR="00D065D9" w:rsidRPr="00B85224" w:rsidRDefault="00000000" w:rsidP="0007191D">
      <w:pPr>
        <w:spacing w:after="120"/>
        <w:jc w:val="both"/>
        <w:rPr>
          <w:rFonts w:ascii="Arial" w:hAnsi="Arial" w:cs="Arial"/>
        </w:rPr>
      </w:pPr>
      <w:r w:rsidRPr="00B85224">
        <w:rPr>
          <w:rFonts w:ascii="Arial" w:hAnsi="Arial" w:cs="Arial"/>
          <w:sz w:val="20"/>
        </w:rPr>
        <w:t>The findings have potential relevance for community screening and dietary counselling, but they should be translated cautiously. Pattern 1 identifies a practical cluster of modifiable behaviours</w:t>
      </w:r>
      <w:r w:rsidR="004203FE">
        <w:rPr>
          <w:rFonts w:ascii="Arial" w:hAnsi="Arial" w:cs="Arial"/>
          <w:sz w:val="20"/>
        </w:rPr>
        <w:t xml:space="preserve">, </w:t>
      </w:r>
      <w:r w:rsidRPr="00B85224">
        <w:rPr>
          <w:rFonts w:ascii="Arial" w:hAnsi="Arial" w:cs="Arial"/>
          <w:sz w:val="20"/>
        </w:rPr>
        <w:t>fried and fast foods, fats/oils, desserts, soft drinks and alcohol</w:t>
      </w:r>
      <w:r w:rsidR="004203FE">
        <w:rPr>
          <w:rFonts w:ascii="Arial" w:hAnsi="Arial" w:cs="Arial"/>
          <w:sz w:val="20"/>
        </w:rPr>
        <w:t xml:space="preserve">, </w:t>
      </w:r>
      <w:r w:rsidRPr="00B85224">
        <w:rPr>
          <w:rFonts w:ascii="Arial" w:hAnsi="Arial" w:cs="Arial"/>
          <w:sz w:val="20"/>
        </w:rPr>
        <w:t>that can be addressed through culturally specific counselling and food-environment interventions. The inverse Pattern 2 association suggests that promoting legumes, less processed grain-based meals and leaner protein sources while reducing processed foods and excessive seasoning/salt may be a useful direction for intervention. These recommendations are consistent with broader cardiometabolic dietary guidance (Pagidipati et al., 2025) and with Nigerian work demonstrating the feasibility of brief culturally adapted dietary screening and counselling (Batubo et al., 2024b, 2024c).</w:t>
      </w:r>
    </w:p>
    <w:p w14:paraId="77461622"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At the same time, the Pattern 3 finding illustrates why empirical patterns should not be converted directly into prescriptive dietary recommendations without additional evidence. The NiDST and Nigerian Diet Risk Score have </w:t>
      </w:r>
      <w:r w:rsidRPr="00B85224">
        <w:rPr>
          <w:rFonts w:ascii="Arial" w:hAnsi="Arial" w:cs="Arial"/>
          <w:sz w:val="20"/>
        </w:rPr>
        <w:lastRenderedPageBreak/>
        <w:t>already shown that locally adapted dietary information can support hypertension risk assessment (Batubo et al., 2025), but future intervention work should incorporate portion sizes, food preparation, processing level and repeated dietary assessment to distinguish causal food effects from behavioural adaptation.</w:t>
      </w:r>
    </w:p>
    <w:p w14:paraId="56CC0279" w14:textId="77777777" w:rsidR="00D065D9" w:rsidRPr="004D2535" w:rsidRDefault="004D2535" w:rsidP="0007191D">
      <w:pPr>
        <w:spacing w:after="120"/>
        <w:jc w:val="both"/>
        <w:rPr>
          <w:rFonts w:ascii="Arial" w:hAnsi="Arial" w:cs="Arial"/>
          <w:sz w:val="20"/>
          <w:szCs w:val="20"/>
        </w:rPr>
      </w:pPr>
      <w:r w:rsidRPr="004D2535">
        <w:rPr>
          <w:rFonts w:ascii="Arial" w:hAnsi="Arial" w:cs="Arial"/>
          <w:sz w:val="20"/>
          <w:szCs w:val="20"/>
        </w:rPr>
        <w:t xml:space="preserve">Key strengths include the community-based sampling framework, the application of a validated Nigerian dietary instrument, and the use of objective anthropometric, blood pressure and biochemical measurements. The study employs a clinically transparent carotid intima–media thickness (CCA) burden framework, formal component-retention assessment, mutually adjusted robust Poisson models and sensitivity analyses based on core factor loadings. The presentation of lower versus higher burden facilitates straightforward clinical interpretation of participant phenotypes alongside regression estimates.  </w:t>
      </w:r>
    </w:p>
    <w:p w14:paraId="6B87B9FD" w14:textId="77777777" w:rsidR="004D2535" w:rsidRPr="004D2535" w:rsidRDefault="004D2535" w:rsidP="0007191D">
      <w:pPr>
        <w:spacing w:after="120"/>
        <w:jc w:val="both"/>
        <w:rPr>
          <w:rFonts w:ascii="Arial" w:hAnsi="Arial" w:cs="Arial"/>
          <w:sz w:val="20"/>
          <w:szCs w:val="20"/>
        </w:rPr>
      </w:pPr>
      <w:r w:rsidRPr="004D2535">
        <w:rPr>
          <w:rFonts w:ascii="Arial" w:hAnsi="Arial" w:cs="Arial"/>
          <w:sz w:val="20"/>
          <w:szCs w:val="20"/>
        </w:rPr>
        <w:t>Several limitations warrant consideration. The cross-sectional design precludes temporal or causal inference and allows for reverse causation. The final analysis uses a complete-case sample of 212 participants from a larger intended study, which may introduce selection bias if completeness was associated with diet or cardiometabolic status. The NiDST records frequency rather than portion size, energy intake, nutrient composition or detailed cooking methods. Although blood pressure and lipid procedures are described in the thesis, precise device and reagent manufacturers and certain laboratory quality-control details are unavailable in the source document. Residual confounding may persist, as physical activity, tobacco use, income and other variables were excluded from the pre-specified covariate set. The CCA construct represents a study-specific burden count rather than a diagnostic syndrome; consequently, the chosen thresholds should be regarded as operational epidemiological definitions. Finally, principal component analysis patterns are sample-dependent and require external validation.</w:t>
      </w:r>
    </w:p>
    <w:p w14:paraId="50F71D8A" w14:textId="77777777" w:rsidR="00D065D9" w:rsidRPr="00B85224" w:rsidRDefault="00000000" w:rsidP="0007191D">
      <w:pPr>
        <w:spacing w:after="120"/>
        <w:rPr>
          <w:rFonts w:ascii="Arial" w:hAnsi="Arial" w:cs="Arial"/>
        </w:rPr>
      </w:pPr>
      <w:r w:rsidRPr="00B85224">
        <w:rPr>
          <w:rFonts w:ascii="Arial" w:hAnsi="Arial" w:cs="Arial"/>
          <w:b/>
          <w:sz w:val="22"/>
        </w:rPr>
        <w:t>4. CONCLUSION</w:t>
      </w:r>
    </w:p>
    <w:p w14:paraId="33351013" w14:textId="77777777" w:rsidR="00D065D9" w:rsidRPr="00B85224" w:rsidRDefault="00000000" w:rsidP="0007191D">
      <w:pPr>
        <w:spacing w:after="120"/>
        <w:jc w:val="both"/>
        <w:rPr>
          <w:rFonts w:ascii="Arial" w:hAnsi="Arial" w:cs="Arial"/>
        </w:rPr>
      </w:pPr>
      <w:r w:rsidRPr="00B85224">
        <w:rPr>
          <w:rFonts w:ascii="Arial" w:hAnsi="Arial" w:cs="Arial"/>
          <w:sz w:val="20"/>
        </w:rPr>
        <w:t>Three stable dietary patterns characterised habitual food consumption among adults in Ikwerre LGA. A fried/fast food–fats/oils–dessert/soft drink–alcohol pattern was independently associated with greater clustered cardiometabolic burden, while a grain–legume–white meat pattern with lower processed-food, seasoning and salt loadings was associated with lower burden. A dairy–tea/coffee–fish–nuts–fruit/vegetable pattern was also positively associated with CCA, but this counterintuitive observation should be interpreted cautiously because of mixed pattern composition, residual confounding and potential post-diagnosis dietary modification. The high prevalence of multiple abnormalities and the strong differentiation of predominant patterns between burden groups support culturally tailored, whole-diet approaches to cardiometabolic prevention in Nigerian communities and underscore the need for longitudinal validation.</w:t>
      </w:r>
    </w:p>
    <w:p w14:paraId="4D205608" w14:textId="77777777" w:rsidR="00D065D9" w:rsidRPr="00B85224" w:rsidRDefault="00000000" w:rsidP="0007191D">
      <w:pPr>
        <w:spacing w:after="120"/>
        <w:rPr>
          <w:rFonts w:ascii="Arial" w:hAnsi="Arial" w:cs="Arial"/>
        </w:rPr>
      </w:pPr>
      <w:r w:rsidRPr="00B85224">
        <w:rPr>
          <w:rFonts w:ascii="Arial" w:hAnsi="Arial" w:cs="Arial"/>
          <w:b/>
          <w:sz w:val="22"/>
        </w:rPr>
        <w:t>COMPETING INTERESTS</w:t>
      </w:r>
    </w:p>
    <w:p w14:paraId="6C91408D" w14:textId="77777777" w:rsidR="00D065D9" w:rsidRPr="00B85224" w:rsidRDefault="00F2045E" w:rsidP="0007191D">
      <w:pPr>
        <w:spacing w:after="120"/>
        <w:jc w:val="both"/>
        <w:rPr>
          <w:rFonts w:ascii="Arial" w:hAnsi="Arial" w:cs="Arial"/>
        </w:rPr>
      </w:pPr>
      <w:r>
        <w:rPr>
          <w:rFonts w:ascii="Arial" w:hAnsi="Arial" w:cs="Arial"/>
          <w:sz w:val="20"/>
        </w:rPr>
        <w:t>The a</w:t>
      </w:r>
      <w:r w:rsidRPr="00B85224">
        <w:rPr>
          <w:rFonts w:ascii="Arial" w:hAnsi="Arial" w:cs="Arial"/>
          <w:sz w:val="20"/>
        </w:rPr>
        <w:t>uthors have declared that no competing interests exist.</w:t>
      </w:r>
    </w:p>
    <w:p w14:paraId="46510D7F" w14:textId="77777777" w:rsidR="00D065D9" w:rsidRPr="00B85224" w:rsidRDefault="00000000" w:rsidP="0007191D">
      <w:pPr>
        <w:spacing w:after="120"/>
        <w:rPr>
          <w:rFonts w:ascii="Arial" w:hAnsi="Arial" w:cs="Arial"/>
        </w:rPr>
      </w:pPr>
      <w:r w:rsidRPr="00B85224">
        <w:rPr>
          <w:rFonts w:ascii="Arial" w:hAnsi="Arial" w:cs="Arial"/>
          <w:b/>
          <w:sz w:val="22"/>
        </w:rPr>
        <w:t>CONSENT</w:t>
      </w:r>
    </w:p>
    <w:p w14:paraId="2E7F973B"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Written informed consent to participate was obtained from all study participants before enrolment. </w:t>
      </w:r>
    </w:p>
    <w:p w14:paraId="6FD980F5" w14:textId="77777777" w:rsidR="00D065D9" w:rsidRPr="00B85224" w:rsidRDefault="00000000" w:rsidP="0007191D">
      <w:pPr>
        <w:spacing w:after="120"/>
        <w:rPr>
          <w:rFonts w:ascii="Arial" w:hAnsi="Arial" w:cs="Arial"/>
        </w:rPr>
      </w:pPr>
      <w:r w:rsidRPr="00B85224">
        <w:rPr>
          <w:rFonts w:ascii="Arial" w:hAnsi="Arial" w:cs="Arial"/>
          <w:b/>
          <w:sz w:val="22"/>
        </w:rPr>
        <w:t>ETHICAL APPROVAL</w:t>
      </w:r>
    </w:p>
    <w:p w14:paraId="06351EA2" w14:textId="77777777" w:rsidR="00D065D9" w:rsidRDefault="00000000" w:rsidP="0007191D">
      <w:pPr>
        <w:spacing w:after="120"/>
        <w:jc w:val="both"/>
        <w:rPr>
          <w:rFonts w:ascii="Arial" w:hAnsi="Arial" w:cs="Arial"/>
          <w:sz w:val="20"/>
          <w:szCs w:val="20"/>
        </w:rPr>
      </w:pPr>
      <w:r w:rsidRPr="0070287D">
        <w:rPr>
          <w:rFonts w:ascii="Arial" w:hAnsi="Arial" w:cs="Arial"/>
          <w:sz w:val="20"/>
          <w:szCs w:val="20"/>
        </w:rPr>
        <w:t>The study was reviewed by the Faculty of Basic Medical Sciences Ethical Committee, Rivers State University, Port Harcourt, Nigeria, and was conducted in accordance with applicable ethical standards for research involving human participants. Ethics approval number and approval date: [</w:t>
      </w:r>
      <w:r w:rsidR="00BA6D6E" w:rsidRPr="0070287D">
        <w:rPr>
          <w:rFonts w:ascii="Arial" w:hAnsi="Arial" w:cs="Arial"/>
          <w:sz w:val="20"/>
          <w:szCs w:val="20"/>
        </w:rPr>
        <w:t>RSU/FMBS/REC/25/466 on 30</w:t>
      </w:r>
      <w:r w:rsidR="00BA6D6E" w:rsidRPr="0070287D">
        <w:rPr>
          <w:rFonts w:ascii="Arial" w:hAnsi="Arial" w:cs="Arial"/>
          <w:sz w:val="20"/>
          <w:szCs w:val="20"/>
          <w:vertAlign w:val="superscript"/>
        </w:rPr>
        <w:t>th</w:t>
      </w:r>
      <w:r w:rsidR="00BA6D6E" w:rsidRPr="0070287D">
        <w:rPr>
          <w:rFonts w:ascii="Arial" w:hAnsi="Arial" w:cs="Arial"/>
          <w:sz w:val="20"/>
          <w:szCs w:val="20"/>
        </w:rPr>
        <w:t xml:space="preserve"> November, 2025</w:t>
      </w:r>
      <w:r w:rsidRPr="0070287D">
        <w:rPr>
          <w:rFonts w:ascii="Arial" w:hAnsi="Arial" w:cs="Arial"/>
          <w:sz w:val="20"/>
          <w:szCs w:val="20"/>
        </w:rPr>
        <w:t>].</w:t>
      </w:r>
    </w:p>
    <w:p w14:paraId="0F94AF19" w14:textId="77777777" w:rsidR="00730272" w:rsidRDefault="00730272" w:rsidP="00730272">
      <w:pPr>
        <w:rPr>
          <w:b/>
        </w:rPr>
      </w:pPr>
      <w:r w:rsidRPr="000839CE">
        <w:rPr>
          <w:b/>
        </w:rPr>
        <w:t>Declaration of AI Use</w:t>
      </w:r>
    </w:p>
    <w:p w14:paraId="560E0AE0" w14:textId="77777777" w:rsidR="00730272" w:rsidRDefault="00730272" w:rsidP="00730272">
      <w:pPr>
        <w:rPr>
          <w:b/>
        </w:rPr>
      </w:pPr>
    </w:p>
    <w:p w14:paraId="73C42770" w14:textId="77777777" w:rsidR="00730272" w:rsidRDefault="00730272" w:rsidP="00730272">
      <w:pPr>
        <w:rPr>
          <w:b/>
        </w:rPr>
      </w:pPr>
    </w:p>
    <w:p w14:paraId="4729DB63" w14:textId="77777777" w:rsidR="00730272" w:rsidRDefault="00730272" w:rsidP="00730272">
      <w:pPr>
        <w:rPr>
          <w:b/>
        </w:rPr>
      </w:pPr>
    </w:p>
    <w:p w14:paraId="2BD24DCB" w14:textId="77777777" w:rsidR="00730272" w:rsidRPr="002D08AC" w:rsidRDefault="00730272" w:rsidP="00730272">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FF1CA5" w14:textId="77777777" w:rsidR="00730272" w:rsidRDefault="00730272" w:rsidP="00730272">
      <w:pPr>
        <w:rPr>
          <w:b/>
        </w:rPr>
      </w:pPr>
    </w:p>
    <w:p w14:paraId="4FAF70AD" w14:textId="77777777" w:rsidR="00730272" w:rsidRPr="0070287D" w:rsidRDefault="00730272" w:rsidP="0007191D">
      <w:pPr>
        <w:spacing w:after="120"/>
        <w:jc w:val="both"/>
        <w:rPr>
          <w:rFonts w:ascii="Arial" w:hAnsi="Arial" w:cs="Arial"/>
          <w:sz w:val="20"/>
          <w:szCs w:val="20"/>
        </w:rPr>
      </w:pPr>
    </w:p>
    <w:p w14:paraId="3EE4E86C" w14:textId="77777777" w:rsidR="00D065D9" w:rsidRPr="00B85224" w:rsidRDefault="00000000">
      <w:pPr>
        <w:rPr>
          <w:rFonts w:ascii="Arial" w:hAnsi="Arial" w:cs="Arial"/>
        </w:rPr>
      </w:pPr>
      <w:r w:rsidRPr="00B85224">
        <w:rPr>
          <w:rFonts w:ascii="Arial" w:hAnsi="Arial" w:cs="Arial"/>
          <w:b/>
          <w:sz w:val="22"/>
        </w:rPr>
        <w:t>REFERENCES</w:t>
      </w:r>
    </w:p>
    <w:p w14:paraId="6EB53A38" w14:textId="77777777" w:rsidR="00D065D9" w:rsidRPr="00B85224" w:rsidRDefault="00000000">
      <w:pPr>
        <w:spacing w:after="60"/>
        <w:jc w:val="both"/>
        <w:rPr>
          <w:rFonts w:ascii="Arial" w:hAnsi="Arial" w:cs="Arial"/>
        </w:rPr>
      </w:pPr>
      <w:r w:rsidRPr="00B85224">
        <w:rPr>
          <w:rFonts w:ascii="Arial" w:hAnsi="Arial" w:cs="Arial"/>
          <w:sz w:val="18"/>
        </w:rPr>
        <w:t>1. GBD 2021 Risk Factors Collaborators. (2024). Global burden and strength of evidence for 88 risk factors in 204 countries and 811 subnational locations, 1990–2021: A systematic analysis for the Global Burden of Disease Study 2021. The Lancet, 403, 2162–2203. https://doi.org/10.1016/S0140-6736(24)00933-4</w:t>
      </w:r>
    </w:p>
    <w:p w14:paraId="39875F05" w14:textId="77777777" w:rsidR="00D065D9" w:rsidRPr="00B85224" w:rsidRDefault="00000000">
      <w:pPr>
        <w:spacing w:after="60"/>
        <w:jc w:val="both"/>
        <w:rPr>
          <w:rFonts w:ascii="Arial" w:hAnsi="Arial" w:cs="Arial"/>
        </w:rPr>
      </w:pPr>
      <w:r w:rsidRPr="00B85224">
        <w:rPr>
          <w:rFonts w:ascii="Arial" w:hAnsi="Arial" w:cs="Arial"/>
          <w:sz w:val="18"/>
        </w:rPr>
        <w:lastRenderedPageBreak/>
        <w:t>2. Adeloye, D., Owolabi, E. O., Ojji, D. B., Auta, A., Dewan, M. T., Olanrewaju, T. O., et al. (2021b). Prevalence, awareness, treatment, and control of hypertension in Nigeria in 1995 and 2020: A systematic analysis of current evidence. Journal of Clinical Hypertension, 23(5), 963–977. https://doi.org/10.1111/jch.14220</w:t>
      </w:r>
    </w:p>
    <w:p w14:paraId="19551338" w14:textId="77777777" w:rsidR="00D065D9" w:rsidRPr="00B85224" w:rsidRDefault="00000000">
      <w:pPr>
        <w:spacing w:after="60"/>
        <w:jc w:val="both"/>
        <w:rPr>
          <w:rFonts w:ascii="Arial" w:hAnsi="Arial" w:cs="Arial"/>
        </w:rPr>
      </w:pPr>
      <w:r w:rsidRPr="00B85224">
        <w:rPr>
          <w:rFonts w:ascii="Arial" w:hAnsi="Arial" w:cs="Arial"/>
          <w:sz w:val="18"/>
        </w:rPr>
        <w:t>3. Obagha, C. E., Danladi, B., Kamateeka, M., Chori, B. S., Ogbonnaya, U., Maduka, D., et al. (2022). Unmet needs of hypertension care in Nigeria: Results of the Community Action Against Non-Communicable Diseases project preintervention survey. Blood Pressure Monitoring, 27(1), 27–32. https://doi.org/10.1097/MBP.0000000000000561</w:t>
      </w:r>
    </w:p>
    <w:p w14:paraId="6FCEFAFF" w14:textId="77777777" w:rsidR="00D065D9" w:rsidRPr="00B85224" w:rsidRDefault="00000000">
      <w:pPr>
        <w:spacing w:after="60"/>
        <w:jc w:val="both"/>
        <w:rPr>
          <w:rFonts w:ascii="Arial" w:hAnsi="Arial" w:cs="Arial"/>
        </w:rPr>
      </w:pPr>
      <w:r w:rsidRPr="00B85224">
        <w:rPr>
          <w:rFonts w:ascii="Arial" w:hAnsi="Arial" w:cs="Arial"/>
          <w:sz w:val="18"/>
        </w:rPr>
        <w:t>4. Adeloye, D., Ige-Elegbede, J. O., Ezejimofor, M., Owolabi, E. O., Ezeigwe, N., Omoyele, C., et al. (2021a). Estimating the prevalence of overweight and obesity in Nigeria in 2020: A systematic review and meta-analysis. Annals of Medicine, 53(1), 495–507. https://doi.org/10.1080/07853890.2021.1897665</w:t>
      </w:r>
    </w:p>
    <w:p w14:paraId="727FF68E" w14:textId="77777777" w:rsidR="00D065D9" w:rsidRPr="00B85224" w:rsidRDefault="00000000">
      <w:pPr>
        <w:spacing w:after="60"/>
        <w:jc w:val="both"/>
        <w:rPr>
          <w:rFonts w:ascii="Arial" w:hAnsi="Arial" w:cs="Arial"/>
        </w:rPr>
      </w:pPr>
      <w:r w:rsidRPr="00B85224">
        <w:rPr>
          <w:rFonts w:ascii="Arial" w:hAnsi="Arial" w:cs="Arial"/>
          <w:sz w:val="18"/>
        </w:rPr>
        <w:t>5. Chori, B., Danladi, B., Nwakile, P., Okoye, I., Abdullahi, U., Zawaya, K., et al. (2022). Prevalence, patterns and predictors of dyslipidaemia in Nigeria: A report from the REMAH study. Cardiovascular Journal of Africa, 33(2), 52–59. https://doi.org/10.5830/CVJA-2021-037</w:t>
      </w:r>
    </w:p>
    <w:p w14:paraId="32229169" w14:textId="77777777" w:rsidR="00D065D9" w:rsidRPr="00B85224" w:rsidRDefault="00000000">
      <w:pPr>
        <w:spacing w:after="60"/>
        <w:jc w:val="both"/>
        <w:rPr>
          <w:rFonts w:ascii="Arial" w:hAnsi="Arial" w:cs="Arial"/>
        </w:rPr>
      </w:pPr>
      <w:r w:rsidRPr="00B85224">
        <w:rPr>
          <w:rFonts w:ascii="Arial" w:hAnsi="Arial" w:cs="Arial"/>
          <w:sz w:val="18"/>
        </w:rPr>
        <w:t>6. Otieno, P., Asiki, G., Wekesah, F., Wilunda, C., Sanya, R. E., Wami, W., et al. (2023). Multimorbidity of cardiometabolic diseases: A cross-sectional study of patterns, clusters and associated risk factors in sub-Saharan Africa. BMJ Open, 13, e064275. https://doi.org/10.1136/bmjopen-2022-064275</w:t>
      </w:r>
    </w:p>
    <w:p w14:paraId="73312B4E" w14:textId="77777777" w:rsidR="00D065D9" w:rsidRPr="00B85224" w:rsidRDefault="00000000">
      <w:pPr>
        <w:spacing w:after="60"/>
        <w:jc w:val="both"/>
        <w:rPr>
          <w:rFonts w:ascii="Arial" w:hAnsi="Arial" w:cs="Arial"/>
        </w:rPr>
      </w:pPr>
      <w:r w:rsidRPr="00B85224">
        <w:rPr>
          <w:rFonts w:ascii="Arial" w:hAnsi="Arial" w:cs="Arial"/>
          <w:sz w:val="18"/>
        </w:rPr>
        <w:t>7. Pagidipati, N. J., Taub, P. R., Ostfeld, R. J., &amp; Kirkpatrick, C. F. (2025). Dietary patterns to promote cardiometabolic health. Nature Reviews Cardiology, 22(1), 38–46. https://doi.org/10.1038/s41569-024-01061-7</w:t>
      </w:r>
    </w:p>
    <w:p w14:paraId="40573816" w14:textId="77777777" w:rsidR="00D065D9" w:rsidRPr="00B85224" w:rsidRDefault="00000000">
      <w:pPr>
        <w:spacing w:after="60"/>
        <w:jc w:val="both"/>
        <w:rPr>
          <w:rFonts w:ascii="Arial" w:hAnsi="Arial" w:cs="Arial"/>
        </w:rPr>
      </w:pPr>
      <w:r w:rsidRPr="00B85224">
        <w:rPr>
          <w:rFonts w:ascii="Arial" w:hAnsi="Arial" w:cs="Arial"/>
          <w:sz w:val="18"/>
        </w:rPr>
        <w:t>8. Harb, A. A., Shechter, A., Koch, P. A., &amp; St-Onge, M.-P. (2023). Ultra-processed foods and the development of obesity in adults. European Journal of Clinical Nutrition, 77(6), 619–627. https://doi.org/10.1038/s41430-022-01225-z</w:t>
      </w:r>
    </w:p>
    <w:p w14:paraId="6D0F7B6E" w14:textId="77777777" w:rsidR="00D065D9" w:rsidRPr="00B85224" w:rsidRDefault="00000000">
      <w:pPr>
        <w:spacing w:after="60"/>
        <w:jc w:val="both"/>
        <w:rPr>
          <w:rFonts w:ascii="Arial" w:hAnsi="Arial" w:cs="Arial"/>
        </w:rPr>
      </w:pPr>
      <w:r w:rsidRPr="00B85224">
        <w:rPr>
          <w:rFonts w:ascii="Arial" w:hAnsi="Arial" w:cs="Arial"/>
          <w:sz w:val="18"/>
        </w:rPr>
        <w:t>9. Mambrini, S. P., Menichetti, F., Ravella, S., Pellizzari, M., De Amicis, R., Foppiani, A., et al. (2023). Ultra-processed food consumption and incidence of obesity and cardiometabolic risk factors in adults: A systematic review of prospective studies. Nutrients, 15(11), 2583. https://doi.org/10.3390/nu15112583</w:t>
      </w:r>
    </w:p>
    <w:p w14:paraId="05FF2A31" w14:textId="77777777" w:rsidR="00D065D9" w:rsidRPr="00B85224" w:rsidRDefault="00000000">
      <w:pPr>
        <w:spacing w:after="60"/>
        <w:jc w:val="both"/>
        <w:rPr>
          <w:rFonts w:ascii="Arial" w:hAnsi="Arial" w:cs="Arial"/>
        </w:rPr>
      </w:pPr>
      <w:r w:rsidRPr="00B85224">
        <w:rPr>
          <w:rFonts w:ascii="Arial" w:hAnsi="Arial" w:cs="Arial"/>
          <w:sz w:val="18"/>
        </w:rPr>
        <w:t>10. Shu, L., Zhang, X., Zhou, J., Zhu, Q., &amp; Si, C. (2023). Ultra-processed food consumption and increased risk of metabolic syndrome: A systematic review and meta-analysis of observational studies. Frontiers in Nutrition, 10, 1211797. https://doi.org/10.3389/fnut.2023.1211797</w:t>
      </w:r>
    </w:p>
    <w:p w14:paraId="29025DC3" w14:textId="77777777" w:rsidR="00D065D9" w:rsidRPr="00B85224" w:rsidRDefault="00000000">
      <w:pPr>
        <w:spacing w:after="60"/>
        <w:jc w:val="both"/>
        <w:rPr>
          <w:rFonts w:ascii="Arial" w:hAnsi="Arial" w:cs="Arial"/>
        </w:rPr>
      </w:pPr>
      <w:r w:rsidRPr="00B85224">
        <w:rPr>
          <w:rFonts w:ascii="Arial" w:hAnsi="Arial" w:cs="Arial"/>
          <w:sz w:val="18"/>
        </w:rPr>
        <w:t>11. Kushitor, S. B., Alangea, D. O., Aryeetey, R., &amp; de-Graft Aikins, A. (2023). Dietary patterns among adults in three low-income urban communities in Accra, Ghana. PLOS ONE, 18(11), e0293726. https://doi.org/10.1371/journal.pone.0293726</w:t>
      </w:r>
    </w:p>
    <w:p w14:paraId="5AD3D203" w14:textId="77777777" w:rsidR="00D065D9" w:rsidRPr="00B85224" w:rsidRDefault="00000000">
      <w:pPr>
        <w:spacing w:after="60"/>
        <w:jc w:val="both"/>
        <w:rPr>
          <w:rFonts w:ascii="Arial" w:hAnsi="Arial" w:cs="Arial"/>
        </w:rPr>
      </w:pPr>
      <w:r w:rsidRPr="00B85224">
        <w:rPr>
          <w:rFonts w:ascii="Arial" w:hAnsi="Arial" w:cs="Arial"/>
          <w:sz w:val="18"/>
        </w:rPr>
        <w:t>12. Weil, K., Coulibaly, I., Fuelbert, H., Herrmann, A., Millogo, R. M., &amp; Danquah, I. (2023). Dietary patterns and their socioeconomic factors of adherence among adults in urban Burkina Faso: A cross-sectional study. Journal of Health, Population and Nutrition, 42, 107. https://doi.org/10.1186/s41043-023-00451-w</w:t>
      </w:r>
    </w:p>
    <w:p w14:paraId="0B2CA492" w14:textId="77777777" w:rsidR="00D065D9" w:rsidRPr="00B85224" w:rsidRDefault="00000000">
      <w:pPr>
        <w:spacing w:after="60"/>
        <w:jc w:val="both"/>
        <w:rPr>
          <w:rFonts w:ascii="Arial" w:hAnsi="Arial" w:cs="Arial"/>
        </w:rPr>
      </w:pPr>
      <w:r w:rsidRPr="00B85224">
        <w:rPr>
          <w:rFonts w:ascii="Arial" w:hAnsi="Arial" w:cs="Arial"/>
          <w:sz w:val="18"/>
        </w:rPr>
        <w:t>13. Ekerette, N. N., Santos, L. P., Xavier, M. D. S. R., &amp; Vaz, J. D. S. (2026). Dietary patterns among adults in sub-Saharan Africa are shaped by food groups and contextual influences: A systematic review. Nutrition Research, 153, 1–19. https://doi.org/10.1016/j.nutres.2026.06.009</w:t>
      </w:r>
    </w:p>
    <w:p w14:paraId="4AB22298" w14:textId="77777777" w:rsidR="00D065D9" w:rsidRPr="00B85224" w:rsidRDefault="00000000">
      <w:pPr>
        <w:spacing w:after="60"/>
        <w:jc w:val="both"/>
        <w:rPr>
          <w:rFonts w:ascii="Arial" w:hAnsi="Arial" w:cs="Arial"/>
        </w:rPr>
      </w:pPr>
      <w:r w:rsidRPr="00B85224">
        <w:rPr>
          <w:rFonts w:ascii="Arial" w:hAnsi="Arial" w:cs="Arial"/>
          <w:sz w:val="18"/>
        </w:rPr>
        <w:t>14. Segun, A., Zhang, B., Mary, A. M., Kibenja, D., Ma, J., Said, S., et al. (2024). Exploring the relationship between dietary patterns and obesity among Nigerian adults: A cross-sectional study. BMC Public Health, 24, 1319. https://doi.org/10.1186/s12889-024-18792-4</w:t>
      </w:r>
    </w:p>
    <w:p w14:paraId="2EE60BD8" w14:textId="77777777" w:rsidR="00D065D9" w:rsidRPr="00B85224" w:rsidRDefault="00000000">
      <w:pPr>
        <w:spacing w:after="60"/>
        <w:jc w:val="both"/>
        <w:rPr>
          <w:rFonts w:ascii="Arial" w:hAnsi="Arial" w:cs="Arial"/>
        </w:rPr>
      </w:pPr>
      <w:r w:rsidRPr="00B85224">
        <w:rPr>
          <w:rFonts w:ascii="Arial" w:hAnsi="Arial" w:cs="Arial"/>
          <w:sz w:val="18"/>
        </w:rPr>
        <w:t>15. Okekunle, A. P., Asowata, O. J., Akpa, O. M., et al. (2024). Dietary patterns associated with hypertension among stroke-free Indigenous Africans: Insights from the Stroke Investigative Research and Educational Network study. Journal of Hypertension, 42(4), 620–628. https://doi.org/10.1097/HJH.0000000000003662</w:t>
      </w:r>
    </w:p>
    <w:p w14:paraId="4A612327" w14:textId="77777777" w:rsidR="00D065D9" w:rsidRPr="00B85224" w:rsidRDefault="00000000">
      <w:pPr>
        <w:spacing w:after="60"/>
        <w:jc w:val="both"/>
        <w:rPr>
          <w:rFonts w:ascii="Arial" w:hAnsi="Arial" w:cs="Arial"/>
        </w:rPr>
      </w:pPr>
      <w:r w:rsidRPr="00B85224">
        <w:rPr>
          <w:rFonts w:ascii="Arial" w:hAnsi="Arial" w:cs="Arial"/>
          <w:sz w:val="18"/>
        </w:rPr>
        <w:t>16. Batubo, N. P., Moore, J. B., &amp; Zulyniak, M. A. (2024). Dietary assessment and prevention of hypertension in Nigeria: Protocol for a retrospective cross-sectional study for the development and validation of a food frequency questionnaire for clinical use. PLOS ONE, 19(4), e0292561. https://doi.org/10.1371/journal.pone.0292561</w:t>
      </w:r>
    </w:p>
    <w:p w14:paraId="0B8E662A" w14:textId="77777777" w:rsidR="00D065D9" w:rsidRPr="00B85224" w:rsidRDefault="00000000">
      <w:pPr>
        <w:spacing w:after="60"/>
        <w:jc w:val="both"/>
        <w:rPr>
          <w:rFonts w:ascii="Arial" w:hAnsi="Arial" w:cs="Arial"/>
        </w:rPr>
      </w:pPr>
      <w:r w:rsidRPr="00B85224">
        <w:rPr>
          <w:rFonts w:ascii="Arial" w:hAnsi="Arial" w:cs="Arial"/>
          <w:sz w:val="18"/>
        </w:rPr>
        <w:t>17. Batubo, N. P., Auma, C. I., Moore, J. B., &amp; Zulyniak, M. A. (2024a). Relative validity and reproducibility of a dietary screening tool in Nigerian health care. Current Developments in Nutrition, 8(10), 104459. https://doi.org/10.1016/j.cdnut.2024.104459</w:t>
      </w:r>
    </w:p>
    <w:p w14:paraId="70F2084F" w14:textId="77777777" w:rsidR="00D065D9" w:rsidRPr="00B85224" w:rsidRDefault="00000000">
      <w:pPr>
        <w:spacing w:after="60"/>
        <w:jc w:val="both"/>
        <w:rPr>
          <w:rFonts w:ascii="Arial" w:hAnsi="Arial" w:cs="Arial"/>
        </w:rPr>
      </w:pPr>
      <w:r w:rsidRPr="00B85224">
        <w:rPr>
          <w:rFonts w:ascii="Arial" w:hAnsi="Arial" w:cs="Arial"/>
          <w:sz w:val="18"/>
        </w:rPr>
        <w:t>18. Batubo, N. P., Auma, C. I., Moore, J. B., &amp; Zulyniak, M. A. (2024b). The Nigerian Dietary Screening Tool: A step toward improved patient-clinician communication in Nigerian hospitals: A pilot implementation study. Nutrients, 16(14), 2286. https://doi.org/10.3390/nu16142286</w:t>
      </w:r>
    </w:p>
    <w:p w14:paraId="1035C19A" w14:textId="77777777" w:rsidR="00D065D9" w:rsidRPr="00B85224" w:rsidRDefault="00000000">
      <w:pPr>
        <w:spacing w:after="60"/>
        <w:jc w:val="both"/>
        <w:rPr>
          <w:rFonts w:ascii="Arial" w:hAnsi="Arial" w:cs="Arial"/>
        </w:rPr>
      </w:pPr>
      <w:r w:rsidRPr="00B85224">
        <w:rPr>
          <w:rFonts w:ascii="Arial" w:hAnsi="Arial" w:cs="Arial"/>
          <w:sz w:val="18"/>
        </w:rPr>
        <w:t>19. Batubo, N. P., Nwanze, N. M., Alikor, C. A., Auma, C. I., Moore, J. B., &amp; Zulyniak, M. A. (2024c). Empowering healthcare professionals in West Africa—A feasibility study and qualitative assessment of a dietary screening tool to identify adults at high risk of hypertension. PLOS ONE, 19(4), e0294370. https://doi.org/10.1371/journal.pone.0294370</w:t>
      </w:r>
    </w:p>
    <w:p w14:paraId="7950F101" w14:textId="77777777" w:rsidR="00D065D9" w:rsidRPr="00B85224" w:rsidRDefault="00000000">
      <w:pPr>
        <w:spacing w:after="60"/>
        <w:jc w:val="both"/>
        <w:rPr>
          <w:rFonts w:ascii="Arial" w:hAnsi="Arial" w:cs="Arial"/>
        </w:rPr>
      </w:pPr>
      <w:r w:rsidRPr="00B85224">
        <w:rPr>
          <w:rFonts w:ascii="Arial" w:hAnsi="Arial" w:cs="Arial"/>
          <w:sz w:val="18"/>
        </w:rPr>
        <w:t>20. Batubo, N. P., Auma, C. I., Moore, J. B., &amp; Zulyniak, M. A. (2025). Evaluating modifiable hypertension risk in Nigerian adults—The Nigerian diet risk score. Tropical Medicine &amp; International Health, 30(4), 260–272. https://doi.org/10.1111/tmi.14089</w:t>
      </w:r>
    </w:p>
    <w:p w14:paraId="313ABF2E" w14:textId="77777777" w:rsidR="00D065D9" w:rsidRPr="00B85224" w:rsidRDefault="00000000">
      <w:pPr>
        <w:spacing w:after="60"/>
        <w:jc w:val="both"/>
        <w:rPr>
          <w:rFonts w:ascii="Arial" w:hAnsi="Arial" w:cs="Arial"/>
        </w:rPr>
      </w:pPr>
      <w:r w:rsidRPr="00B85224">
        <w:rPr>
          <w:rFonts w:ascii="Arial" w:hAnsi="Arial" w:cs="Arial"/>
          <w:sz w:val="18"/>
        </w:rPr>
        <w:t>21. Moe, Å. M., Ytterstad, E., Hopstock, L. A., Løvsletten, O., Carlsen, M. H., &amp; Sørbye, S. H. (2024). Associations and predictive power of dietary patterns on metabolic syndrome and its components. Nutrition, Metabolism and Cardiovascular Diseases, 34(3), 681–690. https://doi.org/10.1016/j.numecd.2023.10.029</w:t>
      </w:r>
    </w:p>
    <w:p w14:paraId="35C51F74" w14:textId="77777777" w:rsidR="007A6AA8" w:rsidRDefault="00000000" w:rsidP="007A6AA8">
      <w:pPr>
        <w:spacing w:after="60"/>
        <w:jc w:val="both"/>
        <w:rPr>
          <w:rFonts w:ascii="Arial" w:hAnsi="Arial" w:cs="Arial"/>
          <w:sz w:val="18"/>
        </w:rPr>
      </w:pPr>
      <w:r w:rsidRPr="00B85224">
        <w:rPr>
          <w:rFonts w:ascii="Arial" w:hAnsi="Arial" w:cs="Arial"/>
          <w:sz w:val="18"/>
        </w:rPr>
        <w:t xml:space="preserve">22. Liu, J., Lu, W., Lv, Q., Wang, Y., Xu, X., He, Y., et al. (2024). Impact of dietary patterns on metabolic syndrome in young adults: A cross-sectional study. Nutrients, 16(17), 2890. </w:t>
      </w:r>
      <w:hyperlink r:id="rId10" w:history="1">
        <w:r w:rsidR="006350DF" w:rsidRPr="00B85224">
          <w:rPr>
            <w:rStyle w:val="Hyperlink"/>
            <w:rFonts w:ascii="Arial" w:hAnsi="Arial" w:cs="Arial"/>
            <w:sz w:val="18"/>
          </w:rPr>
          <w:t>https://doi.org/10.3390/nu16172890</w:t>
        </w:r>
      </w:hyperlink>
    </w:p>
    <w:p w14:paraId="66547383" w14:textId="77777777" w:rsidR="0033287B" w:rsidRDefault="006350DF" w:rsidP="007A6AA8">
      <w:pPr>
        <w:spacing w:after="60"/>
        <w:jc w:val="both"/>
        <w:rPr>
          <w:rFonts w:ascii="Arial" w:hAnsi="Arial" w:cs="Arial"/>
          <w:sz w:val="18"/>
          <w:szCs w:val="18"/>
        </w:rPr>
      </w:pPr>
      <w:r w:rsidRPr="00B85224">
        <w:rPr>
          <w:rFonts w:ascii="Arial" w:hAnsi="Arial" w:cs="Arial"/>
          <w:sz w:val="18"/>
          <w:szCs w:val="18"/>
        </w:rPr>
        <w:t xml:space="preserve">Alberti, K. G. M. M., Eckel, R. H., Grundy, S. M., Zimmet, P. Z., Cleeman, J. I., Donato, K. A., Fruchart, J.-C., James, W. P. T., Loria, C. M., &amp; Smith, S. C., Jr. (2009). Harmonizing the metabolic syndrome: A joint interim statement of the International Diabetes Federation Task Force on Epidemiology and Prevention; National Heart, Lung, and Blood Institute; American Heart </w:t>
      </w:r>
      <w:r w:rsidRPr="00B85224">
        <w:rPr>
          <w:rFonts w:ascii="Arial" w:hAnsi="Arial" w:cs="Arial"/>
          <w:sz w:val="18"/>
          <w:szCs w:val="18"/>
        </w:rPr>
        <w:lastRenderedPageBreak/>
        <w:t xml:space="preserve">Association; World Heart Federation; International Atherosclerosis Society; and International Association for the Study of Obesity. </w:t>
      </w:r>
      <w:r w:rsidRPr="00B85224">
        <w:rPr>
          <w:rStyle w:val="s1"/>
          <w:rFonts w:ascii="Arial" w:hAnsi="Arial" w:cs="Arial"/>
          <w:i/>
          <w:iCs/>
          <w:sz w:val="18"/>
          <w:szCs w:val="18"/>
        </w:rPr>
        <w:t>Circulation, 120</w:t>
      </w:r>
      <w:r w:rsidRPr="00B85224">
        <w:rPr>
          <w:rFonts w:ascii="Arial" w:hAnsi="Arial" w:cs="Arial"/>
          <w:sz w:val="18"/>
          <w:szCs w:val="18"/>
        </w:rPr>
        <w:t>(16), 1640–1645.</w:t>
      </w:r>
      <w:r w:rsidRPr="00B85224">
        <w:rPr>
          <w:rStyle w:val="apple-converted-space"/>
          <w:rFonts w:ascii="Arial" w:hAnsi="Arial" w:cs="Arial"/>
          <w:sz w:val="18"/>
          <w:szCs w:val="18"/>
        </w:rPr>
        <w:t xml:space="preserve">  </w:t>
      </w:r>
      <w:r w:rsidRPr="00B85224">
        <w:rPr>
          <w:rStyle w:val="s1"/>
          <w:rFonts w:ascii="Segoe UI Symbol" w:hAnsi="Segoe UI Symbol" w:cs="Segoe UI Symbol"/>
          <w:sz w:val="18"/>
          <w:szCs w:val="18"/>
        </w:rPr>
        <w:t>⁠</w:t>
      </w:r>
      <w:r w:rsidRPr="00B85224">
        <w:rPr>
          <w:rFonts w:ascii="Arial" w:hAnsi="Arial" w:cs="Arial"/>
          <w:sz w:val="18"/>
          <w:szCs w:val="18"/>
        </w:rPr>
        <w:t>https://doi.org/10.1161/CIRCULATIONAHA.109.192644</w:t>
      </w:r>
    </w:p>
    <w:p w14:paraId="50E068A4" w14:textId="77777777" w:rsidR="007A6AA8" w:rsidRDefault="006350DF" w:rsidP="007A6AA8">
      <w:pPr>
        <w:spacing w:after="60"/>
        <w:jc w:val="both"/>
        <w:rPr>
          <w:rFonts w:ascii="Arial" w:hAnsi="Arial" w:cs="Arial"/>
          <w:sz w:val="18"/>
          <w:szCs w:val="18"/>
        </w:rPr>
      </w:pPr>
      <w:r w:rsidRPr="00B85224">
        <w:rPr>
          <w:rFonts w:ascii="Arial" w:hAnsi="Arial" w:cs="Arial"/>
          <w:sz w:val="18"/>
          <w:szCs w:val="18"/>
        </w:rPr>
        <w:t xml:space="preserve">American Heart Association. (2023). </w:t>
      </w:r>
      <w:r w:rsidRPr="00B85224">
        <w:rPr>
          <w:rStyle w:val="s1"/>
          <w:rFonts w:ascii="Arial" w:hAnsi="Arial" w:cs="Arial"/>
          <w:i/>
          <w:iCs/>
          <w:sz w:val="18"/>
          <w:szCs w:val="18"/>
        </w:rPr>
        <w:t>Symptoms and diagnosis of metabolic syndrome</w:t>
      </w:r>
      <w:r w:rsidRPr="00B85224">
        <w:rPr>
          <w:rFonts w:ascii="Arial" w:hAnsi="Arial" w:cs="Arial"/>
          <w:sz w:val="18"/>
          <w:szCs w:val="18"/>
        </w:rPr>
        <w:t>.</w:t>
      </w:r>
      <w:r w:rsidRPr="00B85224">
        <w:rPr>
          <w:rStyle w:val="apple-converted-space"/>
          <w:rFonts w:ascii="Arial" w:hAnsi="Arial" w:cs="Arial"/>
          <w:sz w:val="18"/>
          <w:szCs w:val="18"/>
        </w:rPr>
        <w:t xml:space="preserve">  </w:t>
      </w:r>
      <w:r w:rsidRPr="00B85224">
        <w:rPr>
          <w:rStyle w:val="s1"/>
          <w:rFonts w:ascii="Segoe UI Symbol" w:hAnsi="Segoe UI Symbol" w:cs="Segoe UI Symbol"/>
          <w:sz w:val="18"/>
          <w:szCs w:val="18"/>
        </w:rPr>
        <w:t>⁠</w:t>
      </w:r>
      <w:r w:rsidRPr="00B85224">
        <w:rPr>
          <w:rFonts w:ascii="Arial" w:hAnsi="Arial" w:cs="Arial"/>
          <w:sz w:val="18"/>
          <w:szCs w:val="18"/>
        </w:rPr>
        <w:t>https://www.heart.org/en/health-topics/metabolic-syndrome/symptoms-and-diagnosis-of-metabolic-syndrome</w:t>
      </w:r>
    </w:p>
    <w:p w14:paraId="4C1B45AD" w14:textId="77777777" w:rsidR="006350DF" w:rsidRPr="007A6AA8" w:rsidRDefault="006350DF" w:rsidP="007A6AA8">
      <w:pPr>
        <w:spacing w:after="60"/>
        <w:jc w:val="both"/>
        <w:rPr>
          <w:rFonts w:ascii="Arial" w:hAnsi="Arial" w:cs="Arial"/>
          <w:sz w:val="18"/>
        </w:rPr>
      </w:pPr>
      <w:r w:rsidRPr="00B85224">
        <w:rPr>
          <w:rFonts w:ascii="Arial" w:hAnsi="Arial" w:cs="Arial"/>
          <w:sz w:val="18"/>
          <w:szCs w:val="18"/>
        </w:rPr>
        <w:t xml:space="preserve">World Health Organization. (2025). </w:t>
      </w:r>
      <w:r w:rsidRPr="00B85224">
        <w:rPr>
          <w:rStyle w:val="s1"/>
          <w:rFonts w:ascii="Arial" w:hAnsi="Arial" w:cs="Arial"/>
          <w:i/>
          <w:iCs/>
          <w:sz w:val="18"/>
          <w:szCs w:val="18"/>
        </w:rPr>
        <w:t>Obesity and overweight</w:t>
      </w:r>
      <w:r w:rsidRPr="00B85224">
        <w:rPr>
          <w:rFonts w:ascii="Arial" w:hAnsi="Arial" w:cs="Arial"/>
          <w:sz w:val="18"/>
          <w:szCs w:val="18"/>
        </w:rPr>
        <w:t>.</w:t>
      </w:r>
      <w:r w:rsidRPr="00B85224">
        <w:rPr>
          <w:rStyle w:val="apple-converted-space"/>
          <w:rFonts w:ascii="Arial" w:hAnsi="Arial" w:cs="Arial"/>
          <w:sz w:val="18"/>
          <w:szCs w:val="18"/>
        </w:rPr>
        <w:t xml:space="preserve">  </w:t>
      </w:r>
      <w:r w:rsidRPr="00B85224">
        <w:rPr>
          <w:rStyle w:val="s1"/>
          <w:rFonts w:ascii="Segoe UI Symbol" w:hAnsi="Segoe UI Symbol" w:cs="Segoe UI Symbol"/>
          <w:sz w:val="18"/>
          <w:szCs w:val="18"/>
        </w:rPr>
        <w:t>⁠</w:t>
      </w:r>
      <w:r w:rsidRPr="00B85224">
        <w:rPr>
          <w:rFonts w:ascii="Arial" w:hAnsi="Arial" w:cs="Arial"/>
          <w:sz w:val="18"/>
          <w:szCs w:val="18"/>
        </w:rPr>
        <w:t>https://www.who.int/news-room/fact-sheets/detail/obesity-and-overweight</w:t>
      </w:r>
    </w:p>
    <w:p w14:paraId="4D4CDF7B" w14:textId="77777777" w:rsidR="006350DF" w:rsidRPr="00B85224" w:rsidRDefault="006350DF">
      <w:pPr>
        <w:spacing w:after="60"/>
        <w:jc w:val="both"/>
        <w:rPr>
          <w:rFonts w:ascii="Arial" w:hAnsi="Arial" w:cs="Arial"/>
        </w:rPr>
      </w:pPr>
    </w:p>
    <w:sectPr w:rsidR="006350DF" w:rsidRPr="00B85224" w:rsidSect="00981EE7">
      <w:headerReference w:type="even" r:id="rId11"/>
      <w:headerReference w:type="default" r:id="rId12"/>
      <w:footerReference w:type="even" r:id="rId13"/>
      <w:footerReference w:type="default" r:id="rId14"/>
      <w:headerReference w:type="first" r:id="rId15"/>
      <w:footerReference w:type="first" r:id="rId16"/>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4DD91" w14:textId="77777777" w:rsidR="00496685" w:rsidRDefault="00496685">
      <w:r>
        <w:separator/>
      </w:r>
    </w:p>
  </w:endnote>
  <w:endnote w:type="continuationSeparator" w:id="0">
    <w:p w14:paraId="13198652" w14:textId="77777777" w:rsidR="00496685" w:rsidRDefault="00496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7399741"/>
      <w:docPartObj>
        <w:docPartGallery w:val="Page Numbers (Bottom of Page)"/>
        <w:docPartUnique/>
      </w:docPartObj>
    </w:sdtPr>
    <w:sdtContent>
      <w:p w14:paraId="27952FD3" w14:textId="77777777" w:rsidR="006350DF" w:rsidRDefault="006350DF" w:rsidP="00FC5C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5873AB" w14:textId="77777777" w:rsidR="006350DF" w:rsidRDefault="00635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9853772"/>
      <w:docPartObj>
        <w:docPartGallery w:val="Page Numbers (Bottom of Page)"/>
        <w:docPartUnique/>
      </w:docPartObj>
    </w:sdtPr>
    <w:sdtContent>
      <w:p w14:paraId="70E08F92" w14:textId="77777777" w:rsidR="006350DF" w:rsidRDefault="006350DF" w:rsidP="00FC5C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71F0C494" w14:textId="77777777" w:rsidR="00D065D9" w:rsidRDefault="00D06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1926" w14:textId="77777777" w:rsidR="00981EE7" w:rsidRDefault="00981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B7F8F" w14:textId="77777777" w:rsidR="00496685" w:rsidRDefault="00496685">
      <w:r>
        <w:separator/>
      </w:r>
    </w:p>
  </w:footnote>
  <w:footnote w:type="continuationSeparator" w:id="0">
    <w:p w14:paraId="37B572C6" w14:textId="77777777" w:rsidR="00496685" w:rsidRDefault="004966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6AAA" w14:textId="71183AA9" w:rsidR="00981EE7" w:rsidRDefault="00981EE7">
    <w:pPr>
      <w:pStyle w:val="Header"/>
    </w:pPr>
    <w:r>
      <w:rPr>
        <w:noProof/>
      </w:rPr>
      <w:pict w14:anchorId="59962B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6"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B25C" w14:textId="79A27974" w:rsidR="00981EE7" w:rsidRDefault="00981EE7">
    <w:pPr>
      <w:pStyle w:val="Header"/>
    </w:pPr>
    <w:r>
      <w:rPr>
        <w:noProof/>
      </w:rPr>
      <w:pict w14:anchorId="60F6DD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7"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D2F2" w14:textId="1058B225" w:rsidR="00981EE7" w:rsidRDefault="00981EE7">
    <w:pPr>
      <w:pStyle w:val="Header"/>
    </w:pPr>
    <w:r>
      <w:rPr>
        <w:noProof/>
      </w:rPr>
      <w:pict w14:anchorId="06373E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5"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9640600">
    <w:abstractNumId w:val="8"/>
  </w:num>
  <w:num w:numId="2" w16cid:durableId="980812827">
    <w:abstractNumId w:val="6"/>
  </w:num>
  <w:num w:numId="3" w16cid:durableId="2054036140">
    <w:abstractNumId w:val="5"/>
  </w:num>
  <w:num w:numId="4" w16cid:durableId="1745371109">
    <w:abstractNumId w:val="4"/>
  </w:num>
  <w:num w:numId="5" w16cid:durableId="7366948">
    <w:abstractNumId w:val="7"/>
  </w:num>
  <w:num w:numId="6" w16cid:durableId="1954631071">
    <w:abstractNumId w:val="3"/>
  </w:num>
  <w:num w:numId="7" w16cid:durableId="323824901">
    <w:abstractNumId w:val="2"/>
  </w:num>
  <w:num w:numId="8" w16cid:durableId="1178545638">
    <w:abstractNumId w:val="1"/>
  </w:num>
  <w:num w:numId="9" w16cid:durableId="96038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312"/>
    <w:rsid w:val="00034616"/>
    <w:rsid w:val="0006063C"/>
    <w:rsid w:val="0007191D"/>
    <w:rsid w:val="00090D32"/>
    <w:rsid w:val="000C3B3F"/>
    <w:rsid w:val="0015074B"/>
    <w:rsid w:val="00157702"/>
    <w:rsid w:val="002013CC"/>
    <w:rsid w:val="00217DA8"/>
    <w:rsid w:val="002470CB"/>
    <w:rsid w:val="002833A2"/>
    <w:rsid w:val="0029639D"/>
    <w:rsid w:val="002A422F"/>
    <w:rsid w:val="002B4CC9"/>
    <w:rsid w:val="002C198D"/>
    <w:rsid w:val="002F704B"/>
    <w:rsid w:val="003022DA"/>
    <w:rsid w:val="0030340F"/>
    <w:rsid w:val="00305CEB"/>
    <w:rsid w:val="00326F90"/>
    <w:rsid w:val="0033287B"/>
    <w:rsid w:val="0034647F"/>
    <w:rsid w:val="00383A07"/>
    <w:rsid w:val="003A1B77"/>
    <w:rsid w:val="003C275A"/>
    <w:rsid w:val="003E48C9"/>
    <w:rsid w:val="00412BF4"/>
    <w:rsid w:val="004203FE"/>
    <w:rsid w:val="0042193E"/>
    <w:rsid w:val="00433F4C"/>
    <w:rsid w:val="004537E7"/>
    <w:rsid w:val="00460992"/>
    <w:rsid w:val="00496685"/>
    <w:rsid w:val="004C1DC9"/>
    <w:rsid w:val="004D2535"/>
    <w:rsid w:val="0056111F"/>
    <w:rsid w:val="00597FB9"/>
    <w:rsid w:val="005D7C91"/>
    <w:rsid w:val="005F2EF5"/>
    <w:rsid w:val="006350DF"/>
    <w:rsid w:val="00657749"/>
    <w:rsid w:val="006830A2"/>
    <w:rsid w:val="006E144F"/>
    <w:rsid w:val="0070287D"/>
    <w:rsid w:val="00730272"/>
    <w:rsid w:val="00760287"/>
    <w:rsid w:val="0079615F"/>
    <w:rsid w:val="007A6AA8"/>
    <w:rsid w:val="007D3D1C"/>
    <w:rsid w:val="007E3224"/>
    <w:rsid w:val="0081538D"/>
    <w:rsid w:val="008221AB"/>
    <w:rsid w:val="0082463D"/>
    <w:rsid w:val="00825468"/>
    <w:rsid w:val="00875EA0"/>
    <w:rsid w:val="00880AE0"/>
    <w:rsid w:val="008A473C"/>
    <w:rsid w:val="008E76A1"/>
    <w:rsid w:val="00981EE7"/>
    <w:rsid w:val="009A4F75"/>
    <w:rsid w:val="00A23F4D"/>
    <w:rsid w:val="00A46BA5"/>
    <w:rsid w:val="00A96D6C"/>
    <w:rsid w:val="00AA1D8D"/>
    <w:rsid w:val="00AB1E31"/>
    <w:rsid w:val="00B137FA"/>
    <w:rsid w:val="00B34A26"/>
    <w:rsid w:val="00B4381E"/>
    <w:rsid w:val="00B47730"/>
    <w:rsid w:val="00B85224"/>
    <w:rsid w:val="00BA6D6E"/>
    <w:rsid w:val="00BA71E6"/>
    <w:rsid w:val="00BB1837"/>
    <w:rsid w:val="00BE25F5"/>
    <w:rsid w:val="00BE4813"/>
    <w:rsid w:val="00C20BB4"/>
    <w:rsid w:val="00C40275"/>
    <w:rsid w:val="00C545FE"/>
    <w:rsid w:val="00CB0664"/>
    <w:rsid w:val="00D065D9"/>
    <w:rsid w:val="00D671EE"/>
    <w:rsid w:val="00D8623F"/>
    <w:rsid w:val="00DA0E4C"/>
    <w:rsid w:val="00DA117A"/>
    <w:rsid w:val="00DB3746"/>
    <w:rsid w:val="00DD572E"/>
    <w:rsid w:val="00DE2CEE"/>
    <w:rsid w:val="00E06CD8"/>
    <w:rsid w:val="00E173CF"/>
    <w:rsid w:val="00E60BE8"/>
    <w:rsid w:val="00E73B2B"/>
    <w:rsid w:val="00E90868"/>
    <w:rsid w:val="00EA4B67"/>
    <w:rsid w:val="00EE7CCF"/>
    <w:rsid w:val="00F2045E"/>
    <w:rsid w:val="00F26BB4"/>
    <w:rsid w:val="00F3269A"/>
    <w:rsid w:val="00F83871"/>
    <w:rsid w:val="00F925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7C9F33"/>
  <w14:defaultImageDpi w14:val="300"/>
  <w15:docId w15:val="{1445FDDC-4C8B-2543-A18E-7FB193C1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0C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DefaultParagraphFont"/>
    <w:rsid w:val="008E76A1"/>
  </w:style>
  <w:style w:type="paragraph" w:customStyle="1" w:styleId="p3">
    <w:name w:val="p3"/>
    <w:basedOn w:val="Normal"/>
    <w:rsid w:val="008E76A1"/>
    <w:pPr>
      <w:spacing w:before="100" w:beforeAutospacing="1" w:after="100" w:afterAutospacing="1"/>
    </w:pPr>
  </w:style>
  <w:style w:type="character" w:styleId="Hyperlink">
    <w:name w:val="Hyperlink"/>
    <w:basedOn w:val="DefaultParagraphFont"/>
    <w:uiPriority w:val="99"/>
    <w:unhideWhenUsed/>
    <w:rsid w:val="008E76A1"/>
    <w:rPr>
      <w:color w:val="0000FF"/>
      <w:u w:val="single"/>
    </w:rPr>
  </w:style>
  <w:style w:type="paragraph" w:customStyle="1" w:styleId="p4">
    <w:name w:val="p4"/>
    <w:basedOn w:val="Normal"/>
    <w:rsid w:val="008E76A1"/>
    <w:pPr>
      <w:spacing w:before="100" w:beforeAutospacing="1" w:after="100" w:afterAutospacing="1"/>
    </w:pPr>
  </w:style>
  <w:style w:type="character" w:styleId="UnresolvedMention">
    <w:name w:val="Unresolved Mention"/>
    <w:basedOn w:val="DefaultParagraphFont"/>
    <w:uiPriority w:val="99"/>
    <w:semiHidden/>
    <w:unhideWhenUsed/>
    <w:rsid w:val="006350DF"/>
    <w:rPr>
      <w:color w:val="605E5C"/>
      <w:shd w:val="clear" w:color="auto" w:fill="E1DFDD"/>
    </w:rPr>
  </w:style>
  <w:style w:type="paragraph" w:customStyle="1" w:styleId="p1">
    <w:name w:val="p1"/>
    <w:basedOn w:val="Normal"/>
    <w:rsid w:val="006350DF"/>
    <w:pPr>
      <w:spacing w:before="100" w:beforeAutospacing="1" w:after="100" w:afterAutospacing="1"/>
    </w:pPr>
  </w:style>
  <w:style w:type="character" w:customStyle="1" w:styleId="apple-converted-space">
    <w:name w:val="apple-converted-space"/>
    <w:basedOn w:val="DefaultParagraphFont"/>
    <w:rsid w:val="006350DF"/>
  </w:style>
  <w:style w:type="character" w:styleId="PageNumber">
    <w:name w:val="page number"/>
    <w:basedOn w:val="DefaultParagraphFont"/>
    <w:uiPriority w:val="99"/>
    <w:semiHidden/>
    <w:unhideWhenUsed/>
    <w:rsid w:val="006350DF"/>
  </w:style>
  <w:style w:type="character" w:styleId="LineNumber">
    <w:name w:val="line number"/>
    <w:basedOn w:val="DefaultParagraphFont"/>
    <w:uiPriority w:val="99"/>
    <w:semiHidden/>
    <w:unhideWhenUsed/>
    <w:rsid w:val="0056111F"/>
  </w:style>
  <w:style w:type="character" w:customStyle="1" w:styleId="s2">
    <w:name w:val="s2"/>
    <w:basedOn w:val="DefaultParagraphFont"/>
    <w:rsid w:val="00DD5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3783">
      <w:bodyDiv w:val="1"/>
      <w:marLeft w:val="0"/>
      <w:marRight w:val="0"/>
      <w:marTop w:val="0"/>
      <w:marBottom w:val="0"/>
      <w:divBdr>
        <w:top w:val="none" w:sz="0" w:space="0" w:color="auto"/>
        <w:left w:val="none" w:sz="0" w:space="0" w:color="auto"/>
        <w:bottom w:val="none" w:sz="0" w:space="0" w:color="auto"/>
        <w:right w:val="none" w:sz="0" w:space="0" w:color="auto"/>
      </w:divBdr>
    </w:div>
    <w:div w:id="87626885">
      <w:bodyDiv w:val="1"/>
      <w:marLeft w:val="0"/>
      <w:marRight w:val="0"/>
      <w:marTop w:val="0"/>
      <w:marBottom w:val="0"/>
      <w:divBdr>
        <w:top w:val="none" w:sz="0" w:space="0" w:color="auto"/>
        <w:left w:val="none" w:sz="0" w:space="0" w:color="auto"/>
        <w:bottom w:val="none" w:sz="0" w:space="0" w:color="auto"/>
        <w:right w:val="none" w:sz="0" w:space="0" w:color="auto"/>
      </w:divBdr>
    </w:div>
    <w:div w:id="104615165">
      <w:bodyDiv w:val="1"/>
      <w:marLeft w:val="0"/>
      <w:marRight w:val="0"/>
      <w:marTop w:val="0"/>
      <w:marBottom w:val="0"/>
      <w:divBdr>
        <w:top w:val="none" w:sz="0" w:space="0" w:color="auto"/>
        <w:left w:val="none" w:sz="0" w:space="0" w:color="auto"/>
        <w:bottom w:val="none" w:sz="0" w:space="0" w:color="auto"/>
        <w:right w:val="none" w:sz="0" w:space="0" w:color="auto"/>
      </w:divBdr>
    </w:div>
    <w:div w:id="107701087">
      <w:bodyDiv w:val="1"/>
      <w:marLeft w:val="0"/>
      <w:marRight w:val="0"/>
      <w:marTop w:val="0"/>
      <w:marBottom w:val="0"/>
      <w:divBdr>
        <w:top w:val="none" w:sz="0" w:space="0" w:color="auto"/>
        <w:left w:val="none" w:sz="0" w:space="0" w:color="auto"/>
        <w:bottom w:val="none" w:sz="0" w:space="0" w:color="auto"/>
        <w:right w:val="none" w:sz="0" w:space="0" w:color="auto"/>
      </w:divBdr>
    </w:div>
    <w:div w:id="148178689">
      <w:bodyDiv w:val="1"/>
      <w:marLeft w:val="0"/>
      <w:marRight w:val="0"/>
      <w:marTop w:val="0"/>
      <w:marBottom w:val="0"/>
      <w:divBdr>
        <w:top w:val="none" w:sz="0" w:space="0" w:color="auto"/>
        <w:left w:val="none" w:sz="0" w:space="0" w:color="auto"/>
        <w:bottom w:val="none" w:sz="0" w:space="0" w:color="auto"/>
        <w:right w:val="none" w:sz="0" w:space="0" w:color="auto"/>
      </w:divBdr>
    </w:div>
    <w:div w:id="150679687">
      <w:bodyDiv w:val="1"/>
      <w:marLeft w:val="0"/>
      <w:marRight w:val="0"/>
      <w:marTop w:val="0"/>
      <w:marBottom w:val="0"/>
      <w:divBdr>
        <w:top w:val="none" w:sz="0" w:space="0" w:color="auto"/>
        <w:left w:val="none" w:sz="0" w:space="0" w:color="auto"/>
        <w:bottom w:val="none" w:sz="0" w:space="0" w:color="auto"/>
        <w:right w:val="none" w:sz="0" w:space="0" w:color="auto"/>
      </w:divBdr>
    </w:div>
    <w:div w:id="165101767">
      <w:bodyDiv w:val="1"/>
      <w:marLeft w:val="0"/>
      <w:marRight w:val="0"/>
      <w:marTop w:val="0"/>
      <w:marBottom w:val="0"/>
      <w:divBdr>
        <w:top w:val="none" w:sz="0" w:space="0" w:color="auto"/>
        <w:left w:val="none" w:sz="0" w:space="0" w:color="auto"/>
        <w:bottom w:val="none" w:sz="0" w:space="0" w:color="auto"/>
        <w:right w:val="none" w:sz="0" w:space="0" w:color="auto"/>
      </w:divBdr>
    </w:div>
    <w:div w:id="190850541">
      <w:bodyDiv w:val="1"/>
      <w:marLeft w:val="0"/>
      <w:marRight w:val="0"/>
      <w:marTop w:val="0"/>
      <w:marBottom w:val="0"/>
      <w:divBdr>
        <w:top w:val="none" w:sz="0" w:space="0" w:color="auto"/>
        <w:left w:val="none" w:sz="0" w:space="0" w:color="auto"/>
        <w:bottom w:val="none" w:sz="0" w:space="0" w:color="auto"/>
        <w:right w:val="none" w:sz="0" w:space="0" w:color="auto"/>
      </w:divBdr>
    </w:div>
    <w:div w:id="192495620">
      <w:bodyDiv w:val="1"/>
      <w:marLeft w:val="0"/>
      <w:marRight w:val="0"/>
      <w:marTop w:val="0"/>
      <w:marBottom w:val="0"/>
      <w:divBdr>
        <w:top w:val="none" w:sz="0" w:space="0" w:color="auto"/>
        <w:left w:val="none" w:sz="0" w:space="0" w:color="auto"/>
        <w:bottom w:val="none" w:sz="0" w:space="0" w:color="auto"/>
        <w:right w:val="none" w:sz="0" w:space="0" w:color="auto"/>
      </w:divBdr>
    </w:div>
    <w:div w:id="196042794">
      <w:bodyDiv w:val="1"/>
      <w:marLeft w:val="0"/>
      <w:marRight w:val="0"/>
      <w:marTop w:val="0"/>
      <w:marBottom w:val="0"/>
      <w:divBdr>
        <w:top w:val="none" w:sz="0" w:space="0" w:color="auto"/>
        <w:left w:val="none" w:sz="0" w:space="0" w:color="auto"/>
        <w:bottom w:val="none" w:sz="0" w:space="0" w:color="auto"/>
        <w:right w:val="none" w:sz="0" w:space="0" w:color="auto"/>
      </w:divBdr>
    </w:div>
    <w:div w:id="236520932">
      <w:bodyDiv w:val="1"/>
      <w:marLeft w:val="0"/>
      <w:marRight w:val="0"/>
      <w:marTop w:val="0"/>
      <w:marBottom w:val="0"/>
      <w:divBdr>
        <w:top w:val="none" w:sz="0" w:space="0" w:color="auto"/>
        <w:left w:val="none" w:sz="0" w:space="0" w:color="auto"/>
        <w:bottom w:val="none" w:sz="0" w:space="0" w:color="auto"/>
        <w:right w:val="none" w:sz="0" w:space="0" w:color="auto"/>
      </w:divBdr>
    </w:div>
    <w:div w:id="259068311">
      <w:bodyDiv w:val="1"/>
      <w:marLeft w:val="0"/>
      <w:marRight w:val="0"/>
      <w:marTop w:val="0"/>
      <w:marBottom w:val="0"/>
      <w:divBdr>
        <w:top w:val="none" w:sz="0" w:space="0" w:color="auto"/>
        <w:left w:val="none" w:sz="0" w:space="0" w:color="auto"/>
        <w:bottom w:val="none" w:sz="0" w:space="0" w:color="auto"/>
        <w:right w:val="none" w:sz="0" w:space="0" w:color="auto"/>
      </w:divBdr>
    </w:div>
    <w:div w:id="288364130">
      <w:bodyDiv w:val="1"/>
      <w:marLeft w:val="0"/>
      <w:marRight w:val="0"/>
      <w:marTop w:val="0"/>
      <w:marBottom w:val="0"/>
      <w:divBdr>
        <w:top w:val="none" w:sz="0" w:space="0" w:color="auto"/>
        <w:left w:val="none" w:sz="0" w:space="0" w:color="auto"/>
        <w:bottom w:val="none" w:sz="0" w:space="0" w:color="auto"/>
        <w:right w:val="none" w:sz="0" w:space="0" w:color="auto"/>
      </w:divBdr>
    </w:div>
    <w:div w:id="310602726">
      <w:bodyDiv w:val="1"/>
      <w:marLeft w:val="0"/>
      <w:marRight w:val="0"/>
      <w:marTop w:val="0"/>
      <w:marBottom w:val="0"/>
      <w:divBdr>
        <w:top w:val="none" w:sz="0" w:space="0" w:color="auto"/>
        <w:left w:val="none" w:sz="0" w:space="0" w:color="auto"/>
        <w:bottom w:val="none" w:sz="0" w:space="0" w:color="auto"/>
        <w:right w:val="none" w:sz="0" w:space="0" w:color="auto"/>
      </w:divBdr>
    </w:div>
    <w:div w:id="353386874">
      <w:bodyDiv w:val="1"/>
      <w:marLeft w:val="0"/>
      <w:marRight w:val="0"/>
      <w:marTop w:val="0"/>
      <w:marBottom w:val="0"/>
      <w:divBdr>
        <w:top w:val="none" w:sz="0" w:space="0" w:color="auto"/>
        <w:left w:val="none" w:sz="0" w:space="0" w:color="auto"/>
        <w:bottom w:val="none" w:sz="0" w:space="0" w:color="auto"/>
        <w:right w:val="none" w:sz="0" w:space="0" w:color="auto"/>
      </w:divBdr>
    </w:div>
    <w:div w:id="404226787">
      <w:bodyDiv w:val="1"/>
      <w:marLeft w:val="0"/>
      <w:marRight w:val="0"/>
      <w:marTop w:val="0"/>
      <w:marBottom w:val="0"/>
      <w:divBdr>
        <w:top w:val="none" w:sz="0" w:space="0" w:color="auto"/>
        <w:left w:val="none" w:sz="0" w:space="0" w:color="auto"/>
        <w:bottom w:val="none" w:sz="0" w:space="0" w:color="auto"/>
        <w:right w:val="none" w:sz="0" w:space="0" w:color="auto"/>
      </w:divBdr>
    </w:div>
    <w:div w:id="432210984">
      <w:bodyDiv w:val="1"/>
      <w:marLeft w:val="0"/>
      <w:marRight w:val="0"/>
      <w:marTop w:val="0"/>
      <w:marBottom w:val="0"/>
      <w:divBdr>
        <w:top w:val="none" w:sz="0" w:space="0" w:color="auto"/>
        <w:left w:val="none" w:sz="0" w:space="0" w:color="auto"/>
        <w:bottom w:val="none" w:sz="0" w:space="0" w:color="auto"/>
        <w:right w:val="none" w:sz="0" w:space="0" w:color="auto"/>
      </w:divBdr>
    </w:div>
    <w:div w:id="435054370">
      <w:bodyDiv w:val="1"/>
      <w:marLeft w:val="0"/>
      <w:marRight w:val="0"/>
      <w:marTop w:val="0"/>
      <w:marBottom w:val="0"/>
      <w:divBdr>
        <w:top w:val="none" w:sz="0" w:space="0" w:color="auto"/>
        <w:left w:val="none" w:sz="0" w:space="0" w:color="auto"/>
        <w:bottom w:val="none" w:sz="0" w:space="0" w:color="auto"/>
        <w:right w:val="none" w:sz="0" w:space="0" w:color="auto"/>
      </w:divBdr>
    </w:div>
    <w:div w:id="548347803">
      <w:bodyDiv w:val="1"/>
      <w:marLeft w:val="0"/>
      <w:marRight w:val="0"/>
      <w:marTop w:val="0"/>
      <w:marBottom w:val="0"/>
      <w:divBdr>
        <w:top w:val="none" w:sz="0" w:space="0" w:color="auto"/>
        <w:left w:val="none" w:sz="0" w:space="0" w:color="auto"/>
        <w:bottom w:val="none" w:sz="0" w:space="0" w:color="auto"/>
        <w:right w:val="none" w:sz="0" w:space="0" w:color="auto"/>
      </w:divBdr>
    </w:div>
    <w:div w:id="548763265">
      <w:bodyDiv w:val="1"/>
      <w:marLeft w:val="0"/>
      <w:marRight w:val="0"/>
      <w:marTop w:val="0"/>
      <w:marBottom w:val="0"/>
      <w:divBdr>
        <w:top w:val="none" w:sz="0" w:space="0" w:color="auto"/>
        <w:left w:val="none" w:sz="0" w:space="0" w:color="auto"/>
        <w:bottom w:val="none" w:sz="0" w:space="0" w:color="auto"/>
        <w:right w:val="none" w:sz="0" w:space="0" w:color="auto"/>
      </w:divBdr>
    </w:div>
    <w:div w:id="591743729">
      <w:bodyDiv w:val="1"/>
      <w:marLeft w:val="0"/>
      <w:marRight w:val="0"/>
      <w:marTop w:val="0"/>
      <w:marBottom w:val="0"/>
      <w:divBdr>
        <w:top w:val="none" w:sz="0" w:space="0" w:color="auto"/>
        <w:left w:val="none" w:sz="0" w:space="0" w:color="auto"/>
        <w:bottom w:val="none" w:sz="0" w:space="0" w:color="auto"/>
        <w:right w:val="none" w:sz="0" w:space="0" w:color="auto"/>
      </w:divBdr>
    </w:div>
    <w:div w:id="670763920">
      <w:bodyDiv w:val="1"/>
      <w:marLeft w:val="0"/>
      <w:marRight w:val="0"/>
      <w:marTop w:val="0"/>
      <w:marBottom w:val="0"/>
      <w:divBdr>
        <w:top w:val="none" w:sz="0" w:space="0" w:color="auto"/>
        <w:left w:val="none" w:sz="0" w:space="0" w:color="auto"/>
        <w:bottom w:val="none" w:sz="0" w:space="0" w:color="auto"/>
        <w:right w:val="none" w:sz="0" w:space="0" w:color="auto"/>
      </w:divBdr>
    </w:div>
    <w:div w:id="726414029">
      <w:bodyDiv w:val="1"/>
      <w:marLeft w:val="0"/>
      <w:marRight w:val="0"/>
      <w:marTop w:val="0"/>
      <w:marBottom w:val="0"/>
      <w:divBdr>
        <w:top w:val="none" w:sz="0" w:space="0" w:color="auto"/>
        <w:left w:val="none" w:sz="0" w:space="0" w:color="auto"/>
        <w:bottom w:val="none" w:sz="0" w:space="0" w:color="auto"/>
        <w:right w:val="none" w:sz="0" w:space="0" w:color="auto"/>
      </w:divBdr>
    </w:div>
    <w:div w:id="781534826">
      <w:bodyDiv w:val="1"/>
      <w:marLeft w:val="0"/>
      <w:marRight w:val="0"/>
      <w:marTop w:val="0"/>
      <w:marBottom w:val="0"/>
      <w:divBdr>
        <w:top w:val="none" w:sz="0" w:space="0" w:color="auto"/>
        <w:left w:val="none" w:sz="0" w:space="0" w:color="auto"/>
        <w:bottom w:val="none" w:sz="0" w:space="0" w:color="auto"/>
        <w:right w:val="none" w:sz="0" w:space="0" w:color="auto"/>
      </w:divBdr>
    </w:div>
    <w:div w:id="795441727">
      <w:bodyDiv w:val="1"/>
      <w:marLeft w:val="0"/>
      <w:marRight w:val="0"/>
      <w:marTop w:val="0"/>
      <w:marBottom w:val="0"/>
      <w:divBdr>
        <w:top w:val="none" w:sz="0" w:space="0" w:color="auto"/>
        <w:left w:val="none" w:sz="0" w:space="0" w:color="auto"/>
        <w:bottom w:val="none" w:sz="0" w:space="0" w:color="auto"/>
        <w:right w:val="none" w:sz="0" w:space="0" w:color="auto"/>
      </w:divBdr>
    </w:div>
    <w:div w:id="833029560">
      <w:bodyDiv w:val="1"/>
      <w:marLeft w:val="0"/>
      <w:marRight w:val="0"/>
      <w:marTop w:val="0"/>
      <w:marBottom w:val="0"/>
      <w:divBdr>
        <w:top w:val="none" w:sz="0" w:space="0" w:color="auto"/>
        <w:left w:val="none" w:sz="0" w:space="0" w:color="auto"/>
        <w:bottom w:val="none" w:sz="0" w:space="0" w:color="auto"/>
        <w:right w:val="none" w:sz="0" w:space="0" w:color="auto"/>
      </w:divBdr>
    </w:div>
    <w:div w:id="932396818">
      <w:bodyDiv w:val="1"/>
      <w:marLeft w:val="0"/>
      <w:marRight w:val="0"/>
      <w:marTop w:val="0"/>
      <w:marBottom w:val="0"/>
      <w:divBdr>
        <w:top w:val="none" w:sz="0" w:space="0" w:color="auto"/>
        <w:left w:val="none" w:sz="0" w:space="0" w:color="auto"/>
        <w:bottom w:val="none" w:sz="0" w:space="0" w:color="auto"/>
        <w:right w:val="none" w:sz="0" w:space="0" w:color="auto"/>
      </w:divBdr>
    </w:div>
    <w:div w:id="1040666496">
      <w:bodyDiv w:val="1"/>
      <w:marLeft w:val="0"/>
      <w:marRight w:val="0"/>
      <w:marTop w:val="0"/>
      <w:marBottom w:val="0"/>
      <w:divBdr>
        <w:top w:val="none" w:sz="0" w:space="0" w:color="auto"/>
        <w:left w:val="none" w:sz="0" w:space="0" w:color="auto"/>
        <w:bottom w:val="none" w:sz="0" w:space="0" w:color="auto"/>
        <w:right w:val="none" w:sz="0" w:space="0" w:color="auto"/>
      </w:divBdr>
    </w:div>
    <w:div w:id="1058670076">
      <w:bodyDiv w:val="1"/>
      <w:marLeft w:val="0"/>
      <w:marRight w:val="0"/>
      <w:marTop w:val="0"/>
      <w:marBottom w:val="0"/>
      <w:divBdr>
        <w:top w:val="none" w:sz="0" w:space="0" w:color="auto"/>
        <w:left w:val="none" w:sz="0" w:space="0" w:color="auto"/>
        <w:bottom w:val="none" w:sz="0" w:space="0" w:color="auto"/>
        <w:right w:val="none" w:sz="0" w:space="0" w:color="auto"/>
      </w:divBdr>
    </w:div>
    <w:div w:id="1139690147">
      <w:bodyDiv w:val="1"/>
      <w:marLeft w:val="0"/>
      <w:marRight w:val="0"/>
      <w:marTop w:val="0"/>
      <w:marBottom w:val="0"/>
      <w:divBdr>
        <w:top w:val="none" w:sz="0" w:space="0" w:color="auto"/>
        <w:left w:val="none" w:sz="0" w:space="0" w:color="auto"/>
        <w:bottom w:val="none" w:sz="0" w:space="0" w:color="auto"/>
        <w:right w:val="none" w:sz="0" w:space="0" w:color="auto"/>
      </w:divBdr>
    </w:div>
    <w:div w:id="1208878225">
      <w:bodyDiv w:val="1"/>
      <w:marLeft w:val="0"/>
      <w:marRight w:val="0"/>
      <w:marTop w:val="0"/>
      <w:marBottom w:val="0"/>
      <w:divBdr>
        <w:top w:val="none" w:sz="0" w:space="0" w:color="auto"/>
        <w:left w:val="none" w:sz="0" w:space="0" w:color="auto"/>
        <w:bottom w:val="none" w:sz="0" w:space="0" w:color="auto"/>
        <w:right w:val="none" w:sz="0" w:space="0" w:color="auto"/>
      </w:divBdr>
    </w:div>
    <w:div w:id="1245796514">
      <w:bodyDiv w:val="1"/>
      <w:marLeft w:val="0"/>
      <w:marRight w:val="0"/>
      <w:marTop w:val="0"/>
      <w:marBottom w:val="0"/>
      <w:divBdr>
        <w:top w:val="none" w:sz="0" w:space="0" w:color="auto"/>
        <w:left w:val="none" w:sz="0" w:space="0" w:color="auto"/>
        <w:bottom w:val="none" w:sz="0" w:space="0" w:color="auto"/>
        <w:right w:val="none" w:sz="0" w:space="0" w:color="auto"/>
      </w:divBdr>
    </w:div>
    <w:div w:id="1265579954">
      <w:bodyDiv w:val="1"/>
      <w:marLeft w:val="0"/>
      <w:marRight w:val="0"/>
      <w:marTop w:val="0"/>
      <w:marBottom w:val="0"/>
      <w:divBdr>
        <w:top w:val="none" w:sz="0" w:space="0" w:color="auto"/>
        <w:left w:val="none" w:sz="0" w:space="0" w:color="auto"/>
        <w:bottom w:val="none" w:sz="0" w:space="0" w:color="auto"/>
        <w:right w:val="none" w:sz="0" w:space="0" w:color="auto"/>
      </w:divBdr>
    </w:div>
    <w:div w:id="1270118660">
      <w:bodyDiv w:val="1"/>
      <w:marLeft w:val="0"/>
      <w:marRight w:val="0"/>
      <w:marTop w:val="0"/>
      <w:marBottom w:val="0"/>
      <w:divBdr>
        <w:top w:val="none" w:sz="0" w:space="0" w:color="auto"/>
        <w:left w:val="none" w:sz="0" w:space="0" w:color="auto"/>
        <w:bottom w:val="none" w:sz="0" w:space="0" w:color="auto"/>
        <w:right w:val="none" w:sz="0" w:space="0" w:color="auto"/>
      </w:divBdr>
    </w:div>
    <w:div w:id="1300646363">
      <w:bodyDiv w:val="1"/>
      <w:marLeft w:val="0"/>
      <w:marRight w:val="0"/>
      <w:marTop w:val="0"/>
      <w:marBottom w:val="0"/>
      <w:divBdr>
        <w:top w:val="none" w:sz="0" w:space="0" w:color="auto"/>
        <w:left w:val="none" w:sz="0" w:space="0" w:color="auto"/>
        <w:bottom w:val="none" w:sz="0" w:space="0" w:color="auto"/>
        <w:right w:val="none" w:sz="0" w:space="0" w:color="auto"/>
      </w:divBdr>
    </w:div>
    <w:div w:id="1320843157">
      <w:bodyDiv w:val="1"/>
      <w:marLeft w:val="0"/>
      <w:marRight w:val="0"/>
      <w:marTop w:val="0"/>
      <w:marBottom w:val="0"/>
      <w:divBdr>
        <w:top w:val="none" w:sz="0" w:space="0" w:color="auto"/>
        <w:left w:val="none" w:sz="0" w:space="0" w:color="auto"/>
        <w:bottom w:val="none" w:sz="0" w:space="0" w:color="auto"/>
        <w:right w:val="none" w:sz="0" w:space="0" w:color="auto"/>
      </w:divBdr>
    </w:div>
    <w:div w:id="1435905033">
      <w:bodyDiv w:val="1"/>
      <w:marLeft w:val="0"/>
      <w:marRight w:val="0"/>
      <w:marTop w:val="0"/>
      <w:marBottom w:val="0"/>
      <w:divBdr>
        <w:top w:val="none" w:sz="0" w:space="0" w:color="auto"/>
        <w:left w:val="none" w:sz="0" w:space="0" w:color="auto"/>
        <w:bottom w:val="none" w:sz="0" w:space="0" w:color="auto"/>
        <w:right w:val="none" w:sz="0" w:space="0" w:color="auto"/>
      </w:divBdr>
    </w:div>
    <w:div w:id="1509447313">
      <w:bodyDiv w:val="1"/>
      <w:marLeft w:val="0"/>
      <w:marRight w:val="0"/>
      <w:marTop w:val="0"/>
      <w:marBottom w:val="0"/>
      <w:divBdr>
        <w:top w:val="none" w:sz="0" w:space="0" w:color="auto"/>
        <w:left w:val="none" w:sz="0" w:space="0" w:color="auto"/>
        <w:bottom w:val="none" w:sz="0" w:space="0" w:color="auto"/>
        <w:right w:val="none" w:sz="0" w:space="0" w:color="auto"/>
      </w:divBdr>
    </w:div>
    <w:div w:id="1580283679">
      <w:bodyDiv w:val="1"/>
      <w:marLeft w:val="0"/>
      <w:marRight w:val="0"/>
      <w:marTop w:val="0"/>
      <w:marBottom w:val="0"/>
      <w:divBdr>
        <w:top w:val="none" w:sz="0" w:space="0" w:color="auto"/>
        <w:left w:val="none" w:sz="0" w:space="0" w:color="auto"/>
        <w:bottom w:val="none" w:sz="0" w:space="0" w:color="auto"/>
        <w:right w:val="none" w:sz="0" w:space="0" w:color="auto"/>
      </w:divBdr>
    </w:div>
    <w:div w:id="1613126372">
      <w:bodyDiv w:val="1"/>
      <w:marLeft w:val="0"/>
      <w:marRight w:val="0"/>
      <w:marTop w:val="0"/>
      <w:marBottom w:val="0"/>
      <w:divBdr>
        <w:top w:val="none" w:sz="0" w:space="0" w:color="auto"/>
        <w:left w:val="none" w:sz="0" w:space="0" w:color="auto"/>
        <w:bottom w:val="none" w:sz="0" w:space="0" w:color="auto"/>
        <w:right w:val="none" w:sz="0" w:space="0" w:color="auto"/>
      </w:divBdr>
    </w:div>
    <w:div w:id="1623345723">
      <w:bodyDiv w:val="1"/>
      <w:marLeft w:val="0"/>
      <w:marRight w:val="0"/>
      <w:marTop w:val="0"/>
      <w:marBottom w:val="0"/>
      <w:divBdr>
        <w:top w:val="none" w:sz="0" w:space="0" w:color="auto"/>
        <w:left w:val="none" w:sz="0" w:space="0" w:color="auto"/>
        <w:bottom w:val="none" w:sz="0" w:space="0" w:color="auto"/>
        <w:right w:val="none" w:sz="0" w:space="0" w:color="auto"/>
      </w:divBdr>
    </w:div>
    <w:div w:id="1797680084">
      <w:bodyDiv w:val="1"/>
      <w:marLeft w:val="0"/>
      <w:marRight w:val="0"/>
      <w:marTop w:val="0"/>
      <w:marBottom w:val="0"/>
      <w:divBdr>
        <w:top w:val="none" w:sz="0" w:space="0" w:color="auto"/>
        <w:left w:val="none" w:sz="0" w:space="0" w:color="auto"/>
        <w:bottom w:val="none" w:sz="0" w:space="0" w:color="auto"/>
        <w:right w:val="none" w:sz="0" w:space="0" w:color="auto"/>
      </w:divBdr>
    </w:div>
    <w:div w:id="1798331721">
      <w:bodyDiv w:val="1"/>
      <w:marLeft w:val="0"/>
      <w:marRight w:val="0"/>
      <w:marTop w:val="0"/>
      <w:marBottom w:val="0"/>
      <w:divBdr>
        <w:top w:val="none" w:sz="0" w:space="0" w:color="auto"/>
        <w:left w:val="none" w:sz="0" w:space="0" w:color="auto"/>
        <w:bottom w:val="none" w:sz="0" w:space="0" w:color="auto"/>
        <w:right w:val="none" w:sz="0" w:space="0" w:color="auto"/>
      </w:divBdr>
    </w:div>
    <w:div w:id="1811629157">
      <w:bodyDiv w:val="1"/>
      <w:marLeft w:val="0"/>
      <w:marRight w:val="0"/>
      <w:marTop w:val="0"/>
      <w:marBottom w:val="0"/>
      <w:divBdr>
        <w:top w:val="none" w:sz="0" w:space="0" w:color="auto"/>
        <w:left w:val="none" w:sz="0" w:space="0" w:color="auto"/>
        <w:bottom w:val="none" w:sz="0" w:space="0" w:color="auto"/>
        <w:right w:val="none" w:sz="0" w:space="0" w:color="auto"/>
      </w:divBdr>
    </w:div>
    <w:div w:id="1890802234">
      <w:bodyDiv w:val="1"/>
      <w:marLeft w:val="0"/>
      <w:marRight w:val="0"/>
      <w:marTop w:val="0"/>
      <w:marBottom w:val="0"/>
      <w:divBdr>
        <w:top w:val="none" w:sz="0" w:space="0" w:color="auto"/>
        <w:left w:val="none" w:sz="0" w:space="0" w:color="auto"/>
        <w:bottom w:val="none" w:sz="0" w:space="0" w:color="auto"/>
        <w:right w:val="none" w:sz="0" w:space="0" w:color="auto"/>
      </w:divBdr>
    </w:div>
    <w:div w:id="1900509821">
      <w:bodyDiv w:val="1"/>
      <w:marLeft w:val="0"/>
      <w:marRight w:val="0"/>
      <w:marTop w:val="0"/>
      <w:marBottom w:val="0"/>
      <w:divBdr>
        <w:top w:val="none" w:sz="0" w:space="0" w:color="auto"/>
        <w:left w:val="none" w:sz="0" w:space="0" w:color="auto"/>
        <w:bottom w:val="none" w:sz="0" w:space="0" w:color="auto"/>
        <w:right w:val="none" w:sz="0" w:space="0" w:color="auto"/>
      </w:divBdr>
    </w:div>
    <w:div w:id="1995060728">
      <w:bodyDiv w:val="1"/>
      <w:marLeft w:val="0"/>
      <w:marRight w:val="0"/>
      <w:marTop w:val="0"/>
      <w:marBottom w:val="0"/>
      <w:divBdr>
        <w:top w:val="none" w:sz="0" w:space="0" w:color="auto"/>
        <w:left w:val="none" w:sz="0" w:space="0" w:color="auto"/>
        <w:bottom w:val="none" w:sz="0" w:space="0" w:color="auto"/>
        <w:right w:val="none" w:sz="0" w:space="0" w:color="auto"/>
      </w:divBdr>
    </w:div>
    <w:div w:id="2059815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3390/nu1617289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10846</Words>
  <Characters>61823</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8</cp:revision>
  <dcterms:created xsi:type="dcterms:W3CDTF">2026-09-08T15:26:00Z</dcterms:created>
  <dcterms:modified xsi:type="dcterms:W3CDTF">2026-09-09T11:30:00Z</dcterms:modified>
  <cp:category/>
</cp:coreProperties>
</file>