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7572E" w14:textId="77777777" w:rsidR="002B19F3" w:rsidRDefault="002B19F3" w:rsidP="002B19F3">
      <w:pPr>
        <w:rPr>
          <w:rFonts w:ascii="Times New Roman" w:hAnsi="Times New Roman" w:cs="Times New Roman"/>
          <w:b/>
          <w:bCs/>
          <w:i/>
          <w:iCs/>
          <w:color w:val="000000" w:themeColor="text1"/>
          <w:sz w:val="28"/>
          <w:szCs w:val="28"/>
          <w:u w:val="single"/>
          <w:lang w:val="en-US"/>
        </w:rPr>
      </w:pPr>
      <w:r w:rsidRPr="002B19F3">
        <w:rPr>
          <w:rFonts w:ascii="Times New Roman" w:hAnsi="Times New Roman" w:cs="Times New Roman"/>
          <w:b/>
          <w:bCs/>
          <w:i/>
          <w:iCs/>
          <w:color w:val="000000" w:themeColor="text1"/>
          <w:sz w:val="28"/>
          <w:szCs w:val="28"/>
          <w:u w:val="single"/>
          <w:lang w:val="en-US"/>
        </w:rPr>
        <w:t>Original Research Article</w:t>
      </w:r>
    </w:p>
    <w:p w14:paraId="6C375406" w14:textId="77777777" w:rsidR="002B19F3" w:rsidRPr="002B19F3" w:rsidRDefault="002B19F3" w:rsidP="002B19F3">
      <w:pPr>
        <w:rPr>
          <w:rFonts w:ascii="Times New Roman" w:hAnsi="Times New Roman" w:cs="Times New Roman"/>
          <w:b/>
          <w:bCs/>
          <w:i/>
          <w:iCs/>
          <w:color w:val="000000" w:themeColor="text1"/>
          <w:sz w:val="28"/>
          <w:szCs w:val="28"/>
          <w:u w:val="single"/>
          <w:lang w:val="en-US"/>
        </w:rPr>
      </w:pPr>
    </w:p>
    <w:p w14:paraId="552ED15D" w14:textId="77777777" w:rsidR="003276B5" w:rsidRPr="00DC582F" w:rsidRDefault="003276B5">
      <w:pPr>
        <w:rPr>
          <w:rFonts w:ascii="Times New Roman" w:hAnsi="Times New Roman" w:cs="Times New Roman"/>
          <w:b/>
          <w:bCs/>
          <w:color w:val="000000" w:themeColor="text1"/>
          <w:sz w:val="28"/>
          <w:szCs w:val="28"/>
        </w:rPr>
      </w:pPr>
      <w:r w:rsidRPr="00DC582F">
        <w:rPr>
          <w:rFonts w:ascii="Times New Roman" w:hAnsi="Times New Roman" w:cs="Times New Roman"/>
          <w:b/>
          <w:bCs/>
          <w:color w:val="000000" w:themeColor="text1"/>
          <w:sz w:val="28"/>
          <w:szCs w:val="28"/>
        </w:rPr>
        <w:t>A Hybrid SEIR</w:t>
      </w:r>
      <w:r w:rsidR="00DC582F">
        <w:rPr>
          <w:rFonts w:ascii="Times New Roman" w:hAnsi="Times New Roman" w:cs="Times New Roman"/>
          <w:b/>
          <w:bCs/>
          <w:color w:val="000000" w:themeColor="text1"/>
          <w:sz w:val="28"/>
          <w:szCs w:val="28"/>
        </w:rPr>
        <w:t>-</w:t>
      </w:r>
      <w:r w:rsidRPr="00DC582F">
        <w:rPr>
          <w:rFonts w:ascii="Times New Roman" w:hAnsi="Times New Roman" w:cs="Times New Roman"/>
          <w:b/>
          <w:bCs/>
          <w:color w:val="000000" w:themeColor="text1"/>
          <w:sz w:val="28"/>
          <w:szCs w:val="28"/>
        </w:rPr>
        <w:t>SEI and ARIMA Modeling Framework to Evaluate Malaria Intervention Packages and Elimination Prospects in the Federal Capital Territory, Nigeria</w:t>
      </w:r>
    </w:p>
    <w:p w14:paraId="0022B85A" w14:textId="77777777" w:rsidR="007C12DD" w:rsidRPr="00DC582F" w:rsidRDefault="007C12DD">
      <w:pPr>
        <w:rPr>
          <w:rFonts w:ascii="Times New Roman" w:hAnsi="Times New Roman" w:cs="Times New Roman"/>
          <w:b/>
          <w:bCs/>
          <w:color w:val="000000" w:themeColor="text1"/>
          <w:sz w:val="28"/>
          <w:szCs w:val="28"/>
        </w:rPr>
      </w:pPr>
    </w:p>
    <w:p w14:paraId="136F907F" w14:textId="77777777" w:rsidR="007B1D63" w:rsidRDefault="007B1D63" w:rsidP="003276B5">
      <w:pPr>
        <w:pStyle w:val="NormalWeb"/>
        <w:rPr>
          <w:rStyle w:val="Strong"/>
          <w:color w:val="000000" w:themeColor="text1"/>
          <w:sz w:val="22"/>
          <w:szCs w:val="22"/>
        </w:rPr>
      </w:pPr>
    </w:p>
    <w:p w14:paraId="3A07247D" w14:textId="77777777" w:rsidR="003276B5" w:rsidRPr="00DC582F" w:rsidRDefault="003276B5" w:rsidP="003276B5">
      <w:pPr>
        <w:pStyle w:val="NormalWeb"/>
        <w:rPr>
          <w:color w:val="000000" w:themeColor="text1"/>
          <w:sz w:val="22"/>
          <w:szCs w:val="22"/>
        </w:rPr>
      </w:pPr>
      <w:r w:rsidRPr="00DC582F">
        <w:rPr>
          <w:rStyle w:val="Strong"/>
          <w:color w:val="000000" w:themeColor="text1"/>
          <w:sz w:val="22"/>
          <w:szCs w:val="22"/>
        </w:rPr>
        <w:t>Abstract</w:t>
      </w:r>
    </w:p>
    <w:p w14:paraId="3F0FACC5" w14:textId="77777777" w:rsidR="003276B5" w:rsidRPr="00DC582F" w:rsidRDefault="003276B5" w:rsidP="003276B5">
      <w:pPr>
        <w:pStyle w:val="NormalWeb"/>
        <w:rPr>
          <w:color w:val="000000" w:themeColor="text1"/>
          <w:sz w:val="22"/>
          <w:szCs w:val="22"/>
        </w:rPr>
      </w:pPr>
      <w:r w:rsidRPr="00DC582F">
        <w:rPr>
          <w:rStyle w:val="Strong"/>
          <w:b w:val="0"/>
          <w:bCs w:val="0"/>
          <w:color w:val="000000" w:themeColor="text1"/>
          <w:sz w:val="22"/>
          <w:szCs w:val="22"/>
        </w:rPr>
        <w:t>Background:</w:t>
      </w:r>
      <w:r w:rsidRPr="00DC582F">
        <w:rPr>
          <w:color w:val="000000" w:themeColor="text1"/>
          <w:sz w:val="22"/>
          <w:szCs w:val="22"/>
        </w:rPr>
        <w:t xml:space="preserve"> Despite substantial investments in malaria control, transmission remains persistent in Nigeria, including the Federal Capital Territory (FCT). Traditional mathematical models capture transmission dynamics, while time-series approaches provide short-term forecasts; however, these methods are often applied independently, limiting their ability to jointly inform intervention planning and elimination strategies.</w:t>
      </w:r>
    </w:p>
    <w:p w14:paraId="5763E7D8" w14:textId="77777777" w:rsidR="003276B5" w:rsidRPr="00DC582F" w:rsidRDefault="003276B5" w:rsidP="003276B5">
      <w:pPr>
        <w:pStyle w:val="NormalWeb"/>
        <w:rPr>
          <w:color w:val="000000" w:themeColor="text1"/>
          <w:sz w:val="22"/>
          <w:szCs w:val="22"/>
        </w:rPr>
      </w:pPr>
      <w:r w:rsidRPr="00DC582F">
        <w:rPr>
          <w:rStyle w:val="Strong"/>
          <w:b w:val="0"/>
          <w:bCs w:val="0"/>
          <w:color w:val="000000" w:themeColor="text1"/>
          <w:sz w:val="22"/>
          <w:szCs w:val="22"/>
        </w:rPr>
        <w:t>Objective:</w:t>
      </w:r>
      <w:r w:rsidRPr="00DC582F">
        <w:rPr>
          <w:color w:val="000000" w:themeColor="text1"/>
          <w:sz w:val="22"/>
          <w:szCs w:val="22"/>
        </w:rPr>
        <w:t xml:space="preserve"> This study developed a hybrid SEIR</w:t>
      </w:r>
      <w:r w:rsidR="00DC582F">
        <w:rPr>
          <w:color w:val="000000" w:themeColor="text1"/>
          <w:sz w:val="22"/>
          <w:szCs w:val="22"/>
        </w:rPr>
        <w:t>-</w:t>
      </w:r>
      <w:r w:rsidRPr="00DC582F">
        <w:rPr>
          <w:color w:val="000000" w:themeColor="text1"/>
          <w:sz w:val="22"/>
          <w:szCs w:val="22"/>
        </w:rPr>
        <w:t>SEI and autoregressive integrated moving average (ARIMA) modeling framework to evaluate the effectiveness of malaria intervention packages and assess elimination prospects in the FCT, Nigeria.</w:t>
      </w:r>
    </w:p>
    <w:p w14:paraId="2EC220FD" w14:textId="77777777" w:rsidR="003276B5" w:rsidRPr="00DC582F" w:rsidRDefault="003276B5" w:rsidP="003276B5">
      <w:pPr>
        <w:pStyle w:val="NormalWeb"/>
        <w:rPr>
          <w:color w:val="000000" w:themeColor="text1"/>
          <w:sz w:val="22"/>
          <w:szCs w:val="22"/>
        </w:rPr>
      </w:pPr>
      <w:r w:rsidRPr="00DC582F">
        <w:rPr>
          <w:rStyle w:val="Strong"/>
          <w:b w:val="0"/>
          <w:bCs w:val="0"/>
          <w:color w:val="000000" w:themeColor="text1"/>
          <w:sz w:val="22"/>
          <w:szCs w:val="22"/>
        </w:rPr>
        <w:t>Methods:</w:t>
      </w:r>
      <w:r w:rsidRPr="00DC582F">
        <w:rPr>
          <w:color w:val="000000" w:themeColor="text1"/>
          <w:sz w:val="22"/>
          <w:szCs w:val="22"/>
        </w:rPr>
        <w:t xml:space="preserve"> An age-structured SEIR</w:t>
      </w:r>
      <w:r w:rsidR="00DC582F">
        <w:rPr>
          <w:color w:val="000000" w:themeColor="text1"/>
          <w:sz w:val="22"/>
          <w:szCs w:val="22"/>
        </w:rPr>
        <w:t>-</w:t>
      </w:r>
      <w:r w:rsidRPr="00DC582F">
        <w:rPr>
          <w:color w:val="000000" w:themeColor="text1"/>
          <w:sz w:val="22"/>
          <w:szCs w:val="22"/>
        </w:rPr>
        <w:t>SEI compartmental model describing human</w:t>
      </w:r>
      <w:r w:rsidR="00DC582F">
        <w:rPr>
          <w:color w:val="000000" w:themeColor="text1"/>
          <w:sz w:val="22"/>
          <w:szCs w:val="22"/>
        </w:rPr>
        <w:t>-</w:t>
      </w:r>
      <w:r w:rsidRPr="00DC582F">
        <w:rPr>
          <w:color w:val="000000" w:themeColor="text1"/>
          <w:sz w:val="22"/>
          <w:szCs w:val="22"/>
        </w:rPr>
        <w:t>vector malaria transmission was integrated with an ARIMA time-series model fitted to reported malaria incidence data. The SEIR</w:t>
      </w:r>
      <w:r w:rsidR="00DC582F">
        <w:rPr>
          <w:color w:val="000000" w:themeColor="text1"/>
          <w:sz w:val="22"/>
          <w:szCs w:val="22"/>
        </w:rPr>
        <w:t>-</w:t>
      </w:r>
      <w:r w:rsidRPr="00DC582F">
        <w:rPr>
          <w:color w:val="000000" w:themeColor="text1"/>
          <w:sz w:val="22"/>
          <w:szCs w:val="22"/>
        </w:rPr>
        <w:t>SEI component captured mechanistic transmission dynamics and intervention effects, while the ARIMA model provided data-driven forecasts. Intervention scenarios, including insecticide-treated nets (ITNs), indoor residual spraying (IRS), seasonal malaria chemoprevention (SMC), intermittent preventive treatment in pregnancy (IPTp), artemisinin-based combination therapy (ACT), and combined strategies, were simulated. Model outputs were evaluated using infection prevalence, reproduction number (R0), and projected incidence trends.</w:t>
      </w:r>
    </w:p>
    <w:p w14:paraId="68784361" w14:textId="77777777" w:rsidR="003276B5" w:rsidRPr="00DC582F" w:rsidRDefault="003276B5" w:rsidP="003276B5">
      <w:pPr>
        <w:pStyle w:val="NormalWeb"/>
        <w:rPr>
          <w:color w:val="000000" w:themeColor="text1"/>
          <w:sz w:val="22"/>
          <w:szCs w:val="22"/>
        </w:rPr>
      </w:pPr>
      <w:r w:rsidRPr="00DC582F">
        <w:rPr>
          <w:rStyle w:val="Strong"/>
          <w:b w:val="0"/>
          <w:bCs w:val="0"/>
          <w:color w:val="000000" w:themeColor="text1"/>
          <w:sz w:val="22"/>
          <w:szCs w:val="22"/>
        </w:rPr>
        <w:t>Results:</w:t>
      </w:r>
      <w:r w:rsidRPr="00DC582F">
        <w:rPr>
          <w:color w:val="000000" w:themeColor="text1"/>
          <w:sz w:val="22"/>
          <w:szCs w:val="22"/>
        </w:rPr>
        <w:t xml:space="preserve"> The ARIMA model demonstrated good fit to observed malaria incidence data and provided reliable short-term forecasts. The SEIR–SEI simulations showed that baseline conditions sustain endemic transmission, with (R0 &gt; 1). Single intervention strategies produced moderate reductions in infection levels but failed to achieve elimination. In contrast, combined intervention packages significantly reduced transmission and, under optimal coverage conditions, drove (R0) below unity. The hybrid framework revealed that elimination prospects depend not only on intervention efficacy but also on coverage, timing, and sustained implementation.</w:t>
      </w:r>
    </w:p>
    <w:p w14:paraId="68BDC64A" w14:textId="77777777" w:rsidR="003276B5" w:rsidRPr="00DC582F" w:rsidRDefault="003276B5" w:rsidP="003276B5">
      <w:pPr>
        <w:pStyle w:val="NormalWeb"/>
        <w:rPr>
          <w:color w:val="000000" w:themeColor="text1"/>
          <w:sz w:val="22"/>
          <w:szCs w:val="22"/>
        </w:rPr>
      </w:pPr>
      <w:r w:rsidRPr="00DC582F">
        <w:rPr>
          <w:rStyle w:val="Strong"/>
          <w:b w:val="0"/>
          <w:bCs w:val="0"/>
          <w:color w:val="000000" w:themeColor="text1"/>
          <w:sz w:val="22"/>
          <w:szCs w:val="22"/>
        </w:rPr>
        <w:t>Conclusion:</w:t>
      </w:r>
      <w:r w:rsidRPr="00DC582F">
        <w:rPr>
          <w:color w:val="000000" w:themeColor="text1"/>
          <w:sz w:val="22"/>
          <w:szCs w:val="22"/>
        </w:rPr>
        <w:t xml:space="preserve"> The hybrid SEIR–SEI–ARIMA framework provides a robust approach for integrating mechanistic understanding with empirical forecasting to evaluate malaria control strategies. The findings indicate that malaria persistence in the FCT is driven by suboptimal integration of interventions rather than lack of effective tools. Achieving elimination will require coordinated, high-coverage intervention packages supported by data-driven planning and continuous monitoring.</w:t>
      </w:r>
    </w:p>
    <w:p w14:paraId="536CEDDB" w14:textId="77777777" w:rsidR="00844365" w:rsidRDefault="003276B5" w:rsidP="00DC582F">
      <w:pPr>
        <w:pStyle w:val="NormalWeb"/>
        <w:rPr>
          <w:color w:val="000000" w:themeColor="text1"/>
          <w:sz w:val="22"/>
          <w:szCs w:val="22"/>
        </w:rPr>
      </w:pPr>
      <w:r w:rsidRPr="00DC582F">
        <w:rPr>
          <w:rStyle w:val="Strong"/>
          <w:b w:val="0"/>
          <w:bCs w:val="0"/>
          <w:color w:val="000000" w:themeColor="text1"/>
          <w:sz w:val="22"/>
          <w:szCs w:val="22"/>
        </w:rPr>
        <w:t>Keywords:</w:t>
      </w:r>
      <w:r w:rsidRPr="00DC582F">
        <w:rPr>
          <w:color w:val="000000" w:themeColor="text1"/>
          <w:sz w:val="22"/>
          <w:szCs w:val="22"/>
        </w:rPr>
        <w:t xml:space="preserve"> Malaria, SEIR–SEI model, ARIMA, hybrid modeling, intervention strategies, Nigeria, elimination</w:t>
      </w:r>
    </w:p>
    <w:p w14:paraId="14EDD6C2" w14:textId="77777777" w:rsidR="00DC582F" w:rsidRDefault="00DC582F" w:rsidP="00DC582F">
      <w:pPr>
        <w:pStyle w:val="NormalWeb"/>
        <w:rPr>
          <w:color w:val="000000" w:themeColor="text1"/>
          <w:sz w:val="22"/>
          <w:szCs w:val="22"/>
        </w:rPr>
      </w:pPr>
    </w:p>
    <w:p w14:paraId="03548F0C" w14:textId="77777777" w:rsidR="00DC582F" w:rsidRDefault="00DC582F" w:rsidP="00DC582F">
      <w:pPr>
        <w:pStyle w:val="NormalWeb"/>
        <w:rPr>
          <w:color w:val="000000" w:themeColor="text1"/>
          <w:sz w:val="22"/>
          <w:szCs w:val="22"/>
        </w:rPr>
      </w:pPr>
    </w:p>
    <w:p w14:paraId="5E00662C" w14:textId="77777777" w:rsidR="00DC582F" w:rsidRDefault="00DC582F" w:rsidP="00DC582F">
      <w:pPr>
        <w:pStyle w:val="NormalWeb"/>
        <w:rPr>
          <w:color w:val="000000" w:themeColor="text1"/>
          <w:sz w:val="22"/>
          <w:szCs w:val="22"/>
        </w:rPr>
      </w:pPr>
    </w:p>
    <w:p w14:paraId="505C8346" w14:textId="77777777" w:rsidR="00DC582F" w:rsidRPr="00DC582F" w:rsidRDefault="00DC582F" w:rsidP="00DC582F">
      <w:pPr>
        <w:pStyle w:val="NormalWeb"/>
        <w:rPr>
          <w:color w:val="000000" w:themeColor="text1"/>
          <w:sz w:val="22"/>
          <w:szCs w:val="22"/>
        </w:rPr>
      </w:pPr>
    </w:p>
    <w:p w14:paraId="0824E462" w14:textId="77777777" w:rsidR="003276B5" w:rsidRPr="00DC582F" w:rsidRDefault="003276B5" w:rsidP="003276B5">
      <w:pPr>
        <w:spacing w:before="100" w:beforeAutospacing="1" w:after="100" w:afterAutospacing="1"/>
        <w:outlineLvl w:val="1"/>
        <w:rPr>
          <w:rFonts w:ascii="Times New Roman" w:eastAsia="Times New Roman" w:hAnsi="Times New Roman" w:cs="Times New Roman"/>
          <w:b/>
          <w:bCs/>
          <w:color w:val="000000" w:themeColor="text1"/>
          <w:sz w:val="22"/>
          <w:szCs w:val="22"/>
          <w:lang w:eastAsia="en-GB"/>
        </w:rPr>
      </w:pPr>
      <w:r w:rsidRPr="00DC582F">
        <w:rPr>
          <w:rFonts w:ascii="Times New Roman" w:eastAsia="Times New Roman" w:hAnsi="Times New Roman" w:cs="Times New Roman"/>
          <w:b/>
          <w:bCs/>
          <w:color w:val="000000" w:themeColor="text1"/>
          <w:sz w:val="22"/>
          <w:szCs w:val="22"/>
          <w:lang w:eastAsia="en-GB"/>
        </w:rPr>
        <w:t>1. Introduction</w:t>
      </w:r>
    </w:p>
    <w:p w14:paraId="0A5A2FD0" w14:textId="77777777" w:rsidR="003276B5" w:rsidRPr="00DC582F" w:rsidRDefault="003276B5" w:rsidP="003276B5">
      <w:pPr>
        <w:spacing w:before="100" w:beforeAutospacing="1" w:after="100" w:afterAutospacing="1"/>
        <w:rPr>
          <w:rFonts w:ascii="Times New Roman" w:eastAsia="Times New Roman" w:hAnsi="Times New Roman" w:cs="Times New Roman"/>
          <w:color w:val="000000" w:themeColor="text1"/>
          <w:sz w:val="22"/>
          <w:szCs w:val="22"/>
          <w:lang w:eastAsia="en-GB"/>
        </w:rPr>
      </w:pPr>
      <w:r w:rsidRPr="00DC582F">
        <w:rPr>
          <w:rFonts w:ascii="Times New Roman" w:eastAsia="Times New Roman" w:hAnsi="Times New Roman" w:cs="Times New Roman"/>
          <w:color w:val="000000" w:themeColor="text1"/>
          <w:sz w:val="22"/>
          <w:szCs w:val="22"/>
          <w:lang w:eastAsia="en-GB"/>
        </w:rPr>
        <w:t xml:space="preserve">Malaria </w:t>
      </w:r>
      <w:r w:rsidR="00212D23" w:rsidRPr="00DC582F">
        <w:rPr>
          <w:rFonts w:ascii="Times New Roman" w:eastAsia="Times New Roman" w:hAnsi="Times New Roman" w:cs="Times New Roman"/>
          <w:color w:val="000000" w:themeColor="text1"/>
          <w:sz w:val="22"/>
          <w:szCs w:val="22"/>
          <w:lang w:eastAsia="en-GB"/>
        </w:rPr>
        <w:t>is</w:t>
      </w:r>
      <w:r w:rsidRPr="00DC582F">
        <w:rPr>
          <w:rFonts w:ascii="Times New Roman" w:eastAsia="Times New Roman" w:hAnsi="Times New Roman" w:cs="Times New Roman"/>
          <w:color w:val="000000" w:themeColor="text1"/>
          <w:sz w:val="22"/>
          <w:szCs w:val="22"/>
          <w:lang w:eastAsia="en-GB"/>
        </w:rPr>
        <w:t xml:space="preserve"> a major public health challenge globally, with sub-Saharan Africa bearing a disproportionate share of the disease burden. Nigeria alone accounts for a significant proportion of global malaria cases and deaths, despite decades of intensified control efforts. In particular, the Federal Capital Territory (FCT) represents a critical case study due to its unique mix of urbanization, population mobility, and heterogeneous transmission dynamics. Although substantial investments have been made in malaria control interventions</w:t>
      </w:r>
      <w:r w:rsidR="00844365" w:rsidRPr="00DC582F">
        <w:rPr>
          <w:rFonts w:ascii="Times New Roman" w:eastAsia="Times New Roman" w:hAnsi="Times New Roman" w:cs="Times New Roman"/>
          <w:color w:val="000000" w:themeColor="text1"/>
          <w:sz w:val="22"/>
          <w:szCs w:val="22"/>
          <w:lang w:eastAsia="en-GB"/>
        </w:rPr>
        <w:t xml:space="preserve"> </w:t>
      </w:r>
      <w:r w:rsidRPr="00DC582F">
        <w:rPr>
          <w:rFonts w:ascii="Times New Roman" w:eastAsia="Times New Roman" w:hAnsi="Times New Roman" w:cs="Times New Roman"/>
          <w:color w:val="000000" w:themeColor="text1"/>
          <w:sz w:val="22"/>
          <w:szCs w:val="22"/>
          <w:lang w:eastAsia="en-GB"/>
        </w:rPr>
        <w:t>including insecticide-treated nets (ITNs), indoor residual spraying (IRS), seasonal malaria chemoprevention (SMC), intermittent preventive treatment in pregnancy (IPTp), and artemisinin-based combination therapy (ACT)</w:t>
      </w:r>
      <w:r w:rsidR="00844365" w:rsidRPr="00DC582F">
        <w:rPr>
          <w:rFonts w:ascii="Times New Roman" w:eastAsia="Times New Roman" w:hAnsi="Times New Roman" w:cs="Times New Roman"/>
          <w:color w:val="000000" w:themeColor="text1"/>
          <w:sz w:val="22"/>
          <w:szCs w:val="22"/>
          <w:lang w:eastAsia="en-GB"/>
        </w:rPr>
        <w:t xml:space="preserve"> </w:t>
      </w:r>
      <w:r w:rsidRPr="00DC582F">
        <w:rPr>
          <w:rFonts w:ascii="Times New Roman" w:eastAsia="Times New Roman" w:hAnsi="Times New Roman" w:cs="Times New Roman"/>
          <w:color w:val="000000" w:themeColor="text1"/>
          <w:sz w:val="22"/>
          <w:szCs w:val="22"/>
          <w:lang w:eastAsia="en-GB"/>
        </w:rPr>
        <w:t>malaria transmission remains persistent. This continued endemicity raises important questions about the effectiveness, coordination, and long-term impact of existing intervention strategies.</w:t>
      </w:r>
    </w:p>
    <w:p w14:paraId="40E8F87B" w14:textId="77777777" w:rsidR="003276B5" w:rsidRPr="00DC582F" w:rsidRDefault="003276B5" w:rsidP="003276B5">
      <w:pPr>
        <w:spacing w:before="100" w:beforeAutospacing="1" w:after="100" w:afterAutospacing="1"/>
        <w:rPr>
          <w:rFonts w:ascii="Times New Roman" w:eastAsia="Times New Roman" w:hAnsi="Times New Roman" w:cs="Times New Roman"/>
          <w:color w:val="000000" w:themeColor="text1"/>
          <w:sz w:val="22"/>
          <w:szCs w:val="22"/>
          <w:lang w:eastAsia="en-GB"/>
        </w:rPr>
      </w:pPr>
      <w:r w:rsidRPr="00DC582F">
        <w:rPr>
          <w:rFonts w:ascii="Times New Roman" w:eastAsia="Times New Roman" w:hAnsi="Times New Roman" w:cs="Times New Roman"/>
          <w:color w:val="000000" w:themeColor="text1"/>
          <w:sz w:val="22"/>
          <w:szCs w:val="22"/>
          <w:lang w:eastAsia="en-GB"/>
        </w:rPr>
        <w:t>Mathematical modeling has played a central role in understanding malaria transmission dynamics and evaluating control strategies. Mechanistic models, particularly compartmental frameworks such as SEIR–SEI models, are effective in capturing the biological processes underlying malaria transmission, including human–vector interactions, disease progression, and intervention effects. These models provide valuable insights into how changes in parameters influence disease dynamics and help identify thresholds such as the basic reproduction number (</w:t>
      </w:r>
      <w:r w:rsidR="00844365" w:rsidRPr="00DC582F">
        <w:rPr>
          <w:rFonts w:ascii="Times New Roman" w:eastAsia="Times New Roman" w:hAnsi="Times New Roman" w:cs="Times New Roman"/>
          <w:color w:val="000000" w:themeColor="text1"/>
          <w:sz w:val="22"/>
          <w:szCs w:val="22"/>
          <w:lang w:eastAsia="en-GB"/>
        </w:rPr>
        <w:t>R0</w:t>
      </w:r>
      <w:r w:rsidRPr="00DC582F">
        <w:rPr>
          <w:rFonts w:ascii="Times New Roman" w:eastAsia="Times New Roman" w:hAnsi="Times New Roman" w:cs="Times New Roman"/>
          <w:color w:val="000000" w:themeColor="text1"/>
          <w:sz w:val="22"/>
          <w:szCs w:val="22"/>
          <w:lang w:eastAsia="en-GB"/>
        </w:rPr>
        <w:t>). However, such models often rely on simplifying assumptions and may not fully capture real-world variability or temporal trends observed in surveillance data.</w:t>
      </w:r>
    </w:p>
    <w:p w14:paraId="4491702F" w14:textId="77777777" w:rsidR="003276B5" w:rsidRPr="00DC582F" w:rsidRDefault="003276B5" w:rsidP="003276B5">
      <w:pPr>
        <w:spacing w:before="100" w:beforeAutospacing="1" w:after="100" w:afterAutospacing="1"/>
        <w:rPr>
          <w:rFonts w:ascii="Times New Roman" w:eastAsia="Times New Roman" w:hAnsi="Times New Roman" w:cs="Times New Roman"/>
          <w:color w:val="000000" w:themeColor="text1"/>
          <w:sz w:val="22"/>
          <w:szCs w:val="22"/>
          <w:lang w:eastAsia="en-GB"/>
        </w:rPr>
      </w:pPr>
      <w:r w:rsidRPr="00DC582F">
        <w:rPr>
          <w:rFonts w:ascii="Times New Roman" w:eastAsia="Times New Roman" w:hAnsi="Times New Roman" w:cs="Times New Roman"/>
          <w:color w:val="000000" w:themeColor="text1"/>
          <w:sz w:val="22"/>
          <w:szCs w:val="22"/>
          <w:lang w:eastAsia="en-GB"/>
        </w:rPr>
        <w:t>On the other hand, time-series approaches such as autoregressive integrated moving average (ARIMA) models are widely used for forecasting disease incidence based on historical data. ARIMA models are effective in identifying patterns, trends, and seasonality in time-series data and can provide reliable short-term predictions. Nevertheless, these models are inherently data-driven and lack the capacity to explicitly represent the biological mechanisms of disease transmission or the direct impact of interventions.</w:t>
      </w:r>
      <w:r w:rsidR="00844365" w:rsidRPr="00DC582F">
        <w:rPr>
          <w:rFonts w:ascii="Times New Roman" w:eastAsia="Times New Roman" w:hAnsi="Times New Roman" w:cs="Times New Roman"/>
          <w:color w:val="000000" w:themeColor="text1"/>
          <w:sz w:val="22"/>
          <w:szCs w:val="22"/>
          <w:lang w:eastAsia="en-GB"/>
        </w:rPr>
        <w:t xml:space="preserve"> </w:t>
      </w:r>
      <w:r w:rsidRPr="00DC582F">
        <w:rPr>
          <w:rFonts w:ascii="Times New Roman" w:eastAsia="Times New Roman" w:hAnsi="Times New Roman" w:cs="Times New Roman"/>
          <w:color w:val="000000" w:themeColor="text1"/>
          <w:sz w:val="22"/>
          <w:szCs w:val="22"/>
          <w:lang w:eastAsia="en-GB"/>
        </w:rPr>
        <w:t>A key limitation in existing malaria modeling studies is that mechanistic models and time-series forecasting approaches are typically applied independently. This separation limits the ability to simultaneously capture both the underlying transmission dynamics and observed epidemiological trends. Consequently, there remains a gap in modeling frameworks that can integrate biological realism with empirical forecasting to provide more comprehensive insights into malaria control and elimination.</w:t>
      </w:r>
    </w:p>
    <w:p w14:paraId="1A898B53" w14:textId="77777777" w:rsidR="003276B5" w:rsidRPr="00DC582F" w:rsidRDefault="003276B5" w:rsidP="003276B5">
      <w:pPr>
        <w:spacing w:before="100" w:beforeAutospacing="1" w:after="100" w:afterAutospacing="1"/>
        <w:rPr>
          <w:rFonts w:ascii="Times New Roman" w:eastAsia="Times New Roman" w:hAnsi="Times New Roman" w:cs="Times New Roman"/>
          <w:color w:val="000000" w:themeColor="text1"/>
          <w:sz w:val="22"/>
          <w:szCs w:val="22"/>
          <w:lang w:eastAsia="en-GB"/>
        </w:rPr>
      </w:pPr>
      <w:r w:rsidRPr="00DC582F">
        <w:rPr>
          <w:rFonts w:ascii="Times New Roman" w:eastAsia="Times New Roman" w:hAnsi="Times New Roman" w:cs="Times New Roman"/>
          <w:color w:val="000000" w:themeColor="text1"/>
          <w:sz w:val="22"/>
          <w:szCs w:val="22"/>
          <w:lang w:eastAsia="en-GB"/>
        </w:rPr>
        <w:t>To address this gap, this study develops a hybrid modeling framework that integrates an age-structured SEIR–SEI model with an ARIMA time-series model to evaluate malaria intervention packages and assess elimination prospects in the Federal Capital Territory, Nigeria. The SEIR–SEI component captures the mechanistic dynamics of malaria transmission and the effects of interventions, while the ARIMA model provides data-driven forecasts based on observed incidence patterns. By combining these approaches, the hybrid framework enables a more robust evaluation of intervention strategies and their potential to reduce transmission and achieve elimination.</w:t>
      </w:r>
    </w:p>
    <w:p w14:paraId="29B2B73C" w14:textId="77777777" w:rsidR="003276B5" w:rsidRPr="00DC582F" w:rsidRDefault="003276B5" w:rsidP="003276B5">
      <w:pPr>
        <w:spacing w:before="100" w:beforeAutospacing="1" w:after="100" w:afterAutospacing="1"/>
        <w:rPr>
          <w:rFonts w:ascii="Times New Roman" w:eastAsia="Times New Roman" w:hAnsi="Times New Roman" w:cs="Times New Roman"/>
          <w:color w:val="000000" w:themeColor="text1"/>
          <w:sz w:val="22"/>
          <w:szCs w:val="22"/>
          <w:lang w:eastAsia="en-GB"/>
        </w:rPr>
      </w:pPr>
      <w:r w:rsidRPr="00DC582F">
        <w:rPr>
          <w:rFonts w:ascii="Times New Roman" w:eastAsia="Times New Roman" w:hAnsi="Times New Roman" w:cs="Times New Roman"/>
          <w:color w:val="000000" w:themeColor="text1"/>
          <w:sz w:val="22"/>
          <w:szCs w:val="22"/>
          <w:lang w:eastAsia="en-GB"/>
        </w:rPr>
        <w:t>Specifically, this study aims to: (i) develop and calibrate an ARIMA model for malaria incidence forecasting in the FCT; (ii) integrate the ARIMA forecasts with a mechanistic SEIR–SEI model; (iii) evaluate the impact of individual and combined intervention packages on malaria transmission; and (iv) assess the prospects for malaria elimination under different intervention scenarios. The findings are expected to provide valuable insights for policymakers and contribute to the design of more effective, data-driven malaria control strategies.</w:t>
      </w:r>
    </w:p>
    <w:p w14:paraId="482C4898" w14:textId="77777777" w:rsidR="0033506D" w:rsidRPr="00DC582F" w:rsidRDefault="0033506D" w:rsidP="0033506D">
      <w:pPr>
        <w:pStyle w:val="Heading2"/>
        <w:rPr>
          <w:color w:val="000000" w:themeColor="text1"/>
          <w:sz w:val="22"/>
          <w:szCs w:val="22"/>
        </w:rPr>
      </w:pPr>
      <w:r w:rsidRPr="00DC582F">
        <w:rPr>
          <w:color w:val="000000" w:themeColor="text1"/>
          <w:sz w:val="22"/>
          <w:szCs w:val="22"/>
        </w:rPr>
        <w:t>3. Methods</w:t>
      </w:r>
    </w:p>
    <w:p w14:paraId="65E9DA37" w14:textId="77777777" w:rsidR="0033506D" w:rsidRPr="00DC582F" w:rsidRDefault="0033506D" w:rsidP="0033506D">
      <w:pPr>
        <w:pStyle w:val="Heading3"/>
        <w:rPr>
          <w:rFonts w:ascii="Times New Roman" w:hAnsi="Times New Roman" w:cs="Times New Roman"/>
          <w:color w:val="000000" w:themeColor="text1"/>
          <w:sz w:val="22"/>
          <w:szCs w:val="22"/>
        </w:rPr>
      </w:pPr>
      <w:r w:rsidRPr="00DC582F">
        <w:rPr>
          <w:rFonts w:ascii="Times New Roman" w:hAnsi="Times New Roman" w:cs="Times New Roman"/>
          <w:color w:val="000000" w:themeColor="text1"/>
          <w:sz w:val="22"/>
          <w:szCs w:val="22"/>
        </w:rPr>
        <w:lastRenderedPageBreak/>
        <w:t>3.1 Study Area</w:t>
      </w:r>
    </w:p>
    <w:p w14:paraId="57655881" w14:textId="77777777" w:rsidR="0033506D" w:rsidRPr="00DC582F" w:rsidRDefault="0033506D" w:rsidP="00844365">
      <w:pPr>
        <w:pStyle w:val="NormalWeb"/>
        <w:rPr>
          <w:color w:val="000000" w:themeColor="text1"/>
          <w:sz w:val="22"/>
          <w:szCs w:val="22"/>
        </w:rPr>
      </w:pPr>
      <w:r w:rsidRPr="00DC582F">
        <w:rPr>
          <w:color w:val="000000" w:themeColor="text1"/>
          <w:sz w:val="22"/>
          <w:szCs w:val="22"/>
        </w:rPr>
        <w:t>This study was conducted in the Federal Capital Territory (FCT), Nigeria, a region characterized by heterogeneous malaria transmission influenced by urbanization, population mobility, and varying intervention coverage. Despite ongoing control efforts, malaria remains endemic in the FCT, making it a suitable setting for evaluating intervention effectiveness and elimination prospects.</w:t>
      </w:r>
    </w:p>
    <w:p w14:paraId="6601359C" w14:textId="77777777" w:rsidR="0033506D" w:rsidRPr="00DC582F" w:rsidRDefault="0033506D" w:rsidP="0033506D">
      <w:pPr>
        <w:pStyle w:val="Heading3"/>
        <w:rPr>
          <w:rFonts w:ascii="Times New Roman" w:hAnsi="Times New Roman" w:cs="Times New Roman"/>
          <w:color w:val="000000" w:themeColor="text1"/>
          <w:sz w:val="22"/>
          <w:szCs w:val="22"/>
        </w:rPr>
      </w:pPr>
      <w:r w:rsidRPr="00DC582F">
        <w:rPr>
          <w:rFonts w:ascii="Times New Roman" w:hAnsi="Times New Roman" w:cs="Times New Roman"/>
          <w:color w:val="000000" w:themeColor="text1"/>
          <w:sz w:val="22"/>
          <w:szCs w:val="22"/>
        </w:rPr>
        <w:t>3.2 Model Structure</w:t>
      </w:r>
    </w:p>
    <w:p w14:paraId="57729F53" w14:textId="77777777" w:rsidR="0033506D" w:rsidRPr="00DC582F" w:rsidRDefault="0033506D" w:rsidP="0033506D">
      <w:pPr>
        <w:pStyle w:val="NormalWeb"/>
        <w:rPr>
          <w:color w:val="000000" w:themeColor="text1"/>
          <w:sz w:val="22"/>
          <w:szCs w:val="22"/>
        </w:rPr>
      </w:pPr>
      <w:r w:rsidRPr="00DC582F">
        <w:rPr>
          <w:color w:val="000000" w:themeColor="text1"/>
          <w:sz w:val="22"/>
          <w:szCs w:val="22"/>
        </w:rPr>
        <w:t>An age-structured SEIR–SEI compartmental model was developed to describe malaria transmission dynamics between human and mosquito populations.</w:t>
      </w:r>
      <w:r w:rsidR="00844365" w:rsidRPr="00DC582F">
        <w:rPr>
          <w:color w:val="000000" w:themeColor="text1"/>
          <w:sz w:val="22"/>
          <w:szCs w:val="22"/>
        </w:rPr>
        <w:t xml:space="preserve"> </w:t>
      </w:r>
      <w:r w:rsidRPr="00DC582F">
        <w:rPr>
          <w:color w:val="000000" w:themeColor="text1"/>
          <w:sz w:val="22"/>
          <w:szCs w:val="22"/>
        </w:rPr>
        <w:t>The human population is divided into two groups: children and adults. Each group is stratified into epidemiological compartments representing disease progression and intervention status. For children, the compartments include susceptible (Sc), protected (Pc), exposed (Ec), infectious (Ic), and recovered (Rc). For adults, the compartments include susceptible (Sa), protected pregnant women (Pw), exposed (Ea), infectious (Ia), and recovered (Ra).</w:t>
      </w:r>
    </w:p>
    <w:p w14:paraId="63572471" w14:textId="77777777" w:rsidR="0033506D" w:rsidRPr="00DC582F" w:rsidRDefault="0033506D" w:rsidP="0033506D">
      <w:pPr>
        <w:pStyle w:val="NormalWeb"/>
        <w:rPr>
          <w:color w:val="000000" w:themeColor="text1"/>
          <w:sz w:val="22"/>
          <w:szCs w:val="22"/>
        </w:rPr>
      </w:pPr>
      <w:r w:rsidRPr="00DC582F">
        <w:rPr>
          <w:color w:val="000000" w:themeColor="text1"/>
          <w:sz w:val="22"/>
          <w:szCs w:val="22"/>
        </w:rPr>
        <w:t>The mosquito population is structured into susceptible (Sv), exposed (Ev), and infectious (Iv) compartments.</w:t>
      </w:r>
    </w:p>
    <w:p w14:paraId="211DF578" w14:textId="77777777" w:rsidR="0033506D" w:rsidRPr="00DC582F" w:rsidRDefault="0033506D" w:rsidP="0033506D">
      <w:pPr>
        <w:pStyle w:val="NormalWeb"/>
        <w:rPr>
          <w:color w:val="000000" w:themeColor="text1"/>
          <w:sz w:val="22"/>
          <w:szCs w:val="22"/>
        </w:rPr>
      </w:pPr>
      <w:r w:rsidRPr="00DC582F">
        <w:rPr>
          <w:color w:val="000000" w:themeColor="text1"/>
          <w:sz w:val="22"/>
          <w:szCs w:val="22"/>
        </w:rPr>
        <w:t>Malaria transmission occurs through interactions between infectious mosquitoes and susceptible humans, and between infectious humans and susceptible mosquitoes.</w:t>
      </w:r>
    </w:p>
    <w:p w14:paraId="155EBE16" w14:textId="77777777" w:rsidR="0033506D" w:rsidRPr="00DC582F" w:rsidRDefault="0033506D" w:rsidP="0033506D">
      <w:pPr>
        <w:pStyle w:val="NormalWeb"/>
        <w:rPr>
          <w:color w:val="000000" w:themeColor="text1"/>
          <w:sz w:val="22"/>
          <w:szCs w:val="22"/>
        </w:rPr>
      </w:pPr>
      <w:r w:rsidRPr="00DC582F">
        <w:rPr>
          <w:noProof/>
          <w:color w:val="000000" w:themeColor="text1"/>
          <w:sz w:val="22"/>
          <w:szCs w:val="22"/>
        </w:rPr>
        <w:lastRenderedPageBreak/>
        <w:drawing>
          <wp:inline distT="0" distB="0" distL="0" distR="0" wp14:anchorId="0C851B86" wp14:editId="697D913C">
            <wp:extent cx="5731510" cy="481838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7">
                      <a:extLst>
                        <a:ext uri="{28A0092B-C50C-407E-A947-70E740481C1C}">
                          <a14:useLocalDpi xmlns:a14="http://schemas.microsoft.com/office/drawing/2010/main" val="0"/>
                        </a:ext>
                      </a:extLst>
                    </a:blip>
                    <a:stretch>
                      <a:fillRect/>
                    </a:stretch>
                  </pic:blipFill>
                  <pic:spPr>
                    <a:xfrm>
                      <a:off x="0" y="0"/>
                      <a:ext cx="5731510" cy="4818380"/>
                    </a:xfrm>
                    <a:prstGeom prst="rect">
                      <a:avLst/>
                    </a:prstGeom>
                  </pic:spPr>
                </pic:pic>
              </a:graphicData>
            </a:graphic>
          </wp:inline>
        </w:drawing>
      </w:r>
      <w:r w:rsidRPr="00DC582F">
        <w:rPr>
          <w:color w:val="000000" w:themeColor="text1"/>
          <w:sz w:val="22"/>
          <w:szCs w:val="22"/>
        </w:rPr>
        <w:br/>
      </w:r>
      <w:r w:rsidRPr="00DC582F">
        <w:rPr>
          <w:rStyle w:val="Strong"/>
          <w:b w:val="0"/>
          <w:bCs w:val="0"/>
          <w:color w:val="000000" w:themeColor="text1"/>
          <w:sz w:val="22"/>
          <w:szCs w:val="22"/>
        </w:rPr>
        <w:t>Figure 1:</w:t>
      </w:r>
      <w:r w:rsidRPr="00DC582F">
        <w:rPr>
          <w:color w:val="000000" w:themeColor="text1"/>
          <w:sz w:val="22"/>
          <w:szCs w:val="22"/>
        </w:rPr>
        <w:t xml:space="preserve"> Flow diagram of the SEIR–SEI malaria transmission model showing human and mosquito compartments and transition pathways.</w:t>
      </w:r>
    </w:p>
    <w:p w14:paraId="6EAEFC06" w14:textId="77777777" w:rsidR="0033506D" w:rsidRPr="00DC582F" w:rsidRDefault="0033506D" w:rsidP="0033506D">
      <w:pPr>
        <w:rPr>
          <w:rFonts w:ascii="Times New Roman" w:hAnsi="Times New Roman" w:cs="Times New Roman"/>
          <w:color w:val="000000" w:themeColor="text1"/>
          <w:sz w:val="22"/>
          <w:szCs w:val="22"/>
        </w:rPr>
      </w:pPr>
    </w:p>
    <w:p w14:paraId="4A076E8F" w14:textId="77777777" w:rsidR="0033506D" w:rsidRPr="00DC582F" w:rsidRDefault="0033506D" w:rsidP="0033506D">
      <w:pPr>
        <w:pStyle w:val="Heading3"/>
        <w:rPr>
          <w:rFonts w:ascii="Times New Roman" w:hAnsi="Times New Roman" w:cs="Times New Roman"/>
          <w:color w:val="000000" w:themeColor="text1"/>
          <w:sz w:val="22"/>
          <w:szCs w:val="22"/>
        </w:rPr>
      </w:pPr>
      <w:r w:rsidRPr="00DC582F">
        <w:rPr>
          <w:rFonts w:ascii="Times New Roman" w:hAnsi="Times New Roman" w:cs="Times New Roman"/>
          <w:color w:val="000000" w:themeColor="text1"/>
          <w:sz w:val="22"/>
          <w:szCs w:val="22"/>
        </w:rPr>
        <w:t>3.3 Model Equations</w:t>
      </w:r>
    </w:p>
    <w:p w14:paraId="1A2951DF" w14:textId="77777777" w:rsidR="0033506D" w:rsidRPr="00DC582F" w:rsidRDefault="0033506D" w:rsidP="0033506D">
      <w:pPr>
        <w:pStyle w:val="NormalWeb"/>
        <w:rPr>
          <w:color w:val="000000" w:themeColor="text1"/>
          <w:sz w:val="22"/>
          <w:szCs w:val="22"/>
        </w:rPr>
      </w:pPr>
      <w:r w:rsidRPr="00DC582F">
        <w:rPr>
          <w:color w:val="000000" w:themeColor="text1"/>
          <w:sz w:val="22"/>
          <w:szCs w:val="22"/>
        </w:rPr>
        <w:t>The transmission dynamics are governed by the following system of ordinary differential equations:</w:t>
      </w:r>
    </w:p>
    <w:p w14:paraId="3E369D65" w14:textId="77777777" w:rsidR="0033506D" w:rsidRPr="00DC582F" w:rsidRDefault="0033506D" w:rsidP="0033506D">
      <w:pPr>
        <w:spacing w:before="100" w:beforeAutospacing="1" w:after="100" w:afterAutospacing="1"/>
        <w:outlineLvl w:val="2"/>
        <w:rPr>
          <w:rFonts w:ascii="Times New Roman" w:hAnsi="Times New Roman" w:cs="Times New Roman"/>
          <w:color w:val="000000" w:themeColor="text1"/>
          <w:sz w:val="22"/>
          <w:szCs w:val="22"/>
        </w:rPr>
      </w:pPr>
      <w:r w:rsidRPr="00DC582F">
        <w:rPr>
          <w:rFonts w:ascii="Times New Roman" w:hAnsi="Times New Roman" w:cs="Times New Roman"/>
          <w:color w:val="000000" w:themeColor="text1"/>
          <w:sz w:val="22"/>
          <w:szCs w:val="22"/>
        </w:rPr>
        <w:t>Human population (children):</w:t>
      </w:r>
    </w:p>
    <w:p w14:paraId="50410D2C" w14:textId="77777777" w:rsidR="0033506D" w:rsidRPr="00DC582F" w:rsidRDefault="00000000" w:rsidP="0033506D">
      <w:pPr>
        <w:pStyle w:val="NormalWeb"/>
        <w:rPr>
          <w:color w:val="000000" w:themeColor="text1"/>
          <w:sz w:val="22"/>
          <w:szCs w:val="22"/>
        </w:rPr>
      </w:pPr>
      <m:oMathPara>
        <m:oMath>
          <m:f>
            <m:fPr>
              <m:ctrlPr>
                <w:rPr>
                  <w:rFonts w:ascii="Cambria Math" w:hAnsi="Cambria Math"/>
                  <w:i/>
                  <w:color w:val="000000" w:themeColor="text1"/>
                  <w:sz w:val="22"/>
                  <w:szCs w:val="22"/>
                </w:rPr>
              </m:ctrlPr>
            </m:fPr>
            <m:num>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dS</m:t>
                  </m:r>
                </m:e>
                <m:sub>
                  <m:r>
                    <w:rPr>
                      <w:rFonts w:ascii="Cambria Math" w:hAnsi="Cambria Math"/>
                      <w:color w:val="000000" w:themeColor="text1"/>
                      <w:sz w:val="22"/>
                      <w:szCs w:val="22"/>
                    </w:rPr>
                    <m:t>C</m:t>
                  </m:r>
                </m:sub>
              </m:sSub>
            </m:num>
            <m:den>
              <m:r>
                <w:rPr>
                  <w:rFonts w:ascii="Cambria Math" w:hAnsi="Cambria Math"/>
                  <w:color w:val="000000" w:themeColor="text1"/>
                  <w:sz w:val="22"/>
                  <w:szCs w:val="22"/>
                </w:rPr>
                <m:t>dt</m:t>
              </m:r>
            </m:den>
          </m:f>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λ</m:t>
              </m:r>
            </m:e>
            <m:sub>
              <m:r>
                <w:rPr>
                  <w:rFonts w:ascii="Cambria Math" w:hAnsi="Cambria Math"/>
                  <w:color w:val="000000" w:themeColor="text1"/>
                  <w:sz w:val="22"/>
                  <w:szCs w:val="22"/>
                </w:rPr>
                <m:t>c</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S</m:t>
              </m:r>
            </m:e>
            <m:sub>
              <m:r>
                <w:rPr>
                  <w:rFonts w:ascii="Cambria Math" w:hAnsi="Cambria Math"/>
                  <w:color w:val="000000" w:themeColor="text1"/>
                  <w:sz w:val="22"/>
                  <w:szCs w:val="22"/>
                </w:rPr>
                <m:t>c</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π</m:t>
              </m:r>
            </m:e>
            <m:sub>
              <m:r>
                <w:rPr>
                  <w:rFonts w:ascii="Cambria Math" w:hAnsi="Cambria Math"/>
                  <w:color w:val="000000" w:themeColor="text1"/>
                  <w:sz w:val="22"/>
                  <w:szCs w:val="22"/>
                </w:rPr>
                <m:t>c</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S</m:t>
              </m:r>
            </m:e>
            <m:sub>
              <m:r>
                <w:rPr>
                  <w:rFonts w:ascii="Cambria Math" w:hAnsi="Cambria Math"/>
                  <w:color w:val="000000" w:themeColor="text1"/>
                  <w:sz w:val="22"/>
                  <w:szCs w:val="22"/>
                </w:rPr>
                <m:t>c</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ψ</m:t>
              </m:r>
            </m:e>
            <m:sub>
              <m:r>
                <w:rPr>
                  <w:rFonts w:ascii="Cambria Math" w:hAnsi="Cambria Math"/>
                  <w:color w:val="000000" w:themeColor="text1"/>
                  <w:sz w:val="22"/>
                  <w:szCs w:val="22"/>
                </w:rPr>
                <m:t>c</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m:t>
              </m:r>
            </m:e>
            <m:sub>
              <m:r>
                <w:rPr>
                  <w:rFonts w:ascii="Cambria Math" w:hAnsi="Cambria Math"/>
                  <w:color w:val="000000" w:themeColor="text1"/>
                  <w:sz w:val="22"/>
                  <w:szCs w:val="22"/>
                </w:rPr>
                <m:t>c</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μ</m:t>
              </m:r>
            </m:e>
            <m:sub>
              <m:r>
                <w:rPr>
                  <w:rFonts w:ascii="Cambria Math" w:hAnsi="Cambria Math"/>
                  <w:color w:val="000000" w:themeColor="text1"/>
                  <w:sz w:val="22"/>
                  <w:szCs w:val="22"/>
                </w:rPr>
                <m:t>c</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S</m:t>
              </m:r>
            </m:e>
            <m:sub>
              <m:r>
                <w:rPr>
                  <w:rFonts w:ascii="Cambria Math" w:hAnsi="Cambria Math"/>
                  <w:color w:val="000000" w:themeColor="text1"/>
                  <w:sz w:val="22"/>
                  <w:szCs w:val="22"/>
                </w:rPr>
                <m:t>c</m:t>
              </m:r>
            </m:sub>
          </m:sSub>
        </m:oMath>
      </m:oMathPara>
    </w:p>
    <w:p w14:paraId="6AA336E2" w14:textId="77777777" w:rsidR="0033506D" w:rsidRPr="00DC582F" w:rsidRDefault="00000000" w:rsidP="0033506D">
      <w:pPr>
        <w:pStyle w:val="NormalWeb"/>
        <w:rPr>
          <w:color w:val="000000" w:themeColor="text1"/>
          <w:sz w:val="22"/>
          <w:szCs w:val="22"/>
        </w:rPr>
      </w:pPr>
      <m:oMathPara>
        <m:oMath>
          <m:f>
            <m:fPr>
              <m:ctrlPr>
                <w:rPr>
                  <w:rFonts w:ascii="Cambria Math" w:hAnsi="Cambria Math"/>
                  <w:i/>
                  <w:color w:val="000000" w:themeColor="text1"/>
                  <w:sz w:val="22"/>
                  <w:szCs w:val="22"/>
                </w:rPr>
              </m:ctrlPr>
            </m:fPr>
            <m:num>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dP</m:t>
                  </m:r>
                </m:e>
                <m:sub>
                  <m:r>
                    <w:rPr>
                      <w:rFonts w:ascii="Cambria Math" w:hAnsi="Cambria Math"/>
                      <w:color w:val="000000" w:themeColor="text1"/>
                      <w:sz w:val="22"/>
                      <w:szCs w:val="22"/>
                    </w:rPr>
                    <m:t>C</m:t>
                  </m:r>
                </m:sub>
              </m:sSub>
            </m:num>
            <m:den>
              <m:r>
                <w:rPr>
                  <w:rFonts w:ascii="Cambria Math" w:hAnsi="Cambria Math"/>
                  <w:color w:val="000000" w:themeColor="text1"/>
                  <w:sz w:val="22"/>
                  <w:szCs w:val="22"/>
                </w:rPr>
                <m:t>dt</m:t>
              </m:r>
            </m:den>
          </m:f>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π</m:t>
              </m:r>
            </m:e>
            <m:sub>
              <m:r>
                <w:rPr>
                  <w:rFonts w:ascii="Cambria Math" w:hAnsi="Cambria Math"/>
                  <w:color w:val="000000" w:themeColor="text1"/>
                  <w:sz w:val="22"/>
                  <w:szCs w:val="22"/>
                </w:rPr>
                <m:t>c</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S</m:t>
              </m:r>
            </m:e>
            <m:sub>
              <m:r>
                <w:rPr>
                  <w:rFonts w:ascii="Cambria Math" w:hAnsi="Cambria Math"/>
                  <w:color w:val="000000" w:themeColor="text1"/>
                  <w:sz w:val="22"/>
                  <w:szCs w:val="22"/>
                </w:rPr>
                <m:t>c</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θ</m:t>
              </m:r>
            </m:e>
            <m:sub>
              <m:r>
                <w:rPr>
                  <w:rFonts w:ascii="Cambria Math" w:hAnsi="Cambria Math"/>
                  <w:color w:val="000000" w:themeColor="text1"/>
                  <w:sz w:val="22"/>
                  <w:szCs w:val="22"/>
                </w:rPr>
                <m:t>c</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P</m:t>
              </m:r>
            </m:e>
            <m:sub>
              <m:r>
                <w:rPr>
                  <w:rFonts w:ascii="Cambria Math" w:hAnsi="Cambria Math"/>
                  <w:color w:val="000000" w:themeColor="text1"/>
                  <w:sz w:val="22"/>
                  <w:szCs w:val="22"/>
                </w:rPr>
                <m:t>c</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μ</m:t>
              </m:r>
            </m:e>
            <m:sub>
              <m:r>
                <w:rPr>
                  <w:rFonts w:ascii="Cambria Math" w:hAnsi="Cambria Math"/>
                  <w:color w:val="000000" w:themeColor="text1"/>
                  <w:sz w:val="22"/>
                  <w:szCs w:val="22"/>
                </w:rPr>
                <m:t>c</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P</m:t>
              </m:r>
            </m:e>
            <m:sub>
              <m:r>
                <w:rPr>
                  <w:rFonts w:ascii="Cambria Math" w:hAnsi="Cambria Math"/>
                  <w:color w:val="000000" w:themeColor="text1"/>
                  <w:sz w:val="22"/>
                  <w:szCs w:val="22"/>
                </w:rPr>
                <m:t>c</m:t>
              </m:r>
            </m:sub>
          </m:sSub>
        </m:oMath>
      </m:oMathPara>
    </w:p>
    <w:p w14:paraId="127D7D81" w14:textId="77777777" w:rsidR="0033506D" w:rsidRPr="00DC582F" w:rsidRDefault="00000000" w:rsidP="0033506D">
      <w:pPr>
        <w:pStyle w:val="NormalWeb"/>
        <w:rPr>
          <w:color w:val="000000" w:themeColor="text1"/>
          <w:sz w:val="22"/>
          <w:szCs w:val="22"/>
        </w:rPr>
      </w:pPr>
      <m:oMathPara>
        <m:oMath>
          <m:f>
            <m:fPr>
              <m:ctrlPr>
                <w:rPr>
                  <w:rFonts w:ascii="Cambria Math" w:hAnsi="Cambria Math"/>
                  <w:i/>
                  <w:color w:val="000000" w:themeColor="text1"/>
                  <w:sz w:val="22"/>
                  <w:szCs w:val="22"/>
                </w:rPr>
              </m:ctrlPr>
            </m:fPr>
            <m:num>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dE</m:t>
                  </m:r>
                </m:e>
                <m:sub>
                  <m:r>
                    <w:rPr>
                      <w:rFonts w:ascii="Cambria Math" w:hAnsi="Cambria Math"/>
                      <w:color w:val="000000" w:themeColor="text1"/>
                      <w:sz w:val="22"/>
                      <w:szCs w:val="22"/>
                    </w:rPr>
                    <m:t>C</m:t>
                  </m:r>
                </m:sub>
              </m:sSub>
            </m:num>
            <m:den>
              <m:r>
                <w:rPr>
                  <w:rFonts w:ascii="Cambria Math" w:hAnsi="Cambria Math"/>
                  <w:color w:val="000000" w:themeColor="text1"/>
                  <w:sz w:val="22"/>
                  <w:szCs w:val="22"/>
                </w:rPr>
                <m:t>dt</m:t>
              </m:r>
            </m:den>
          </m:f>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λ</m:t>
              </m:r>
            </m:e>
            <m:sub>
              <m:r>
                <w:rPr>
                  <w:rFonts w:ascii="Cambria Math" w:hAnsi="Cambria Math"/>
                  <w:color w:val="000000" w:themeColor="text1"/>
                  <w:sz w:val="22"/>
                  <w:szCs w:val="22"/>
                </w:rPr>
                <m:t>c</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S</m:t>
              </m:r>
            </m:e>
            <m:sub>
              <m:r>
                <w:rPr>
                  <w:rFonts w:ascii="Cambria Math" w:hAnsi="Cambria Math"/>
                  <w:color w:val="000000" w:themeColor="text1"/>
                  <w:sz w:val="22"/>
                  <w:szCs w:val="22"/>
                </w:rPr>
                <m:t>c</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α</m:t>
              </m:r>
            </m:e>
            <m:sub>
              <m:r>
                <w:rPr>
                  <w:rFonts w:ascii="Cambria Math" w:hAnsi="Cambria Math"/>
                  <w:color w:val="000000" w:themeColor="text1"/>
                  <w:sz w:val="22"/>
                  <w:szCs w:val="22"/>
                </w:rPr>
                <m:t>c</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E</m:t>
              </m:r>
            </m:e>
            <m:sub>
              <m:r>
                <w:rPr>
                  <w:rFonts w:ascii="Cambria Math" w:hAnsi="Cambria Math"/>
                  <w:color w:val="000000" w:themeColor="text1"/>
                  <w:sz w:val="22"/>
                  <w:szCs w:val="22"/>
                </w:rPr>
                <m:t>c</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μ</m:t>
              </m:r>
            </m:e>
            <m:sub>
              <m:r>
                <w:rPr>
                  <w:rFonts w:ascii="Cambria Math" w:hAnsi="Cambria Math"/>
                  <w:color w:val="000000" w:themeColor="text1"/>
                  <w:sz w:val="22"/>
                  <w:szCs w:val="22"/>
                </w:rPr>
                <m:t>c</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E</m:t>
              </m:r>
            </m:e>
            <m:sub>
              <m:r>
                <w:rPr>
                  <w:rFonts w:ascii="Cambria Math" w:hAnsi="Cambria Math"/>
                  <w:color w:val="000000" w:themeColor="text1"/>
                  <w:sz w:val="22"/>
                  <w:szCs w:val="22"/>
                </w:rPr>
                <m:t>c</m:t>
              </m:r>
            </m:sub>
          </m:sSub>
        </m:oMath>
      </m:oMathPara>
    </w:p>
    <w:p w14:paraId="73448BF0" w14:textId="77777777" w:rsidR="0033506D" w:rsidRPr="00DC582F" w:rsidRDefault="00000000" w:rsidP="0033506D">
      <w:pPr>
        <w:pStyle w:val="NormalWeb"/>
        <w:rPr>
          <w:color w:val="000000" w:themeColor="text1"/>
          <w:sz w:val="22"/>
          <w:szCs w:val="22"/>
        </w:rPr>
      </w:pPr>
      <m:oMathPara>
        <m:oMath>
          <m:f>
            <m:fPr>
              <m:ctrlPr>
                <w:rPr>
                  <w:rFonts w:ascii="Cambria Math" w:hAnsi="Cambria Math"/>
                  <w:i/>
                  <w:color w:val="000000" w:themeColor="text1"/>
                  <w:sz w:val="22"/>
                  <w:szCs w:val="22"/>
                </w:rPr>
              </m:ctrlPr>
            </m:fPr>
            <m:num>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dI</m:t>
                  </m:r>
                </m:e>
                <m:sub>
                  <m:r>
                    <w:rPr>
                      <w:rFonts w:ascii="Cambria Math" w:hAnsi="Cambria Math"/>
                      <w:color w:val="000000" w:themeColor="text1"/>
                      <w:sz w:val="22"/>
                      <w:szCs w:val="22"/>
                    </w:rPr>
                    <m:t>C</m:t>
                  </m:r>
                </m:sub>
              </m:sSub>
            </m:num>
            <m:den>
              <m:r>
                <w:rPr>
                  <w:rFonts w:ascii="Cambria Math" w:hAnsi="Cambria Math"/>
                  <w:color w:val="000000" w:themeColor="text1"/>
                  <w:sz w:val="22"/>
                  <w:szCs w:val="22"/>
                </w:rPr>
                <m:t>dt</m:t>
              </m:r>
            </m:den>
          </m:f>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α</m:t>
              </m:r>
            </m:e>
            <m:sub>
              <m:r>
                <w:rPr>
                  <w:rFonts w:ascii="Cambria Math" w:hAnsi="Cambria Math"/>
                  <w:color w:val="000000" w:themeColor="text1"/>
                  <w:sz w:val="22"/>
                  <w:szCs w:val="22"/>
                </w:rPr>
                <m:t>c</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E</m:t>
              </m:r>
            </m:e>
            <m:sub>
              <m:r>
                <w:rPr>
                  <w:rFonts w:ascii="Cambria Math" w:hAnsi="Cambria Math"/>
                  <w:color w:val="000000" w:themeColor="text1"/>
                  <w:sz w:val="22"/>
                  <w:szCs w:val="22"/>
                </w:rPr>
                <m:t>c</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γ</m:t>
              </m:r>
            </m:e>
            <m:sub>
              <m:r>
                <w:rPr>
                  <w:rFonts w:ascii="Cambria Math" w:hAnsi="Cambria Math"/>
                  <w:color w:val="000000" w:themeColor="text1"/>
                  <w:sz w:val="22"/>
                  <w:szCs w:val="22"/>
                </w:rPr>
                <m:t>c</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I</m:t>
              </m:r>
            </m:e>
            <m:sub>
              <m:r>
                <w:rPr>
                  <w:rFonts w:ascii="Cambria Math" w:hAnsi="Cambria Math"/>
                  <w:color w:val="000000" w:themeColor="text1"/>
                  <w:sz w:val="22"/>
                  <w:szCs w:val="22"/>
                </w:rPr>
                <m:t>c</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δ</m:t>
              </m:r>
            </m:e>
            <m:sub>
              <m:r>
                <w:rPr>
                  <w:rFonts w:ascii="Cambria Math" w:hAnsi="Cambria Math"/>
                  <w:color w:val="000000" w:themeColor="text1"/>
                  <w:sz w:val="22"/>
                  <w:szCs w:val="22"/>
                </w:rPr>
                <m:t>c</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I</m:t>
              </m:r>
            </m:e>
            <m:sub>
              <m:r>
                <w:rPr>
                  <w:rFonts w:ascii="Cambria Math" w:hAnsi="Cambria Math"/>
                  <w:color w:val="000000" w:themeColor="text1"/>
                  <w:sz w:val="22"/>
                  <w:szCs w:val="22"/>
                </w:rPr>
                <m:t>c</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μ</m:t>
              </m:r>
            </m:e>
            <m:sub>
              <m:r>
                <w:rPr>
                  <w:rFonts w:ascii="Cambria Math" w:hAnsi="Cambria Math"/>
                  <w:color w:val="000000" w:themeColor="text1"/>
                  <w:sz w:val="22"/>
                  <w:szCs w:val="22"/>
                </w:rPr>
                <m:t>c</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I</m:t>
              </m:r>
            </m:e>
            <m:sub>
              <m:r>
                <w:rPr>
                  <w:rFonts w:ascii="Cambria Math" w:hAnsi="Cambria Math"/>
                  <w:color w:val="000000" w:themeColor="text1"/>
                  <w:sz w:val="22"/>
                  <w:szCs w:val="22"/>
                </w:rPr>
                <m:t>c</m:t>
              </m:r>
            </m:sub>
          </m:sSub>
        </m:oMath>
      </m:oMathPara>
    </w:p>
    <w:p w14:paraId="27B95A5E" w14:textId="77777777" w:rsidR="0033506D" w:rsidRPr="00DC582F" w:rsidRDefault="00000000" w:rsidP="0033506D">
      <w:pPr>
        <w:pStyle w:val="NormalWeb"/>
        <w:rPr>
          <w:color w:val="000000" w:themeColor="text1"/>
          <w:sz w:val="22"/>
          <w:szCs w:val="22"/>
        </w:rPr>
      </w:pPr>
      <m:oMathPara>
        <m:oMath>
          <m:f>
            <m:fPr>
              <m:ctrlPr>
                <w:rPr>
                  <w:rFonts w:ascii="Cambria Math" w:hAnsi="Cambria Math"/>
                  <w:i/>
                  <w:color w:val="000000" w:themeColor="text1"/>
                  <w:sz w:val="22"/>
                  <w:szCs w:val="22"/>
                </w:rPr>
              </m:ctrlPr>
            </m:fPr>
            <m:num>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dR</m:t>
                  </m:r>
                </m:e>
                <m:sub>
                  <m:r>
                    <w:rPr>
                      <w:rFonts w:ascii="Cambria Math" w:hAnsi="Cambria Math"/>
                      <w:color w:val="000000" w:themeColor="text1"/>
                      <w:sz w:val="22"/>
                      <w:szCs w:val="22"/>
                    </w:rPr>
                    <m:t>C</m:t>
                  </m:r>
                </m:sub>
              </m:sSub>
            </m:num>
            <m:den>
              <m:r>
                <w:rPr>
                  <w:rFonts w:ascii="Cambria Math" w:hAnsi="Cambria Math"/>
                  <w:color w:val="000000" w:themeColor="text1"/>
                  <w:sz w:val="22"/>
                  <w:szCs w:val="22"/>
                </w:rPr>
                <m:t>dt</m:t>
              </m:r>
            </m:den>
          </m:f>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γ</m:t>
              </m:r>
            </m:e>
            <m:sub>
              <m:r>
                <w:rPr>
                  <w:rFonts w:ascii="Cambria Math" w:hAnsi="Cambria Math"/>
                  <w:color w:val="000000" w:themeColor="text1"/>
                  <w:sz w:val="22"/>
                  <w:szCs w:val="22"/>
                </w:rPr>
                <m:t>c</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I</m:t>
              </m:r>
            </m:e>
            <m:sub>
              <m:r>
                <w:rPr>
                  <w:rFonts w:ascii="Cambria Math" w:hAnsi="Cambria Math"/>
                  <w:color w:val="000000" w:themeColor="text1"/>
                  <w:sz w:val="22"/>
                  <w:szCs w:val="22"/>
                </w:rPr>
                <m:t>c</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ψ</m:t>
              </m:r>
            </m:e>
            <m:sub>
              <m:r>
                <w:rPr>
                  <w:rFonts w:ascii="Cambria Math" w:hAnsi="Cambria Math"/>
                  <w:color w:val="000000" w:themeColor="text1"/>
                  <w:sz w:val="22"/>
                  <w:szCs w:val="22"/>
                </w:rPr>
                <m:t>c</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m:t>
              </m:r>
            </m:e>
            <m:sub>
              <m:r>
                <w:rPr>
                  <w:rFonts w:ascii="Cambria Math" w:hAnsi="Cambria Math"/>
                  <w:color w:val="000000" w:themeColor="text1"/>
                  <w:sz w:val="22"/>
                  <w:szCs w:val="22"/>
                </w:rPr>
                <m:t>c</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μ</m:t>
              </m:r>
            </m:e>
            <m:sub>
              <m:r>
                <w:rPr>
                  <w:rFonts w:ascii="Cambria Math" w:hAnsi="Cambria Math"/>
                  <w:color w:val="000000" w:themeColor="text1"/>
                  <w:sz w:val="22"/>
                  <w:szCs w:val="22"/>
                </w:rPr>
                <m:t>c</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m:t>
              </m:r>
            </m:e>
            <m:sub>
              <m:r>
                <w:rPr>
                  <w:rFonts w:ascii="Cambria Math" w:hAnsi="Cambria Math"/>
                  <w:color w:val="000000" w:themeColor="text1"/>
                  <w:sz w:val="22"/>
                  <w:szCs w:val="22"/>
                </w:rPr>
                <m:t>c</m:t>
              </m:r>
            </m:sub>
          </m:sSub>
        </m:oMath>
      </m:oMathPara>
    </w:p>
    <w:p w14:paraId="0CCC9C72" w14:textId="77777777" w:rsidR="0033506D" w:rsidRPr="00DC582F" w:rsidRDefault="0033506D" w:rsidP="0033506D">
      <w:pPr>
        <w:rPr>
          <w:rFonts w:ascii="Times New Roman" w:hAnsi="Times New Roman" w:cs="Times New Roman"/>
          <w:color w:val="000000" w:themeColor="text1"/>
          <w:sz w:val="22"/>
          <w:szCs w:val="22"/>
        </w:rPr>
      </w:pPr>
    </w:p>
    <w:p w14:paraId="209A8228" w14:textId="77777777" w:rsidR="0033506D" w:rsidRPr="00DC582F" w:rsidRDefault="0033506D" w:rsidP="0033506D">
      <w:pPr>
        <w:rPr>
          <w:rFonts w:ascii="Times New Roman" w:hAnsi="Times New Roman" w:cs="Times New Roman"/>
          <w:color w:val="000000" w:themeColor="text1"/>
          <w:sz w:val="22"/>
          <w:szCs w:val="22"/>
        </w:rPr>
      </w:pPr>
    </w:p>
    <w:p w14:paraId="627FE99C" w14:textId="77777777" w:rsidR="0033506D" w:rsidRPr="00DC582F" w:rsidRDefault="0033506D" w:rsidP="0033506D">
      <w:pPr>
        <w:spacing w:before="100" w:beforeAutospacing="1" w:after="100" w:afterAutospacing="1"/>
        <w:outlineLvl w:val="2"/>
        <w:rPr>
          <w:rFonts w:ascii="Times New Roman" w:hAnsi="Times New Roman" w:cs="Times New Roman"/>
          <w:color w:val="000000" w:themeColor="text1"/>
          <w:sz w:val="22"/>
          <w:szCs w:val="22"/>
        </w:rPr>
      </w:pPr>
      <w:r w:rsidRPr="00DC582F">
        <w:rPr>
          <w:rFonts w:ascii="Times New Roman" w:hAnsi="Times New Roman" w:cs="Times New Roman"/>
          <w:color w:val="000000" w:themeColor="text1"/>
          <w:sz w:val="22"/>
          <w:szCs w:val="22"/>
        </w:rPr>
        <w:t>Human population (adults):</w:t>
      </w:r>
    </w:p>
    <w:p w14:paraId="6031DE89" w14:textId="77777777" w:rsidR="0033506D" w:rsidRPr="00DC582F" w:rsidRDefault="00000000" w:rsidP="0033506D">
      <w:pPr>
        <w:pStyle w:val="NormalWeb"/>
        <w:rPr>
          <w:color w:val="000000" w:themeColor="text1"/>
          <w:sz w:val="22"/>
          <w:szCs w:val="22"/>
        </w:rPr>
      </w:pPr>
      <m:oMathPara>
        <m:oMath>
          <m:f>
            <m:fPr>
              <m:ctrlPr>
                <w:rPr>
                  <w:rFonts w:ascii="Cambria Math" w:hAnsi="Cambria Math"/>
                  <w:i/>
                  <w:color w:val="000000" w:themeColor="text1"/>
                  <w:sz w:val="22"/>
                  <w:szCs w:val="22"/>
                </w:rPr>
              </m:ctrlPr>
            </m:fPr>
            <m:num>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dS</m:t>
                  </m:r>
                </m:e>
                <m:sub>
                  <m:r>
                    <w:rPr>
                      <w:rFonts w:ascii="Cambria Math" w:hAnsi="Cambria Math"/>
                      <w:color w:val="000000" w:themeColor="text1"/>
                      <w:sz w:val="22"/>
                      <w:szCs w:val="22"/>
                    </w:rPr>
                    <m:t>a</m:t>
                  </m:r>
                </m:sub>
              </m:sSub>
            </m:num>
            <m:den>
              <m:r>
                <w:rPr>
                  <w:rFonts w:ascii="Cambria Math" w:hAnsi="Cambria Math"/>
                  <w:color w:val="000000" w:themeColor="text1"/>
                  <w:sz w:val="22"/>
                  <w:szCs w:val="22"/>
                </w:rPr>
                <m:t>dt</m:t>
              </m:r>
            </m:den>
          </m:f>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λ</m:t>
              </m:r>
            </m:e>
            <m:sub>
              <m:r>
                <w:rPr>
                  <w:rFonts w:ascii="Cambria Math" w:hAnsi="Cambria Math"/>
                  <w:color w:val="000000" w:themeColor="text1"/>
                  <w:sz w:val="22"/>
                  <w:szCs w:val="22"/>
                </w:rPr>
                <m:t>a</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S</m:t>
              </m:r>
            </m:e>
            <m:sub>
              <m:r>
                <w:rPr>
                  <w:rFonts w:ascii="Cambria Math" w:hAnsi="Cambria Math"/>
                  <w:color w:val="000000" w:themeColor="text1"/>
                  <w:sz w:val="22"/>
                  <w:szCs w:val="22"/>
                </w:rPr>
                <m:t>a</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π</m:t>
              </m:r>
            </m:e>
            <m:sub>
              <m:r>
                <w:rPr>
                  <w:rFonts w:ascii="Cambria Math" w:hAnsi="Cambria Math"/>
                  <w:color w:val="000000" w:themeColor="text1"/>
                  <w:sz w:val="22"/>
                  <w:szCs w:val="22"/>
                </w:rPr>
                <m:t>a</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S</m:t>
              </m:r>
            </m:e>
            <m:sub>
              <m:r>
                <w:rPr>
                  <w:rFonts w:ascii="Cambria Math" w:hAnsi="Cambria Math"/>
                  <w:color w:val="000000" w:themeColor="text1"/>
                  <w:sz w:val="22"/>
                  <w:szCs w:val="22"/>
                </w:rPr>
                <m:t>a</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ψ</m:t>
              </m:r>
            </m:e>
            <m:sub>
              <m:r>
                <w:rPr>
                  <w:rFonts w:ascii="Cambria Math" w:hAnsi="Cambria Math"/>
                  <w:color w:val="000000" w:themeColor="text1"/>
                  <w:sz w:val="22"/>
                  <w:szCs w:val="22"/>
                </w:rPr>
                <m:t>a</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m:t>
              </m:r>
            </m:e>
            <m:sub>
              <m:r>
                <w:rPr>
                  <w:rFonts w:ascii="Cambria Math" w:hAnsi="Cambria Math"/>
                  <w:color w:val="000000" w:themeColor="text1"/>
                  <w:sz w:val="22"/>
                  <w:szCs w:val="22"/>
                </w:rPr>
                <m:t>a</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μ</m:t>
              </m:r>
            </m:e>
            <m:sub>
              <m:r>
                <w:rPr>
                  <w:rFonts w:ascii="Cambria Math" w:hAnsi="Cambria Math"/>
                  <w:color w:val="000000" w:themeColor="text1"/>
                  <w:sz w:val="22"/>
                  <w:szCs w:val="22"/>
                </w:rPr>
                <m:t>a</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S</m:t>
              </m:r>
            </m:e>
            <m:sub>
              <m:r>
                <w:rPr>
                  <w:rFonts w:ascii="Cambria Math" w:hAnsi="Cambria Math"/>
                  <w:color w:val="000000" w:themeColor="text1"/>
                  <w:sz w:val="22"/>
                  <w:szCs w:val="22"/>
                </w:rPr>
                <m:t>a</m:t>
              </m:r>
            </m:sub>
          </m:sSub>
        </m:oMath>
      </m:oMathPara>
    </w:p>
    <w:p w14:paraId="743317F1" w14:textId="77777777" w:rsidR="0033506D" w:rsidRPr="00DC582F" w:rsidRDefault="00000000" w:rsidP="0033506D">
      <w:pPr>
        <w:pStyle w:val="NormalWeb"/>
        <w:rPr>
          <w:color w:val="000000" w:themeColor="text1"/>
          <w:sz w:val="22"/>
          <w:szCs w:val="22"/>
        </w:rPr>
      </w:pPr>
      <m:oMathPara>
        <m:oMath>
          <m:f>
            <m:fPr>
              <m:ctrlPr>
                <w:rPr>
                  <w:rFonts w:ascii="Cambria Math" w:hAnsi="Cambria Math"/>
                  <w:i/>
                  <w:color w:val="000000" w:themeColor="text1"/>
                  <w:sz w:val="22"/>
                  <w:szCs w:val="22"/>
                </w:rPr>
              </m:ctrlPr>
            </m:fPr>
            <m:num>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dP</m:t>
                  </m:r>
                </m:e>
                <m:sub>
                  <m:r>
                    <w:rPr>
                      <w:rFonts w:ascii="Cambria Math" w:hAnsi="Cambria Math"/>
                      <w:color w:val="000000" w:themeColor="text1"/>
                      <w:sz w:val="22"/>
                      <w:szCs w:val="22"/>
                    </w:rPr>
                    <m:t>w</m:t>
                  </m:r>
                </m:sub>
              </m:sSub>
            </m:num>
            <m:den>
              <m:r>
                <w:rPr>
                  <w:rFonts w:ascii="Cambria Math" w:hAnsi="Cambria Math"/>
                  <w:color w:val="000000" w:themeColor="text1"/>
                  <w:sz w:val="22"/>
                  <w:szCs w:val="22"/>
                </w:rPr>
                <m:t>dt</m:t>
              </m:r>
            </m:den>
          </m:f>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π</m:t>
              </m:r>
            </m:e>
            <m:sub>
              <m:r>
                <w:rPr>
                  <w:rFonts w:ascii="Cambria Math" w:hAnsi="Cambria Math"/>
                  <w:color w:val="000000" w:themeColor="text1"/>
                  <w:sz w:val="22"/>
                  <w:szCs w:val="22"/>
                </w:rPr>
                <m:t>a</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S</m:t>
              </m:r>
            </m:e>
            <m:sub>
              <m:r>
                <w:rPr>
                  <w:rFonts w:ascii="Cambria Math" w:hAnsi="Cambria Math"/>
                  <w:color w:val="000000" w:themeColor="text1"/>
                  <w:sz w:val="22"/>
                  <w:szCs w:val="22"/>
                </w:rPr>
                <m:t>a</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θ</m:t>
              </m:r>
            </m:e>
            <m:sub>
              <m:r>
                <w:rPr>
                  <w:rFonts w:ascii="Cambria Math" w:hAnsi="Cambria Math"/>
                  <w:color w:val="000000" w:themeColor="text1"/>
                  <w:sz w:val="22"/>
                  <w:szCs w:val="22"/>
                </w:rPr>
                <m:t>a</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P</m:t>
              </m:r>
            </m:e>
            <m:sub>
              <m:r>
                <w:rPr>
                  <w:rFonts w:ascii="Cambria Math" w:hAnsi="Cambria Math"/>
                  <w:color w:val="000000" w:themeColor="text1"/>
                  <w:sz w:val="22"/>
                  <w:szCs w:val="22"/>
                </w:rPr>
                <m:t>a</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μ</m:t>
              </m:r>
            </m:e>
            <m:sub>
              <m:r>
                <w:rPr>
                  <w:rFonts w:ascii="Cambria Math" w:hAnsi="Cambria Math"/>
                  <w:color w:val="000000" w:themeColor="text1"/>
                  <w:sz w:val="22"/>
                  <w:szCs w:val="22"/>
                </w:rPr>
                <m:t>a</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P</m:t>
              </m:r>
            </m:e>
            <m:sub>
              <m:r>
                <w:rPr>
                  <w:rFonts w:ascii="Cambria Math" w:hAnsi="Cambria Math"/>
                  <w:color w:val="000000" w:themeColor="text1"/>
                  <w:sz w:val="22"/>
                  <w:szCs w:val="22"/>
                </w:rPr>
                <m:t>a</m:t>
              </m:r>
            </m:sub>
          </m:sSub>
        </m:oMath>
      </m:oMathPara>
    </w:p>
    <w:p w14:paraId="672A6126" w14:textId="77777777" w:rsidR="0033506D" w:rsidRPr="00DC582F" w:rsidRDefault="00000000" w:rsidP="0033506D">
      <w:pPr>
        <w:pStyle w:val="NormalWeb"/>
        <w:rPr>
          <w:color w:val="000000" w:themeColor="text1"/>
          <w:sz w:val="22"/>
          <w:szCs w:val="22"/>
        </w:rPr>
      </w:pPr>
      <m:oMathPara>
        <m:oMath>
          <m:f>
            <m:fPr>
              <m:ctrlPr>
                <w:rPr>
                  <w:rFonts w:ascii="Cambria Math" w:hAnsi="Cambria Math"/>
                  <w:i/>
                  <w:color w:val="000000" w:themeColor="text1"/>
                  <w:sz w:val="22"/>
                  <w:szCs w:val="22"/>
                </w:rPr>
              </m:ctrlPr>
            </m:fPr>
            <m:num>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dE</m:t>
                  </m:r>
                </m:e>
                <m:sub>
                  <m:r>
                    <w:rPr>
                      <w:rFonts w:ascii="Cambria Math" w:hAnsi="Cambria Math"/>
                      <w:color w:val="000000" w:themeColor="text1"/>
                      <w:sz w:val="22"/>
                      <w:szCs w:val="22"/>
                    </w:rPr>
                    <m:t>a</m:t>
                  </m:r>
                </m:sub>
              </m:sSub>
            </m:num>
            <m:den>
              <m:r>
                <w:rPr>
                  <w:rFonts w:ascii="Cambria Math" w:hAnsi="Cambria Math"/>
                  <w:color w:val="000000" w:themeColor="text1"/>
                  <w:sz w:val="22"/>
                  <w:szCs w:val="22"/>
                </w:rPr>
                <m:t>dt</m:t>
              </m:r>
            </m:den>
          </m:f>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λ</m:t>
              </m:r>
            </m:e>
            <m:sub>
              <m:r>
                <w:rPr>
                  <w:rFonts w:ascii="Cambria Math" w:hAnsi="Cambria Math"/>
                  <w:color w:val="000000" w:themeColor="text1"/>
                  <w:sz w:val="22"/>
                  <w:szCs w:val="22"/>
                </w:rPr>
                <m:t>a</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S</m:t>
              </m:r>
            </m:e>
            <m:sub>
              <m:r>
                <w:rPr>
                  <w:rFonts w:ascii="Cambria Math" w:hAnsi="Cambria Math"/>
                  <w:color w:val="000000" w:themeColor="text1"/>
                  <w:sz w:val="22"/>
                  <w:szCs w:val="22"/>
                </w:rPr>
                <m:t>a</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α</m:t>
              </m:r>
            </m:e>
            <m:sub>
              <m:r>
                <w:rPr>
                  <w:rFonts w:ascii="Cambria Math" w:hAnsi="Cambria Math"/>
                  <w:color w:val="000000" w:themeColor="text1"/>
                  <w:sz w:val="22"/>
                  <w:szCs w:val="22"/>
                </w:rPr>
                <m:t>a</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E</m:t>
              </m:r>
            </m:e>
            <m:sub>
              <m:r>
                <w:rPr>
                  <w:rFonts w:ascii="Cambria Math" w:hAnsi="Cambria Math"/>
                  <w:color w:val="000000" w:themeColor="text1"/>
                  <w:sz w:val="22"/>
                  <w:szCs w:val="22"/>
                </w:rPr>
                <m:t>a</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μ</m:t>
              </m:r>
            </m:e>
            <m:sub>
              <m:r>
                <w:rPr>
                  <w:rFonts w:ascii="Cambria Math" w:hAnsi="Cambria Math"/>
                  <w:color w:val="000000" w:themeColor="text1"/>
                  <w:sz w:val="22"/>
                  <w:szCs w:val="22"/>
                </w:rPr>
                <m:t>a</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E</m:t>
              </m:r>
            </m:e>
            <m:sub>
              <m:r>
                <w:rPr>
                  <w:rFonts w:ascii="Cambria Math" w:hAnsi="Cambria Math"/>
                  <w:color w:val="000000" w:themeColor="text1"/>
                  <w:sz w:val="22"/>
                  <w:szCs w:val="22"/>
                </w:rPr>
                <m:t>a</m:t>
              </m:r>
            </m:sub>
          </m:sSub>
        </m:oMath>
      </m:oMathPara>
    </w:p>
    <w:p w14:paraId="5FDDDE85" w14:textId="77777777" w:rsidR="0033506D" w:rsidRPr="00DC582F" w:rsidRDefault="00000000" w:rsidP="0033506D">
      <w:pPr>
        <w:pStyle w:val="NormalWeb"/>
        <w:rPr>
          <w:color w:val="000000" w:themeColor="text1"/>
          <w:sz w:val="22"/>
          <w:szCs w:val="22"/>
        </w:rPr>
      </w:pPr>
      <m:oMathPara>
        <m:oMath>
          <m:f>
            <m:fPr>
              <m:ctrlPr>
                <w:rPr>
                  <w:rFonts w:ascii="Cambria Math" w:hAnsi="Cambria Math"/>
                  <w:i/>
                  <w:color w:val="000000" w:themeColor="text1"/>
                  <w:sz w:val="22"/>
                  <w:szCs w:val="22"/>
                </w:rPr>
              </m:ctrlPr>
            </m:fPr>
            <m:num>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dI</m:t>
                  </m:r>
                </m:e>
                <m:sub>
                  <m:r>
                    <w:rPr>
                      <w:rFonts w:ascii="Cambria Math" w:hAnsi="Cambria Math"/>
                      <w:color w:val="000000" w:themeColor="text1"/>
                      <w:sz w:val="22"/>
                      <w:szCs w:val="22"/>
                    </w:rPr>
                    <m:t>a</m:t>
                  </m:r>
                </m:sub>
              </m:sSub>
            </m:num>
            <m:den>
              <m:r>
                <w:rPr>
                  <w:rFonts w:ascii="Cambria Math" w:hAnsi="Cambria Math"/>
                  <w:color w:val="000000" w:themeColor="text1"/>
                  <w:sz w:val="22"/>
                  <w:szCs w:val="22"/>
                </w:rPr>
                <m:t>dt</m:t>
              </m:r>
            </m:den>
          </m:f>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α</m:t>
              </m:r>
            </m:e>
            <m:sub>
              <m:r>
                <w:rPr>
                  <w:rFonts w:ascii="Cambria Math" w:hAnsi="Cambria Math"/>
                  <w:color w:val="000000" w:themeColor="text1"/>
                  <w:sz w:val="22"/>
                  <w:szCs w:val="22"/>
                </w:rPr>
                <m:t>a</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E</m:t>
              </m:r>
            </m:e>
            <m:sub>
              <m:r>
                <w:rPr>
                  <w:rFonts w:ascii="Cambria Math" w:hAnsi="Cambria Math"/>
                  <w:color w:val="000000" w:themeColor="text1"/>
                  <w:sz w:val="22"/>
                  <w:szCs w:val="22"/>
                </w:rPr>
                <m:t>a</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γ</m:t>
              </m:r>
            </m:e>
            <m:sub>
              <m:r>
                <w:rPr>
                  <w:rFonts w:ascii="Cambria Math" w:hAnsi="Cambria Math"/>
                  <w:color w:val="000000" w:themeColor="text1"/>
                  <w:sz w:val="22"/>
                  <w:szCs w:val="22"/>
                </w:rPr>
                <m:t>a</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I</m:t>
              </m:r>
            </m:e>
            <m:sub>
              <m:r>
                <w:rPr>
                  <w:rFonts w:ascii="Cambria Math" w:hAnsi="Cambria Math"/>
                  <w:color w:val="000000" w:themeColor="text1"/>
                  <w:sz w:val="22"/>
                  <w:szCs w:val="22"/>
                </w:rPr>
                <m:t>a</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δ</m:t>
              </m:r>
            </m:e>
            <m:sub>
              <m:r>
                <w:rPr>
                  <w:rFonts w:ascii="Cambria Math" w:hAnsi="Cambria Math"/>
                  <w:color w:val="000000" w:themeColor="text1"/>
                  <w:sz w:val="22"/>
                  <w:szCs w:val="22"/>
                </w:rPr>
                <m:t>a</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I</m:t>
              </m:r>
            </m:e>
            <m:sub>
              <m:r>
                <w:rPr>
                  <w:rFonts w:ascii="Cambria Math" w:hAnsi="Cambria Math"/>
                  <w:color w:val="000000" w:themeColor="text1"/>
                  <w:sz w:val="22"/>
                  <w:szCs w:val="22"/>
                </w:rPr>
                <m:t>a</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μ</m:t>
              </m:r>
            </m:e>
            <m:sub>
              <m:r>
                <w:rPr>
                  <w:rFonts w:ascii="Cambria Math" w:hAnsi="Cambria Math"/>
                  <w:color w:val="000000" w:themeColor="text1"/>
                  <w:sz w:val="22"/>
                  <w:szCs w:val="22"/>
                </w:rPr>
                <m:t>a</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I</m:t>
              </m:r>
            </m:e>
            <m:sub>
              <m:r>
                <w:rPr>
                  <w:rFonts w:ascii="Cambria Math" w:hAnsi="Cambria Math"/>
                  <w:color w:val="000000" w:themeColor="text1"/>
                  <w:sz w:val="22"/>
                  <w:szCs w:val="22"/>
                </w:rPr>
                <m:t>a</m:t>
              </m:r>
            </m:sub>
          </m:sSub>
        </m:oMath>
      </m:oMathPara>
    </w:p>
    <w:p w14:paraId="5DAE8DD9" w14:textId="77777777" w:rsidR="0033506D" w:rsidRPr="00DC582F" w:rsidRDefault="00000000" w:rsidP="0033506D">
      <w:pPr>
        <w:pStyle w:val="NormalWeb"/>
        <w:rPr>
          <w:color w:val="000000" w:themeColor="text1"/>
          <w:sz w:val="22"/>
          <w:szCs w:val="22"/>
        </w:rPr>
      </w:pPr>
      <m:oMathPara>
        <m:oMath>
          <m:f>
            <m:fPr>
              <m:ctrlPr>
                <w:rPr>
                  <w:rFonts w:ascii="Cambria Math" w:hAnsi="Cambria Math"/>
                  <w:i/>
                  <w:color w:val="000000" w:themeColor="text1"/>
                  <w:sz w:val="22"/>
                  <w:szCs w:val="22"/>
                </w:rPr>
              </m:ctrlPr>
            </m:fPr>
            <m:num>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dR</m:t>
                  </m:r>
                </m:e>
                <m:sub>
                  <m:r>
                    <w:rPr>
                      <w:rFonts w:ascii="Cambria Math" w:hAnsi="Cambria Math"/>
                      <w:color w:val="000000" w:themeColor="text1"/>
                      <w:sz w:val="22"/>
                      <w:szCs w:val="22"/>
                    </w:rPr>
                    <m:t>a</m:t>
                  </m:r>
                </m:sub>
              </m:sSub>
            </m:num>
            <m:den>
              <m:r>
                <w:rPr>
                  <w:rFonts w:ascii="Cambria Math" w:hAnsi="Cambria Math"/>
                  <w:color w:val="000000" w:themeColor="text1"/>
                  <w:sz w:val="22"/>
                  <w:szCs w:val="22"/>
                </w:rPr>
                <m:t>dt</m:t>
              </m:r>
            </m:den>
          </m:f>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γ</m:t>
              </m:r>
            </m:e>
            <m:sub>
              <m:r>
                <w:rPr>
                  <w:rFonts w:ascii="Cambria Math" w:hAnsi="Cambria Math"/>
                  <w:color w:val="000000" w:themeColor="text1"/>
                  <w:sz w:val="22"/>
                  <w:szCs w:val="22"/>
                </w:rPr>
                <m:t>a</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I</m:t>
              </m:r>
            </m:e>
            <m:sub>
              <m:r>
                <w:rPr>
                  <w:rFonts w:ascii="Cambria Math" w:hAnsi="Cambria Math"/>
                  <w:color w:val="000000" w:themeColor="text1"/>
                  <w:sz w:val="22"/>
                  <w:szCs w:val="22"/>
                </w:rPr>
                <m:t>a</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ψ</m:t>
              </m:r>
            </m:e>
            <m:sub>
              <m:r>
                <w:rPr>
                  <w:rFonts w:ascii="Cambria Math" w:hAnsi="Cambria Math"/>
                  <w:color w:val="000000" w:themeColor="text1"/>
                  <w:sz w:val="22"/>
                  <w:szCs w:val="22"/>
                </w:rPr>
                <m:t>a</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m:t>
              </m:r>
            </m:e>
            <m:sub>
              <m:r>
                <w:rPr>
                  <w:rFonts w:ascii="Cambria Math" w:hAnsi="Cambria Math"/>
                  <w:color w:val="000000" w:themeColor="text1"/>
                  <w:sz w:val="22"/>
                  <w:szCs w:val="22"/>
                </w:rPr>
                <m:t>a</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μ</m:t>
              </m:r>
            </m:e>
            <m:sub>
              <m:r>
                <w:rPr>
                  <w:rFonts w:ascii="Cambria Math" w:hAnsi="Cambria Math"/>
                  <w:color w:val="000000" w:themeColor="text1"/>
                  <w:sz w:val="22"/>
                  <w:szCs w:val="22"/>
                </w:rPr>
                <m:t>a</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m:t>
              </m:r>
            </m:e>
            <m:sub>
              <m:r>
                <w:rPr>
                  <w:rFonts w:ascii="Cambria Math" w:hAnsi="Cambria Math"/>
                  <w:color w:val="000000" w:themeColor="text1"/>
                  <w:sz w:val="22"/>
                  <w:szCs w:val="22"/>
                </w:rPr>
                <m:t>a</m:t>
              </m:r>
            </m:sub>
          </m:sSub>
        </m:oMath>
      </m:oMathPara>
    </w:p>
    <w:p w14:paraId="0C84AF80" w14:textId="77777777" w:rsidR="0033506D" w:rsidRPr="00DC582F" w:rsidRDefault="0033506D" w:rsidP="0033506D">
      <w:pPr>
        <w:rPr>
          <w:rFonts w:ascii="Times New Roman" w:hAnsi="Times New Roman" w:cs="Times New Roman"/>
          <w:color w:val="000000" w:themeColor="text1"/>
          <w:sz w:val="22"/>
          <w:szCs w:val="22"/>
        </w:rPr>
      </w:pPr>
    </w:p>
    <w:p w14:paraId="594D8A08" w14:textId="77777777" w:rsidR="0033506D" w:rsidRPr="00DC582F" w:rsidRDefault="0033506D" w:rsidP="0033506D">
      <w:pPr>
        <w:rPr>
          <w:rFonts w:ascii="Times New Roman" w:hAnsi="Times New Roman" w:cs="Times New Roman"/>
          <w:color w:val="000000" w:themeColor="text1"/>
          <w:sz w:val="22"/>
          <w:szCs w:val="22"/>
        </w:rPr>
      </w:pPr>
    </w:p>
    <w:p w14:paraId="0EB52828" w14:textId="77777777" w:rsidR="0033506D" w:rsidRPr="00DC582F" w:rsidRDefault="0033506D" w:rsidP="0033506D">
      <w:pPr>
        <w:spacing w:before="100" w:beforeAutospacing="1" w:after="100" w:afterAutospacing="1"/>
        <w:outlineLvl w:val="2"/>
        <w:rPr>
          <w:rFonts w:ascii="Times New Roman" w:hAnsi="Times New Roman" w:cs="Times New Roman"/>
          <w:color w:val="000000" w:themeColor="text1"/>
          <w:sz w:val="22"/>
          <w:szCs w:val="22"/>
        </w:rPr>
      </w:pPr>
      <w:r w:rsidRPr="00DC582F">
        <w:rPr>
          <w:rFonts w:ascii="Times New Roman" w:hAnsi="Times New Roman" w:cs="Times New Roman"/>
          <w:color w:val="000000" w:themeColor="text1"/>
          <w:sz w:val="22"/>
          <w:szCs w:val="22"/>
        </w:rPr>
        <w:t>Mosquito population:</w:t>
      </w:r>
    </w:p>
    <w:p w14:paraId="56D23270" w14:textId="77777777" w:rsidR="0033506D" w:rsidRPr="00DC582F" w:rsidRDefault="00000000" w:rsidP="0033506D">
      <w:pPr>
        <w:pStyle w:val="NormalWeb"/>
        <w:rPr>
          <w:color w:val="000000" w:themeColor="text1"/>
          <w:sz w:val="22"/>
          <w:szCs w:val="22"/>
        </w:rPr>
      </w:pPr>
      <m:oMathPara>
        <m:oMath>
          <m:f>
            <m:fPr>
              <m:ctrlPr>
                <w:rPr>
                  <w:rFonts w:ascii="Cambria Math" w:hAnsi="Cambria Math"/>
                  <w:i/>
                  <w:color w:val="000000" w:themeColor="text1"/>
                  <w:sz w:val="22"/>
                  <w:szCs w:val="22"/>
                </w:rPr>
              </m:ctrlPr>
            </m:fPr>
            <m:num>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dS</m:t>
                  </m:r>
                </m:e>
                <m:sub>
                  <m:r>
                    <w:rPr>
                      <w:rFonts w:ascii="Cambria Math" w:hAnsi="Cambria Math"/>
                      <w:color w:val="000000" w:themeColor="text1"/>
                      <w:sz w:val="22"/>
                      <w:szCs w:val="22"/>
                    </w:rPr>
                    <m:t>v</m:t>
                  </m:r>
                </m:sub>
              </m:sSub>
            </m:num>
            <m:den>
              <m:r>
                <w:rPr>
                  <w:rFonts w:ascii="Cambria Math" w:hAnsi="Cambria Math"/>
                  <w:color w:val="000000" w:themeColor="text1"/>
                  <w:sz w:val="22"/>
                  <w:szCs w:val="22"/>
                </w:rPr>
                <m:t>dt</m:t>
              </m:r>
            </m:den>
          </m:f>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λ</m:t>
              </m:r>
            </m:e>
            <m:sub>
              <m:r>
                <w:rPr>
                  <w:rFonts w:ascii="Cambria Math" w:hAnsi="Cambria Math"/>
                  <w:color w:val="000000" w:themeColor="text1"/>
                  <w:sz w:val="22"/>
                  <w:szCs w:val="22"/>
                </w:rPr>
                <m:t>v</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S</m:t>
              </m:r>
            </m:e>
            <m:sub>
              <m:r>
                <w:rPr>
                  <w:rFonts w:ascii="Cambria Math" w:hAnsi="Cambria Math"/>
                  <w:color w:val="000000" w:themeColor="text1"/>
                  <w:sz w:val="22"/>
                  <w:szCs w:val="22"/>
                </w:rPr>
                <m:t>v</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μ</m:t>
              </m:r>
            </m:e>
            <m:sub>
              <m:r>
                <w:rPr>
                  <w:rFonts w:ascii="Cambria Math" w:hAnsi="Cambria Math"/>
                  <w:color w:val="000000" w:themeColor="text1"/>
                  <w:sz w:val="22"/>
                  <w:szCs w:val="22"/>
                </w:rPr>
                <m:t>v</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S</m:t>
              </m:r>
            </m:e>
            <m:sub>
              <m:r>
                <w:rPr>
                  <w:rFonts w:ascii="Cambria Math" w:hAnsi="Cambria Math"/>
                  <w:color w:val="000000" w:themeColor="text1"/>
                  <w:sz w:val="22"/>
                  <w:szCs w:val="22"/>
                </w:rPr>
                <m:t>v</m:t>
              </m:r>
            </m:sub>
          </m:sSub>
        </m:oMath>
      </m:oMathPara>
    </w:p>
    <w:p w14:paraId="58E5DD76" w14:textId="77777777" w:rsidR="0033506D" w:rsidRPr="00DC582F" w:rsidRDefault="00000000" w:rsidP="0033506D">
      <w:pPr>
        <w:pStyle w:val="NormalWeb"/>
        <w:rPr>
          <w:color w:val="000000" w:themeColor="text1"/>
          <w:sz w:val="22"/>
          <w:szCs w:val="22"/>
        </w:rPr>
      </w:pPr>
      <m:oMathPara>
        <m:oMath>
          <m:f>
            <m:fPr>
              <m:ctrlPr>
                <w:rPr>
                  <w:rFonts w:ascii="Cambria Math" w:hAnsi="Cambria Math"/>
                  <w:i/>
                  <w:color w:val="000000" w:themeColor="text1"/>
                  <w:sz w:val="22"/>
                  <w:szCs w:val="22"/>
                </w:rPr>
              </m:ctrlPr>
            </m:fPr>
            <m:num>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dE</m:t>
                  </m:r>
                </m:e>
                <m:sub>
                  <m:r>
                    <w:rPr>
                      <w:rFonts w:ascii="Cambria Math" w:hAnsi="Cambria Math"/>
                      <w:color w:val="000000" w:themeColor="text1"/>
                      <w:sz w:val="22"/>
                      <w:szCs w:val="22"/>
                    </w:rPr>
                    <m:t>v</m:t>
                  </m:r>
                </m:sub>
              </m:sSub>
            </m:num>
            <m:den>
              <m:r>
                <w:rPr>
                  <w:rFonts w:ascii="Cambria Math" w:hAnsi="Cambria Math"/>
                  <w:color w:val="000000" w:themeColor="text1"/>
                  <w:sz w:val="22"/>
                  <w:szCs w:val="22"/>
                </w:rPr>
                <m:t>dt</m:t>
              </m:r>
            </m:den>
          </m:f>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λ</m:t>
              </m:r>
            </m:e>
            <m:sub>
              <m:r>
                <w:rPr>
                  <w:rFonts w:ascii="Cambria Math" w:hAnsi="Cambria Math"/>
                  <w:color w:val="000000" w:themeColor="text1"/>
                  <w:sz w:val="22"/>
                  <w:szCs w:val="22"/>
                </w:rPr>
                <m:t>v</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S</m:t>
              </m:r>
            </m:e>
            <m:sub>
              <m:r>
                <w:rPr>
                  <w:rFonts w:ascii="Cambria Math" w:hAnsi="Cambria Math"/>
                  <w:color w:val="000000" w:themeColor="text1"/>
                  <w:sz w:val="22"/>
                  <w:szCs w:val="22"/>
                </w:rPr>
                <m:t>v</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β</m:t>
              </m:r>
            </m:e>
            <m:sub>
              <m:r>
                <w:rPr>
                  <w:rFonts w:ascii="Cambria Math" w:hAnsi="Cambria Math"/>
                  <w:color w:val="000000" w:themeColor="text1"/>
                  <w:sz w:val="22"/>
                  <w:szCs w:val="22"/>
                </w:rPr>
                <m:t>v</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E</m:t>
              </m:r>
            </m:e>
            <m:sub>
              <m:r>
                <w:rPr>
                  <w:rFonts w:ascii="Cambria Math" w:hAnsi="Cambria Math"/>
                  <w:color w:val="000000" w:themeColor="text1"/>
                  <w:sz w:val="22"/>
                  <w:szCs w:val="22"/>
                </w:rPr>
                <m:t>v</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μ</m:t>
              </m:r>
            </m:e>
            <m:sub>
              <m:r>
                <w:rPr>
                  <w:rFonts w:ascii="Cambria Math" w:hAnsi="Cambria Math"/>
                  <w:color w:val="000000" w:themeColor="text1"/>
                  <w:sz w:val="22"/>
                  <w:szCs w:val="22"/>
                </w:rPr>
                <m:t>v</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E</m:t>
              </m:r>
            </m:e>
            <m:sub>
              <m:r>
                <w:rPr>
                  <w:rFonts w:ascii="Cambria Math" w:hAnsi="Cambria Math"/>
                  <w:color w:val="000000" w:themeColor="text1"/>
                  <w:sz w:val="22"/>
                  <w:szCs w:val="22"/>
                </w:rPr>
                <m:t>v</m:t>
              </m:r>
            </m:sub>
          </m:sSub>
        </m:oMath>
      </m:oMathPara>
    </w:p>
    <w:p w14:paraId="056DCB7E" w14:textId="77777777" w:rsidR="0033506D" w:rsidRPr="00DC582F" w:rsidRDefault="00000000" w:rsidP="0033506D">
      <w:pPr>
        <w:pStyle w:val="NormalWeb"/>
        <w:rPr>
          <w:color w:val="000000" w:themeColor="text1"/>
          <w:sz w:val="22"/>
          <w:szCs w:val="22"/>
        </w:rPr>
      </w:pPr>
      <m:oMathPara>
        <m:oMath>
          <m:f>
            <m:fPr>
              <m:ctrlPr>
                <w:rPr>
                  <w:rFonts w:ascii="Cambria Math" w:hAnsi="Cambria Math"/>
                  <w:i/>
                  <w:color w:val="000000" w:themeColor="text1"/>
                  <w:sz w:val="22"/>
                  <w:szCs w:val="22"/>
                </w:rPr>
              </m:ctrlPr>
            </m:fPr>
            <m:num>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dI</m:t>
                  </m:r>
                </m:e>
                <m:sub>
                  <m:r>
                    <w:rPr>
                      <w:rFonts w:ascii="Cambria Math" w:hAnsi="Cambria Math"/>
                      <w:color w:val="000000" w:themeColor="text1"/>
                      <w:sz w:val="22"/>
                      <w:szCs w:val="22"/>
                    </w:rPr>
                    <m:t>v</m:t>
                  </m:r>
                </m:sub>
              </m:sSub>
            </m:num>
            <m:den>
              <m:r>
                <w:rPr>
                  <w:rFonts w:ascii="Cambria Math" w:hAnsi="Cambria Math"/>
                  <w:color w:val="000000" w:themeColor="text1"/>
                  <w:sz w:val="22"/>
                  <w:szCs w:val="22"/>
                </w:rPr>
                <m:t>dt</m:t>
              </m:r>
            </m:den>
          </m:f>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β</m:t>
              </m:r>
            </m:e>
            <m:sub>
              <m:r>
                <w:rPr>
                  <w:rFonts w:ascii="Cambria Math" w:hAnsi="Cambria Math"/>
                  <w:color w:val="000000" w:themeColor="text1"/>
                  <w:sz w:val="22"/>
                  <w:szCs w:val="22"/>
                </w:rPr>
                <m:t>v</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E</m:t>
              </m:r>
            </m:e>
            <m:sub>
              <m:r>
                <w:rPr>
                  <w:rFonts w:ascii="Cambria Math" w:hAnsi="Cambria Math"/>
                  <w:color w:val="000000" w:themeColor="text1"/>
                  <w:sz w:val="22"/>
                  <w:szCs w:val="22"/>
                </w:rPr>
                <m:t>v</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μ</m:t>
              </m:r>
            </m:e>
            <m:sub>
              <m:r>
                <w:rPr>
                  <w:rFonts w:ascii="Cambria Math" w:hAnsi="Cambria Math"/>
                  <w:color w:val="000000" w:themeColor="text1"/>
                  <w:sz w:val="22"/>
                  <w:szCs w:val="22"/>
                </w:rPr>
                <m:t>v</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I</m:t>
              </m:r>
            </m:e>
            <m:sub>
              <m:r>
                <w:rPr>
                  <w:rFonts w:ascii="Cambria Math" w:hAnsi="Cambria Math"/>
                  <w:color w:val="000000" w:themeColor="text1"/>
                  <w:sz w:val="22"/>
                  <w:szCs w:val="22"/>
                </w:rPr>
                <m:t>v</m:t>
              </m:r>
            </m:sub>
          </m:sSub>
        </m:oMath>
      </m:oMathPara>
    </w:p>
    <w:p w14:paraId="60244928" w14:textId="77777777" w:rsidR="0033506D" w:rsidRPr="00DC582F" w:rsidRDefault="005807B1" w:rsidP="0033506D">
      <w:pPr>
        <w:rPr>
          <w:rFonts w:ascii="Times New Roman" w:hAnsi="Times New Roman" w:cs="Times New Roman"/>
          <w:color w:val="000000" w:themeColor="text1"/>
          <w:sz w:val="22"/>
          <w:szCs w:val="22"/>
        </w:rPr>
      </w:pPr>
      <w:r w:rsidRPr="00DC582F">
        <w:rPr>
          <w:rFonts w:ascii="Times New Roman" w:hAnsi="Times New Roman" w:cs="Times New Roman"/>
          <w:color w:val="000000" w:themeColor="text1"/>
          <w:sz w:val="22"/>
          <w:szCs w:val="22"/>
        </w:rPr>
        <w:t>Force of infection:</w:t>
      </w:r>
    </w:p>
    <w:p w14:paraId="6B17800F" w14:textId="77777777" w:rsidR="0033506D" w:rsidRPr="00DC582F" w:rsidRDefault="0033506D" w:rsidP="0033506D">
      <w:pPr>
        <w:rPr>
          <w:rFonts w:ascii="Times New Roman" w:hAnsi="Times New Roman" w:cs="Times New Roman"/>
          <w:color w:val="000000" w:themeColor="text1"/>
          <w:sz w:val="22"/>
          <w:szCs w:val="22"/>
        </w:rPr>
      </w:pPr>
    </w:p>
    <w:p w14:paraId="7F98BB4D" w14:textId="77777777" w:rsidR="0033506D" w:rsidRPr="00DC582F" w:rsidRDefault="00000000" w:rsidP="0033506D">
      <w:pPr>
        <w:rPr>
          <w:rFonts w:ascii="Times New Roman" w:eastAsiaTheme="minorEastAsia" w:hAnsi="Times New Roman" w:cs="Times New Roman"/>
          <w:color w:val="000000" w:themeColor="text1"/>
          <w:sz w:val="22"/>
          <w:szCs w:val="22"/>
        </w:rPr>
      </w:pPr>
      <m:oMathPara>
        <m:oMath>
          <m:sSub>
            <m:sSubPr>
              <m:ctrlPr>
                <w:rPr>
                  <w:rFonts w:ascii="Cambria Math" w:hAnsi="Cambria Math" w:cs="Times New Roman"/>
                  <w:i/>
                  <w:color w:val="000000" w:themeColor="text1"/>
                  <w:sz w:val="22"/>
                  <w:szCs w:val="22"/>
                </w:rPr>
              </m:ctrlPr>
            </m:sSubPr>
            <m:e>
              <m:r>
                <w:rPr>
                  <w:rFonts w:ascii="Cambria Math" w:hAnsi="Cambria Math" w:cs="Times New Roman"/>
                  <w:color w:val="000000" w:themeColor="text1"/>
                  <w:sz w:val="22"/>
                  <w:szCs w:val="22"/>
                </w:rPr>
                <m:t>λ</m:t>
              </m:r>
            </m:e>
            <m:sub>
              <m:r>
                <w:rPr>
                  <w:rFonts w:ascii="Cambria Math" w:hAnsi="Cambria Math" w:cs="Times New Roman"/>
                  <w:color w:val="000000" w:themeColor="text1"/>
                  <w:sz w:val="22"/>
                  <w:szCs w:val="22"/>
                </w:rPr>
                <m:t>c</m:t>
              </m:r>
            </m:sub>
          </m:sSub>
          <m:r>
            <w:rPr>
              <w:rFonts w:ascii="Cambria Math" w:hAnsi="Cambria Math" w:cs="Times New Roman"/>
              <w:color w:val="000000" w:themeColor="text1"/>
              <w:sz w:val="22"/>
              <w:szCs w:val="22"/>
            </w:rPr>
            <m:t>=</m:t>
          </m:r>
          <m:f>
            <m:fPr>
              <m:ctrlPr>
                <w:rPr>
                  <w:rFonts w:ascii="Cambria Math" w:hAnsi="Cambria Math" w:cs="Times New Roman"/>
                  <w:i/>
                  <w:color w:val="000000" w:themeColor="text1"/>
                  <w:sz w:val="22"/>
                  <w:szCs w:val="22"/>
                </w:rPr>
              </m:ctrlPr>
            </m:fPr>
            <m:num>
              <m:r>
                <w:rPr>
                  <w:rFonts w:ascii="Cambria Math" w:hAnsi="Cambria Math" w:cs="Times New Roman"/>
                  <w:color w:val="000000" w:themeColor="text1"/>
                  <w:sz w:val="22"/>
                  <w:szCs w:val="22"/>
                </w:rPr>
                <m:t>b</m:t>
              </m:r>
              <m:sSub>
                <m:sSubPr>
                  <m:ctrlPr>
                    <w:rPr>
                      <w:rFonts w:ascii="Cambria Math" w:hAnsi="Cambria Math" w:cs="Times New Roman"/>
                      <w:i/>
                      <w:color w:val="000000" w:themeColor="text1"/>
                      <w:sz w:val="22"/>
                      <w:szCs w:val="22"/>
                    </w:rPr>
                  </m:ctrlPr>
                </m:sSubPr>
                <m:e>
                  <m:sSub>
                    <m:sSubPr>
                      <m:ctrlPr>
                        <w:rPr>
                          <w:rFonts w:ascii="Cambria Math" w:hAnsi="Cambria Math" w:cs="Times New Roman"/>
                          <w:i/>
                          <w:color w:val="000000" w:themeColor="text1"/>
                          <w:sz w:val="22"/>
                          <w:szCs w:val="22"/>
                        </w:rPr>
                      </m:ctrlPr>
                    </m:sSubPr>
                    <m:e>
                      <m:r>
                        <w:rPr>
                          <w:rFonts w:ascii="Cambria Math" w:hAnsi="Cambria Math" w:cs="Times New Roman"/>
                          <w:color w:val="000000" w:themeColor="text1"/>
                          <w:sz w:val="22"/>
                          <w:szCs w:val="22"/>
                        </w:rPr>
                        <m:t>β</m:t>
                      </m:r>
                    </m:e>
                    <m:sub>
                      <m:r>
                        <w:rPr>
                          <w:rFonts w:ascii="Cambria Math" w:hAnsi="Cambria Math" w:cs="Times New Roman"/>
                          <w:color w:val="000000" w:themeColor="text1"/>
                          <w:sz w:val="22"/>
                          <w:szCs w:val="22"/>
                        </w:rPr>
                        <m:t>vh</m:t>
                      </m:r>
                    </m:sub>
                  </m:sSub>
                  <m:r>
                    <w:rPr>
                      <w:rFonts w:ascii="Cambria Math" w:hAnsi="Cambria Math" w:cs="Times New Roman"/>
                      <w:color w:val="000000" w:themeColor="text1"/>
                      <w:sz w:val="22"/>
                      <w:szCs w:val="22"/>
                    </w:rPr>
                    <m:t>I</m:t>
                  </m:r>
                </m:e>
                <m:sub>
                  <m:r>
                    <w:rPr>
                      <w:rFonts w:ascii="Cambria Math" w:hAnsi="Cambria Math" w:cs="Times New Roman"/>
                      <w:color w:val="000000" w:themeColor="text1"/>
                      <w:sz w:val="22"/>
                      <w:szCs w:val="22"/>
                    </w:rPr>
                    <m:t>v</m:t>
                  </m:r>
                </m:sub>
              </m:sSub>
            </m:num>
            <m:den>
              <m:sSub>
                <m:sSubPr>
                  <m:ctrlPr>
                    <w:rPr>
                      <w:rFonts w:ascii="Cambria Math" w:hAnsi="Cambria Math" w:cs="Times New Roman"/>
                      <w:i/>
                      <w:color w:val="000000" w:themeColor="text1"/>
                      <w:sz w:val="22"/>
                      <w:szCs w:val="22"/>
                    </w:rPr>
                  </m:ctrlPr>
                </m:sSubPr>
                <m:e>
                  <m:r>
                    <w:rPr>
                      <w:rFonts w:ascii="Cambria Math" w:hAnsi="Cambria Math" w:cs="Times New Roman"/>
                      <w:color w:val="000000" w:themeColor="text1"/>
                      <w:sz w:val="22"/>
                      <w:szCs w:val="22"/>
                    </w:rPr>
                    <m:t>N</m:t>
                  </m:r>
                </m:e>
                <m:sub>
                  <m:r>
                    <w:rPr>
                      <w:rFonts w:ascii="Cambria Math" w:hAnsi="Cambria Math" w:cs="Times New Roman"/>
                      <w:color w:val="000000" w:themeColor="text1"/>
                      <w:sz w:val="22"/>
                      <w:szCs w:val="22"/>
                    </w:rPr>
                    <m:t>h</m:t>
                  </m:r>
                </m:sub>
              </m:sSub>
            </m:den>
          </m:f>
          <m:r>
            <w:rPr>
              <w:rFonts w:ascii="Cambria Math" w:hAnsi="Cambria Math" w:cs="Times New Roman"/>
              <w:color w:val="000000" w:themeColor="text1"/>
              <w:sz w:val="22"/>
              <w:szCs w:val="22"/>
            </w:rPr>
            <m:t xml:space="preserve">, </m:t>
          </m:r>
          <m:sSub>
            <m:sSubPr>
              <m:ctrlPr>
                <w:rPr>
                  <w:rFonts w:ascii="Cambria Math" w:hAnsi="Cambria Math" w:cs="Times New Roman"/>
                  <w:i/>
                  <w:color w:val="000000" w:themeColor="text1"/>
                  <w:sz w:val="22"/>
                  <w:szCs w:val="22"/>
                </w:rPr>
              </m:ctrlPr>
            </m:sSubPr>
            <m:e>
              <m:r>
                <w:rPr>
                  <w:rFonts w:ascii="Cambria Math" w:hAnsi="Cambria Math" w:cs="Times New Roman"/>
                  <w:color w:val="000000" w:themeColor="text1"/>
                  <w:sz w:val="22"/>
                  <w:szCs w:val="22"/>
                </w:rPr>
                <m:t xml:space="preserve">  λ</m:t>
              </m:r>
            </m:e>
            <m:sub>
              <m:r>
                <w:rPr>
                  <w:rFonts w:ascii="Cambria Math" w:hAnsi="Cambria Math" w:cs="Times New Roman"/>
                  <w:color w:val="000000" w:themeColor="text1"/>
                  <w:sz w:val="22"/>
                  <w:szCs w:val="22"/>
                </w:rPr>
                <m:t>a</m:t>
              </m:r>
            </m:sub>
          </m:sSub>
          <m:r>
            <w:rPr>
              <w:rFonts w:ascii="Cambria Math" w:hAnsi="Cambria Math" w:cs="Times New Roman"/>
              <w:color w:val="000000" w:themeColor="text1"/>
              <w:sz w:val="22"/>
              <w:szCs w:val="22"/>
            </w:rPr>
            <m:t>=</m:t>
          </m:r>
          <m:f>
            <m:fPr>
              <m:ctrlPr>
                <w:rPr>
                  <w:rFonts w:ascii="Cambria Math" w:hAnsi="Cambria Math" w:cs="Times New Roman"/>
                  <w:i/>
                  <w:color w:val="000000" w:themeColor="text1"/>
                  <w:sz w:val="22"/>
                  <w:szCs w:val="22"/>
                </w:rPr>
              </m:ctrlPr>
            </m:fPr>
            <m:num>
              <m:r>
                <w:rPr>
                  <w:rFonts w:ascii="Cambria Math" w:hAnsi="Cambria Math" w:cs="Times New Roman"/>
                  <w:color w:val="000000" w:themeColor="text1"/>
                  <w:sz w:val="22"/>
                  <w:szCs w:val="22"/>
                </w:rPr>
                <m:t>b</m:t>
              </m:r>
              <m:sSub>
                <m:sSubPr>
                  <m:ctrlPr>
                    <w:rPr>
                      <w:rFonts w:ascii="Cambria Math" w:hAnsi="Cambria Math" w:cs="Times New Roman"/>
                      <w:i/>
                      <w:color w:val="000000" w:themeColor="text1"/>
                      <w:sz w:val="22"/>
                      <w:szCs w:val="22"/>
                    </w:rPr>
                  </m:ctrlPr>
                </m:sSubPr>
                <m:e>
                  <m:sSub>
                    <m:sSubPr>
                      <m:ctrlPr>
                        <w:rPr>
                          <w:rFonts w:ascii="Cambria Math" w:hAnsi="Cambria Math" w:cs="Times New Roman"/>
                          <w:i/>
                          <w:color w:val="000000" w:themeColor="text1"/>
                          <w:sz w:val="22"/>
                          <w:szCs w:val="22"/>
                        </w:rPr>
                      </m:ctrlPr>
                    </m:sSubPr>
                    <m:e>
                      <m:r>
                        <w:rPr>
                          <w:rFonts w:ascii="Cambria Math" w:hAnsi="Cambria Math" w:cs="Times New Roman"/>
                          <w:color w:val="000000" w:themeColor="text1"/>
                          <w:sz w:val="22"/>
                          <w:szCs w:val="22"/>
                        </w:rPr>
                        <m:t>β</m:t>
                      </m:r>
                    </m:e>
                    <m:sub>
                      <m:r>
                        <w:rPr>
                          <w:rFonts w:ascii="Cambria Math" w:hAnsi="Cambria Math" w:cs="Times New Roman"/>
                          <w:color w:val="000000" w:themeColor="text1"/>
                          <w:sz w:val="22"/>
                          <w:szCs w:val="22"/>
                        </w:rPr>
                        <m:t>vh</m:t>
                      </m:r>
                    </m:sub>
                  </m:sSub>
                  <m:r>
                    <w:rPr>
                      <w:rFonts w:ascii="Cambria Math" w:hAnsi="Cambria Math" w:cs="Times New Roman"/>
                      <w:color w:val="000000" w:themeColor="text1"/>
                      <w:sz w:val="22"/>
                      <w:szCs w:val="22"/>
                    </w:rPr>
                    <m:t>I</m:t>
                  </m:r>
                </m:e>
                <m:sub>
                  <m:r>
                    <w:rPr>
                      <w:rFonts w:ascii="Cambria Math" w:hAnsi="Cambria Math" w:cs="Times New Roman"/>
                      <w:color w:val="000000" w:themeColor="text1"/>
                      <w:sz w:val="22"/>
                      <w:szCs w:val="22"/>
                    </w:rPr>
                    <m:t>v</m:t>
                  </m:r>
                </m:sub>
              </m:sSub>
            </m:num>
            <m:den>
              <m:sSub>
                <m:sSubPr>
                  <m:ctrlPr>
                    <w:rPr>
                      <w:rFonts w:ascii="Cambria Math" w:hAnsi="Cambria Math" w:cs="Times New Roman"/>
                      <w:i/>
                      <w:color w:val="000000" w:themeColor="text1"/>
                      <w:sz w:val="22"/>
                      <w:szCs w:val="22"/>
                    </w:rPr>
                  </m:ctrlPr>
                </m:sSubPr>
                <m:e>
                  <m:r>
                    <w:rPr>
                      <w:rFonts w:ascii="Cambria Math" w:hAnsi="Cambria Math" w:cs="Times New Roman"/>
                      <w:color w:val="000000" w:themeColor="text1"/>
                      <w:sz w:val="22"/>
                      <w:szCs w:val="22"/>
                    </w:rPr>
                    <m:t>N</m:t>
                  </m:r>
                </m:e>
                <m:sub>
                  <m:r>
                    <w:rPr>
                      <w:rFonts w:ascii="Cambria Math" w:hAnsi="Cambria Math" w:cs="Times New Roman"/>
                      <w:color w:val="000000" w:themeColor="text1"/>
                      <w:sz w:val="22"/>
                      <w:szCs w:val="22"/>
                    </w:rPr>
                    <m:t>h</m:t>
                  </m:r>
                </m:sub>
              </m:sSub>
            </m:den>
          </m:f>
        </m:oMath>
      </m:oMathPara>
    </w:p>
    <w:p w14:paraId="215682EB" w14:textId="77777777" w:rsidR="0033506D" w:rsidRPr="00DC582F" w:rsidRDefault="0033506D" w:rsidP="0033506D">
      <w:pPr>
        <w:rPr>
          <w:rFonts w:ascii="Times New Roman" w:eastAsiaTheme="minorEastAsia" w:hAnsi="Times New Roman" w:cs="Times New Roman"/>
          <w:color w:val="000000" w:themeColor="text1"/>
          <w:sz w:val="22"/>
          <w:szCs w:val="22"/>
        </w:rPr>
      </w:pPr>
    </w:p>
    <w:p w14:paraId="0EE93449" w14:textId="77777777" w:rsidR="0033506D" w:rsidRPr="00DC582F" w:rsidRDefault="00000000" w:rsidP="0033506D">
      <w:pPr>
        <w:rPr>
          <w:rFonts w:ascii="Times New Roman" w:eastAsiaTheme="minorEastAsia" w:hAnsi="Times New Roman" w:cs="Times New Roman"/>
          <w:color w:val="000000" w:themeColor="text1"/>
          <w:sz w:val="22"/>
          <w:szCs w:val="22"/>
        </w:rPr>
      </w:pPr>
      <m:oMathPara>
        <m:oMath>
          <m:sSub>
            <m:sSubPr>
              <m:ctrlPr>
                <w:rPr>
                  <w:rFonts w:ascii="Cambria Math" w:hAnsi="Cambria Math" w:cs="Times New Roman"/>
                  <w:i/>
                  <w:color w:val="000000" w:themeColor="text1"/>
                  <w:sz w:val="22"/>
                  <w:szCs w:val="22"/>
                </w:rPr>
              </m:ctrlPr>
            </m:sSubPr>
            <m:e>
              <m:r>
                <w:rPr>
                  <w:rFonts w:ascii="Cambria Math" w:hAnsi="Cambria Math" w:cs="Times New Roman"/>
                  <w:color w:val="000000" w:themeColor="text1"/>
                  <w:sz w:val="22"/>
                  <w:szCs w:val="22"/>
                </w:rPr>
                <m:t>λ</m:t>
              </m:r>
            </m:e>
            <m:sub>
              <m:r>
                <w:rPr>
                  <w:rFonts w:ascii="Cambria Math" w:hAnsi="Cambria Math" w:cs="Times New Roman"/>
                  <w:color w:val="000000" w:themeColor="text1"/>
                  <w:sz w:val="22"/>
                  <w:szCs w:val="22"/>
                </w:rPr>
                <m:t>c</m:t>
              </m:r>
            </m:sub>
          </m:sSub>
          <m:r>
            <w:rPr>
              <w:rFonts w:ascii="Cambria Math" w:hAnsi="Cambria Math" w:cs="Times New Roman"/>
              <w:color w:val="000000" w:themeColor="text1"/>
              <w:sz w:val="22"/>
              <w:szCs w:val="22"/>
            </w:rPr>
            <m:t>=</m:t>
          </m:r>
          <m:f>
            <m:fPr>
              <m:ctrlPr>
                <w:rPr>
                  <w:rFonts w:ascii="Cambria Math" w:hAnsi="Cambria Math" w:cs="Times New Roman"/>
                  <w:i/>
                  <w:color w:val="000000" w:themeColor="text1"/>
                  <w:sz w:val="22"/>
                  <w:szCs w:val="22"/>
                </w:rPr>
              </m:ctrlPr>
            </m:fPr>
            <m:num>
              <m:r>
                <w:rPr>
                  <w:rFonts w:ascii="Cambria Math" w:hAnsi="Cambria Math" w:cs="Times New Roman"/>
                  <w:color w:val="000000" w:themeColor="text1"/>
                  <w:sz w:val="22"/>
                  <w:szCs w:val="22"/>
                </w:rPr>
                <m:t>b</m:t>
              </m:r>
              <m:sSub>
                <m:sSubPr>
                  <m:ctrlPr>
                    <w:rPr>
                      <w:rFonts w:ascii="Cambria Math" w:hAnsi="Cambria Math" w:cs="Times New Roman"/>
                      <w:i/>
                      <w:color w:val="000000" w:themeColor="text1"/>
                      <w:sz w:val="22"/>
                      <w:szCs w:val="22"/>
                    </w:rPr>
                  </m:ctrlPr>
                </m:sSubPr>
                <m:e>
                  <m:sSub>
                    <m:sSubPr>
                      <m:ctrlPr>
                        <w:rPr>
                          <w:rFonts w:ascii="Cambria Math" w:hAnsi="Cambria Math" w:cs="Times New Roman"/>
                          <w:i/>
                          <w:color w:val="000000" w:themeColor="text1"/>
                          <w:sz w:val="22"/>
                          <w:szCs w:val="22"/>
                        </w:rPr>
                      </m:ctrlPr>
                    </m:sSubPr>
                    <m:e>
                      <m:r>
                        <w:rPr>
                          <w:rFonts w:ascii="Cambria Math" w:hAnsi="Cambria Math" w:cs="Times New Roman"/>
                          <w:color w:val="000000" w:themeColor="text1"/>
                          <w:sz w:val="22"/>
                          <w:szCs w:val="22"/>
                        </w:rPr>
                        <m:t>β</m:t>
                      </m:r>
                    </m:e>
                    <m:sub>
                      <m:r>
                        <w:rPr>
                          <w:rFonts w:ascii="Cambria Math" w:hAnsi="Cambria Math" w:cs="Times New Roman"/>
                          <w:color w:val="000000" w:themeColor="text1"/>
                          <w:sz w:val="22"/>
                          <w:szCs w:val="22"/>
                        </w:rPr>
                        <m:t>vh</m:t>
                      </m:r>
                    </m:sub>
                  </m:sSub>
                  <m:r>
                    <w:rPr>
                      <w:rFonts w:ascii="Cambria Math" w:hAnsi="Cambria Math" w:cs="Times New Roman"/>
                      <w:color w:val="000000" w:themeColor="text1"/>
                      <w:sz w:val="22"/>
                      <w:szCs w:val="22"/>
                    </w:rPr>
                    <m:t>(I</m:t>
                  </m:r>
                </m:e>
                <m:sub>
                  <m:r>
                    <w:rPr>
                      <w:rFonts w:ascii="Cambria Math" w:hAnsi="Cambria Math" w:cs="Times New Roman"/>
                      <w:color w:val="000000" w:themeColor="text1"/>
                      <w:sz w:val="22"/>
                      <w:szCs w:val="22"/>
                    </w:rPr>
                    <m:t>c</m:t>
                  </m:r>
                </m:sub>
              </m:sSub>
              <m:r>
                <w:rPr>
                  <w:rFonts w:ascii="Cambria Math" w:hAnsi="Cambria Math" w:cs="Times New Roman"/>
                  <w:color w:val="000000" w:themeColor="text1"/>
                  <w:sz w:val="22"/>
                  <w:szCs w:val="22"/>
                </w:rPr>
                <m:t>+</m:t>
              </m:r>
              <m:sSub>
                <m:sSubPr>
                  <m:ctrlPr>
                    <w:rPr>
                      <w:rFonts w:ascii="Cambria Math" w:hAnsi="Cambria Math" w:cs="Times New Roman"/>
                      <w:i/>
                      <w:color w:val="000000" w:themeColor="text1"/>
                      <w:sz w:val="22"/>
                      <w:szCs w:val="22"/>
                    </w:rPr>
                  </m:ctrlPr>
                </m:sSubPr>
                <m:e>
                  <m:r>
                    <w:rPr>
                      <w:rFonts w:ascii="Cambria Math" w:hAnsi="Cambria Math" w:cs="Times New Roman"/>
                      <w:color w:val="000000" w:themeColor="text1"/>
                      <w:sz w:val="22"/>
                      <w:szCs w:val="22"/>
                    </w:rPr>
                    <m:t>I</m:t>
                  </m:r>
                </m:e>
                <m:sub>
                  <m:r>
                    <w:rPr>
                      <w:rFonts w:ascii="Cambria Math" w:hAnsi="Cambria Math" w:cs="Times New Roman"/>
                      <w:color w:val="000000" w:themeColor="text1"/>
                      <w:sz w:val="22"/>
                      <w:szCs w:val="22"/>
                    </w:rPr>
                    <m:t>a</m:t>
                  </m:r>
                </m:sub>
              </m:sSub>
              <m:r>
                <w:rPr>
                  <w:rFonts w:ascii="Cambria Math" w:hAnsi="Cambria Math" w:cs="Times New Roman"/>
                  <w:color w:val="000000" w:themeColor="text1"/>
                  <w:sz w:val="22"/>
                  <w:szCs w:val="22"/>
                </w:rPr>
                <m:t>)</m:t>
              </m:r>
            </m:num>
            <m:den>
              <m:sSub>
                <m:sSubPr>
                  <m:ctrlPr>
                    <w:rPr>
                      <w:rFonts w:ascii="Cambria Math" w:hAnsi="Cambria Math" w:cs="Times New Roman"/>
                      <w:i/>
                      <w:color w:val="000000" w:themeColor="text1"/>
                      <w:sz w:val="22"/>
                      <w:szCs w:val="22"/>
                    </w:rPr>
                  </m:ctrlPr>
                </m:sSubPr>
                <m:e>
                  <m:r>
                    <w:rPr>
                      <w:rFonts w:ascii="Cambria Math" w:hAnsi="Cambria Math" w:cs="Times New Roman"/>
                      <w:color w:val="000000" w:themeColor="text1"/>
                      <w:sz w:val="22"/>
                      <w:szCs w:val="22"/>
                    </w:rPr>
                    <m:t>N</m:t>
                  </m:r>
                </m:e>
                <m:sub>
                  <m:r>
                    <w:rPr>
                      <w:rFonts w:ascii="Cambria Math" w:hAnsi="Cambria Math" w:cs="Times New Roman"/>
                      <w:color w:val="000000" w:themeColor="text1"/>
                      <w:sz w:val="22"/>
                      <w:szCs w:val="22"/>
                    </w:rPr>
                    <m:t>h</m:t>
                  </m:r>
                </m:sub>
              </m:sSub>
            </m:den>
          </m:f>
          <m:r>
            <w:rPr>
              <w:rFonts w:ascii="Cambria Math" w:hAnsi="Cambria Math" w:cs="Times New Roman"/>
              <w:color w:val="000000" w:themeColor="text1"/>
              <w:sz w:val="22"/>
              <w:szCs w:val="22"/>
            </w:rPr>
            <m:t xml:space="preserve">, </m:t>
          </m:r>
        </m:oMath>
      </m:oMathPara>
    </w:p>
    <w:p w14:paraId="23878FDD" w14:textId="77777777" w:rsidR="0033506D" w:rsidRPr="00DC582F" w:rsidRDefault="0033506D" w:rsidP="0033506D">
      <w:pPr>
        <w:rPr>
          <w:rFonts w:ascii="Times New Roman" w:hAnsi="Times New Roman" w:cs="Times New Roman"/>
          <w:color w:val="000000" w:themeColor="text1"/>
          <w:sz w:val="22"/>
          <w:szCs w:val="22"/>
        </w:rPr>
      </w:pPr>
    </w:p>
    <w:p w14:paraId="22A6E5BB" w14:textId="77777777" w:rsidR="0033506D" w:rsidRPr="00DC582F" w:rsidRDefault="0033506D" w:rsidP="0033506D">
      <w:pPr>
        <w:rPr>
          <w:rFonts w:ascii="Times New Roman" w:hAnsi="Times New Roman" w:cs="Times New Roman"/>
          <w:color w:val="000000" w:themeColor="text1"/>
          <w:sz w:val="22"/>
          <w:szCs w:val="22"/>
        </w:rPr>
      </w:pPr>
    </w:p>
    <w:p w14:paraId="77C8059B" w14:textId="77777777" w:rsidR="0033506D" w:rsidRPr="00DC582F" w:rsidRDefault="0033506D" w:rsidP="0033506D">
      <w:pPr>
        <w:pStyle w:val="Heading3"/>
        <w:rPr>
          <w:rFonts w:ascii="Times New Roman" w:hAnsi="Times New Roman" w:cs="Times New Roman"/>
          <w:color w:val="000000" w:themeColor="text1"/>
          <w:sz w:val="22"/>
          <w:szCs w:val="22"/>
        </w:rPr>
      </w:pPr>
      <w:r w:rsidRPr="00DC582F">
        <w:rPr>
          <w:rFonts w:ascii="Times New Roman" w:hAnsi="Times New Roman" w:cs="Times New Roman"/>
          <w:color w:val="000000" w:themeColor="text1"/>
          <w:sz w:val="22"/>
          <w:szCs w:val="22"/>
        </w:rPr>
        <w:t>3.5 Parameter Description</w:t>
      </w:r>
    </w:p>
    <w:p w14:paraId="4F8C00DF" w14:textId="77777777" w:rsidR="0033506D" w:rsidRPr="00DC582F" w:rsidRDefault="0033506D" w:rsidP="0033506D">
      <w:pPr>
        <w:pStyle w:val="NormalWeb"/>
        <w:rPr>
          <w:color w:val="000000" w:themeColor="text1"/>
          <w:sz w:val="22"/>
          <w:szCs w:val="22"/>
        </w:rPr>
      </w:pPr>
      <w:r w:rsidRPr="00DC582F">
        <w:rPr>
          <w:color w:val="000000" w:themeColor="text1"/>
          <w:sz w:val="22"/>
          <w:szCs w:val="22"/>
        </w:rPr>
        <w:t>Model parameters describe biological processes, transmission dynamics, and intervention effects. Parameter values were obtained from published literature and adapted to reflect malaria epidemiology in Nigeria.</w:t>
      </w:r>
    </w:p>
    <w:p w14:paraId="490A44B3" w14:textId="77777777" w:rsidR="00844365" w:rsidRPr="00DC582F" w:rsidRDefault="00844365" w:rsidP="0033506D">
      <w:pPr>
        <w:pStyle w:val="NormalWeb"/>
        <w:rPr>
          <w:rStyle w:val="Strong"/>
          <w:b w:val="0"/>
          <w:bCs w:val="0"/>
          <w:color w:val="000000" w:themeColor="text1"/>
          <w:sz w:val="22"/>
          <w:szCs w:val="22"/>
        </w:rPr>
      </w:pPr>
    </w:p>
    <w:tbl>
      <w:tblPr>
        <w:tblStyle w:val="TableGrid"/>
        <w:tblW w:w="9054" w:type="dxa"/>
        <w:tblLook w:val="04A0" w:firstRow="1" w:lastRow="0" w:firstColumn="1" w:lastColumn="0" w:noHBand="0" w:noVBand="1"/>
      </w:tblPr>
      <w:tblGrid>
        <w:gridCol w:w="1998"/>
        <w:gridCol w:w="1764"/>
        <w:gridCol w:w="1764"/>
        <w:gridCol w:w="1764"/>
        <w:gridCol w:w="1764"/>
      </w:tblGrid>
      <w:tr w:rsidR="00844365" w:rsidRPr="00DC582F" w14:paraId="2CDD613A" w14:textId="77777777" w:rsidTr="006A21A1">
        <w:tc>
          <w:tcPr>
            <w:tcW w:w="1998" w:type="dxa"/>
            <w:vAlign w:val="center"/>
          </w:tcPr>
          <w:p w14:paraId="29FA7121" w14:textId="77777777" w:rsidR="00844365" w:rsidRPr="00DC582F" w:rsidRDefault="00844365" w:rsidP="006A21A1">
            <w:pPr>
              <w:jc w:val="center"/>
              <w:rPr>
                <w:rFonts w:ascii="Times New Roman" w:hAnsi="Times New Roman" w:cs="Times New Roman"/>
                <w:sz w:val="22"/>
                <w:szCs w:val="22"/>
              </w:rPr>
            </w:pPr>
            <w:r w:rsidRPr="00DC582F">
              <w:rPr>
                <w:rFonts w:ascii="Times New Roman" w:hAnsi="Times New Roman" w:cs="Times New Roman"/>
                <w:sz w:val="22"/>
                <w:szCs w:val="22"/>
              </w:rPr>
              <w:t>Parameter</w:t>
            </w:r>
          </w:p>
        </w:tc>
        <w:tc>
          <w:tcPr>
            <w:tcW w:w="1764" w:type="dxa"/>
            <w:vAlign w:val="center"/>
          </w:tcPr>
          <w:p w14:paraId="07D2BA43" w14:textId="77777777" w:rsidR="00844365" w:rsidRPr="00DC582F" w:rsidRDefault="00844365" w:rsidP="006A21A1">
            <w:pPr>
              <w:jc w:val="center"/>
              <w:rPr>
                <w:rFonts w:ascii="Times New Roman" w:hAnsi="Times New Roman" w:cs="Times New Roman"/>
                <w:sz w:val="22"/>
                <w:szCs w:val="22"/>
              </w:rPr>
            </w:pPr>
            <w:r w:rsidRPr="00DC582F">
              <w:rPr>
                <w:rFonts w:ascii="Times New Roman" w:hAnsi="Times New Roman" w:cs="Times New Roman"/>
                <w:sz w:val="22"/>
                <w:szCs w:val="22"/>
              </w:rPr>
              <w:t>Description</w:t>
            </w:r>
          </w:p>
        </w:tc>
        <w:tc>
          <w:tcPr>
            <w:tcW w:w="1764" w:type="dxa"/>
            <w:vAlign w:val="center"/>
          </w:tcPr>
          <w:p w14:paraId="3A404374" w14:textId="77777777" w:rsidR="00844365" w:rsidRPr="00DC582F" w:rsidRDefault="00844365" w:rsidP="006A21A1">
            <w:pPr>
              <w:jc w:val="center"/>
              <w:rPr>
                <w:rFonts w:ascii="Times New Roman" w:hAnsi="Times New Roman" w:cs="Times New Roman"/>
                <w:sz w:val="22"/>
                <w:szCs w:val="22"/>
              </w:rPr>
            </w:pPr>
            <w:r w:rsidRPr="00DC582F">
              <w:rPr>
                <w:rFonts w:ascii="Times New Roman" w:hAnsi="Times New Roman" w:cs="Times New Roman"/>
                <w:sz w:val="22"/>
                <w:szCs w:val="22"/>
              </w:rPr>
              <w:t>Typical Value</w:t>
            </w:r>
          </w:p>
        </w:tc>
        <w:tc>
          <w:tcPr>
            <w:tcW w:w="1764" w:type="dxa"/>
            <w:vAlign w:val="center"/>
          </w:tcPr>
          <w:p w14:paraId="4E688BF0" w14:textId="77777777" w:rsidR="00844365" w:rsidRPr="00DC582F" w:rsidRDefault="00844365" w:rsidP="006A21A1">
            <w:pPr>
              <w:jc w:val="center"/>
              <w:rPr>
                <w:rFonts w:ascii="Times New Roman" w:hAnsi="Times New Roman" w:cs="Times New Roman"/>
                <w:sz w:val="22"/>
                <w:szCs w:val="22"/>
              </w:rPr>
            </w:pPr>
            <w:r w:rsidRPr="00DC582F">
              <w:rPr>
                <w:rFonts w:ascii="Times New Roman" w:hAnsi="Times New Roman" w:cs="Times New Roman"/>
                <w:sz w:val="22"/>
                <w:szCs w:val="22"/>
              </w:rPr>
              <w:t>Unit</w:t>
            </w:r>
          </w:p>
        </w:tc>
        <w:tc>
          <w:tcPr>
            <w:tcW w:w="1764" w:type="dxa"/>
            <w:vAlign w:val="center"/>
          </w:tcPr>
          <w:p w14:paraId="1BCD4504" w14:textId="77777777" w:rsidR="00844365" w:rsidRPr="00DC582F" w:rsidRDefault="00844365" w:rsidP="006A21A1">
            <w:pPr>
              <w:jc w:val="center"/>
              <w:rPr>
                <w:rFonts w:ascii="Times New Roman" w:hAnsi="Times New Roman" w:cs="Times New Roman"/>
                <w:sz w:val="22"/>
                <w:szCs w:val="22"/>
              </w:rPr>
            </w:pPr>
            <w:r w:rsidRPr="00DC582F">
              <w:rPr>
                <w:rFonts w:ascii="Times New Roman" w:hAnsi="Times New Roman" w:cs="Times New Roman"/>
                <w:sz w:val="22"/>
                <w:szCs w:val="22"/>
              </w:rPr>
              <w:t>Source</w:t>
            </w:r>
          </w:p>
        </w:tc>
      </w:tr>
      <w:tr w:rsidR="00844365" w:rsidRPr="00DC582F" w14:paraId="05F99B70" w14:textId="77777777" w:rsidTr="006A21A1">
        <w:tc>
          <w:tcPr>
            <w:tcW w:w="1998" w:type="dxa"/>
            <w:vAlign w:val="center"/>
          </w:tcPr>
          <w:p w14:paraId="43E7BF71" w14:textId="77777777" w:rsidR="00844365" w:rsidRPr="00DC582F" w:rsidRDefault="00844365" w:rsidP="006A21A1">
            <w:pPr>
              <w:rPr>
                <w:rFonts w:ascii="Times New Roman" w:hAnsi="Times New Roman" w:cs="Times New Roman"/>
                <w:sz w:val="22"/>
                <w:szCs w:val="22"/>
              </w:rPr>
            </w:pPr>
            <w:r w:rsidRPr="00DC582F">
              <w:rPr>
                <w:rStyle w:val="katex-mathml"/>
                <w:rFonts w:ascii="Times New Roman" w:eastAsiaTheme="majorEastAsia" w:hAnsi="Times New Roman" w:cs="Times New Roman"/>
                <w:sz w:val="22"/>
                <w:szCs w:val="22"/>
              </w:rPr>
              <w:lastRenderedPageBreak/>
              <w:t>Λc</w:t>
            </w:r>
          </w:p>
        </w:tc>
        <w:tc>
          <w:tcPr>
            <w:tcW w:w="1764" w:type="dxa"/>
            <w:vAlign w:val="center"/>
          </w:tcPr>
          <w:p w14:paraId="2CA835EF"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Recruitment rate into susceptible children population</w:t>
            </w:r>
          </w:p>
        </w:tc>
        <w:tc>
          <w:tcPr>
            <w:tcW w:w="1764" w:type="dxa"/>
            <w:vAlign w:val="center"/>
          </w:tcPr>
          <w:p w14:paraId="4C29CA2B"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250</w:t>
            </w:r>
          </w:p>
        </w:tc>
        <w:tc>
          <w:tcPr>
            <w:tcW w:w="1764" w:type="dxa"/>
            <w:vAlign w:val="center"/>
          </w:tcPr>
          <w:p w14:paraId="7A3DC43C"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individuals/day</w:t>
            </w:r>
          </w:p>
        </w:tc>
        <w:tc>
          <w:tcPr>
            <w:tcW w:w="1764" w:type="dxa"/>
            <w:vAlign w:val="center"/>
          </w:tcPr>
          <w:p w14:paraId="2E9E323A"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Estimated from FCT birth projections</w:t>
            </w:r>
          </w:p>
        </w:tc>
      </w:tr>
      <w:tr w:rsidR="00844365" w:rsidRPr="00DC582F" w14:paraId="55B0CE7C" w14:textId="77777777" w:rsidTr="006A21A1">
        <w:tc>
          <w:tcPr>
            <w:tcW w:w="1998" w:type="dxa"/>
            <w:vAlign w:val="center"/>
          </w:tcPr>
          <w:p w14:paraId="53CCCC49" w14:textId="77777777" w:rsidR="00844365" w:rsidRPr="00DC582F" w:rsidRDefault="00844365" w:rsidP="006A21A1">
            <w:pPr>
              <w:rPr>
                <w:rFonts w:ascii="Times New Roman" w:hAnsi="Times New Roman" w:cs="Times New Roman"/>
                <w:sz w:val="22"/>
                <w:szCs w:val="22"/>
              </w:rPr>
            </w:pPr>
            <w:r w:rsidRPr="00DC582F">
              <w:rPr>
                <w:rStyle w:val="katex-mathml"/>
                <w:rFonts w:ascii="Times New Roman" w:eastAsiaTheme="majorEastAsia" w:hAnsi="Times New Roman" w:cs="Times New Roman"/>
                <w:sz w:val="22"/>
                <w:szCs w:val="22"/>
              </w:rPr>
              <w:t>Λa</w:t>
            </w:r>
          </w:p>
        </w:tc>
        <w:tc>
          <w:tcPr>
            <w:tcW w:w="1764" w:type="dxa"/>
            <w:vAlign w:val="center"/>
          </w:tcPr>
          <w:p w14:paraId="72C5F9FD"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Recruitment rate into susceptible adult population</w:t>
            </w:r>
          </w:p>
        </w:tc>
        <w:tc>
          <w:tcPr>
            <w:tcW w:w="1764" w:type="dxa"/>
            <w:vAlign w:val="center"/>
          </w:tcPr>
          <w:p w14:paraId="30144736"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180</w:t>
            </w:r>
          </w:p>
        </w:tc>
        <w:tc>
          <w:tcPr>
            <w:tcW w:w="1764" w:type="dxa"/>
            <w:vAlign w:val="center"/>
          </w:tcPr>
          <w:p w14:paraId="14FCB677"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individuals/day</w:t>
            </w:r>
          </w:p>
        </w:tc>
        <w:tc>
          <w:tcPr>
            <w:tcW w:w="1764" w:type="dxa"/>
            <w:vAlign w:val="center"/>
          </w:tcPr>
          <w:p w14:paraId="3DF0B086"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Estimated population transition/growth</w:t>
            </w:r>
          </w:p>
        </w:tc>
      </w:tr>
      <w:tr w:rsidR="00844365" w:rsidRPr="00DC582F" w14:paraId="75F18261" w14:textId="77777777" w:rsidTr="006A21A1">
        <w:tc>
          <w:tcPr>
            <w:tcW w:w="1998" w:type="dxa"/>
            <w:vAlign w:val="center"/>
          </w:tcPr>
          <w:p w14:paraId="7AEE41A9" w14:textId="77777777" w:rsidR="00844365" w:rsidRPr="00DC582F" w:rsidRDefault="00844365" w:rsidP="006A21A1">
            <w:pPr>
              <w:rPr>
                <w:rFonts w:ascii="Times New Roman" w:hAnsi="Times New Roman" w:cs="Times New Roman"/>
                <w:sz w:val="22"/>
                <w:szCs w:val="22"/>
              </w:rPr>
            </w:pPr>
            <w:r w:rsidRPr="00DC582F">
              <w:rPr>
                <w:rStyle w:val="katex-mathml"/>
                <w:rFonts w:ascii="Times New Roman" w:eastAsiaTheme="majorEastAsia" w:hAnsi="Times New Roman" w:cs="Times New Roman"/>
                <w:sz w:val="22"/>
                <w:szCs w:val="22"/>
              </w:rPr>
              <w:t>Λv</w:t>
            </w:r>
          </w:p>
        </w:tc>
        <w:tc>
          <w:tcPr>
            <w:tcW w:w="1764" w:type="dxa"/>
            <w:vAlign w:val="center"/>
          </w:tcPr>
          <w:p w14:paraId="2159EFB3"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Mosquito recruitment rate</w:t>
            </w:r>
          </w:p>
        </w:tc>
        <w:tc>
          <w:tcPr>
            <w:tcW w:w="1764" w:type="dxa"/>
            <w:vAlign w:val="center"/>
          </w:tcPr>
          <w:p w14:paraId="124D70E2"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500</w:t>
            </w:r>
          </w:p>
        </w:tc>
        <w:tc>
          <w:tcPr>
            <w:tcW w:w="1764" w:type="dxa"/>
            <w:vAlign w:val="center"/>
          </w:tcPr>
          <w:p w14:paraId="3FF05330"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mosquitoes/day</w:t>
            </w:r>
          </w:p>
        </w:tc>
        <w:tc>
          <w:tcPr>
            <w:tcW w:w="1764" w:type="dxa"/>
            <w:vAlign w:val="center"/>
          </w:tcPr>
          <w:p w14:paraId="01B41E0D"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Literature</w:t>
            </w:r>
          </w:p>
        </w:tc>
      </w:tr>
      <w:tr w:rsidR="00844365" w:rsidRPr="00DC582F" w14:paraId="64161B46" w14:textId="77777777" w:rsidTr="006A21A1">
        <w:tc>
          <w:tcPr>
            <w:tcW w:w="1998" w:type="dxa"/>
            <w:vAlign w:val="center"/>
          </w:tcPr>
          <w:p w14:paraId="4D23C325" w14:textId="77777777" w:rsidR="00844365" w:rsidRPr="00DC582F" w:rsidRDefault="00844365" w:rsidP="006A21A1">
            <w:pPr>
              <w:rPr>
                <w:rFonts w:ascii="Times New Roman" w:hAnsi="Times New Roman" w:cs="Times New Roman"/>
                <w:sz w:val="22"/>
                <w:szCs w:val="22"/>
              </w:rPr>
            </w:pPr>
            <w:r w:rsidRPr="00DC582F">
              <w:rPr>
                <w:rStyle w:val="katex-mathml"/>
                <w:rFonts w:ascii="Times New Roman" w:eastAsiaTheme="majorEastAsia" w:hAnsi="Times New Roman" w:cs="Times New Roman"/>
                <w:sz w:val="22"/>
                <w:szCs w:val="22"/>
              </w:rPr>
              <w:t>μc</w:t>
            </w:r>
          </w:p>
        </w:tc>
        <w:tc>
          <w:tcPr>
            <w:tcW w:w="1764" w:type="dxa"/>
            <w:vAlign w:val="center"/>
          </w:tcPr>
          <w:p w14:paraId="70022F3E"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Natural mortality rate of children</w:t>
            </w:r>
          </w:p>
        </w:tc>
        <w:tc>
          <w:tcPr>
            <w:tcW w:w="1764" w:type="dxa"/>
            <w:vAlign w:val="center"/>
          </w:tcPr>
          <w:p w14:paraId="1EDB3E55"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0.00004</w:t>
            </w:r>
          </w:p>
        </w:tc>
        <w:tc>
          <w:tcPr>
            <w:tcW w:w="1764" w:type="dxa"/>
            <w:vAlign w:val="center"/>
          </w:tcPr>
          <w:p w14:paraId="5BF3106E"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day</w:t>
            </w:r>
            <w:r w:rsidRPr="00DC582F">
              <w:rPr>
                <w:rStyle w:val="katex-mathml"/>
                <w:rFonts w:ascii="Times New Roman" w:eastAsiaTheme="majorEastAsia" w:hAnsi="Times New Roman" w:cs="Times New Roman"/>
                <w:sz w:val="22"/>
                <w:szCs w:val="22"/>
              </w:rPr>
              <w:t>−1</w:t>
            </w:r>
          </w:p>
        </w:tc>
        <w:tc>
          <w:tcPr>
            <w:tcW w:w="1764" w:type="dxa"/>
            <w:vAlign w:val="center"/>
          </w:tcPr>
          <w:p w14:paraId="16CA25BA"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WHO (2023)</w:t>
            </w:r>
          </w:p>
        </w:tc>
      </w:tr>
      <w:tr w:rsidR="00844365" w:rsidRPr="00DC582F" w14:paraId="672CB114" w14:textId="77777777" w:rsidTr="006A21A1">
        <w:tc>
          <w:tcPr>
            <w:tcW w:w="1998" w:type="dxa"/>
            <w:vAlign w:val="center"/>
          </w:tcPr>
          <w:p w14:paraId="3F2129F1" w14:textId="77777777" w:rsidR="00844365" w:rsidRPr="00DC582F" w:rsidRDefault="00844365" w:rsidP="006A21A1">
            <w:pPr>
              <w:rPr>
                <w:rFonts w:ascii="Times New Roman" w:hAnsi="Times New Roman" w:cs="Times New Roman"/>
                <w:sz w:val="22"/>
                <w:szCs w:val="22"/>
              </w:rPr>
            </w:pPr>
            <w:r w:rsidRPr="00DC582F">
              <w:rPr>
                <w:rStyle w:val="katex-mathml"/>
                <w:rFonts w:ascii="Times New Roman" w:eastAsiaTheme="majorEastAsia" w:hAnsi="Times New Roman" w:cs="Times New Roman"/>
                <w:sz w:val="22"/>
                <w:szCs w:val="22"/>
              </w:rPr>
              <w:t>μa</w:t>
            </w:r>
          </w:p>
        </w:tc>
        <w:tc>
          <w:tcPr>
            <w:tcW w:w="1764" w:type="dxa"/>
            <w:vAlign w:val="center"/>
          </w:tcPr>
          <w:p w14:paraId="7652D066"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Natural mortality rate of adults</w:t>
            </w:r>
          </w:p>
        </w:tc>
        <w:tc>
          <w:tcPr>
            <w:tcW w:w="1764" w:type="dxa"/>
            <w:vAlign w:val="center"/>
          </w:tcPr>
          <w:p w14:paraId="6211CEB1"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0.00003</w:t>
            </w:r>
          </w:p>
        </w:tc>
        <w:tc>
          <w:tcPr>
            <w:tcW w:w="1764" w:type="dxa"/>
            <w:vAlign w:val="center"/>
          </w:tcPr>
          <w:p w14:paraId="60333D08"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day</w:t>
            </w:r>
            <w:r w:rsidRPr="00DC582F">
              <w:rPr>
                <w:rStyle w:val="katex-mathml"/>
                <w:rFonts w:ascii="Times New Roman" w:eastAsiaTheme="majorEastAsia" w:hAnsi="Times New Roman" w:cs="Times New Roman"/>
                <w:sz w:val="22"/>
                <w:szCs w:val="22"/>
              </w:rPr>
              <w:t>−1</w:t>
            </w:r>
          </w:p>
        </w:tc>
        <w:tc>
          <w:tcPr>
            <w:tcW w:w="1764" w:type="dxa"/>
            <w:vAlign w:val="center"/>
          </w:tcPr>
          <w:p w14:paraId="28B948DB"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WHO (2023)</w:t>
            </w:r>
          </w:p>
        </w:tc>
      </w:tr>
      <w:tr w:rsidR="00844365" w:rsidRPr="00DC582F" w14:paraId="13D7A657" w14:textId="77777777" w:rsidTr="006A21A1">
        <w:tc>
          <w:tcPr>
            <w:tcW w:w="1998" w:type="dxa"/>
            <w:vAlign w:val="center"/>
          </w:tcPr>
          <w:p w14:paraId="38923CF5" w14:textId="77777777" w:rsidR="00844365" w:rsidRPr="00DC582F" w:rsidRDefault="00844365" w:rsidP="006A21A1">
            <w:pPr>
              <w:rPr>
                <w:rFonts w:ascii="Times New Roman" w:hAnsi="Times New Roman" w:cs="Times New Roman"/>
                <w:sz w:val="22"/>
                <w:szCs w:val="22"/>
              </w:rPr>
            </w:pPr>
            <w:r w:rsidRPr="00DC582F">
              <w:rPr>
                <w:rStyle w:val="katex-mathml"/>
                <w:rFonts w:ascii="Times New Roman" w:eastAsiaTheme="majorEastAsia" w:hAnsi="Times New Roman" w:cs="Times New Roman"/>
                <w:sz w:val="22"/>
                <w:szCs w:val="22"/>
              </w:rPr>
              <w:t>μv</w:t>
            </w:r>
          </w:p>
        </w:tc>
        <w:tc>
          <w:tcPr>
            <w:tcW w:w="1764" w:type="dxa"/>
            <w:vAlign w:val="center"/>
          </w:tcPr>
          <w:p w14:paraId="5D396409"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Natural mortality rate of mosquitoes</w:t>
            </w:r>
          </w:p>
        </w:tc>
        <w:tc>
          <w:tcPr>
            <w:tcW w:w="1764" w:type="dxa"/>
            <w:vAlign w:val="center"/>
          </w:tcPr>
          <w:p w14:paraId="7DBF8FB9"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0.10</w:t>
            </w:r>
          </w:p>
        </w:tc>
        <w:tc>
          <w:tcPr>
            <w:tcW w:w="1764" w:type="dxa"/>
            <w:vAlign w:val="center"/>
          </w:tcPr>
          <w:p w14:paraId="38F99FF9"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day</w:t>
            </w:r>
            <w:r w:rsidRPr="00DC582F">
              <w:rPr>
                <w:rStyle w:val="katex-mathml"/>
                <w:rFonts w:ascii="Times New Roman" w:eastAsiaTheme="majorEastAsia" w:hAnsi="Times New Roman" w:cs="Times New Roman"/>
                <w:sz w:val="22"/>
                <w:szCs w:val="22"/>
              </w:rPr>
              <w:t>−1</w:t>
            </w:r>
          </w:p>
        </w:tc>
        <w:tc>
          <w:tcPr>
            <w:tcW w:w="1764" w:type="dxa"/>
            <w:vAlign w:val="center"/>
          </w:tcPr>
          <w:p w14:paraId="5B7ADF5C"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Smith et al. (2012)</w:t>
            </w:r>
          </w:p>
        </w:tc>
      </w:tr>
      <w:tr w:rsidR="00844365" w:rsidRPr="00DC582F" w14:paraId="12DC74F2" w14:textId="77777777" w:rsidTr="006A21A1">
        <w:tc>
          <w:tcPr>
            <w:tcW w:w="1998" w:type="dxa"/>
            <w:vAlign w:val="center"/>
          </w:tcPr>
          <w:p w14:paraId="531509E2" w14:textId="77777777" w:rsidR="00844365" w:rsidRPr="00DC582F" w:rsidRDefault="00844365" w:rsidP="006A21A1">
            <w:pPr>
              <w:rPr>
                <w:rFonts w:ascii="Times New Roman" w:hAnsi="Times New Roman" w:cs="Times New Roman"/>
                <w:sz w:val="22"/>
                <w:szCs w:val="22"/>
              </w:rPr>
            </w:pPr>
            <w:r w:rsidRPr="00DC582F">
              <w:rPr>
                <w:rStyle w:val="katex-mathml"/>
                <w:rFonts w:ascii="Times New Roman" w:eastAsiaTheme="majorEastAsia" w:hAnsi="Times New Roman" w:cs="Times New Roman"/>
                <w:sz w:val="22"/>
                <w:szCs w:val="22"/>
              </w:rPr>
              <w:t>b</w:t>
            </w:r>
          </w:p>
        </w:tc>
        <w:tc>
          <w:tcPr>
            <w:tcW w:w="1764" w:type="dxa"/>
            <w:vAlign w:val="center"/>
          </w:tcPr>
          <w:p w14:paraId="6928F85E"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Mosquito biting rate</w:t>
            </w:r>
          </w:p>
        </w:tc>
        <w:tc>
          <w:tcPr>
            <w:tcW w:w="1764" w:type="dxa"/>
            <w:vAlign w:val="center"/>
          </w:tcPr>
          <w:p w14:paraId="63CD231C"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0.30</w:t>
            </w:r>
          </w:p>
        </w:tc>
        <w:tc>
          <w:tcPr>
            <w:tcW w:w="1764" w:type="dxa"/>
            <w:vAlign w:val="center"/>
          </w:tcPr>
          <w:p w14:paraId="4FC8D7C4"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bites/day</w:t>
            </w:r>
          </w:p>
        </w:tc>
        <w:tc>
          <w:tcPr>
            <w:tcW w:w="1764" w:type="dxa"/>
            <w:vAlign w:val="center"/>
          </w:tcPr>
          <w:p w14:paraId="670A57F0"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Literature</w:t>
            </w:r>
          </w:p>
        </w:tc>
      </w:tr>
      <w:tr w:rsidR="00844365" w:rsidRPr="00DC582F" w14:paraId="05679763" w14:textId="77777777" w:rsidTr="006A21A1">
        <w:tc>
          <w:tcPr>
            <w:tcW w:w="1998" w:type="dxa"/>
            <w:vAlign w:val="center"/>
          </w:tcPr>
          <w:p w14:paraId="2E7F2AD4" w14:textId="77777777" w:rsidR="00844365" w:rsidRPr="00DC582F" w:rsidRDefault="00844365" w:rsidP="006A21A1">
            <w:pPr>
              <w:rPr>
                <w:rFonts w:ascii="Times New Roman" w:hAnsi="Times New Roman" w:cs="Times New Roman"/>
                <w:sz w:val="22"/>
                <w:szCs w:val="22"/>
              </w:rPr>
            </w:pPr>
            <w:r w:rsidRPr="00DC582F">
              <w:rPr>
                <w:rStyle w:val="katex-mathml"/>
                <w:rFonts w:ascii="Times New Roman" w:eastAsiaTheme="majorEastAsia" w:hAnsi="Times New Roman" w:cs="Times New Roman"/>
                <w:sz w:val="22"/>
                <w:szCs w:val="22"/>
              </w:rPr>
              <w:t>βvh</w:t>
            </w:r>
            <w:r w:rsidRPr="00DC582F">
              <w:rPr>
                <w:rStyle w:val="vlist-s"/>
                <w:rFonts w:ascii="Times New Roman" w:eastAsiaTheme="majorEastAsia" w:hAnsi="Times New Roman" w:cs="Times New Roman"/>
                <w:sz w:val="22"/>
                <w:szCs w:val="22"/>
              </w:rPr>
              <w:t>​</w:t>
            </w:r>
          </w:p>
        </w:tc>
        <w:tc>
          <w:tcPr>
            <w:tcW w:w="1764" w:type="dxa"/>
            <w:vAlign w:val="center"/>
          </w:tcPr>
          <w:p w14:paraId="5F9AC25B"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Transmission probability from vector to human</w:t>
            </w:r>
          </w:p>
        </w:tc>
        <w:tc>
          <w:tcPr>
            <w:tcW w:w="1764" w:type="dxa"/>
            <w:vAlign w:val="center"/>
          </w:tcPr>
          <w:p w14:paraId="4F1F17DE"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0.35</w:t>
            </w:r>
          </w:p>
        </w:tc>
        <w:tc>
          <w:tcPr>
            <w:tcW w:w="1764" w:type="dxa"/>
            <w:vAlign w:val="center"/>
          </w:tcPr>
          <w:p w14:paraId="76E36E52"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probability</w:t>
            </w:r>
          </w:p>
        </w:tc>
        <w:tc>
          <w:tcPr>
            <w:tcW w:w="1764" w:type="dxa"/>
            <w:vAlign w:val="center"/>
          </w:tcPr>
          <w:p w14:paraId="0E0C355B"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Chitnis et al. (2008)</w:t>
            </w:r>
          </w:p>
        </w:tc>
      </w:tr>
      <w:tr w:rsidR="00844365" w:rsidRPr="00DC582F" w14:paraId="3FA65E69" w14:textId="77777777" w:rsidTr="006A21A1">
        <w:tc>
          <w:tcPr>
            <w:tcW w:w="1998" w:type="dxa"/>
            <w:vAlign w:val="center"/>
          </w:tcPr>
          <w:p w14:paraId="722774B3" w14:textId="77777777" w:rsidR="00844365" w:rsidRPr="00DC582F" w:rsidRDefault="00844365" w:rsidP="006A21A1">
            <w:pPr>
              <w:rPr>
                <w:rFonts w:ascii="Times New Roman" w:hAnsi="Times New Roman" w:cs="Times New Roman"/>
                <w:sz w:val="22"/>
                <w:szCs w:val="22"/>
              </w:rPr>
            </w:pPr>
            <w:r w:rsidRPr="00DC582F">
              <w:rPr>
                <w:rStyle w:val="katex-mathml"/>
                <w:rFonts w:ascii="Times New Roman" w:eastAsiaTheme="majorEastAsia" w:hAnsi="Times New Roman" w:cs="Times New Roman"/>
                <w:sz w:val="22"/>
                <w:szCs w:val="22"/>
              </w:rPr>
              <w:t>βhv</w:t>
            </w:r>
          </w:p>
        </w:tc>
        <w:tc>
          <w:tcPr>
            <w:tcW w:w="1764" w:type="dxa"/>
            <w:vAlign w:val="center"/>
          </w:tcPr>
          <w:p w14:paraId="6EB4D8A8"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Transmission probability from human to vector</w:t>
            </w:r>
          </w:p>
        </w:tc>
        <w:tc>
          <w:tcPr>
            <w:tcW w:w="1764" w:type="dxa"/>
            <w:vAlign w:val="center"/>
          </w:tcPr>
          <w:p w14:paraId="2AE898F2"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0.30</w:t>
            </w:r>
          </w:p>
        </w:tc>
        <w:tc>
          <w:tcPr>
            <w:tcW w:w="1764" w:type="dxa"/>
            <w:vAlign w:val="center"/>
          </w:tcPr>
          <w:p w14:paraId="384055C1"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probability</w:t>
            </w:r>
          </w:p>
        </w:tc>
        <w:tc>
          <w:tcPr>
            <w:tcW w:w="1764" w:type="dxa"/>
            <w:vAlign w:val="center"/>
          </w:tcPr>
          <w:p w14:paraId="17269ECA"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Chitnis et al. (2008)</w:t>
            </w:r>
          </w:p>
        </w:tc>
      </w:tr>
      <w:tr w:rsidR="00844365" w:rsidRPr="00DC582F" w14:paraId="49469ABF" w14:textId="77777777" w:rsidTr="006A21A1">
        <w:tc>
          <w:tcPr>
            <w:tcW w:w="1998" w:type="dxa"/>
            <w:vAlign w:val="center"/>
          </w:tcPr>
          <w:p w14:paraId="6C80B05E" w14:textId="77777777" w:rsidR="00844365" w:rsidRPr="00DC582F" w:rsidRDefault="00844365" w:rsidP="006A21A1">
            <w:pPr>
              <w:rPr>
                <w:rFonts w:ascii="Times New Roman" w:hAnsi="Times New Roman" w:cs="Times New Roman"/>
                <w:sz w:val="22"/>
                <w:szCs w:val="22"/>
              </w:rPr>
            </w:pPr>
            <w:r w:rsidRPr="00DC582F">
              <w:rPr>
                <w:rStyle w:val="katex-mathml"/>
                <w:rFonts w:ascii="Times New Roman" w:eastAsiaTheme="majorEastAsia" w:hAnsi="Times New Roman" w:cs="Times New Roman"/>
                <w:sz w:val="22"/>
                <w:szCs w:val="22"/>
              </w:rPr>
              <w:t>λc</w:t>
            </w:r>
          </w:p>
        </w:tc>
        <w:tc>
          <w:tcPr>
            <w:tcW w:w="1764" w:type="dxa"/>
            <w:vAlign w:val="center"/>
          </w:tcPr>
          <w:p w14:paraId="1FFAF844"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Force of infection for children</w:t>
            </w:r>
          </w:p>
        </w:tc>
        <w:tc>
          <w:tcPr>
            <w:tcW w:w="1764" w:type="dxa"/>
            <w:vAlign w:val="center"/>
          </w:tcPr>
          <w:p w14:paraId="7A1314C1"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Variable</w:t>
            </w:r>
          </w:p>
        </w:tc>
        <w:tc>
          <w:tcPr>
            <w:tcW w:w="1764" w:type="dxa"/>
            <w:vAlign w:val="center"/>
          </w:tcPr>
          <w:p w14:paraId="491017F7"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day</w:t>
            </w:r>
            <w:r w:rsidRPr="00DC582F">
              <w:rPr>
                <w:rStyle w:val="katex-mathml"/>
                <w:rFonts w:ascii="Times New Roman" w:eastAsiaTheme="majorEastAsia" w:hAnsi="Times New Roman" w:cs="Times New Roman"/>
                <w:sz w:val="22"/>
                <w:szCs w:val="22"/>
              </w:rPr>
              <w:t>−1</w:t>
            </w:r>
          </w:p>
        </w:tc>
        <w:tc>
          <w:tcPr>
            <w:tcW w:w="1764" w:type="dxa"/>
            <w:vAlign w:val="center"/>
          </w:tcPr>
          <w:p w14:paraId="09742F48"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Model-derived</w:t>
            </w:r>
          </w:p>
        </w:tc>
      </w:tr>
      <w:tr w:rsidR="00844365" w:rsidRPr="00DC582F" w14:paraId="4D5BDCBC" w14:textId="77777777" w:rsidTr="006A21A1">
        <w:tc>
          <w:tcPr>
            <w:tcW w:w="1998" w:type="dxa"/>
            <w:vAlign w:val="center"/>
          </w:tcPr>
          <w:p w14:paraId="34AB7711" w14:textId="77777777" w:rsidR="00844365" w:rsidRPr="00DC582F" w:rsidRDefault="00844365" w:rsidP="006A21A1">
            <w:pPr>
              <w:rPr>
                <w:rFonts w:ascii="Times New Roman" w:hAnsi="Times New Roman" w:cs="Times New Roman"/>
                <w:sz w:val="22"/>
                <w:szCs w:val="22"/>
              </w:rPr>
            </w:pPr>
            <w:r w:rsidRPr="00DC582F">
              <w:rPr>
                <w:rStyle w:val="katex-mathml"/>
                <w:rFonts w:ascii="Times New Roman" w:eastAsiaTheme="majorEastAsia" w:hAnsi="Times New Roman" w:cs="Times New Roman"/>
                <w:sz w:val="22"/>
                <w:szCs w:val="22"/>
              </w:rPr>
              <w:t>λa</w:t>
            </w:r>
          </w:p>
        </w:tc>
        <w:tc>
          <w:tcPr>
            <w:tcW w:w="1764" w:type="dxa"/>
            <w:vAlign w:val="center"/>
          </w:tcPr>
          <w:p w14:paraId="31038D4F"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Force of infection for adults</w:t>
            </w:r>
          </w:p>
        </w:tc>
        <w:tc>
          <w:tcPr>
            <w:tcW w:w="1764" w:type="dxa"/>
            <w:vAlign w:val="center"/>
          </w:tcPr>
          <w:p w14:paraId="7050EA23"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Variable</w:t>
            </w:r>
          </w:p>
        </w:tc>
        <w:tc>
          <w:tcPr>
            <w:tcW w:w="1764" w:type="dxa"/>
            <w:vAlign w:val="center"/>
          </w:tcPr>
          <w:p w14:paraId="6B3323C5"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day</w:t>
            </w:r>
            <w:r w:rsidRPr="00DC582F">
              <w:rPr>
                <w:rStyle w:val="katex-mathml"/>
                <w:rFonts w:ascii="Times New Roman" w:eastAsiaTheme="majorEastAsia" w:hAnsi="Times New Roman" w:cs="Times New Roman"/>
                <w:sz w:val="22"/>
                <w:szCs w:val="22"/>
              </w:rPr>
              <w:t>−1</w:t>
            </w:r>
          </w:p>
        </w:tc>
        <w:tc>
          <w:tcPr>
            <w:tcW w:w="1764" w:type="dxa"/>
            <w:vAlign w:val="center"/>
          </w:tcPr>
          <w:p w14:paraId="23F01B81"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Model-derived</w:t>
            </w:r>
          </w:p>
        </w:tc>
      </w:tr>
      <w:tr w:rsidR="00844365" w:rsidRPr="00DC582F" w14:paraId="2ACACADD" w14:textId="77777777" w:rsidTr="006A21A1">
        <w:tc>
          <w:tcPr>
            <w:tcW w:w="1998" w:type="dxa"/>
            <w:vAlign w:val="center"/>
          </w:tcPr>
          <w:p w14:paraId="582FECF7" w14:textId="77777777" w:rsidR="00844365" w:rsidRPr="00DC582F" w:rsidRDefault="00844365" w:rsidP="006A21A1">
            <w:pPr>
              <w:rPr>
                <w:rFonts w:ascii="Times New Roman" w:hAnsi="Times New Roman" w:cs="Times New Roman"/>
                <w:sz w:val="22"/>
                <w:szCs w:val="22"/>
              </w:rPr>
            </w:pPr>
            <w:r w:rsidRPr="00DC582F">
              <w:rPr>
                <w:rStyle w:val="katex-mathml"/>
                <w:rFonts w:ascii="Times New Roman" w:eastAsiaTheme="majorEastAsia" w:hAnsi="Times New Roman" w:cs="Times New Roman"/>
                <w:sz w:val="22"/>
                <w:szCs w:val="22"/>
              </w:rPr>
              <w:t>λv</w:t>
            </w:r>
          </w:p>
        </w:tc>
        <w:tc>
          <w:tcPr>
            <w:tcW w:w="1764" w:type="dxa"/>
            <w:vAlign w:val="center"/>
          </w:tcPr>
          <w:p w14:paraId="41A2A34F"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Force of infection for mosquitoes</w:t>
            </w:r>
          </w:p>
        </w:tc>
        <w:tc>
          <w:tcPr>
            <w:tcW w:w="1764" w:type="dxa"/>
            <w:vAlign w:val="center"/>
          </w:tcPr>
          <w:p w14:paraId="175FF6E7"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Variable</w:t>
            </w:r>
          </w:p>
        </w:tc>
        <w:tc>
          <w:tcPr>
            <w:tcW w:w="1764" w:type="dxa"/>
            <w:vAlign w:val="center"/>
          </w:tcPr>
          <w:p w14:paraId="578FB04B"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day</w:t>
            </w:r>
            <w:r w:rsidRPr="00DC582F">
              <w:rPr>
                <w:rStyle w:val="katex-mathml"/>
                <w:rFonts w:ascii="Times New Roman" w:eastAsiaTheme="majorEastAsia" w:hAnsi="Times New Roman" w:cs="Times New Roman"/>
                <w:sz w:val="22"/>
                <w:szCs w:val="22"/>
              </w:rPr>
              <w:t>−1</w:t>
            </w:r>
          </w:p>
        </w:tc>
        <w:tc>
          <w:tcPr>
            <w:tcW w:w="1764" w:type="dxa"/>
            <w:vAlign w:val="center"/>
          </w:tcPr>
          <w:p w14:paraId="3E6B05D0"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Model-derived</w:t>
            </w:r>
          </w:p>
        </w:tc>
      </w:tr>
      <w:tr w:rsidR="00844365" w:rsidRPr="00DC582F" w14:paraId="14DD1085" w14:textId="77777777" w:rsidTr="006A21A1">
        <w:tc>
          <w:tcPr>
            <w:tcW w:w="1998" w:type="dxa"/>
            <w:vAlign w:val="center"/>
          </w:tcPr>
          <w:p w14:paraId="40D55302" w14:textId="77777777" w:rsidR="00844365" w:rsidRPr="00DC582F" w:rsidRDefault="00844365" w:rsidP="006A21A1">
            <w:pPr>
              <w:rPr>
                <w:rFonts w:ascii="Times New Roman" w:hAnsi="Times New Roman" w:cs="Times New Roman"/>
                <w:sz w:val="22"/>
                <w:szCs w:val="22"/>
              </w:rPr>
            </w:pPr>
            <w:r w:rsidRPr="00DC582F">
              <w:rPr>
                <w:rStyle w:val="katex-mathml"/>
                <w:rFonts w:ascii="Times New Roman" w:eastAsiaTheme="majorEastAsia" w:hAnsi="Times New Roman" w:cs="Times New Roman"/>
                <w:sz w:val="22"/>
                <w:szCs w:val="22"/>
              </w:rPr>
              <w:t>αc</w:t>
            </w:r>
          </w:p>
        </w:tc>
        <w:tc>
          <w:tcPr>
            <w:tcW w:w="1764" w:type="dxa"/>
            <w:vAlign w:val="center"/>
          </w:tcPr>
          <w:p w14:paraId="52DE3B95"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Progression rate from exposed to infectious in children</w:t>
            </w:r>
          </w:p>
        </w:tc>
        <w:tc>
          <w:tcPr>
            <w:tcW w:w="1764" w:type="dxa"/>
            <w:vAlign w:val="center"/>
          </w:tcPr>
          <w:p w14:paraId="32A0A463"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0.14</w:t>
            </w:r>
          </w:p>
        </w:tc>
        <w:tc>
          <w:tcPr>
            <w:tcW w:w="1764" w:type="dxa"/>
            <w:vAlign w:val="center"/>
          </w:tcPr>
          <w:p w14:paraId="57CF3AF6"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day</w:t>
            </w:r>
            <w:r w:rsidRPr="00DC582F">
              <w:rPr>
                <w:rStyle w:val="katex-mathml"/>
                <w:rFonts w:ascii="Times New Roman" w:eastAsiaTheme="majorEastAsia" w:hAnsi="Times New Roman" w:cs="Times New Roman"/>
                <w:sz w:val="22"/>
                <w:szCs w:val="22"/>
              </w:rPr>
              <w:t>−1</w:t>
            </w:r>
          </w:p>
        </w:tc>
        <w:tc>
          <w:tcPr>
            <w:tcW w:w="1764" w:type="dxa"/>
            <w:vAlign w:val="center"/>
          </w:tcPr>
          <w:p w14:paraId="4415D6C5"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Estimated</w:t>
            </w:r>
          </w:p>
        </w:tc>
      </w:tr>
      <w:tr w:rsidR="00844365" w:rsidRPr="00DC582F" w14:paraId="55B29D09" w14:textId="77777777" w:rsidTr="006A21A1">
        <w:tc>
          <w:tcPr>
            <w:tcW w:w="1998" w:type="dxa"/>
            <w:vAlign w:val="center"/>
          </w:tcPr>
          <w:p w14:paraId="7FCF86B2" w14:textId="77777777" w:rsidR="00844365" w:rsidRPr="00DC582F" w:rsidRDefault="00844365" w:rsidP="006A21A1">
            <w:pPr>
              <w:rPr>
                <w:rFonts w:ascii="Times New Roman" w:hAnsi="Times New Roman" w:cs="Times New Roman"/>
                <w:sz w:val="22"/>
                <w:szCs w:val="22"/>
              </w:rPr>
            </w:pPr>
            <w:r w:rsidRPr="00DC582F">
              <w:rPr>
                <w:rStyle w:val="katex-mathml"/>
                <w:rFonts w:ascii="Times New Roman" w:eastAsiaTheme="majorEastAsia" w:hAnsi="Times New Roman" w:cs="Times New Roman"/>
                <w:sz w:val="22"/>
                <w:szCs w:val="22"/>
              </w:rPr>
              <w:t>αa</w:t>
            </w:r>
          </w:p>
        </w:tc>
        <w:tc>
          <w:tcPr>
            <w:tcW w:w="1764" w:type="dxa"/>
            <w:vAlign w:val="center"/>
          </w:tcPr>
          <w:p w14:paraId="576F4656"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Progression rate from exposed to infectious in adults</w:t>
            </w:r>
          </w:p>
        </w:tc>
        <w:tc>
          <w:tcPr>
            <w:tcW w:w="1764" w:type="dxa"/>
            <w:vAlign w:val="center"/>
          </w:tcPr>
          <w:p w14:paraId="62EA2BD4"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0.12</w:t>
            </w:r>
          </w:p>
        </w:tc>
        <w:tc>
          <w:tcPr>
            <w:tcW w:w="1764" w:type="dxa"/>
            <w:vAlign w:val="center"/>
          </w:tcPr>
          <w:p w14:paraId="4CA05502"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day</w:t>
            </w:r>
            <w:r w:rsidRPr="00DC582F">
              <w:rPr>
                <w:rStyle w:val="katex-mathml"/>
                <w:rFonts w:ascii="Times New Roman" w:eastAsiaTheme="majorEastAsia" w:hAnsi="Times New Roman" w:cs="Times New Roman"/>
                <w:sz w:val="22"/>
                <w:szCs w:val="22"/>
              </w:rPr>
              <w:t>−1</w:t>
            </w:r>
          </w:p>
        </w:tc>
        <w:tc>
          <w:tcPr>
            <w:tcW w:w="1764" w:type="dxa"/>
            <w:vAlign w:val="center"/>
          </w:tcPr>
          <w:p w14:paraId="3DEA0445"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Estimated</w:t>
            </w:r>
          </w:p>
        </w:tc>
      </w:tr>
      <w:tr w:rsidR="00844365" w:rsidRPr="00DC582F" w14:paraId="4146D2AF" w14:textId="77777777" w:rsidTr="006A21A1">
        <w:tc>
          <w:tcPr>
            <w:tcW w:w="1998" w:type="dxa"/>
            <w:vAlign w:val="center"/>
          </w:tcPr>
          <w:p w14:paraId="403F5788" w14:textId="77777777" w:rsidR="00844365" w:rsidRPr="00DC582F" w:rsidRDefault="00844365" w:rsidP="006A21A1">
            <w:pPr>
              <w:rPr>
                <w:rFonts w:ascii="Times New Roman" w:hAnsi="Times New Roman" w:cs="Times New Roman"/>
                <w:sz w:val="22"/>
                <w:szCs w:val="22"/>
              </w:rPr>
            </w:pPr>
            <w:r w:rsidRPr="00DC582F">
              <w:rPr>
                <w:rStyle w:val="katex-mathml"/>
                <w:rFonts w:ascii="Times New Roman" w:eastAsiaTheme="majorEastAsia" w:hAnsi="Times New Roman" w:cs="Times New Roman"/>
                <w:sz w:val="22"/>
                <w:szCs w:val="22"/>
              </w:rPr>
              <w:t>αv</w:t>
            </w:r>
          </w:p>
        </w:tc>
        <w:tc>
          <w:tcPr>
            <w:tcW w:w="1764" w:type="dxa"/>
            <w:vAlign w:val="center"/>
          </w:tcPr>
          <w:p w14:paraId="590DE082"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Progression rate from exposed to infectious in mosquitoes</w:t>
            </w:r>
          </w:p>
        </w:tc>
        <w:tc>
          <w:tcPr>
            <w:tcW w:w="1764" w:type="dxa"/>
            <w:vAlign w:val="center"/>
          </w:tcPr>
          <w:p w14:paraId="046ACED8"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0.10</w:t>
            </w:r>
          </w:p>
        </w:tc>
        <w:tc>
          <w:tcPr>
            <w:tcW w:w="1764" w:type="dxa"/>
            <w:vAlign w:val="center"/>
          </w:tcPr>
          <w:p w14:paraId="108DF25D"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day</w:t>
            </w:r>
            <w:r w:rsidRPr="00DC582F">
              <w:rPr>
                <w:rStyle w:val="katex-mathml"/>
                <w:rFonts w:ascii="Times New Roman" w:eastAsiaTheme="majorEastAsia" w:hAnsi="Times New Roman" w:cs="Times New Roman"/>
                <w:sz w:val="22"/>
                <w:szCs w:val="22"/>
              </w:rPr>
              <w:t>−1</w:t>
            </w:r>
          </w:p>
        </w:tc>
        <w:tc>
          <w:tcPr>
            <w:tcW w:w="1764" w:type="dxa"/>
            <w:vAlign w:val="center"/>
          </w:tcPr>
          <w:p w14:paraId="30978E9C"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Literature</w:t>
            </w:r>
          </w:p>
        </w:tc>
      </w:tr>
      <w:tr w:rsidR="00844365" w:rsidRPr="00DC582F" w14:paraId="2CD70369" w14:textId="77777777" w:rsidTr="006A21A1">
        <w:tc>
          <w:tcPr>
            <w:tcW w:w="1998" w:type="dxa"/>
            <w:vAlign w:val="center"/>
          </w:tcPr>
          <w:p w14:paraId="550D5F83" w14:textId="77777777" w:rsidR="00844365" w:rsidRPr="00DC582F" w:rsidRDefault="00844365" w:rsidP="006A21A1">
            <w:pPr>
              <w:rPr>
                <w:rFonts w:ascii="Times New Roman" w:hAnsi="Times New Roman" w:cs="Times New Roman"/>
                <w:sz w:val="22"/>
                <w:szCs w:val="22"/>
              </w:rPr>
            </w:pPr>
            <w:r w:rsidRPr="00DC582F">
              <w:rPr>
                <w:rStyle w:val="katex-mathml"/>
                <w:rFonts w:ascii="Times New Roman" w:eastAsiaTheme="majorEastAsia" w:hAnsi="Times New Roman" w:cs="Times New Roman"/>
                <w:sz w:val="22"/>
                <w:szCs w:val="22"/>
              </w:rPr>
              <w:t>γc</w:t>
            </w:r>
          </w:p>
        </w:tc>
        <w:tc>
          <w:tcPr>
            <w:tcW w:w="1764" w:type="dxa"/>
            <w:vAlign w:val="center"/>
          </w:tcPr>
          <w:p w14:paraId="7D15F98E"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Recovery rate for infectious children</w:t>
            </w:r>
          </w:p>
        </w:tc>
        <w:tc>
          <w:tcPr>
            <w:tcW w:w="1764" w:type="dxa"/>
            <w:vAlign w:val="center"/>
          </w:tcPr>
          <w:p w14:paraId="4F13BC0A"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0.20</w:t>
            </w:r>
          </w:p>
        </w:tc>
        <w:tc>
          <w:tcPr>
            <w:tcW w:w="1764" w:type="dxa"/>
            <w:vAlign w:val="center"/>
          </w:tcPr>
          <w:p w14:paraId="4321A46C"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day</w:t>
            </w:r>
            <w:r w:rsidRPr="00DC582F">
              <w:rPr>
                <w:rStyle w:val="katex-mathml"/>
                <w:rFonts w:ascii="Times New Roman" w:eastAsiaTheme="majorEastAsia" w:hAnsi="Times New Roman" w:cs="Times New Roman"/>
                <w:sz w:val="22"/>
                <w:szCs w:val="22"/>
              </w:rPr>
              <w:t>−1</w:t>
            </w:r>
          </w:p>
        </w:tc>
        <w:tc>
          <w:tcPr>
            <w:tcW w:w="1764" w:type="dxa"/>
            <w:vAlign w:val="center"/>
          </w:tcPr>
          <w:p w14:paraId="7CADA670"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Literature</w:t>
            </w:r>
          </w:p>
        </w:tc>
      </w:tr>
      <w:tr w:rsidR="00844365" w:rsidRPr="00DC582F" w14:paraId="2B349F43" w14:textId="77777777" w:rsidTr="006A21A1">
        <w:tc>
          <w:tcPr>
            <w:tcW w:w="1998" w:type="dxa"/>
            <w:vAlign w:val="center"/>
          </w:tcPr>
          <w:p w14:paraId="4FAA9C33" w14:textId="77777777" w:rsidR="00844365" w:rsidRPr="00DC582F" w:rsidRDefault="00844365" w:rsidP="006A21A1">
            <w:pPr>
              <w:rPr>
                <w:rFonts w:ascii="Times New Roman" w:hAnsi="Times New Roman" w:cs="Times New Roman"/>
                <w:sz w:val="22"/>
                <w:szCs w:val="22"/>
              </w:rPr>
            </w:pPr>
            <w:r w:rsidRPr="00DC582F">
              <w:rPr>
                <w:rStyle w:val="katex-mathml"/>
                <w:rFonts w:ascii="Times New Roman" w:eastAsiaTheme="majorEastAsia" w:hAnsi="Times New Roman" w:cs="Times New Roman"/>
                <w:sz w:val="22"/>
                <w:szCs w:val="22"/>
              </w:rPr>
              <w:t>γa</w:t>
            </w:r>
          </w:p>
        </w:tc>
        <w:tc>
          <w:tcPr>
            <w:tcW w:w="1764" w:type="dxa"/>
            <w:vAlign w:val="center"/>
          </w:tcPr>
          <w:p w14:paraId="5F372E30"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Recovery rate for infectious adults</w:t>
            </w:r>
          </w:p>
        </w:tc>
        <w:tc>
          <w:tcPr>
            <w:tcW w:w="1764" w:type="dxa"/>
            <w:vAlign w:val="center"/>
          </w:tcPr>
          <w:p w14:paraId="62F3C339"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0.18</w:t>
            </w:r>
          </w:p>
        </w:tc>
        <w:tc>
          <w:tcPr>
            <w:tcW w:w="1764" w:type="dxa"/>
            <w:vAlign w:val="center"/>
          </w:tcPr>
          <w:p w14:paraId="3C954F1A"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day</w:t>
            </w:r>
            <w:r w:rsidRPr="00DC582F">
              <w:rPr>
                <w:rStyle w:val="katex-mathml"/>
                <w:rFonts w:ascii="Times New Roman" w:eastAsiaTheme="majorEastAsia" w:hAnsi="Times New Roman" w:cs="Times New Roman"/>
                <w:sz w:val="22"/>
                <w:szCs w:val="22"/>
              </w:rPr>
              <w:t>−1</w:t>
            </w:r>
          </w:p>
        </w:tc>
        <w:tc>
          <w:tcPr>
            <w:tcW w:w="1764" w:type="dxa"/>
            <w:vAlign w:val="center"/>
          </w:tcPr>
          <w:p w14:paraId="470879C7"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Literature</w:t>
            </w:r>
          </w:p>
        </w:tc>
      </w:tr>
      <w:tr w:rsidR="00844365" w:rsidRPr="00DC582F" w14:paraId="7085A0B4" w14:textId="77777777" w:rsidTr="006A21A1">
        <w:tc>
          <w:tcPr>
            <w:tcW w:w="1998" w:type="dxa"/>
            <w:vAlign w:val="center"/>
          </w:tcPr>
          <w:p w14:paraId="1CCE8A42" w14:textId="77777777" w:rsidR="00844365" w:rsidRPr="00DC582F" w:rsidRDefault="00844365" w:rsidP="006A21A1">
            <w:pPr>
              <w:rPr>
                <w:rFonts w:ascii="Times New Roman" w:hAnsi="Times New Roman" w:cs="Times New Roman"/>
                <w:sz w:val="22"/>
                <w:szCs w:val="22"/>
              </w:rPr>
            </w:pPr>
            <w:r w:rsidRPr="00DC582F">
              <w:rPr>
                <w:rStyle w:val="katex-mathml"/>
                <w:rFonts w:ascii="Times New Roman" w:eastAsiaTheme="majorEastAsia" w:hAnsi="Times New Roman" w:cs="Times New Roman"/>
                <w:sz w:val="22"/>
                <w:szCs w:val="22"/>
              </w:rPr>
              <w:t>ωc</w:t>
            </w:r>
          </w:p>
        </w:tc>
        <w:tc>
          <w:tcPr>
            <w:tcW w:w="1764" w:type="dxa"/>
            <w:vAlign w:val="center"/>
          </w:tcPr>
          <w:p w14:paraId="3A9AD34E"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Loss of immunity rate for children</w:t>
            </w:r>
          </w:p>
        </w:tc>
        <w:tc>
          <w:tcPr>
            <w:tcW w:w="1764" w:type="dxa"/>
            <w:vAlign w:val="center"/>
          </w:tcPr>
          <w:p w14:paraId="60A91C32"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0.02</w:t>
            </w:r>
          </w:p>
        </w:tc>
        <w:tc>
          <w:tcPr>
            <w:tcW w:w="1764" w:type="dxa"/>
            <w:vAlign w:val="center"/>
          </w:tcPr>
          <w:p w14:paraId="52AB813B"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day</w:t>
            </w:r>
            <w:r w:rsidRPr="00DC582F">
              <w:rPr>
                <w:rStyle w:val="katex-mathml"/>
                <w:rFonts w:ascii="Times New Roman" w:eastAsiaTheme="majorEastAsia" w:hAnsi="Times New Roman" w:cs="Times New Roman"/>
                <w:sz w:val="22"/>
                <w:szCs w:val="22"/>
              </w:rPr>
              <w:t>−1</w:t>
            </w:r>
          </w:p>
        </w:tc>
        <w:tc>
          <w:tcPr>
            <w:tcW w:w="1764" w:type="dxa"/>
            <w:vAlign w:val="center"/>
          </w:tcPr>
          <w:p w14:paraId="188990D3"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Estimated</w:t>
            </w:r>
          </w:p>
        </w:tc>
      </w:tr>
      <w:tr w:rsidR="00844365" w:rsidRPr="00DC582F" w14:paraId="27D641E8" w14:textId="77777777" w:rsidTr="006A21A1">
        <w:tc>
          <w:tcPr>
            <w:tcW w:w="1998" w:type="dxa"/>
            <w:vAlign w:val="center"/>
          </w:tcPr>
          <w:p w14:paraId="5173001E" w14:textId="77777777" w:rsidR="00844365" w:rsidRPr="00DC582F" w:rsidRDefault="00844365" w:rsidP="006A21A1">
            <w:pPr>
              <w:rPr>
                <w:rFonts w:ascii="Times New Roman" w:hAnsi="Times New Roman" w:cs="Times New Roman"/>
                <w:sz w:val="22"/>
                <w:szCs w:val="22"/>
              </w:rPr>
            </w:pPr>
            <w:r w:rsidRPr="00DC582F">
              <w:rPr>
                <w:rStyle w:val="katex-mathml"/>
                <w:rFonts w:ascii="Times New Roman" w:eastAsiaTheme="majorEastAsia" w:hAnsi="Times New Roman" w:cs="Times New Roman"/>
                <w:sz w:val="22"/>
                <w:szCs w:val="22"/>
              </w:rPr>
              <w:lastRenderedPageBreak/>
              <w:t>ωa</w:t>
            </w:r>
          </w:p>
        </w:tc>
        <w:tc>
          <w:tcPr>
            <w:tcW w:w="1764" w:type="dxa"/>
            <w:vAlign w:val="center"/>
          </w:tcPr>
          <w:p w14:paraId="43D859F0"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Loss of immunity rate for adults</w:t>
            </w:r>
          </w:p>
        </w:tc>
        <w:tc>
          <w:tcPr>
            <w:tcW w:w="1764" w:type="dxa"/>
            <w:vAlign w:val="center"/>
          </w:tcPr>
          <w:p w14:paraId="5DFF1A43"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0.015</w:t>
            </w:r>
          </w:p>
        </w:tc>
        <w:tc>
          <w:tcPr>
            <w:tcW w:w="1764" w:type="dxa"/>
            <w:vAlign w:val="center"/>
          </w:tcPr>
          <w:p w14:paraId="1E9F6085"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day</w:t>
            </w:r>
            <w:r w:rsidRPr="00DC582F">
              <w:rPr>
                <w:rStyle w:val="katex-mathml"/>
                <w:rFonts w:ascii="Times New Roman" w:eastAsiaTheme="majorEastAsia" w:hAnsi="Times New Roman" w:cs="Times New Roman"/>
                <w:sz w:val="22"/>
                <w:szCs w:val="22"/>
              </w:rPr>
              <w:t>−1</w:t>
            </w:r>
          </w:p>
        </w:tc>
        <w:tc>
          <w:tcPr>
            <w:tcW w:w="1764" w:type="dxa"/>
            <w:vAlign w:val="center"/>
          </w:tcPr>
          <w:p w14:paraId="6346A289"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Estimated</w:t>
            </w:r>
          </w:p>
        </w:tc>
      </w:tr>
      <w:tr w:rsidR="00844365" w:rsidRPr="00DC582F" w14:paraId="4B08BE75" w14:textId="77777777" w:rsidTr="006A21A1">
        <w:tc>
          <w:tcPr>
            <w:tcW w:w="1998" w:type="dxa"/>
            <w:vAlign w:val="center"/>
          </w:tcPr>
          <w:p w14:paraId="61AB167B" w14:textId="77777777" w:rsidR="00844365" w:rsidRPr="00DC582F" w:rsidRDefault="00844365" w:rsidP="006A21A1">
            <w:pPr>
              <w:rPr>
                <w:rFonts w:ascii="Times New Roman" w:hAnsi="Times New Roman" w:cs="Times New Roman"/>
                <w:sz w:val="22"/>
                <w:szCs w:val="22"/>
              </w:rPr>
            </w:pPr>
            <w:r w:rsidRPr="00DC582F">
              <w:rPr>
                <w:rStyle w:val="katex-mathml"/>
                <w:rFonts w:ascii="Times New Roman" w:eastAsiaTheme="majorEastAsia" w:hAnsi="Times New Roman" w:cs="Times New Roman"/>
                <w:sz w:val="22"/>
                <w:szCs w:val="22"/>
              </w:rPr>
              <w:t>πc</w:t>
            </w:r>
          </w:p>
        </w:tc>
        <w:tc>
          <w:tcPr>
            <w:tcW w:w="1764" w:type="dxa"/>
            <w:vAlign w:val="center"/>
          </w:tcPr>
          <w:p w14:paraId="7B8A452C"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Protection rate due to SMC among children</w:t>
            </w:r>
          </w:p>
        </w:tc>
        <w:tc>
          <w:tcPr>
            <w:tcW w:w="1764" w:type="dxa"/>
            <w:vAlign w:val="center"/>
          </w:tcPr>
          <w:p w14:paraId="028C96AF"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0.70</w:t>
            </w:r>
          </w:p>
        </w:tc>
        <w:tc>
          <w:tcPr>
            <w:tcW w:w="1764" w:type="dxa"/>
            <w:vAlign w:val="center"/>
          </w:tcPr>
          <w:p w14:paraId="667D680D"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proportion</w:t>
            </w:r>
          </w:p>
        </w:tc>
        <w:tc>
          <w:tcPr>
            <w:tcW w:w="1764" w:type="dxa"/>
            <w:vAlign w:val="center"/>
          </w:tcPr>
          <w:p w14:paraId="740DA891"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WHO (2023)</w:t>
            </w:r>
          </w:p>
        </w:tc>
      </w:tr>
      <w:tr w:rsidR="00844365" w:rsidRPr="00DC582F" w14:paraId="4B21971B" w14:textId="77777777" w:rsidTr="006A21A1">
        <w:tc>
          <w:tcPr>
            <w:tcW w:w="1998" w:type="dxa"/>
            <w:vAlign w:val="center"/>
          </w:tcPr>
          <w:p w14:paraId="297F6B0B" w14:textId="77777777" w:rsidR="00844365" w:rsidRPr="00DC582F" w:rsidRDefault="00844365" w:rsidP="006A21A1">
            <w:pPr>
              <w:rPr>
                <w:rFonts w:ascii="Times New Roman" w:hAnsi="Times New Roman" w:cs="Times New Roman"/>
                <w:sz w:val="22"/>
                <w:szCs w:val="22"/>
              </w:rPr>
            </w:pPr>
            <w:r w:rsidRPr="00DC582F">
              <w:rPr>
                <w:rStyle w:val="katex-mathml"/>
                <w:rFonts w:ascii="Times New Roman" w:eastAsiaTheme="majorEastAsia" w:hAnsi="Times New Roman" w:cs="Times New Roman"/>
                <w:sz w:val="22"/>
                <w:szCs w:val="22"/>
              </w:rPr>
              <w:t>πa</w:t>
            </w:r>
          </w:p>
        </w:tc>
        <w:tc>
          <w:tcPr>
            <w:tcW w:w="1764" w:type="dxa"/>
            <w:vAlign w:val="center"/>
          </w:tcPr>
          <w:p w14:paraId="183A44FD"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Protection rate due to IPTp among pregnant women</w:t>
            </w:r>
          </w:p>
        </w:tc>
        <w:tc>
          <w:tcPr>
            <w:tcW w:w="1764" w:type="dxa"/>
            <w:vAlign w:val="center"/>
          </w:tcPr>
          <w:p w14:paraId="0E755609"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0.65</w:t>
            </w:r>
          </w:p>
        </w:tc>
        <w:tc>
          <w:tcPr>
            <w:tcW w:w="1764" w:type="dxa"/>
            <w:vAlign w:val="center"/>
          </w:tcPr>
          <w:p w14:paraId="46724C9E"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proportion</w:t>
            </w:r>
          </w:p>
        </w:tc>
        <w:tc>
          <w:tcPr>
            <w:tcW w:w="1764" w:type="dxa"/>
            <w:vAlign w:val="center"/>
          </w:tcPr>
          <w:p w14:paraId="29F22FD4"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WHO (2023)</w:t>
            </w:r>
          </w:p>
        </w:tc>
      </w:tr>
      <w:tr w:rsidR="00844365" w:rsidRPr="00DC582F" w14:paraId="29765F91" w14:textId="77777777" w:rsidTr="006A21A1">
        <w:tc>
          <w:tcPr>
            <w:tcW w:w="1998" w:type="dxa"/>
            <w:vAlign w:val="center"/>
          </w:tcPr>
          <w:p w14:paraId="62AEBE66" w14:textId="77777777" w:rsidR="00844365" w:rsidRPr="00DC582F" w:rsidRDefault="00844365" w:rsidP="006A21A1">
            <w:pPr>
              <w:rPr>
                <w:rFonts w:ascii="Times New Roman" w:hAnsi="Times New Roman" w:cs="Times New Roman"/>
                <w:sz w:val="22"/>
                <w:szCs w:val="22"/>
              </w:rPr>
            </w:pPr>
            <w:r w:rsidRPr="00DC582F">
              <w:rPr>
                <w:rStyle w:val="katex-mathml"/>
                <w:rFonts w:ascii="Times New Roman" w:eastAsiaTheme="majorEastAsia" w:hAnsi="Times New Roman" w:cs="Times New Roman"/>
                <w:sz w:val="22"/>
                <w:szCs w:val="22"/>
              </w:rPr>
              <w:t>θc</w:t>
            </w:r>
          </w:p>
        </w:tc>
        <w:tc>
          <w:tcPr>
            <w:tcW w:w="1764" w:type="dxa"/>
            <w:vAlign w:val="center"/>
          </w:tcPr>
          <w:p w14:paraId="64CB35DB"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Effectiveness of ITNs/IRS among children</w:t>
            </w:r>
          </w:p>
        </w:tc>
        <w:tc>
          <w:tcPr>
            <w:tcW w:w="1764" w:type="dxa"/>
            <w:vAlign w:val="center"/>
          </w:tcPr>
          <w:p w14:paraId="62DDF47D"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0.60</w:t>
            </w:r>
          </w:p>
        </w:tc>
        <w:tc>
          <w:tcPr>
            <w:tcW w:w="1764" w:type="dxa"/>
            <w:vAlign w:val="center"/>
          </w:tcPr>
          <w:p w14:paraId="77F948C2"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proportion</w:t>
            </w:r>
          </w:p>
        </w:tc>
        <w:tc>
          <w:tcPr>
            <w:tcW w:w="1764" w:type="dxa"/>
            <w:vAlign w:val="center"/>
          </w:tcPr>
          <w:p w14:paraId="31692327"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Literature</w:t>
            </w:r>
          </w:p>
        </w:tc>
      </w:tr>
      <w:tr w:rsidR="00844365" w:rsidRPr="00DC582F" w14:paraId="5C1529C2" w14:textId="77777777" w:rsidTr="006A21A1">
        <w:tc>
          <w:tcPr>
            <w:tcW w:w="1998" w:type="dxa"/>
            <w:vAlign w:val="center"/>
          </w:tcPr>
          <w:p w14:paraId="3D3D13B2" w14:textId="77777777" w:rsidR="00844365" w:rsidRPr="00DC582F" w:rsidRDefault="00844365" w:rsidP="006A21A1">
            <w:pPr>
              <w:rPr>
                <w:rFonts w:ascii="Times New Roman" w:hAnsi="Times New Roman" w:cs="Times New Roman"/>
                <w:sz w:val="22"/>
                <w:szCs w:val="22"/>
              </w:rPr>
            </w:pPr>
            <w:r w:rsidRPr="00DC582F">
              <w:rPr>
                <w:rStyle w:val="katex-mathml"/>
                <w:rFonts w:ascii="Times New Roman" w:eastAsiaTheme="majorEastAsia" w:hAnsi="Times New Roman" w:cs="Times New Roman"/>
                <w:sz w:val="22"/>
                <w:szCs w:val="22"/>
              </w:rPr>
              <w:t>θa</w:t>
            </w:r>
          </w:p>
        </w:tc>
        <w:tc>
          <w:tcPr>
            <w:tcW w:w="1764" w:type="dxa"/>
            <w:vAlign w:val="center"/>
          </w:tcPr>
          <w:p w14:paraId="6B295B38"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Effectiveness of ITNs/IRS among adults</w:t>
            </w:r>
          </w:p>
        </w:tc>
        <w:tc>
          <w:tcPr>
            <w:tcW w:w="1764" w:type="dxa"/>
            <w:vAlign w:val="center"/>
          </w:tcPr>
          <w:p w14:paraId="2C9D5F18"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0.55</w:t>
            </w:r>
          </w:p>
        </w:tc>
        <w:tc>
          <w:tcPr>
            <w:tcW w:w="1764" w:type="dxa"/>
            <w:vAlign w:val="center"/>
          </w:tcPr>
          <w:p w14:paraId="2C55D6FD"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proportion</w:t>
            </w:r>
          </w:p>
        </w:tc>
        <w:tc>
          <w:tcPr>
            <w:tcW w:w="1764" w:type="dxa"/>
            <w:vAlign w:val="center"/>
          </w:tcPr>
          <w:p w14:paraId="74257562"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Literature</w:t>
            </w:r>
          </w:p>
        </w:tc>
      </w:tr>
      <w:tr w:rsidR="00844365" w:rsidRPr="00DC582F" w14:paraId="7B59E0BF" w14:textId="77777777" w:rsidTr="006A21A1">
        <w:tc>
          <w:tcPr>
            <w:tcW w:w="1998" w:type="dxa"/>
            <w:vAlign w:val="center"/>
          </w:tcPr>
          <w:p w14:paraId="32EFECBE" w14:textId="77777777" w:rsidR="00844365" w:rsidRPr="00DC582F" w:rsidRDefault="00844365" w:rsidP="006A21A1">
            <w:pPr>
              <w:rPr>
                <w:rFonts w:ascii="Times New Roman" w:hAnsi="Times New Roman" w:cs="Times New Roman"/>
                <w:sz w:val="22"/>
                <w:szCs w:val="22"/>
              </w:rPr>
            </w:pPr>
            <w:r w:rsidRPr="00DC582F">
              <w:rPr>
                <w:rStyle w:val="katex-mathml"/>
                <w:rFonts w:ascii="Times New Roman" w:eastAsiaTheme="majorEastAsia" w:hAnsi="Times New Roman" w:cs="Times New Roman"/>
                <w:sz w:val="22"/>
                <w:szCs w:val="22"/>
              </w:rPr>
              <w:t>τc</w:t>
            </w:r>
          </w:p>
        </w:tc>
        <w:tc>
          <w:tcPr>
            <w:tcW w:w="1764" w:type="dxa"/>
            <w:vAlign w:val="center"/>
          </w:tcPr>
          <w:p w14:paraId="3959F2C4"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Treatment rate for infectious children</w:t>
            </w:r>
          </w:p>
        </w:tc>
        <w:tc>
          <w:tcPr>
            <w:tcW w:w="1764" w:type="dxa"/>
            <w:vAlign w:val="center"/>
          </w:tcPr>
          <w:p w14:paraId="4AC31674"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0.50</w:t>
            </w:r>
          </w:p>
        </w:tc>
        <w:tc>
          <w:tcPr>
            <w:tcW w:w="1764" w:type="dxa"/>
            <w:vAlign w:val="center"/>
          </w:tcPr>
          <w:p w14:paraId="39414465"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day</w:t>
            </w:r>
            <w:r w:rsidRPr="00DC582F">
              <w:rPr>
                <w:rStyle w:val="katex-mathml"/>
                <w:rFonts w:ascii="Times New Roman" w:eastAsiaTheme="majorEastAsia" w:hAnsi="Times New Roman" w:cs="Times New Roman"/>
                <w:sz w:val="22"/>
                <w:szCs w:val="22"/>
              </w:rPr>
              <w:t>−1</w:t>
            </w:r>
          </w:p>
        </w:tc>
        <w:tc>
          <w:tcPr>
            <w:tcW w:w="1764" w:type="dxa"/>
            <w:vAlign w:val="center"/>
          </w:tcPr>
          <w:p w14:paraId="17E9B1E2"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NMEP</w:t>
            </w:r>
          </w:p>
        </w:tc>
      </w:tr>
      <w:tr w:rsidR="00844365" w:rsidRPr="00DC582F" w14:paraId="23DD7455" w14:textId="77777777" w:rsidTr="006A21A1">
        <w:tc>
          <w:tcPr>
            <w:tcW w:w="1998" w:type="dxa"/>
            <w:vAlign w:val="center"/>
          </w:tcPr>
          <w:p w14:paraId="421001B0" w14:textId="77777777" w:rsidR="00844365" w:rsidRPr="00DC582F" w:rsidRDefault="00844365" w:rsidP="006A21A1">
            <w:pPr>
              <w:rPr>
                <w:rFonts w:ascii="Times New Roman" w:hAnsi="Times New Roman" w:cs="Times New Roman"/>
                <w:sz w:val="22"/>
                <w:szCs w:val="22"/>
              </w:rPr>
            </w:pPr>
            <w:r w:rsidRPr="00DC582F">
              <w:rPr>
                <w:rStyle w:val="katex-mathml"/>
                <w:rFonts w:ascii="Times New Roman" w:eastAsiaTheme="majorEastAsia" w:hAnsi="Times New Roman" w:cs="Times New Roman"/>
                <w:sz w:val="22"/>
                <w:szCs w:val="22"/>
              </w:rPr>
              <w:t>τa</w:t>
            </w:r>
          </w:p>
        </w:tc>
        <w:tc>
          <w:tcPr>
            <w:tcW w:w="1764" w:type="dxa"/>
            <w:vAlign w:val="center"/>
          </w:tcPr>
          <w:p w14:paraId="7B1D91FA"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Treatment rate for infectious adults</w:t>
            </w:r>
          </w:p>
        </w:tc>
        <w:tc>
          <w:tcPr>
            <w:tcW w:w="1764" w:type="dxa"/>
            <w:vAlign w:val="center"/>
          </w:tcPr>
          <w:p w14:paraId="38762A3E"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0.45</w:t>
            </w:r>
          </w:p>
        </w:tc>
        <w:tc>
          <w:tcPr>
            <w:tcW w:w="1764" w:type="dxa"/>
            <w:vAlign w:val="center"/>
          </w:tcPr>
          <w:p w14:paraId="283F6145"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day</w:t>
            </w:r>
            <w:r w:rsidRPr="00DC582F">
              <w:rPr>
                <w:rStyle w:val="katex-mathml"/>
                <w:rFonts w:ascii="Times New Roman" w:eastAsiaTheme="majorEastAsia" w:hAnsi="Times New Roman" w:cs="Times New Roman"/>
                <w:sz w:val="22"/>
                <w:szCs w:val="22"/>
              </w:rPr>
              <w:t>−1</w:t>
            </w:r>
          </w:p>
        </w:tc>
        <w:tc>
          <w:tcPr>
            <w:tcW w:w="1764" w:type="dxa"/>
            <w:vAlign w:val="center"/>
          </w:tcPr>
          <w:p w14:paraId="22835841"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NMEP</w:t>
            </w:r>
          </w:p>
        </w:tc>
      </w:tr>
      <w:tr w:rsidR="00844365" w:rsidRPr="00DC582F" w14:paraId="49A7F8FC" w14:textId="77777777" w:rsidTr="006A21A1">
        <w:tc>
          <w:tcPr>
            <w:tcW w:w="1998" w:type="dxa"/>
            <w:vAlign w:val="center"/>
          </w:tcPr>
          <w:p w14:paraId="01C495A2" w14:textId="77777777" w:rsidR="00844365" w:rsidRPr="00DC582F" w:rsidRDefault="00844365" w:rsidP="006A21A1">
            <w:pPr>
              <w:rPr>
                <w:rFonts w:ascii="Times New Roman" w:hAnsi="Times New Roman" w:cs="Times New Roman"/>
                <w:sz w:val="22"/>
                <w:szCs w:val="22"/>
              </w:rPr>
            </w:pPr>
            <w:r w:rsidRPr="00DC582F">
              <w:rPr>
                <w:rStyle w:val="katex-mathml"/>
                <w:rFonts w:ascii="Times New Roman" w:eastAsiaTheme="majorEastAsia" w:hAnsi="Times New Roman" w:cs="Times New Roman"/>
                <w:sz w:val="22"/>
                <w:szCs w:val="22"/>
              </w:rPr>
              <w:t>δc</w:t>
            </w:r>
          </w:p>
        </w:tc>
        <w:tc>
          <w:tcPr>
            <w:tcW w:w="1764" w:type="dxa"/>
            <w:vAlign w:val="center"/>
          </w:tcPr>
          <w:p w14:paraId="6DAD1688"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Disease-induced mortality rate for children</w:t>
            </w:r>
          </w:p>
        </w:tc>
        <w:tc>
          <w:tcPr>
            <w:tcW w:w="1764" w:type="dxa"/>
            <w:vAlign w:val="center"/>
          </w:tcPr>
          <w:p w14:paraId="24463F78"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0.001</w:t>
            </w:r>
          </w:p>
        </w:tc>
        <w:tc>
          <w:tcPr>
            <w:tcW w:w="1764" w:type="dxa"/>
            <w:vAlign w:val="center"/>
          </w:tcPr>
          <w:p w14:paraId="35FDA3E7"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day</w:t>
            </w:r>
            <w:r w:rsidRPr="00DC582F">
              <w:rPr>
                <w:rStyle w:val="katex-mathml"/>
                <w:rFonts w:ascii="Times New Roman" w:eastAsiaTheme="majorEastAsia" w:hAnsi="Times New Roman" w:cs="Times New Roman"/>
                <w:sz w:val="22"/>
                <w:szCs w:val="22"/>
              </w:rPr>
              <w:t>−1</w:t>
            </w:r>
          </w:p>
        </w:tc>
        <w:tc>
          <w:tcPr>
            <w:tcW w:w="1764" w:type="dxa"/>
            <w:vAlign w:val="center"/>
          </w:tcPr>
          <w:p w14:paraId="5E85AF6E"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Estimated</w:t>
            </w:r>
          </w:p>
        </w:tc>
      </w:tr>
      <w:tr w:rsidR="00844365" w:rsidRPr="00DC582F" w14:paraId="726275A0" w14:textId="77777777" w:rsidTr="006A21A1">
        <w:tc>
          <w:tcPr>
            <w:tcW w:w="1998" w:type="dxa"/>
            <w:vAlign w:val="center"/>
          </w:tcPr>
          <w:p w14:paraId="4C07B636" w14:textId="77777777" w:rsidR="00844365" w:rsidRPr="00DC582F" w:rsidRDefault="00844365" w:rsidP="006A21A1">
            <w:pPr>
              <w:rPr>
                <w:rFonts w:ascii="Times New Roman" w:hAnsi="Times New Roman" w:cs="Times New Roman"/>
                <w:sz w:val="22"/>
                <w:szCs w:val="22"/>
              </w:rPr>
            </w:pPr>
            <w:r w:rsidRPr="00DC582F">
              <w:rPr>
                <w:rStyle w:val="katex-mathml"/>
                <w:rFonts w:ascii="Times New Roman" w:eastAsiaTheme="majorEastAsia" w:hAnsi="Times New Roman" w:cs="Times New Roman"/>
                <w:sz w:val="22"/>
                <w:szCs w:val="22"/>
              </w:rPr>
              <w:t>δa</w:t>
            </w:r>
          </w:p>
        </w:tc>
        <w:tc>
          <w:tcPr>
            <w:tcW w:w="1764" w:type="dxa"/>
            <w:vAlign w:val="center"/>
          </w:tcPr>
          <w:p w14:paraId="5EE60736"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Disease-induced mortality rate for adults</w:t>
            </w:r>
          </w:p>
        </w:tc>
        <w:tc>
          <w:tcPr>
            <w:tcW w:w="1764" w:type="dxa"/>
            <w:vAlign w:val="center"/>
          </w:tcPr>
          <w:p w14:paraId="39AF9B67"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0.0005</w:t>
            </w:r>
          </w:p>
        </w:tc>
        <w:tc>
          <w:tcPr>
            <w:tcW w:w="1764" w:type="dxa"/>
            <w:vAlign w:val="center"/>
          </w:tcPr>
          <w:p w14:paraId="20E990C4"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day</w:t>
            </w:r>
            <w:r w:rsidRPr="00DC582F">
              <w:rPr>
                <w:rStyle w:val="katex-mathml"/>
                <w:rFonts w:ascii="Times New Roman" w:eastAsiaTheme="majorEastAsia" w:hAnsi="Times New Roman" w:cs="Times New Roman"/>
                <w:sz w:val="22"/>
                <w:szCs w:val="22"/>
              </w:rPr>
              <w:t>−1</w:t>
            </w:r>
          </w:p>
        </w:tc>
        <w:tc>
          <w:tcPr>
            <w:tcW w:w="1764" w:type="dxa"/>
            <w:vAlign w:val="center"/>
          </w:tcPr>
          <w:p w14:paraId="3B637A95"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Estimated</w:t>
            </w:r>
          </w:p>
        </w:tc>
      </w:tr>
      <w:tr w:rsidR="00844365" w:rsidRPr="00DC582F" w14:paraId="22137227" w14:textId="77777777" w:rsidTr="006A21A1">
        <w:tc>
          <w:tcPr>
            <w:tcW w:w="1998" w:type="dxa"/>
            <w:vAlign w:val="center"/>
          </w:tcPr>
          <w:p w14:paraId="4647709D" w14:textId="77777777" w:rsidR="00844365" w:rsidRPr="00DC582F" w:rsidRDefault="00844365" w:rsidP="006A21A1">
            <w:pPr>
              <w:rPr>
                <w:rFonts w:ascii="Times New Roman" w:hAnsi="Times New Roman" w:cs="Times New Roman"/>
                <w:sz w:val="22"/>
                <w:szCs w:val="22"/>
              </w:rPr>
            </w:pPr>
            <w:r w:rsidRPr="00DC582F">
              <w:rPr>
                <w:rStyle w:val="katex-mathml"/>
                <w:rFonts w:ascii="Times New Roman" w:eastAsiaTheme="majorEastAsia" w:hAnsi="Times New Roman" w:cs="Times New Roman"/>
                <w:sz w:val="22"/>
                <w:szCs w:val="22"/>
              </w:rPr>
              <w:t>ρ</w:t>
            </w:r>
          </w:p>
        </w:tc>
        <w:tc>
          <w:tcPr>
            <w:tcW w:w="1764" w:type="dxa"/>
            <w:vAlign w:val="center"/>
          </w:tcPr>
          <w:p w14:paraId="3DB809AE"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Reduction in mosquito biting due to ITNs</w:t>
            </w:r>
          </w:p>
        </w:tc>
        <w:tc>
          <w:tcPr>
            <w:tcW w:w="1764" w:type="dxa"/>
            <w:vAlign w:val="center"/>
          </w:tcPr>
          <w:p w14:paraId="58583F76"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0.50</w:t>
            </w:r>
          </w:p>
        </w:tc>
        <w:tc>
          <w:tcPr>
            <w:tcW w:w="1764" w:type="dxa"/>
            <w:vAlign w:val="center"/>
          </w:tcPr>
          <w:p w14:paraId="4C87773F"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proportion</w:t>
            </w:r>
          </w:p>
        </w:tc>
        <w:tc>
          <w:tcPr>
            <w:tcW w:w="1764" w:type="dxa"/>
            <w:vAlign w:val="center"/>
          </w:tcPr>
          <w:p w14:paraId="03F67C83"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WHO</w:t>
            </w:r>
          </w:p>
        </w:tc>
      </w:tr>
      <w:tr w:rsidR="00844365" w:rsidRPr="00DC582F" w14:paraId="56E5761F" w14:textId="77777777" w:rsidTr="006A21A1">
        <w:tc>
          <w:tcPr>
            <w:tcW w:w="1998" w:type="dxa"/>
            <w:vAlign w:val="center"/>
          </w:tcPr>
          <w:p w14:paraId="5F0EFD5C" w14:textId="77777777" w:rsidR="00844365" w:rsidRPr="00DC582F" w:rsidRDefault="00844365" w:rsidP="006A21A1">
            <w:pPr>
              <w:rPr>
                <w:rFonts w:ascii="Times New Roman" w:hAnsi="Times New Roman" w:cs="Times New Roman"/>
                <w:sz w:val="22"/>
                <w:szCs w:val="22"/>
              </w:rPr>
            </w:pPr>
            <w:r w:rsidRPr="00DC582F">
              <w:rPr>
                <w:rStyle w:val="katex-mathml"/>
                <w:rFonts w:ascii="Times New Roman" w:eastAsiaTheme="majorEastAsia" w:hAnsi="Times New Roman" w:cs="Times New Roman"/>
                <w:sz w:val="22"/>
                <w:szCs w:val="22"/>
              </w:rPr>
              <w:t>η</w:t>
            </w:r>
          </w:p>
        </w:tc>
        <w:tc>
          <w:tcPr>
            <w:tcW w:w="1764" w:type="dxa"/>
            <w:vAlign w:val="center"/>
          </w:tcPr>
          <w:p w14:paraId="5D1A9F4B"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Increase in mosquito mortality due to IRS</w:t>
            </w:r>
          </w:p>
        </w:tc>
        <w:tc>
          <w:tcPr>
            <w:tcW w:w="1764" w:type="dxa"/>
            <w:vAlign w:val="center"/>
          </w:tcPr>
          <w:p w14:paraId="615DD729"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0.30</w:t>
            </w:r>
          </w:p>
        </w:tc>
        <w:tc>
          <w:tcPr>
            <w:tcW w:w="1764" w:type="dxa"/>
            <w:vAlign w:val="center"/>
          </w:tcPr>
          <w:p w14:paraId="681434B5"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proportion</w:t>
            </w:r>
          </w:p>
        </w:tc>
        <w:tc>
          <w:tcPr>
            <w:tcW w:w="1764" w:type="dxa"/>
            <w:vAlign w:val="center"/>
          </w:tcPr>
          <w:p w14:paraId="6A36E469" w14:textId="77777777" w:rsidR="00844365" w:rsidRPr="00DC582F" w:rsidRDefault="00844365" w:rsidP="006A21A1">
            <w:pPr>
              <w:rPr>
                <w:rFonts w:ascii="Times New Roman" w:hAnsi="Times New Roman" w:cs="Times New Roman"/>
                <w:sz w:val="22"/>
                <w:szCs w:val="22"/>
              </w:rPr>
            </w:pPr>
            <w:r w:rsidRPr="00DC582F">
              <w:rPr>
                <w:rFonts w:ascii="Times New Roman" w:hAnsi="Times New Roman" w:cs="Times New Roman"/>
                <w:sz w:val="22"/>
                <w:szCs w:val="22"/>
              </w:rPr>
              <w:t>Literature</w:t>
            </w:r>
          </w:p>
        </w:tc>
      </w:tr>
    </w:tbl>
    <w:p w14:paraId="3BF16545" w14:textId="77777777" w:rsidR="00844365" w:rsidRPr="00DC582F" w:rsidRDefault="00844365" w:rsidP="0033506D">
      <w:pPr>
        <w:pStyle w:val="NormalWeb"/>
        <w:rPr>
          <w:color w:val="000000" w:themeColor="text1"/>
          <w:sz w:val="22"/>
          <w:szCs w:val="22"/>
        </w:rPr>
      </w:pPr>
    </w:p>
    <w:p w14:paraId="36C6D206" w14:textId="77777777" w:rsidR="0033506D" w:rsidRPr="00DC582F" w:rsidRDefault="0033506D" w:rsidP="0033506D">
      <w:pPr>
        <w:pStyle w:val="NormalWeb"/>
        <w:rPr>
          <w:color w:val="000000" w:themeColor="text1"/>
          <w:sz w:val="22"/>
          <w:szCs w:val="22"/>
        </w:rPr>
      </w:pPr>
      <w:r w:rsidRPr="00DC582F">
        <w:rPr>
          <w:rStyle w:val="Strong"/>
          <w:b w:val="0"/>
          <w:bCs w:val="0"/>
          <w:color w:val="000000" w:themeColor="text1"/>
          <w:sz w:val="22"/>
          <w:szCs w:val="22"/>
        </w:rPr>
        <w:t>Table 1:</w:t>
      </w:r>
      <w:r w:rsidRPr="00DC582F">
        <w:rPr>
          <w:color w:val="000000" w:themeColor="text1"/>
          <w:sz w:val="22"/>
          <w:szCs w:val="22"/>
        </w:rPr>
        <w:t xml:space="preserve"> Model parameters, descriptions, and values.</w:t>
      </w:r>
    </w:p>
    <w:p w14:paraId="0473EE60" w14:textId="77777777" w:rsidR="0033506D" w:rsidRPr="00DC582F" w:rsidRDefault="0033506D" w:rsidP="0033506D">
      <w:pPr>
        <w:rPr>
          <w:rFonts w:ascii="Times New Roman" w:hAnsi="Times New Roman" w:cs="Times New Roman"/>
          <w:color w:val="000000" w:themeColor="text1"/>
          <w:sz w:val="22"/>
          <w:szCs w:val="22"/>
        </w:rPr>
      </w:pPr>
    </w:p>
    <w:p w14:paraId="6E8C8335" w14:textId="77777777" w:rsidR="0033506D" w:rsidRPr="00DC582F" w:rsidRDefault="0033506D" w:rsidP="0033506D">
      <w:pPr>
        <w:pStyle w:val="Heading3"/>
        <w:rPr>
          <w:rFonts w:ascii="Times New Roman" w:hAnsi="Times New Roman" w:cs="Times New Roman"/>
          <w:color w:val="000000" w:themeColor="text1"/>
          <w:sz w:val="22"/>
          <w:szCs w:val="22"/>
        </w:rPr>
      </w:pPr>
      <w:r w:rsidRPr="00DC582F">
        <w:rPr>
          <w:rFonts w:ascii="Times New Roman" w:hAnsi="Times New Roman" w:cs="Times New Roman"/>
          <w:color w:val="000000" w:themeColor="text1"/>
          <w:sz w:val="22"/>
          <w:szCs w:val="22"/>
        </w:rPr>
        <w:t>3.6 ARIMA Time-Series Model</w:t>
      </w:r>
    </w:p>
    <w:p w14:paraId="1F927A26" w14:textId="77777777" w:rsidR="0033506D" w:rsidRPr="00DC582F" w:rsidRDefault="0033506D" w:rsidP="0033506D">
      <w:pPr>
        <w:pStyle w:val="NormalWeb"/>
        <w:rPr>
          <w:color w:val="000000" w:themeColor="text1"/>
          <w:sz w:val="22"/>
          <w:szCs w:val="22"/>
        </w:rPr>
      </w:pPr>
      <w:r w:rsidRPr="00DC582F">
        <w:rPr>
          <w:color w:val="000000" w:themeColor="text1"/>
          <w:sz w:val="22"/>
          <w:szCs w:val="22"/>
        </w:rPr>
        <w:t>To capture temporal patterns in malaria incidence, an autoregressive integrated moving average (ARIMA) model was developed using reported incidence data. The ARIMA((p,d,q)) model structure was determined through stationarity testing and model selection criteria such as the Akaike Information Criterion (AIC).</w:t>
      </w:r>
    </w:p>
    <w:p w14:paraId="5164BAE0" w14:textId="77777777" w:rsidR="0033506D" w:rsidRPr="00DC582F" w:rsidRDefault="0033506D" w:rsidP="0033506D">
      <w:pPr>
        <w:pStyle w:val="NormalWeb"/>
        <w:rPr>
          <w:color w:val="000000" w:themeColor="text1"/>
          <w:sz w:val="22"/>
          <w:szCs w:val="22"/>
        </w:rPr>
      </w:pPr>
      <w:r w:rsidRPr="00DC582F">
        <w:rPr>
          <w:color w:val="000000" w:themeColor="text1"/>
          <w:sz w:val="22"/>
          <w:szCs w:val="22"/>
        </w:rPr>
        <w:t>Model adequacy was assessed using residual diagnostics, and the fitted model was used to generate forecasts of malaria incidence.</w:t>
      </w:r>
    </w:p>
    <w:p w14:paraId="2062109F" w14:textId="77777777" w:rsidR="0033506D" w:rsidRPr="00DC582F" w:rsidRDefault="0033506D" w:rsidP="0033506D">
      <w:pPr>
        <w:rPr>
          <w:rFonts w:ascii="Times New Roman" w:hAnsi="Times New Roman" w:cs="Times New Roman"/>
          <w:color w:val="000000" w:themeColor="text1"/>
          <w:sz w:val="22"/>
          <w:szCs w:val="22"/>
        </w:rPr>
      </w:pPr>
    </w:p>
    <w:p w14:paraId="6D247728" w14:textId="77777777" w:rsidR="0033506D" w:rsidRPr="00DC582F" w:rsidRDefault="0033506D" w:rsidP="0033506D">
      <w:pPr>
        <w:pStyle w:val="Heading3"/>
        <w:rPr>
          <w:rFonts w:ascii="Times New Roman" w:hAnsi="Times New Roman" w:cs="Times New Roman"/>
          <w:color w:val="000000" w:themeColor="text1"/>
          <w:sz w:val="22"/>
          <w:szCs w:val="22"/>
        </w:rPr>
      </w:pPr>
      <w:r w:rsidRPr="00DC582F">
        <w:rPr>
          <w:rFonts w:ascii="Times New Roman" w:hAnsi="Times New Roman" w:cs="Times New Roman"/>
          <w:color w:val="000000" w:themeColor="text1"/>
          <w:sz w:val="22"/>
          <w:szCs w:val="22"/>
        </w:rPr>
        <w:lastRenderedPageBreak/>
        <w:t>3.7 Hybrid SEIR</w:t>
      </w:r>
      <w:r w:rsidR="009C5967">
        <w:rPr>
          <w:rFonts w:ascii="Times New Roman" w:hAnsi="Times New Roman" w:cs="Times New Roman"/>
          <w:color w:val="000000" w:themeColor="text1"/>
          <w:sz w:val="22"/>
          <w:szCs w:val="22"/>
        </w:rPr>
        <w:t>-</w:t>
      </w:r>
      <w:r w:rsidRPr="00DC582F">
        <w:rPr>
          <w:rFonts w:ascii="Times New Roman" w:hAnsi="Times New Roman" w:cs="Times New Roman"/>
          <w:color w:val="000000" w:themeColor="text1"/>
          <w:sz w:val="22"/>
          <w:szCs w:val="22"/>
        </w:rPr>
        <w:t>SEI</w:t>
      </w:r>
      <w:r w:rsidR="009C5967">
        <w:rPr>
          <w:rFonts w:ascii="Times New Roman" w:hAnsi="Times New Roman" w:cs="Times New Roman"/>
          <w:color w:val="000000" w:themeColor="text1"/>
          <w:sz w:val="22"/>
          <w:szCs w:val="22"/>
        </w:rPr>
        <w:t>-</w:t>
      </w:r>
      <w:r w:rsidRPr="00DC582F">
        <w:rPr>
          <w:rFonts w:ascii="Times New Roman" w:hAnsi="Times New Roman" w:cs="Times New Roman"/>
          <w:color w:val="000000" w:themeColor="text1"/>
          <w:sz w:val="22"/>
          <w:szCs w:val="22"/>
        </w:rPr>
        <w:t>ARIMA Framework</w:t>
      </w:r>
    </w:p>
    <w:p w14:paraId="2AFC19BE" w14:textId="77777777" w:rsidR="0033506D" w:rsidRPr="00DC582F" w:rsidRDefault="0033506D" w:rsidP="0033506D">
      <w:pPr>
        <w:pStyle w:val="NormalWeb"/>
        <w:rPr>
          <w:color w:val="000000" w:themeColor="text1"/>
          <w:sz w:val="22"/>
          <w:szCs w:val="22"/>
        </w:rPr>
      </w:pPr>
      <w:r w:rsidRPr="00DC582F">
        <w:rPr>
          <w:color w:val="000000" w:themeColor="text1"/>
          <w:sz w:val="22"/>
          <w:szCs w:val="22"/>
        </w:rPr>
        <w:t>A hybrid modeling framework was developed by integrating the mechanistic SEIR–SEI model with the ARIMA time-series model.</w:t>
      </w:r>
    </w:p>
    <w:p w14:paraId="24744A31" w14:textId="77777777" w:rsidR="0033506D" w:rsidRPr="00DC582F" w:rsidRDefault="0033506D" w:rsidP="0033506D">
      <w:pPr>
        <w:pStyle w:val="NormalWeb"/>
        <w:rPr>
          <w:color w:val="000000" w:themeColor="text1"/>
          <w:sz w:val="22"/>
          <w:szCs w:val="22"/>
        </w:rPr>
      </w:pPr>
      <w:r w:rsidRPr="00DC582F">
        <w:rPr>
          <w:color w:val="000000" w:themeColor="text1"/>
          <w:sz w:val="22"/>
          <w:szCs w:val="22"/>
        </w:rPr>
        <w:t>In this framework:</w:t>
      </w:r>
    </w:p>
    <w:p w14:paraId="1C4F0E2C" w14:textId="77777777" w:rsidR="0033506D" w:rsidRPr="00DC582F" w:rsidRDefault="0033506D" w:rsidP="0033506D">
      <w:pPr>
        <w:pStyle w:val="NormalWeb"/>
        <w:numPr>
          <w:ilvl w:val="0"/>
          <w:numId w:val="4"/>
        </w:numPr>
        <w:rPr>
          <w:color w:val="000000" w:themeColor="text1"/>
          <w:sz w:val="22"/>
          <w:szCs w:val="22"/>
        </w:rPr>
      </w:pPr>
      <w:r w:rsidRPr="00DC582F">
        <w:rPr>
          <w:color w:val="000000" w:themeColor="text1"/>
          <w:sz w:val="22"/>
          <w:szCs w:val="22"/>
        </w:rPr>
        <w:t>The SEIR–SEI model captures transmission dynamics and intervention effects</w:t>
      </w:r>
    </w:p>
    <w:p w14:paraId="1FDF75B1" w14:textId="77777777" w:rsidR="0033506D" w:rsidRPr="00DC582F" w:rsidRDefault="0033506D" w:rsidP="0033506D">
      <w:pPr>
        <w:pStyle w:val="NormalWeb"/>
        <w:numPr>
          <w:ilvl w:val="0"/>
          <w:numId w:val="4"/>
        </w:numPr>
        <w:rPr>
          <w:color w:val="000000" w:themeColor="text1"/>
          <w:sz w:val="22"/>
          <w:szCs w:val="22"/>
        </w:rPr>
      </w:pPr>
      <w:r w:rsidRPr="00DC582F">
        <w:rPr>
          <w:color w:val="000000" w:themeColor="text1"/>
          <w:sz w:val="22"/>
          <w:szCs w:val="22"/>
        </w:rPr>
        <w:t>The ARIMA model captures observed temporal trends and provides forecasts</w:t>
      </w:r>
    </w:p>
    <w:p w14:paraId="5AB2DA9F" w14:textId="77777777" w:rsidR="0033506D" w:rsidRPr="00DC582F" w:rsidRDefault="0033506D" w:rsidP="0033506D">
      <w:pPr>
        <w:pStyle w:val="NormalWeb"/>
        <w:rPr>
          <w:color w:val="000000" w:themeColor="text1"/>
          <w:sz w:val="22"/>
          <w:szCs w:val="22"/>
        </w:rPr>
      </w:pPr>
      <w:r w:rsidRPr="00DC582F">
        <w:rPr>
          <w:color w:val="000000" w:themeColor="text1"/>
          <w:sz w:val="22"/>
          <w:szCs w:val="22"/>
        </w:rPr>
        <w:t>The integration allows for comparison and validation of simulation outputs against observed data, thereby improving predictive accuracy and enabling robust evaluation of intervention strategies.</w:t>
      </w:r>
    </w:p>
    <w:p w14:paraId="1A79DF01" w14:textId="77777777" w:rsidR="0033506D" w:rsidRPr="00DC582F" w:rsidRDefault="0033506D" w:rsidP="0033506D">
      <w:pPr>
        <w:rPr>
          <w:rFonts w:ascii="Times New Roman" w:hAnsi="Times New Roman" w:cs="Times New Roman"/>
          <w:color w:val="000000" w:themeColor="text1"/>
          <w:sz w:val="22"/>
          <w:szCs w:val="22"/>
        </w:rPr>
      </w:pPr>
    </w:p>
    <w:p w14:paraId="506CE9A7" w14:textId="77777777" w:rsidR="0033506D" w:rsidRPr="00DC582F" w:rsidRDefault="0033506D" w:rsidP="0033506D">
      <w:pPr>
        <w:pStyle w:val="Heading3"/>
        <w:rPr>
          <w:rFonts w:ascii="Times New Roman" w:hAnsi="Times New Roman" w:cs="Times New Roman"/>
          <w:color w:val="000000" w:themeColor="text1"/>
          <w:sz w:val="22"/>
          <w:szCs w:val="22"/>
        </w:rPr>
      </w:pPr>
      <w:r w:rsidRPr="00DC582F">
        <w:rPr>
          <w:rFonts w:ascii="Times New Roman" w:hAnsi="Times New Roman" w:cs="Times New Roman"/>
          <w:color w:val="000000" w:themeColor="text1"/>
          <w:sz w:val="22"/>
          <w:szCs w:val="22"/>
        </w:rPr>
        <w:t>3.8 Intervention Scenarios</w:t>
      </w:r>
    </w:p>
    <w:p w14:paraId="7D4C7FA9" w14:textId="77777777" w:rsidR="0033506D" w:rsidRPr="00DC582F" w:rsidRDefault="0033506D" w:rsidP="0033506D">
      <w:pPr>
        <w:pStyle w:val="NormalWeb"/>
        <w:rPr>
          <w:color w:val="000000" w:themeColor="text1"/>
          <w:sz w:val="22"/>
          <w:szCs w:val="22"/>
        </w:rPr>
      </w:pPr>
      <w:r w:rsidRPr="00DC582F">
        <w:rPr>
          <w:color w:val="000000" w:themeColor="text1"/>
          <w:sz w:val="22"/>
          <w:szCs w:val="22"/>
        </w:rPr>
        <w:t>To evaluate malaria control strategies, multiple intervention scenarios were simulated:</w:t>
      </w:r>
    </w:p>
    <w:p w14:paraId="7ACA67FC" w14:textId="77777777" w:rsidR="0033506D" w:rsidRPr="00DC582F" w:rsidRDefault="0033506D" w:rsidP="0033506D">
      <w:pPr>
        <w:pStyle w:val="NormalWeb"/>
        <w:numPr>
          <w:ilvl w:val="0"/>
          <w:numId w:val="5"/>
        </w:numPr>
        <w:rPr>
          <w:color w:val="000000" w:themeColor="text1"/>
          <w:sz w:val="22"/>
          <w:szCs w:val="22"/>
        </w:rPr>
      </w:pPr>
      <w:r w:rsidRPr="00DC582F">
        <w:rPr>
          <w:color w:val="000000" w:themeColor="text1"/>
          <w:sz w:val="22"/>
          <w:szCs w:val="22"/>
        </w:rPr>
        <w:t>Baseline (ACT only)</w:t>
      </w:r>
    </w:p>
    <w:p w14:paraId="42041679" w14:textId="77777777" w:rsidR="0033506D" w:rsidRPr="00DC582F" w:rsidRDefault="0033506D" w:rsidP="0033506D">
      <w:pPr>
        <w:pStyle w:val="NormalWeb"/>
        <w:numPr>
          <w:ilvl w:val="0"/>
          <w:numId w:val="5"/>
        </w:numPr>
        <w:rPr>
          <w:color w:val="000000" w:themeColor="text1"/>
          <w:sz w:val="22"/>
          <w:szCs w:val="22"/>
        </w:rPr>
      </w:pPr>
      <w:r w:rsidRPr="00DC582F">
        <w:rPr>
          <w:color w:val="000000" w:themeColor="text1"/>
          <w:sz w:val="22"/>
          <w:szCs w:val="22"/>
        </w:rPr>
        <w:t>ITNs (reduced biting rate)</w:t>
      </w:r>
    </w:p>
    <w:p w14:paraId="31DEF766" w14:textId="77777777" w:rsidR="0033506D" w:rsidRPr="00DC582F" w:rsidRDefault="0033506D" w:rsidP="0033506D">
      <w:pPr>
        <w:pStyle w:val="NormalWeb"/>
        <w:numPr>
          <w:ilvl w:val="0"/>
          <w:numId w:val="5"/>
        </w:numPr>
        <w:rPr>
          <w:color w:val="000000" w:themeColor="text1"/>
          <w:sz w:val="22"/>
          <w:szCs w:val="22"/>
        </w:rPr>
      </w:pPr>
      <w:r w:rsidRPr="00DC582F">
        <w:rPr>
          <w:color w:val="000000" w:themeColor="text1"/>
          <w:sz w:val="22"/>
          <w:szCs w:val="22"/>
        </w:rPr>
        <w:t>IRS (increased mosquito mortality)</w:t>
      </w:r>
    </w:p>
    <w:p w14:paraId="51C5DCEB" w14:textId="77777777" w:rsidR="0033506D" w:rsidRPr="00DC582F" w:rsidRDefault="0033506D" w:rsidP="0033506D">
      <w:pPr>
        <w:pStyle w:val="NormalWeb"/>
        <w:numPr>
          <w:ilvl w:val="0"/>
          <w:numId w:val="5"/>
        </w:numPr>
        <w:rPr>
          <w:color w:val="000000" w:themeColor="text1"/>
          <w:sz w:val="22"/>
          <w:szCs w:val="22"/>
        </w:rPr>
      </w:pPr>
      <w:r w:rsidRPr="00DC582F">
        <w:rPr>
          <w:color w:val="000000" w:themeColor="text1"/>
          <w:sz w:val="22"/>
          <w:szCs w:val="22"/>
        </w:rPr>
        <w:t>SMC (child protection)</w:t>
      </w:r>
    </w:p>
    <w:p w14:paraId="2EB90D8C" w14:textId="77777777" w:rsidR="0033506D" w:rsidRPr="00DC582F" w:rsidRDefault="0033506D" w:rsidP="0033506D">
      <w:pPr>
        <w:pStyle w:val="NormalWeb"/>
        <w:numPr>
          <w:ilvl w:val="0"/>
          <w:numId w:val="5"/>
        </w:numPr>
        <w:rPr>
          <w:color w:val="000000" w:themeColor="text1"/>
          <w:sz w:val="22"/>
          <w:szCs w:val="22"/>
        </w:rPr>
      </w:pPr>
      <w:r w:rsidRPr="00DC582F">
        <w:rPr>
          <w:color w:val="000000" w:themeColor="text1"/>
          <w:sz w:val="22"/>
          <w:szCs w:val="22"/>
        </w:rPr>
        <w:t>IPTp (pregnant women protection)</w:t>
      </w:r>
    </w:p>
    <w:p w14:paraId="0C497619" w14:textId="77777777" w:rsidR="0033506D" w:rsidRPr="00DC582F" w:rsidRDefault="0033506D" w:rsidP="0033506D">
      <w:pPr>
        <w:pStyle w:val="NormalWeb"/>
        <w:numPr>
          <w:ilvl w:val="0"/>
          <w:numId w:val="5"/>
        </w:numPr>
        <w:rPr>
          <w:color w:val="000000" w:themeColor="text1"/>
          <w:sz w:val="22"/>
          <w:szCs w:val="22"/>
        </w:rPr>
      </w:pPr>
      <w:r w:rsidRPr="00DC582F">
        <w:rPr>
          <w:color w:val="000000" w:themeColor="text1"/>
          <w:sz w:val="22"/>
          <w:szCs w:val="22"/>
        </w:rPr>
        <w:t>ACT (increased recovery)</w:t>
      </w:r>
    </w:p>
    <w:p w14:paraId="7944666F" w14:textId="77777777" w:rsidR="0033506D" w:rsidRPr="00DC582F" w:rsidRDefault="0033506D" w:rsidP="0033506D">
      <w:pPr>
        <w:pStyle w:val="NormalWeb"/>
        <w:numPr>
          <w:ilvl w:val="0"/>
          <w:numId w:val="5"/>
        </w:numPr>
        <w:rPr>
          <w:color w:val="000000" w:themeColor="text1"/>
          <w:sz w:val="22"/>
          <w:szCs w:val="22"/>
        </w:rPr>
      </w:pPr>
      <w:r w:rsidRPr="00DC582F">
        <w:rPr>
          <w:color w:val="000000" w:themeColor="text1"/>
          <w:sz w:val="22"/>
          <w:szCs w:val="22"/>
        </w:rPr>
        <w:t>Combined intervention strategy</w:t>
      </w:r>
    </w:p>
    <w:p w14:paraId="501AA9DB" w14:textId="77777777" w:rsidR="0033506D" w:rsidRPr="00DC582F" w:rsidRDefault="0033506D" w:rsidP="0033506D">
      <w:pPr>
        <w:rPr>
          <w:rFonts w:ascii="Times New Roman" w:hAnsi="Times New Roman" w:cs="Times New Roman"/>
          <w:color w:val="000000" w:themeColor="text1"/>
          <w:sz w:val="22"/>
          <w:szCs w:val="22"/>
        </w:rPr>
      </w:pPr>
    </w:p>
    <w:p w14:paraId="29F32860" w14:textId="77777777" w:rsidR="0033506D" w:rsidRPr="00DC582F" w:rsidRDefault="0033506D" w:rsidP="0033506D">
      <w:pPr>
        <w:pStyle w:val="Heading3"/>
        <w:rPr>
          <w:rFonts w:ascii="Times New Roman" w:hAnsi="Times New Roman" w:cs="Times New Roman"/>
          <w:color w:val="000000" w:themeColor="text1"/>
          <w:sz w:val="22"/>
          <w:szCs w:val="22"/>
        </w:rPr>
      </w:pPr>
      <w:r w:rsidRPr="00DC582F">
        <w:rPr>
          <w:rFonts w:ascii="Times New Roman" w:hAnsi="Times New Roman" w:cs="Times New Roman"/>
          <w:color w:val="000000" w:themeColor="text1"/>
          <w:sz w:val="22"/>
          <w:szCs w:val="22"/>
        </w:rPr>
        <w:t>3.9 Outcome Measures</w:t>
      </w:r>
    </w:p>
    <w:p w14:paraId="7060C157" w14:textId="77777777" w:rsidR="0033506D" w:rsidRPr="00DC582F" w:rsidRDefault="0033506D" w:rsidP="0033506D">
      <w:pPr>
        <w:pStyle w:val="NormalWeb"/>
        <w:rPr>
          <w:color w:val="000000" w:themeColor="text1"/>
          <w:sz w:val="22"/>
          <w:szCs w:val="22"/>
        </w:rPr>
      </w:pPr>
      <w:r w:rsidRPr="00DC582F">
        <w:rPr>
          <w:color w:val="000000" w:themeColor="text1"/>
          <w:sz w:val="22"/>
          <w:szCs w:val="22"/>
        </w:rPr>
        <w:t>The primary outcomes assessed include:</w:t>
      </w:r>
    </w:p>
    <w:p w14:paraId="4AE617F9" w14:textId="77777777" w:rsidR="0033506D" w:rsidRPr="00DC582F" w:rsidRDefault="0033506D" w:rsidP="0033506D">
      <w:pPr>
        <w:pStyle w:val="NormalWeb"/>
        <w:numPr>
          <w:ilvl w:val="0"/>
          <w:numId w:val="6"/>
        </w:numPr>
        <w:rPr>
          <w:color w:val="000000" w:themeColor="text1"/>
          <w:sz w:val="22"/>
          <w:szCs w:val="22"/>
        </w:rPr>
      </w:pPr>
      <w:r w:rsidRPr="00DC582F">
        <w:rPr>
          <w:color w:val="000000" w:themeColor="text1"/>
          <w:sz w:val="22"/>
          <w:szCs w:val="22"/>
        </w:rPr>
        <w:t>Basic reproduction number (R0)</w:t>
      </w:r>
    </w:p>
    <w:p w14:paraId="78327E8D" w14:textId="77777777" w:rsidR="0033506D" w:rsidRPr="00DC582F" w:rsidRDefault="0033506D" w:rsidP="0033506D">
      <w:pPr>
        <w:pStyle w:val="NormalWeb"/>
        <w:numPr>
          <w:ilvl w:val="0"/>
          <w:numId w:val="6"/>
        </w:numPr>
        <w:rPr>
          <w:color w:val="000000" w:themeColor="text1"/>
          <w:sz w:val="22"/>
          <w:szCs w:val="22"/>
        </w:rPr>
      </w:pPr>
      <w:r w:rsidRPr="00DC582F">
        <w:rPr>
          <w:color w:val="000000" w:themeColor="text1"/>
          <w:sz w:val="22"/>
          <w:szCs w:val="22"/>
        </w:rPr>
        <w:t>Infection prevalence</w:t>
      </w:r>
    </w:p>
    <w:p w14:paraId="442DD1EC" w14:textId="77777777" w:rsidR="0033506D" w:rsidRPr="00DC582F" w:rsidRDefault="0033506D" w:rsidP="0033506D">
      <w:pPr>
        <w:pStyle w:val="NormalWeb"/>
        <w:numPr>
          <w:ilvl w:val="0"/>
          <w:numId w:val="6"/>
        </w:numPr>
        <w:rPr>
          <w:color w:val="000000" w:themeColor="text1"/>
          <w:sz w:val="22"/>
          <w:szCs w:val="22"/>
        </w:rPr>
      </w:pPr>
      <w:r w:rsidRPr="00DC582F">
        <w:rPr>
          <w:color w:val="000000" w:themeColor="text1"/>
          <w:sz w:val="22"/>
          <w:szCs w:val="22"/>
        </w:rPr>
        <w:t>Temporal incidence trends</w:t>
      </w:r>
    </w:p>
    <w:p w14:paraId="2CDB1763" w14:textId="77777777" w:rsidR="0033506D" w:rsidRPr="00DC582F" w:rsidRDefault="0033506D" w:rsidP="0033506D">
      <w:pPr>
        <w:pStyle w:val="NormalWeb"/>
        <w:numPr>
          <w:ilvl w:val="0"/>
          <w:numId w:val="6"/>
        </w:numPr>
        <w:rPr>
          <w:color w:val="000000" w:themeColor="text1"/>
          <w:sz w:val="22"/>
          <w:szCs w:val="22"/>
        </w:rPr>
      </w:pPr>
      <w:r w:rsidRPr="00DC582F">
        <w:rPr>
          <w:color w:val="000000" w:themeColor="text1"/>
          <w:sz w:val="22"/>
          <w:szCs w:val="22"/>
        </w:rPr>
        <w:t>Elimination thresholds under different intervention scenarios</w:t>
      </w:r>
    </w:p>
    <w:p w14:paraId="6C1D03D5" w14:textId="77777777" w:rsidR="0033506D" w:rsidRPr="00DC582F" w:rsidRDefault="0033506D" w:rsidP="0033506D">
      <w:pPr>
        <w:rPr>
          <w:rFonts w:ascii="Times New Roman" w:hAnsi="Times New Roman" w:cs="Times New Roman"/>
          <w:color w:val="000000" w:themeColor="text1"/>
          <w:sz w:val="22"/>
          <w:szCs w:val="22"/>
        </w:rPr>
      </w:pPr>
    </w:p>
    <w:p w14:paraId="3028FE89" w14:textId="77777777" w:rsidR="0033506D" w:rsidRPr="00DC582F" w:rsidRDefault="0033506D" w:rsidP="0033506D">
      <w:pPr>
        <w:pStyle w:val="Heading3"/>
        <w:rPr>
          <w:rFonts w:ascii="Times New Roman" w:hAnsi="Times New Roman" w:cs="Times New Roman"/>
          <w:color w:val="000000" w:themeColor="text1"/>
          <w:sz w:val="22"/>
          <w:szCs w:val="22"/>
        </w:rPr>
      </w:pPr>
      <w:r w:rsidRPr="00DC582F">
        <w:rPr>
          <w:rFonts w:ascii="Times New Roman" w:hAnsi="Times New Roman" w:cs="Times New Roman"/>
          <w:color w:val="000000" w:themeColor="text1"/>
          <w:sz w:val="22"/>
          <w:szCs w:val="22"/>
        </w:rPr>
        <w:t>3.10 Numerical Simulation</w:t>
      </w:r>
    </w:p>
    <w:p w14:paraId="2FB9A6DC" w14:textId="77777777" w:rsidR="0033506D" w:rsidRDefault="0033506D" w:rsidP="0033506D">
      <w:pPr>
        <w:pStyle w:val="NormalWeb"/>
        <w:rPr>
          <w:color w:val="000000" w:themeColor="text1"/>
          <w:sz w:val="22"/>
          <w:szCs w:val="22"/>
        </w:rPr>
      </w:pPr>
      <w:r w:rsidRPr="00DC582F">
        <w:rPr>
          <w:color w:val="000000" w:themeColor="text1"/>
          <w:sz w:val="22"/>
          <w:szCs w:val="22"/>
        </w:rPr>
        <w:t>The system of differential equations was solved numerically using standard integration techniques. The ARIMA model was implemented for time-series forecasting, and all simulations were conducted to assess both short-term dynamics and long-term transmission trends.</w:t>
      </w:r>
    </w:p>
    <w:p w14:paraId="00431EA4" w14:textId="77777777" w:rsidR="00DC582F" w:rsidRDefault="00DC582F" w:rsidP="0033506D">
      <w:pPr>
        <w:pStyle w:val="NormalWeb"/>
        <w:rPr>
          <w:color w:val="000000" w:themeColor="text1"/>
          <w:sz w:val="22"/>
          <w:szCs w:val="22"/>
        </w:rPr>
      </w:pPr>
    </w:p>
    <w:p w14:paraId="29FB2F74" w14:textId="77777777" w:rsidR="00DC582F" w:rsidRDefault="00DC582F" w:rsidP="0033506D">
      <w:pPr>
        <w:pStyle w:val="NormalWeb"/>
        <w:rPr>
          <w:color w:val="000000" w:themeColor="text1"/>
          <w:sz w:val="22"/>
          <w:szCs w:val="22"/>
        </w:rPr>
      </w:pPr>
    </w:p>
    <w:p w14:paraId="24583F9F" w14:textId="77777777" w:rsidR="00DC582F" w:rsidRDefault="00DC582F" w:rsidP="0033506D">
      <w:pPr>
        <w:pStyle w:val="NormalWeb"/>
        <w:rPr>
          <w:color w:val="000000" w:themeColor="text1"/>
          <w:sz w:val="22"/>
          <w:szCs w:val="22"/>
        </w:rPr>
      </w:pPr>
    </w:p>
    <w:p w14:paraId="688D8DC0" w14:textId="77777777" w:rsidR="00DC582F" w:rsidRDefault="00DC582F" w:rsidP="0033506D">
      <w:pPr>
        <w:pStyle w:val="NormalWeb"/>
        <w:rPr>
          <w:color w:val="000000" w:themeColor="text1"/>
          <w:sz w:val="22"/>
          <w:szCs w:val="22"/>
        </w:rPr>
      </w:pPr>
    </w:p>
    <w:p w14:paraId="1983FA89" w14:textId="77777777" w:rsidR="00DC582F" w:rsidRPr="00DC582F" w:rsidRDefault="00DC582F" w:rsidP="0033506D">
      <w:pPr>
        <w:pStyle w:val="NormalWeb"/>
        <w:rPr>
          <w:color w:val="000000" w:themeColor="text1"/>
          <w:sz w:val="22"/>
          <w:szCs w:val="22"/>
        </w:rPr>
      </w:pPr>
    </w:p>
    <w:p w14:paraId="772F0FF1" w14:textId="77777777" w:rsidR="0033506D" w:rsidRPr="00DC582F" w:rsidRDefault="0033506D" w:rsidP="0033506D">
      <w:pPr>
        <w:pStyle w:val="Heading2"/>
        <w:rPr>
          <w:color w:val="000000" w:themeColor="text1"/>
          <w:sz w:val="22"/>
          <w:szCs w:val="22"/>
        </w:rPr>
      </w:pPr>
      <w:r w:rsidRPr="00DC582F">
        <w:rPr>
          <w:color w:val="000000" w:themeColor="text1"/>
          <w:sz w:val="22"/>
          <w:szCs w:val="22"/>
        </w:rPr>
        <w:lastRenderedPageBreak/>
        <w:t>5. Results</w:t>
      </w:r>
    </w:p>
    <w:p w14:paraId="638376E7" w14:textId="77777777" w:rsidR="0033506D" w:rsidRPr="00DC582F" w:rsidRDefault="0033506D" w:rsidP="0033506D">
      <w:pPr>
        <w:pStyle w:val="Heading3"/>
        <w:rPr>
          <w:rFonts w:ascii="Times New Roman" w:hAnsi="Times New Roman" w:cs="Times New Roman"/>
          <w:color w:val="000000" w:themeColor="text1"/>
          <w:sz w:val="22"/>
          <w:szCs w:val="22"/>
        </w:rPr>
      </w:pPr>
      <w:r w:rsidRPr="00DC582F">
        <w:rPr>
          <w:rFonts w:ascii="Times New Roman" w:hAnsi="Times New Roman" w:cs="Times New Roman"/>
          <w:color w:val="000000" w:themeColor="text1"/>
          <w:sz w:val="22"/>
          <w:szCs w:val="22"/>
        </w:rPr>
        <w:t>5.1 ARIMA Model Results</w:t>
      </w:r>
    </w:p>
    <w:p w14:paraId="45755A8D" w14:textId="77777777" w:rsidR="0033506D" w:rsidRPr="00DC582F" w:rsidRDefault="0033506D" w:rsidP="0033506D">
      <w:pPr>
        <w:pStyle w:val="NormalWeb"/>
        <w:rPr>
          <w:color w:val="000000" w:themeColor="text1"/>
          <w:sz w:val="22"/>
          <w:szCs w:val="22"/>
        </w:rPr>
      </w:pPr>
      <w:r w:rsidRPr="00DC582F">
        <w:rPr>
          <w:color w:val="000000" w:themeColor="text1"/>
          <w:sz w:val="22"/>
          <w:szCs w:val="22"/>
        </w:rPr>
        <w:t>The ARIMA model was fitted to malaria incidence time-series data for the Federal Capital Territory (FCT). Following stationarity testing and model selection based on the Akaike Information Criterion (AIC), the optimal model was identified as ARIMA(1).</w:t>
      </w:r>
      <w:r w:rsidR="009C5967">
        <w:rPr>
          <w:color w:val="000000" w:themeColor="text1"/>
          <w:sz w:val="22"/>
          <w:szCs w:val="22"/>
        </w:rPr>
        <w:t xml:space="preserve"> </w:t>
      </w:r>
      <w:r w:rsidRPr="00DC582F">
        <w:rPr>
          <w:color w:val="000000" w:themeColor="text1"/>
          <w:sz w:val="22"/>
          <w:szCs w:val="22"/>
        </w:rPr>
        <w:t>The fitted model demonstrated a strong agreement with observed data, effectively capturing temporal trends and fluctuations in malaria incidence. Residual diagnostics indicated no significant autocorrelation, confirming the adequacy of the model.</w:t>
      </w:r>
    </w:p>
    <w:p w14:paraId="421FBCDF" w14:textId="77777777" w:rsidR="0033506D" w:rsidRPr="00DC582F" w:rsidRDefault="0033506D" w:rsidP="0033506D">
      <w:pPr>
        <w:pStyle w:val="NormalWeb"/>
        <w:rPr>
          <w:color w:val="000000" w:themeColor="text1"/>
          <w:sz w:val="22"/>
          <w:szCs w:val="22"/>
        </w:rPr>
      </w:pPr>
      <w:r w:rsidRPr="00DC582F">
        <w:rPr>
          <w:color w:val="000000" w:themeColor="text1"/>
          <w:sz w:val="22"/>
          <w:szCs w:val="22"/>
        </w:rPr>
        <w:t>Forecast results suggest that, under current conditions, malaria incidence is projected to persist over time with only marginal decline, indicating that existing intervention levels are insufficient to achieve elimination.</w:t>
      </w:r>
    </w:p>
    <w:p w14:paraId="569D9532" w14:textId="77777777" w:rsidR="0033506D" w:rsidRPr="00DC582F" w:rsidRDefault="0027763B" w:rsidP="0033506D">
      <w:pPr>
        <w:pStyle w:val="NormalWeb"/>
        <w:rPr>
          <w:color w:val="000000" w:themeColor="text1"/>
          <w:sz w:val="22"/>
          <w:szCs w:val="22"/>
        </w:rPr>
      </w:pPr>
      <w:r w:rsidRPr="00DC582F">
        <w:rPr>
          <w:noProof/>
          <w:color w:val="000000" w:themeColor="text1"/>
          <w:sz w:val="22"/>
          <w:szCs w:val="22"/>
        </w:rPr>
        <w:drawing>
          <wp:inline distT="0" distB="0" distL="0" distR="0" wp14:anchorId="3F8B11BF" wp14:editId="58D1B40F">
            <wp:extent cx="5731510" cy="3841750"/>
            <wp:effectExtent l="0" t="0" r="2540"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rotWithShape="1">
                    <a:blip r:embed="rId8">
                      <a:extLst>
                        <a:ext uri="{28A0092B-C50C-407E-A947-70E740481C1C}">
                          <a14:useLocalDpi xmlns:a14="http://schemas.microsoft.com/office/drawing/2010/main" val="0"/>
                        </a:ext>
                      </a:extLst>
                    </a:blip>
                    <a:srcRect t="10635"/>
                    <a:stretch>
                      <a:fillRect/>
                    </a:stretch>
                  </pic:blipFill>
                  <pic:spPr bwMode="auto">
                    <a:xfrm>
                      <a:off x="0" y="0"/>
                      <a:ext cx="5731510" cy="3841750"/>
                    </a:xfrm>
                    <a:prstGeom prst="rect">
                      <a:avLst/>
                    </a:prstGeom>
                    <a:ln>
                      <a:noFill/>
                    </a:ln>
                    <a:extLst>
                      <a:ext uri="{53640926-AAD7-44D8-BBD7-CCE9431645EC}">
                        <a14:shadowObscured xmlns:a14="http://schemas.microsoft.com/office/drawing/2010/main"/>
                      </a:ext>
                    </a:extLst>
                  </pic:spPr>
                </pic:pic>
              </a:graphicData>
            </a:graphic>
          </wp:inline>
        </w:drawing>
      </w:r>
      <w:r w:rsidR="0033506D" w:rsidRPr="00DC582F">
        <w:rPr>
          <w:color w:val="000000" w:themeColor="text1"/>
          <w:sz w:val="22"/>
          <w:szCs w:val="22"/>
        </w:rPr>
        <w:br/>
      </w:r>
      <w:r w:rsidR="0033506D" w:rsidRPr="00DC582F">
        <w:rPr>
          <w:rStyle w:val="Strong"/>
          <w:b w:val="0"/>
          <w:bCs w:val="0"/>
          <w:color w:val="000000" w:themeColor="text1"/>
          <w:sz w:val="22"/>
          <w:szCs w:val="22"/>
        </w:rPr>
        <w:t>Figure 1:</w:t>
      </w:r>
      <w:r w:rsidR="0033506D" w:rsidRPr="00DC582F">
        <w:rPr>
          <w:color w:val="000000" w:themeColor="text1"/>
          <w:sz w:val="22"/>
          <w:szCs w:val="22"/>
        </w:rPr>
        <w:t xml:space="preserve"> Observed and ARIMA-forecasted malaria incidence in the FCT.</w:t>
      </w:r>
    </w:p>
    <w:p w14:paraId="7671855D" w14:textId="77777777" w:rsidR="0033506D" w:rsidRPr="00DC582F" w:rsidRDefault="0033506D" w:rsidP="0033506D">
      <w:pPr>
        <w:rPr>
          <w:rFonts w:ascii="Times New Roman" w:hAnsi="Times New Roman" w:cs="Times New Roman"/>
          <w:color w:val="000000" w:themeColor="text1"/>
          <w:sz w:val="22"/>
          <w:szCs w:val="22"/>
        </w:rPr>
      </w:pPr>
    </w:p>
    <w:p w14:paraId="7C1637B1" w14:textId="77777777" w:rsidR="0033506D" w:rsidRPr="00DC582F" w:rsidRDefault="0033506D" w:rsidP="0033506D">
      <w:pPr>
        <w:pStyle w:val="Heading3"/>
        <w:rPr>
          <w:rFonts w:ascii="Times New Roman" w:hAnsi="Times New Roman" w:cs="Times New Roman"/>
          <w:color w:val="000000" w:themeColor="text1"/>
          <w:sz w:val="22"/>
          <w:szCs w:val="22"/>
        </w:rPr>
      </w:pPr>
      <w:r w:rsidRPr="00DC582F">
        <w:rPr>
          <w:rFonts w:ascii="Times New Roman" w:hAnsi="Times New Roman" w:cs="Times New Roman"/>
          <w:color w:val="000000" w:themeColor="text1"/>
          <w:sz w:val="22"/>
          <w:szCs w:val="22"/>
        </w:rPr>
        <w:t>5.2 SEIR</w:t>
      </w:r>
      <w:r w:rsidR="00DC582F">
        <w:rPr>
          <w:rFonts w:ascii="Times New Roman" w:hAnsi="Times New Roman" w:cs="Times New Roman"/>
          <w:color w:val="000000" w:themeColor="text1"/>
          <w:sz w:val="22"/>
          <w:szCs w:val="22"/>
        </w:rPr>
        <w:t>-</w:t>
      </w:r>
      <w:r w:rsidRPr="00DC582F">
        <w:rPr>
          <w:rFonts w:ascii="Times New Roman" w:hAnsi="Times New Roman" w:cs="Times New Roman"/>
          <w:color w:val="000000" w:themeColor="text1"/>
          <w:sz w:val="22"/>
          <w:szCs w:val="22"/>
        </w:rPr>
        <w:t>SEI Simulation</w:t>
      </w:r>
    </w:p>
    <w:p w14:paraId="7B638BB1" w14:textId="77777777" w:rsidR="0033506D" w:rsidRPr="00DC582F" w:rsidRDefault="0033506D" w:rsidP="0033506D">
      <w:pPr>
        <w:pStyle w:val="NormalWeb"/>
        <w:rPr>
          <w:color w:val="000000" w:themeColor="text1"/>
          <w:sz w:val="22"/>
          <w:szCs w:val="22"/>
        </w:rPr>
      </w:pPr>
      <w:r w:rsidRPr="00DC582F">
        <w:rPr>
          <w:color w:val="000000" w:themeColor="text1"/>
          <w:sz w:val="22"/>
          <w:szCs w:val="22"/>
        </w:rPr>
        <w:t>The SEIR</w:t>
      </w:r>
      <w:r w:rsidR="00DC582F">
        <w:rPr>
          <w:color w:val="000000" w:themeColor="text1"/>
          <w:sz w:val="22"/>
          <w:szCs w:val="22"/>
        </w:rPr>
        <w:t>-</w:t>
      </w:r>
      <w:r w:rsidRPr="00DC582F">
        <w:rPr>
          <w:color w:val="000000" w:themeColor="text1"/>
          <w:sz w:val="22"/>
          <w:szCs w:val="22"/>
        </w:rPr>
        <w:t>SEI model was used to simulate malaria transmission dynamics under baseline conditions. Results indicate sustained endemic transmission, with infectious populations among children (Ic) and adults (Ia) stabilizing at non-zero equilibrium levels.</w:t>
      </w:r>
    </w:p>
    <w:p w14:paraId="34F2F206" w14:textId="77777777" w:rsidR="0033506D" w:rsidRPr="00DC582F" w:rsidRDefault="0033506D" w:rsidP="0033506D">
      <w:pPr>
        <w:pStyle w:val="NormalWeb"/>
        <w:rPr>
          <w:color w:val="000000" w:themeColor="text1"/>
          <w:sz w:val="22"/>
          <w:szCs w:val="22"/>
        </w:rPr>
      </w:pPr>
      <w:r w:rsidRPr="00DC582F">
        <w:rPr>
          <w:color w:val="000000" w:themeColor="text1"/>
          <w:sz w:val="22"/>
          <w:szCs w:val="22"/>
        </w:rPr>
        <w:t>The computed basic reproduction number (R0) remained greater than unity, confirming the persistence of malaria transmission in the absence of intensified interventions.</w:t>
      </w:r>
    </w:p>
    <w:p w14:paraId="673B993C" w14:textId="77777777" w:rsidR="0033506D" w:rsidRPr="00DC582F" w:rsidRDefault="0027763B" w:rsidP="005807B1">
      <w:pPr>
        <w:pStyle w:val="NormalWeb"/>
        <w:rPr>
          <w:color w:val="000000" w:themeColor="text1"/>
          <w:sz w:val="22"/>
          <w:szCs w:val="22"/>
        </w:rPr>
      </w:pPr>
      <w:r w:rsidRPr="00DC582F">
        <w:rPr>
          <w:noProof/>
          <w:color w:val="000000" w:themeColor="text1"/>
          <w:sz w:val="22"/>
          <w:szCs w:val="22"/>
        </w:rPr>
        <w:lastRenderedPageBreak/>
        <w:drawing>
          <wp:inline distT="0" distB="0" distL="0" distR="0" wp14:anchorId="6224365C" wp14:editId="1C080CCD">
            <wp:extent cx="5731510" cy="3828102"/>
            <wp:effectExtent l="0" t="0" r="2540" b="127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rotWithShape="1">
                    <a:blip r:embed="rId9">
                      <a:extLst>
                        <a:ext uri="{28A0092B-C50C-407E-A947-70E740481C1C}">
                          <a14:useLocalDpi xmlns:a14="http://schemas.microsoft.com/office/drawing/2010/main" val="0"/>
                        </a:ext>
                      </a:extLst>
                    </a:blip>
                    <a:srcRect t="10953"/>
                    <a:stretch>
                      <a:fillRect/>
                    </a:stretch>
                  </pic:blipFill>
                  <pic:spPr bwMode="auto">
                    <a:xfrm>
                      <a:off x="0" y="0"/>
                      <a:ext cx="5731510" cy="3828102"/>
                    </a:xfrm>
                    <a:prstGeom prst="rect">
                      <a:avLst/>
                    </a:prstGeom>
                    <a:ln>
                      <a:noFill/>
                    </a:ln>
                    <a:extLst>
                      <a:ext uri="{53640926-AAD7-44D8-BBD7-CCE9431645EC}">
                        <a14:shadowObscured xmlns:a14="http://schemas.microsoft.com/office/drawing/2010/main"/>
                      </a:ext>
                    </a:extLst>
                  </pic:spPr>
                </pic:pic>
              </a:graphicData>
            </a:graphic>
          </wp:inline>
        </w:drawing>
      </w:r>
      <w:r w:rsidR="0033506D" w:rsidRPr="00DC582F">
        <w:rPr>
          <w:color w:val="000000" w:themeColor="text1"/>
          <w:sz w:val="22"/>
          <w:szCs w:val="22"/>
        </w:rPr>
        <w:br/>
      </w:r>
      <w:r w:rsidR="0033506D" w:rsidRPr="00DC582F">
        <w:rPr>
          <w:rStyle w:val="Strong"/>
          <w:b w:val="0"/>
          <w:bCs w:val="0"/>
          <w:color w:val="000000" w:themeColor="text1"/>
          <w:sz w:val="22"/>
          <w:szCs w:val="22"/>
        </w:rPr>
        <w:t>Figure 2:</w:t>
      </w:r>
      <w:r w:rsidR="0033506D" w:rsidRPr="00DC582F">
        <w:rPr>
          <w:color w:val="000000" w:themeColor="text1"/>
          <w:sz w:val="22"/>
          <w:szCs w:val="22"/>
        </w:rPr>
        <w:t xml:space="preserve"> Baseline transmission dynamics from the SEIR</w:t>
      </w:r>
      <w:r w:rsidR="009C5967">
        <w:rPr>
          <w:color w:val="000000" w:themeColor="text1"/>
          <w:sz w:val="22"/>
          <w:szCs w:val="22"/>
        </w:rPr>
        <w:t>-</w:t>
      </w:r>
      <w:r w:rsidR="0033506D" w:rsidRPr="00DC582F">
        <w:rPr>
          <w:color w:val="000000" w:themeColor="text1"/>
          <w:sz w:val="22"/>
          <w:szCs w:val="22"/>
        </w:rPr>
        <w:t>SEI model showing infectious populations over time.</w:t>
      </w:r>
    </w:p>
    <w:p w14:paraId="74727074" w14:textId="77777777" w:rsidR="0033506D" w:rsidRPr="00DC582F" w:rsidRDefault="0033506D" w:rsidP="0033506D">
      <w:pPr>
        <w:pStyle w:val="Heading3"/>
        <w:rPr>
          <w:rFonts w:ascii="Times New Roman" w:hAnsi="Times New Roman" w:cs="Times New Roman"/>
          <w:color w:val="000000" w:themeColor="text1"/>
          <w:sz w:val="22"/>
          <w:szCs w:val="22"/>
        </w:rPr>
      </w:pPr>
      <w:r w:rsidRPr="00DC582F">
        <w:rPr>
          <w:rFonts w:ascii="Times New Roman" w:hAnsi="Times New Roman" w:cs="Times New Roman"/>
          <w:color w:val="000000" w:themeColor="text1"/>
          <w:sz w:val="22"/>
          <w:szCs w:val="22"/>
        </w:rPr>
        <w:t>5.3 Intervention Package Analysis</w:t>
      </w:r>
    </w:p>
    <w:p w14:paraId="6551144A" w14:textId="77777777" w:rsidR="0033506D" w:rsidRPr="00DC582F" w:rsidRDefault="0033506D" w:rsidP="0033506D">
      <w:pPr>
        <w:pStyle w:val="NormalWeb"/>
        <w:rPr>
          <w:color w:val="000000" w:themeColor="text1"/>
          <w:sz w:val="22"/>
          <w:szCs w:val="22"/>
        </w:rPr>
      </w:pPr>
      <w:r w:rsidRPr="00DC582F">
        <w:rPr>
          <w:color w:val="000000" w:themeColor="text1"/>
          <w:sz w:val="22"/>
          <w:szCs w:val="22"/>
        </w:rPr>
        <w:t>Simulation of individual intervention scenarios revealed differential impacts on malaria transmission dynamics.</w:t>
      </w:r>
    </w:p>
    <w:p w14:paraId="7284485A" w14:textId="77777777" w:rsidR="0033506D" w:rsidRPr="00DC582F" w:rsidRDefault="0033506D" w:rsidP="0033506D">
      <w:pPr>
        <w:pStyle w:val="NormalWeb"/>
        <w:numPr>
          <w:ilvl w:val="0"/>
          <w:numId w:val="7"/>
        </w:numPr>
        <w:rPr>
          <w:color w:val="000000" w:themeColor="text1"/>
          <w:sz w:val="22"/>
          <w:szCs w:val="22"/>
        </w:rPr>
      </w:pPr>
      <w:r w:rsidRPr="00DC582F">
        <w:rPr>
          <w:rStyle w:val="Strong"/>
          <w:b w:val="0"/>
          <w:bCs w:val="0"/>
          <w:color w:val="000000" w:themeColor="text1"/>
          <w:sz w:val="22"/>
          <w:szCs w:val="22"/>
        </w:rPr>
        <w:t>Vector control interventions (ITNs and IRS):</w:t>
      </w:r>
      <w:r w:rsidRPr="00DC582F">
        <w:rPr>
          <w:color w:val="000000" w:themeColor="text1"/>
          <w:sz w:val="22"/>
          <w:szCs w:val="22"/>
        </w:rPr>
        <w:t xml:space="preserve"> produced substantial reductions in infection levels by decreasing mosquito biting rate and increasing mosquito mortality.</w:t>
      </w:r>
    </w:p>
    <w:p w14:paraId="57D88CFF" w14:textId="77777777" w:rsidR="0033506D" w:rsidRPr="00DC582F" w:rsidRDefault="0033506D" w:rsidP="0033506D">
      <w:pPr>
        <w:pStyle w:val="NormalWeb"/>
        <w:numPr>
          <w:ilvl w:val="0"/>
          <w:numId w:val="7"/>
        </w:numPr>
        <w:rPr>
          <w:color w:val="000000" w:themeColor="text1"/>
          <w:sz w:val="22"/>
          <w:szCs w:val="22"/>
        </w:rPr>
      </w:pPr>
      <w:r w:rsidRPr="00DC582F">
        <w:rPr>
          <w:rStyle w:val="Strong"/>
          <w:b w:val="0"/>
          <w:bCs w:val="0"/>
          <w:color w:val="000000" w:themeColor="text1"/>
          <w:sz w:val="22"/>
          <w:szCs w:val="22"/>
        </w:rPr>
        <w:t>Chemoprevention strategies (SMC and IPTp):</w:t>
      </w:r>
      <w:r w:rsidRPr="00DC582F">
        <w:rPr>
          <w:color w:val="000000" w:themeColor="text1"/>
          <w:sz w:val="22"/>
          <w:szCs w:val="22"/>
        </w:rPr>
        <w:t xml:space="preserve"> resulted in targeted reductions among children and pregnant women, respectively, but had limited effect on overall transmission.</w:t>
      </w:r>
    </w:p>
    <w:p w14:paraId="29A5E67C" w14:textId="77777777" w:rsidR="0033506D" w:rsidRPr="00DC582F" w:rsidRDefault="0033506D" w:rsidP="0033506D">
      <w:pPr>
        <w:pStyle w:val="NormalWeb"/>
        <w:numPr>
          <w:ilvl w:val="0"/>
          <w:numId w:val="7"/>
        </w:numPr>
        <w:rPr>
          <w:color w:val="000000" w:themeColor="text1"/>
          <w:sz w:val="22"/>
          <w:szCs w:val="22"/>
        </w:rPr>
      </w:pPr>
      <w:r w:rsidRPr="00DC582F">
        <w:rPr>
          <w:rStyle w:val="Strong"/>
          <w:b w:val="0"/>
          <w:bCs w:val="0"/>
          <w:color w:val="000000" w:themeColor="text1"/>
          <w:sz w:val="22"/>
          <w:szCs w:val="22"/>
        </w:rPr>
        <w:t>Treatment (ACT):</w:t>
      </w:r>
      <w:r w:rsidRPr="00DC582F">
        <w:rPr>
          <w:color w:val="000000" w:themeColor="text1"/>
          <w:sz w:val="22"/>
          <w:szCs w:val="22"/>
        </w:rPr>
        <w:t xml:space="preserve"> reduced the duration of infectiousness and lowered infection prevalence, but did not interrupt transmission.</w:t>
      </w:r>
    </w:p>
    <w:p w14:paraId="5C87E056" w14:textId="77777777" w:rsidR="0033506D" w:rsidRPr="00DC582F" w:rsidRDefault="0033506D" w:rsidP="0033506D">
      <w:pPr>
        <w:pStyle w:val="NormalWeb"/>
        <w:rPr>
          <w:color w:val="000000" w:themeColor="text1"/>
          <w:sz w:val="22"/>
          <w:szCs w:val="22"/>
        </w:rPr>
      </w:pPr>
      <w:r w:rsidRPr="00DC582F">
        <w:rPr>
          <w:color w:val="000000" w:themeColor="text1"/>
          <w:sz w:val="22"/>
          <w:szCs w:val="22"/>
        </w:rPr>
        <w:t>Despite these reductions, none of the individual interventions reduced infection levels to zero, and malaria transmission persisted across all single-intervention scenarios.</w:t>
      </w:r>
    </w:p>
    <w:p w14:paraId="63B63368" w14:textId="77777777" w:rsidR="0033506D" w:rsidRPr="00DC582F" w:rsidRDefault="0027763B" w:rsidP="005807B1">
      <w:pPr>
        <w:pStyle w:val="NormalWeb"/>
        <w:rPr>
          <w:color w:val="000000" w:themeColor="text1"/>
          <w:sz w:val="22"/>
          <w:szCs w:val="22"/>
        </w:rPr>
      </w:pPr>
      <w:r w:rsidRPr="00DC582F">
        <w:rPr>
          <w:noProof/>
          <w:color w:val="000000" w:themeColor="text1"/>
          <w:sz w:val="22"/>
          <w:szCs w:val="22"/>
        </w:rPr>
        <w:lastRenderedPageBreak/>
        <w:drawing>
          <wp:inline distT="0" distB="0" distL="0" distR="0" wp14:anchorId="7CAFB418" wp14:editId="18A36E35">
            <wp:extent cx="5766179" cy="3828102"/>
            <wp:effectExtent l="0" t="0" r="6350" b="127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rotWithShape="1">
                    <a:blip r:embed="rId10">
                      <a:extLst>
                        <a:ext uri="{28A0092B-C50C-407E-A947-70E740481C1C}">
                          <a14:useLocalDpi xmlns:a14="http://schemas.microsoft.com/office/drawing/2010/main" val="0"/>
                        </a:ext>
                      </a:extLst>
                    </a:blip>
                    <a:srcRect t="10953" r="-605"/>
                    <a:stretch>
                      <a:fillRect/>
                    </a:stretch>
                  </pic:blipFill>
                  <pic:spPr bwMode="auto">
                    <a:xfrm>
                      <a:off x="0" y="0"/>
                      <a:ext cx="5766179" cy="3828102"/>
                    </a:xfrm>
                    <a:prstGeom prst="rect">
                      <a:avLst/>
                    </a:prstGeom>
                    <a:ln>
                      <a:noFill/>
                    </a:ln>
                    <a:extLst>
                      <a:ext uri="{53640926-AAD7-44D8-BBD7-CCE9431645EC}">
                        <a14:shadowObscured xmlns:a14="http://schemas.microsoft.com/office/drawing/2010/main"/>
                      </a:ext>
                    </a:extLst>
                  </pic:spPr>
                </pic:pic>
              </a:graphicData>
            </a:graphic>
          </wp:inline>
        </w:drawing>
      </w:r>
      <w:r w:rsidR="0033506D" w:rsidRPr="00DC582F">
        <w:rPr>
          <w:color w:val="000000" w:themeColor="text1"/>
          <w:sz w:val="22"/>
          <w:szCs w:val="22"/>
        </w:rPr>
        <w:br/>
      </w:r>
      <w:r w:rsidR="0033506D" w:rsidRPr="00DC582F">
        <w:rPr>
          <w:rStyle w:val="Strong"/>
          <w:b w:val="0"/>
          <w:bCs w:val="0"/>
          <w:color w:val="000000" w:themeColor="text1"/>
          <w:sz w:val="22"/>
          <w:szCs w:val="22"/>
        </w:rPr>
        <w:t>Figure 3:</w:t>
      </w:r>
      <w:r w:rsidR="0033506D" w:rsidRPr="00DC582F">
        <w:rPr>
          <w:color w:val="000000" w:themeColor="text1"/>
          <w:sz w:val="22"/>
          <w:szCs w:val="22"/>
        </w:rPr>
        <w:t xml:space="preserve"> Comparison of infectious population dynamics under individual intervention scenarios.</w:t>
      </w:r>
    </w:p>
    <w:p w14:paraId="5FDF19C3" w14:textId="77777777" w:rsidR="0033506D" w:rsidRPr="00DC582F" w:rsidRDefault="0033506D" w:rsidP="0033506D">
      <w:pPr>
        <w:pStyle w:val="Heading3"/>
        <w:rPr>
          <w:rFonts w:ascii="Times New Roman" w:hAnsi="Times New Roman" w:cs="Times New Roman"/>
          <w:color w:val="000000" w:themeColor="text1"/>
          <w:sz w:val="22"/>
          <w:szCs w:val="22"/>
        </w:rPr>
      </w:pPr>
      <w:r w:rsidRPr="00DC582F">
        <w:rPr>
          <w:rFonts w:ascii="Times New Roman" w:hAnsi="Times New Roman" w:cs="Times New Roman"/>
          <w:color w:val="000000" w:themeColor="text1"/>
          <w:sz w:val="22"/>
          <w:szCs w:val="22"/>
        </w:rPr>
        <w:t>5.4 Hybrid Model Results</w:t>
      </w:r>
    </w:p>
    <w:p w14:paraId="0CEC26C8" w14:textId="77777777" w:rsidR="0033506D" w:rsidRPr="00DC582F" w:rsidRDefault="0033506D" w:rsidP="0033506D">
      <w:pPr>
        <w:pStyle w:val="NormalWeb"/>
        <w:rPr>
          <w:color w:val="000000" w:themeColor="text1"/>
          <w:sz w:val="22"/>
          <w:szCs w:val="22"/>
        </w:rPr>
      </w:pPr>
      <w:r w:rsidRPr="00DC582F">
        <w:rPr>
          <w:color w:val="000000" w:themeColor="text1"/>
          <w:sz w:val="22"/>
          <w:szCs w:val="22"/>
        </w:rPr>
        <w:t>The hybrid SEIR</w:t>
      </w:r>
      <w:r w:rsidR="00DC582F">
        <w:rPr>
          <w:color w:val="000000" w:themeColor="text1"/>
          <w:sz w:val="22"/>
          <w:szCs w:val="22"/>
        </w:rPr>
        <w:t>-</w:t>
      </w:r>
      <w:r w:rsidRPr="00DC582F">
        <w:rPr>
          <w:color w:val="000000" w:themeColor="text1"/>
          <w:sz w:val="22"/>
          <w:szCs w:val="22"/>
        </w:rPr>
        <w:t>SEI</w:t>
      </w:r>
      <w:r w:rsidR="00DC582F">
        <w:rPr>
          <w:color w:val="000000" w:themeColor="text1"/>
          <w:sz w:val="22"/>
          <w:szCs w:val="22"/>
        </w:rPr>
        <w:t>-</w:t>
      </w:r>
      <w:r w:rsidRPr="00DC582F">
        <w:rPr>
          <w:color w:val="000000" w:themeColor="text1"/>
          <w:sz w:val="22"/>
          <w:szCs w:val="22"/>
        </w:rPr>
        <w:t>ARIMA framework integrates mechanistic simulation with empirical forecasting to provide a more comprehensive assessment of malaria transmission dynamics.</w:t>
      </w:r>
      <w:r w:rsidR="005807B1" w:rsidRPr="00DC582F">
        <w:rPr>
          <w:color w:val="000000" w:themeColor="text1"/>
          <w:sz w:val="22"/>
          <w:szCs w:val="22"/>
        </w:rPr>
        <w:t xml:space="preserve"> </w:t>
      </w:r>
      <w:r w:rsidRPr="00DC582F">
        <w:rPr>
          <w:color w:val="000000" w:themeColor="text1"/>
          <w:sz w:val="22"/>
          <w:szCs w:val="22"/>
        </w:rPr>
        <w:t>Comparison of ARIMA forecasts with SEIR</w:t>
      </w:r>
      <w:r w:rsidR="00DC582F">
        <w:rPr>
          <w:color w:val="000000" w:themeColor="text1"/>
          <w:sz w:val="22"/>
          <w:szCs w:val="22"/>
        </w:rPr>
        <w:t>-</w:t>
      </w:r>
      <w:r w:rsidRPr="00DC582F">
        <w:rPr>
          <w:color w:val="000000" w:themeColor="text1"/>
          <w:sz w:val="22"/>
          <w:szCs w:val="22"/>
        </w:rPr>
        <w:t>SEI simulation outputs revealed consistent trends, validating the robustness of the model. The hybrid framework demonstrated improved predictive capability by combining the strengths of both approaches.</w:t>
      </w:r>
    </w:p>
    <w:p w14:paraId="5A98916F" w14:textId="77777777" w:rsidR="0033506D" w:rsidRPr="00DC582F" w:rsidRDefault="0033506D" w:rsidP="0033506D">
      <w:pPr>
        <w:pStyle w:val="NormalWeb"/>
        <w:rPr>
          <w:color w:val="000000" w:themeColor="text1"/>
          <w:sz w:val="22"/>
          <w:szCs w:val="22"/>
        </w:rPr>
      </w:pPr>
      <w:r w:rsidRPr="00DC582F">
        <w:rPr>
          <w:color w:val="000000" w:themeColor="text1"/>
          <w:sz w:val="22"/>
          <w:szCs w:val="22"/>
        </w:rPr>
        <w:t>Notably, while the ARIMA model alone predicts continued transmission under current conditions, integration with the SEIR</w:t>
      </w:r>
      <w:r w:rsidR="00DC582F">
        <w:rPr>
          <w:color w:val="000000" w:themeColor="text1"/>
          <w:sz w:val="22"/>
          <w:szCs w:val="22"/>
        </w:rPr>
        <w:t>-</w:t>
      </w:r>
      <w:r w:rsidRPr="00DC582F">
        <w:rPr>
          <w:color w:val="000000" w:themeColor="text1"/>
          <w:sz w:val="22"/>
          <w:szCs w:val="22"/>
        </w:rPr>
        <w:t>SEI model reveals the potential impact of intervention strategies on future transmission trajectories.</w:t>
      </w:r>
    </w:p>
    <w:p w14:paraId="2A1033CE" w14:textId="77777777" w:rsidR="0033506D" w:rsidRPr="00DC582F" w:rsidRDefault="0027763B" w:rsidP="005807B1">
      <w:pPr>
        <w:pStyle w:val="NormalWeb"/>
        <w:rPr>
          <w:color w:val="000000" w:themeColor="text1"/>
          <w:sz w:val="22"/>
          <w:szCs w:val="22"/>
        </w:rPr>
      </w:pPr>
      <w:r w:rsidRPr="00DC582F">
        <w:rPr>
          <w:noProof/>
          <w:color w:val="000000" w:themeColor="text1"/>
          <w:sz w:val="22"/>
          <w:szCs w:val="22"/>
        </w:rPr>
        <w:lastRenderedPageBreak/>
        <w:drawing>
          <wp:inline distT="0" distB="0" distL="0" distR="0" wp14:anchorId="5015C1B0" wp14:editId="368651BE">
            <wp:extent cx="5731510" cy="3807631"/>
            <wp:effectExtent l="0" t="0" r="2540" b="254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rotWithShape="1">
                    <a:blip r:embed="rId11">
                      <a:extLst>
                        <a:ext uri="{28A0092B-C50C-407E-A947-70E740481C1C}">
                          <a14:useLocalDpi xmlns:a14="http://schemas.microsoft.com/office/drawing/2010/main" val="0"/>
                        </a:ext>
                      </a:extLst>
                    </a:blip>
                    <a:srcRect t="11429"/>
                    <a:stretch>
                      <a:fillRect/>
                    </a:stretch>
                  </pic:blipFill>
                  <pic:spPr bwMode="auto">
                    <a:xfrm>
                      <a:off x="0" y="0"/>
                      <a:ext cx="5731510" cy="3807631"/>
                    </a:xfrm>
                    <a:prstGeom prst="rect">
                      <a:avLst/>
                    </a:prstGeom>
                    <a:ln>
                      <a:noFill/>
                    </a:ln>
                    <a:extLst>
                      <a:ext uri="{53640926-AAD7-44D8-BBD7-CCE9431645EC}">
                        <a14:shadowObscured xmlns:a14="http://schemas.microsoft.com/office/drawing/2010/main"/>
                      </a:ext>
                    </a:extLst>
                  </pic:spPr>
                </pic:pic>
              </a:graphicData>
            </a:graphic>
          </wp:inline>
        </w:drawing>
      </w:r>
      <w:r w:rsidR="0033506D" w:rsidRPr="00DC582F">
        <w:rPr>
          <w:color w:val="000000" w:themeColor="text1"/>
          <w:sz w:val="22"/>
          <w:szCs w:val="22"/>
        </w:rPr>
        <w:br/>
      </w:r>
      <w:r w:rsidR="0033506D" w:rsidRPr="00DC582F">
        <w:rPr>
          <w:rStyle w:val="Strong"/>
          <w:b w:val="0"/>
          <w:bCs w:val="0"/>
          <w:color w:val="000000" w:themeColor="text1"/>
          <w:sz w:val="22"/>
          <w:szCs w:val="22"/>
        </w:rPr>
        <w:t>Figure 4:</w:t>
      </w:r>
      <w:r w:rsidR="0033506D" w:rsidRPr="00DC582F">
        <w:rPr>
          <w:color w:val="000000" w:themeColor="text1"/>
          <w:sz w:val="22"/>
          <w:szCs w:val="22"/>
        </w:rPr>
        <w:t xml:space="preserve"> Combined ARIMA forecasts and SEIR</w:t>
      </w:r>
      <w:r w:rsidR="00DC582F">
        <w:rPr>
          <w:color w:val="000000" w:themeColor="text1"/>
          <w:sz w:val="22"/>
          <w:szCs w:val="22"/>
        </w:rPr>
        <w:t>-</w:t>
      </w:r>
      <w:r w:rsidR="0033506D" w:rsidRPr="00DC582F">
        <w:rPr>
          <w:color w:val="000000" w:themeColor="text1"/>
          <w:sz w:val="22"/>
          <w:szCs w:val="22"/>
        </w:rPr>
        <w:t>SEI simulation outputs under different intervention scenarios.</w:t>
      </w:r>
    </w:p>
    <w:p w14:paraId="4AA02F91" w14:textId="77777777" w:rsidR="0033506D" w:rsidRPr="00DC582F" w:rsidRDefault="0033506D" w:rsidP="0033506D">
      <w:pPr>
        <w:pStyle w:val="Heading3"/>
        <w:rPr>
          <w:rFonts w:ascii="Times New Roman" w:hAnsi="Times New Roman" w:cs="Times New Roman"/>
          <w:color w:val="000000" w:themeColor="text1"/>
          <w:sz w:val="22"/>
          <w:szCs w:val="22"/>
        </w:rPr>
      </w:pPr>
      <w:r w:rsidRPr="00DC582F">
        <w:rPr>
          <w:rFonts w:ascii="Times New Roman" w:hAnsi="Times New Roman" w:cs="Times New Roman"/>
          <w:color w:val="000000" w:themeColor="text1"/>
          <w:sz w:val="22"/>
          <w:szCs w:val="22"/>
        </w:rPr>
        <w:t>5.5 Elimination Prospects</w:t>
      </w:r>
    </w:p>
    <w:p w14:paraId="7E4D9D52" w14:textId="77777777" w:rsidR="0033506D" w:rsidRPr="00DC582F" w:rsidRDefault="0033506D" w:rsidP="0033506D">
      <w:pPr>
        <w:pStyle w:val="NormalWeb"/>
        <w:rPr>
          <w:color w:val="000000" w:themeColor="text1"/>
          <w:sz w:val="22"/>
          <w:szCs w:val="22"/>
        </w:rPr>
      </w:pPr>
      <w:r w:rsidRPr="00DC582F">
        <w:rPr>
          <w:color w:val="000000" w:themeColor="text1"/>
          <w:sz w:val="22"/>
          <w:szCs w:val="22"/>
        </w:rPr>
        <w:t>Analysis of elimination scenarios indicates that malaria is unlikely to be eliminated in the FCT under current intervention coverage levels. The persistence of infection is driven by continued human</w:t>
      </w:r>
      <w:r w:rsidR="00DC582F">
        <w:rPr>
          <w:color w:val="000000" w:themeColor="text1"/>
          <w:sz w:val="22"/>
          <w:szCs w:val="22"/>
        </w:rPr>
        <w:t>-</w:t>
      </w:r>
      <w:r w:rsidRPr="00DC582F">
        <w:rPr>
          <w:color w:val="000000" w:themeColor="text1"/>
          <w:sz w:val="22"/>
          <w:szCs w:val="22"/>
        </w:rPr>
        <w:t>vector transmission and insufficient reduction in the basic reproduction number.</w:t>
      </w:r>
    </w:p>
    <w:p w14:paraId="02995638" w14:textId="77777777" w:rsidR="0033506D" w:rsidRPr="00DC582F" w:rsidRDefault="0033506D" w:rsidP="0033506D">
      <w:pPr>
        <w:pStyle w:val="NormalWeb"/>
        <w:rPr>
          <w:color w:val="000000" w:themeColor="text1"/>
          <w:sz w:val="22"/>
          <w:szCs w:val="22"/>
        </w:rPr>
      </w:pPr>
      <w:r w:rsidRPr="00DC582F">
        <w:rPr>
          <w:color w:val="000000" w:themeColor="text1"/>
          <w:sz w:val="22"/>
          <w:szCs w:val="22"/>
        </w:rPr>
        <w:t>However, under optimized combined intervention strategies with high coverage and sustained implementation, the reproduction number (R0) can be reduced below unity. Under such conditions, the model predicts a gradual decline in infection prevalence toward zero, indicating the possibility of elimination.</w:t>
      </w:r>
      <w:r w:rsidR="00212D23" w:rsidRPr="00DC582F">
        <w:rPr>
          <w:color w:val="000000" w:themeColor="text1"/>
          <w:sz w:val="22"/>
          <w:szCs w:val="22"/>
        </w:rPr>
        <w:t xml:space="preserve"> </w:t>
      </w:r>
      <w:r w:rsidRPr="00DC582F">
        <w:rPr>
          <w:color w:val="000000" w:themeColor="text1"/>
          <w:sz w:val="22"/>
          <w:szCs w:val="22"/>
        </w:rPr>
        <w:t>These findings suggest that malaria elimination is feasible but contingent on coordinated implementation of multiple interventions at sufficient scale and intensity.</w:t>
      </w:r>
    </w:p>
    <w:p w14:paraId="4F8D4689" w14:textId="77777777" w:rsidR="0033506D" w:rsidRPr="00DC582F" w:rsidRDefault="0027763B" w:rsidP="005807B1">
      <w:pPr>
        <w:pStyle w:val="NormalWeb"/>
        <w:rPr>
          <w:color w:val="000000" w:themeColor="text1"/>
          <w:sz w:val="22"/>
          <w:szCs w:val="22"/>
        </w:rPr>
      </w:pPr>
      <w:r w:rsidRPr="00DC582F">
        <w:rPr>
          <w:noProof/>
          <w:color w:val="000000" w:themeColor="text1"/>
          <w:sz w:val="22"/>
          <w:szCs w:val="22"/>
        </w:rPr>
        <w:lastRenderedPageBreak/>
        <w:drawing>
          <wp:inline distT="0" distB="0" distL="0" distR="0" wp14:anchorId="3C54CC3D" wp14:editId="51892293">
            <wp:extent cx="5670645" cy="3787159"/>
            <wp:effectExtent l="0" t="0" r="6350" b="381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rotWithShape="1">
                    <a:blip r:embed="rId12">
                      <a:extLst>
                        <a:ext uri="{28A0092B-C50C-407E-A947-70E740481C1C}">
                          <a14:useLocalDpi xmlns:a14="http://schemas.microsoft.com/office/drawing/2010/main" val="0"/>
                        </a:ext>
                      </a:extLst>
                    </a:blip>
                    <a:srcRect t="11905" r="1062"/>
                    <a:stretch>
                      <a:fillRect/>
                    </a:stretch>
                  </pic:blipFill>
                  <pic:spPr bwMode="auto">
                    <a:xfrm>
                      <a:off x="0" y="0"/>
                      <a:ext cx="5670645" cy="3787159"/>
                    </a:xfrm>
                    <a:prstGeom prst="rect">
                      <a:avLst/>
                    </a:prstGeom>
                    <a:ln>
                      <a:noFill/>
                    </a:ln>
                    <a:extLst>
                      <a:ext uri="{53640926-AAD7-44D8-BBD7-CCE9431645EC}">
                        <a14:shadowObscured xmlns:a14="http://schemas.microsoft.com/office/drawing/2010/main"/>
                      </a:ext>
                    </a:extLst>
                  </pic:spPr>
                </pic:pic>
              </a:graphicData>
            </a:graphic>
          </wp:inline>
        </w:drawing>
      </w:r>
      <w:r w:rsidR="0033506D" w:rsidRPr="00DC582F">
        <w:rPr>
          <w:color w:val="000000" w:themeColor="text1"/>
          <w:sz w:val="22"/>
          <w:szCs w:val="22"/>
        </w:rPr>
        <w:br/>
      </w:r>
      <w:r w:rsidR="0033506D" w:rsidRPr="00DC582F">
        <w:rPr>
          <w:rStyle w:val="Strong"/>
          <w:b w:val="0"/>
          <w:bCs w:val="0"/>
          <w:color w:val="000000" w:themeColor="text1"/>
          <w:sz w:val="22"/>
          <w:szCs w:val="22"/>
        </w:rPr>
        <w:t>Figure 5:</w:t>
      </w:r>
      <w:r w:rsidR="0033506D" w:rsidRPr="00DC582F">
        <w:rPr>
          <w:color w:val="000000" w:themeColor="text1"/>
          <w:sz w:val="22"/>
          <w:szCs w:val="22"/>
        </w:rPr>
        <w:t xml:space="preserve"> Projected malaria incidence trajectories under baseline and combined intervention scenarios, showing conditions for elimination.</w:t>
      </w:r>
    </w:p>
    <w:p w14:paraId="79D7C558" w14:textId="77777777" w:rsidR="0033506D" w:rsidRPr="00DC582F" w:rsidRDefault="0033506D" w:rsidP="0033506D">
      <w:pPr>
        <w:pStyle w:val="Heading3"/>
        <w:rPr>
          <w:rFonts w:ascii="Times New Roman" w:hAnsi="Times New Roman" w:cs="Times New Roman"/>
          <w:color w:val="000000" w:themeColor="text1"/>
          <w:sz w:val="22"/>
          <w:szCs w:val="22"/>
        </w:rPr>
      </w:pPr>
      <w:r w:rsidRPr="00DC582F">
        <w:rPr>
          <w:rFonts w:ascii="Times New Roman" w:hAnsi="Times New Roman" w:cs="Times New Roman"/>
          <w:color w:val="000000" w:themeColor="text1"/>
          <w:sz w:val="22"/>
          <w:szCs w:val="22"/>
        </w:rPr>
        <w:t>5.6 Sensitivity Analysis</w:t>
      </w:r>
    </w:p>
    <w:p w14:paraId="65BAAE10" w14:textId="77777777" w:rsidR="0033506D" w:rsidRPr="00DC582F" w:rsidRDefault="0033506D" w:rsidP="0033506D">
      <w:pPr>
        <w:pStyle w:val="NormalWeb"/>
        <w:rPr>
          <w:color w:val="000000" w:themeColor="text1"/>
          <w:sz w:val="22"/>
          <w:szCs w:val="22"/>
        </w:rPr>
      </w:pPr>
      <w:r w:rsidRPr="00DC582F">
        <w:rPr>
          <w:color w:val="000000" w:themeColor="text1"/>
          <w:sz w:val="22"/>
          <w:szCs w:val="22"/>
        </w:rPr>
        <w:t>Sensitivity analysis revealed that malaria transmission dynamics are highly influenced by key parameters, particularly:</w:t>
      </w:r>
    </w:p>
    <w:p w14:paraId="45B487A2" w14:textId="77777777" w:rsidR="0033506D" w:rsidRPr="00DC582F" w:rsidRDefault="0033506D" w:rsidP="0033506D">
      <w:pPr>
        <w:pStyle w:val="NormalWeb"/>
        <w:numPr>
          <w:ilvl w:val="0"/>
          <w:numId w:val="8"/>
        </w:numPr>
        <w:rPr>
          <w:color w:val="000000" w:themeColor="text1"/>
          <w:sz w:val="22"/>
          <w:szCs w:val="22"/>
        </w:rPr>
      </w:pPr>
      <w:r w:rsidRPr="00DC582F">
        <w:rPr>
          <w:color w:val="000000" w:themeColor="text1"/>
          <w:sz w:val="22"/>
          <w:szCs w:val="22"/>
        </w:rPr>
        <w:t xml:space="preserve">Mosquito biting rate </w:t>
      </w:r>
    </w:p>
    <w:p w14:paraId="39C43A4D" w14:textId="77777777" w:rsidR="0033506D" w:rsidRPr="00DC582F" w:rsidRDefault="0033506D" w:rsidP="0033506D">
      <w:pPr>
        <w:pStyle w:val="NormalWeb"/>
        <w:numPr>
          <w:ilvl w:val="0"/>
          <w:numId w:val="8"/>
        </w:numPr>
        <w:rPr>
          <w:color w:val="000000" w:themeColor="text1"/>
          <w:sz w:val="22"/>
          <w:szCs w:val="22"/>
        </w:rPr>
      </w:pPr>
      <w:r w:rsidRPr="00DC582F">
        <w:rPr>
          <w:color w:val="000000" w:themeColor="text1"/>
          <w:sz w:val="22"/>
          <w:szCs w:val="22"/>
        </w:rPr>
        <w:t>Transmission probabilities</w:t>
      </w:r>
    </w:p>
    <w:p w14:paraId="37FD7DC1" w14:textId="77777777" w:rsidR="0033506D" w:rsidRPr="00DC582F" w:rsidRDefault="0033506D" w:rsidP="0033506D">
      <w:pPr>
        <w:pStyle w:val="NormalWeb"/>
        <w:numPr>
          <w:ilvl w:val="0"/>
          <w:numId w:val="8"/>
        </w:numPr>
        <w:rPr>
          <w:color w:val="000000" w:themeColor="text1"/>
          <w:sz w:val="22"/>
          <w:szCs w:val="22"/>
        </w:rPr>
      </w:pPr>
      <w:r w:rsidRPr="00DC582F">
        <w:rPr>
          <w:color w:val="000000" w:themeColor="text1"/>
          <w:sz w:val="22"/>
          <w:szCs w:val="22"/>
        </w:rPr>
        <w:t xml:space="preserve">Recovery rates </w:t>
      </w:r>
    </w:p>
    <w:p w14:paraId="12CE3087" w14:textId="77777777" w:rsidR="0033506D" w:rsidRPr="00DC582F" w:rsidRDefault="0033506D" w:rsidP="0033506D">
      <w:pPr>
        <w:pStyle w:val="NormalWeb"/>
        <w:rPr>
          <w:color w:val="000000" w:themeColor="text1"/>
          <w:sz w:val="22"/>
          <w:szCs w:val="22"/>
        </w:rPr>
      </w:pPr>
      <w:r w:rsidRPr="00DC582F">
        <w:rPr>
          <w:color w:val="000000" w:themeColor="text1"/>
          <w:sz w:val="22"/>
          <w:szCs w:val="22"/>
        </w:rPr>
        <w:t>Variations in these parameters resulted in significant changes in infection prevalence and elimination outcomes. In particular, reductions in mosquito biting rate produced substantial decreases in transmission, highlighting the critical role of vector control interventions.</w:t>
      </w:r>
    </w:p>
    <w:p w14:paraId="0B28759A" w14:textId="77777777" w:rsidR="0033506D" w:rsidRDefault="0027763B" w:rsidP="0033506D">
      <w:pPr>
        <w:pStyle w:val="NormalWeb"/>
        <w:rPr>
          <w:color w:val="000000" w:themeColor="text1"/>
          <w:sz w:val="22"/>
          <w:szCs w:val="22"/>
        </w:rPr>
      </w:pPr>
      <w:r w:rsidRPr="00DC582F">
        <w:rPr>
          <w:noProof/>
          <w:color w:val="000000" w:themeColor="text1"/>
          <w:sz w:val="22"/>
          <w:szCs w:val="22"/>
        </w:rPr>
        <w:lastRenderedPageBreak/>
        <w:drawing>
          <wp:inline distT="0" distB="0" distL="0" distR="0" wp14:anchorId="629DC74B" wp14:editId="7CEFAABE">
            <wp:extent cx="5650173" cy="3821278"/>
            <wp:effectExtent l="0" t="0" r="8255" b="825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rotWithShape="1">
                    <a:blip r:embed="rId13">
                      <a:extLst>
                        <a:ext uri="{28A0092B-C50C-407E-A947-70E740481C1C}">
                          <a14:useLocalDpi xmlns:a14="http://schemas.microsoft.com/office/drawing/2010/main" val="0"/>
                        </a:ext>
                      </a:extLst>
                    </a:blip>
                    <a:srcRect t="11111" r="1420"/>
                    <a:stretch>
                      <a:fillRect/>
                    </a:stretch>
                  </pic:blipFill>
                  <pic:spPr bwMode="auto">
                    <a:xfrm>
                      <a:off x="0" y="0"/>
                      <a:ext cx="5650173" cy="3821278"/>
                    </a:xfrm>
                    <a:prstGeom prst="rect">
                      <a:avLst/>
                    </a:prstGeom>
                    <a:ln>
                      <a:noFill/>
                    </a:ln>
                    <a:extLst>
                      <a:ext uri="{53640926-AAD7-44D8-BBD7-CCE9431645EC}">
                        <a14:shadowObscured xmlns:a14="http://schemas.microsoft.com/office/drawing/2010/main"/>
                      </a:ext>
                    </a:extLst>
                  </pic:spPr>
                </pic:pic>
              </a:graphicData>
            </a:graphic>
          </wp:inline>
        </w:drawing>
      </w:r>
      <w:r w:rsidR="0033506D" w:rsidRPr="00DC582F">
        <w:rPr>
          <w:color w:val="000000" w:themeColor="text1"/>
          <w:sz w:val="22"/>
          <w:szCs w:val="22"/>
        </w:rPr>
        <w:br/>
      </w:r>
      <w:r w:rsidR="0033506D" w:rsidRPr="00DC582F">
        <w:rPr>
          <w:rStyle w:val="Strong"/>
          <w:b w:val="0"/>
          <w:bCs w:val="0"/>
          <w:color w:val="000000" w:themeColor="text1"/>
          <w:sz w:val="22"/>
          <w:szCs w:val="22"/>
        </w:rPr>
        <w:t>Figure 6:</w:t>
      </w:r>
      <w:r w:rsidR="0033506D" w:rsidRPr="00DC582F">
        <w:rPr>
          <w:color w:val="000000" w:themeColor="text1"/>
          <w:sz w:val="22"/>
          <w:szCs w:val="22"/>
        </w:rPr>
        <w:t xml:space="preserve"> Sensitivity of malaria transmission dynamics to key model parameters.</w:t>
      </w:r>
    </w:p>
    <w:p w14:paraId="2A343E28" w14:textId="77777777" w:rsidR="00DC582F" w:rsidRDefault="00DC582F" w:rsidP="0033506D">
      <w:pPr>
        <w:pStyle w:val="NormalWeb"/>
        <w:rPr>
          <w:color w:val="000000" w:themeColor="text1"/>
          <w:sz w:val="22"/>
          <w:szCs w:val="22"/>
        </w:rPr>
      </w:pPr>
    </w:p>
    <w:p w14:paraId="31415AA0" w14:textId="77777777" w:rsidR="00DC582F" w:rsidRDefault="00DC582F" w:rsidP="0033506D">
      <w:pPr>
        <w:pStyle w:val="NormalWeb"/>
        <w:rPr>
          <w:color w:val="000000" w:themeColor="text1"/>
          <w:sz w:val="22"/>
          <w:szCs w:val="22"/>
        </w:rPr>
      </w:pPr>
    </w:p>
    <w:p w14:paraId="333E7AA7" w14:textId="77777777" w:rsidR="00DC582F" w:rsidRDefault="00DC582F" w:rsidP="0033506D">
      <w:pPr>
        <w:pStyle w:val="NormalWeb"/>
        <w:rPr>
          <w:color w:val="000000" w:themeColor="text1"/>
          <w:sz w:val="22"/>
          <w:szCs w:val="22"/>
        </w:rPr>
      </w:pPr>
    </w:p>
    <w:p w14:paraId="7EF419ED" w14:textId="77777777" w:rsidR="00DC582F" w:rsidRDefault="00DC582F" w:rsidP="0033506D">
      <w:pPr>
        <w:pStyle w:val="NormalWeb"/>
        <w:rPr>
          <w:color w:val="000000" w:themeColor="text1"/>
          <w:sz w:val="22"/>
          <w:szCs w:val="22"/>
        </w:rPr>
      </w:pPr>
    </w:p>
    <w:p w14:paraId="7593A150" w14:textId="77777777" w:rsidR="00DC582F" w:rsidRDefault="00DC582F" w:rsidP="0033506D">
      <w:pPr>
        <w:pStyle w:val="NormalWeb"/>
        <w:rPr>
          <w:color w:val="000000" w:themeColor="text1"/>
          <w:sz w:val="22"/>
          <w:szCs w:val="22"/>
        </w:rPr>
      </w:pPr>
    </w:p>
    <w:p w14:paraId="3BA082F5" w14:textId="77777777" w:rsidR="00DC582F" w:rsidRDefault="00DC582F" w:rsidP="0033506D">
      <w:pPr>
        <w:pStyle w:val="NormalWeb"/>
        <w:rPr>
          <w:color w:val="000000" w:themeColor="text1"/>
          <w:sz w:val="22"/>
          <w:szCs w:val="22"/>
        </w:rPr>
      </w:pPr>
    </w:p>
    <w:p w14:paraId="17CCC573" w14:textId="77777777" w:rsidR="00DC582F" w:rsidRDefault="00DC582F" w:rsidP="0033506D">
      <w:pPr>
        <w:pStyle w:val="NormalWeb"/>
        <w:rPr>
          <w:color w:val="000000" w:themeColor="text1"/>
          <w:sz w:val="22"/>
          <w:szCs w:val="22"/>
        </w:rPr>
      </w:pPr>
    </w:p>
    <w:p w14:paraId="25BF9B74" w14:textId="77777777" w:rsidR="00DC582F" w:rsidRDefault="00DC582F" w:rsidP="0033506D">
      <w:pPr>
        <w:pStyle w:val="NormalWeb"/>
        <w:rPr>
          <w:color w:val="000000" w:themeColor="text1"/>
          <w:sz w:val="22"/>
          <w:szCs w:val="22"/>
        </w:rPr>
      </w:pPr>
    </w:p>
    <w:p w14:paraId="42BB8057" w14:textId="77777777" w:rsidR="00DC582F" w:rsidRDefault="00DC582F" w:rsidP="0033506D">
      <w:pPr>
        <w:pStyle w:val="NormalWeb"/>
        <w:rPr>
          <w:color w:val="000000" w:themeColor="text1"/>
          <w:sz w:val="22"/>
          <w:szCs w:val="22"/>
        </w:rPr>
      </w:pPr>
    </w:p>
    <w:p w14:paraId="2E376339" w14:textId="77777777" w:rsidR="00DC582F" w:rsidRDefault="00DC582F" w:rsidP="0033506D">
      <w:pPr>
        <w:pStyle w:val="NormalWeb"/>
        <w:rPr>
          <w:color w:val="000000" w:themeColor="text1"/>
          <w:sz w:val="22"/>
          <w:szCs w:val="22"/>
        </w:rPr>
      </w:pPr>
    </w:p>
    <w:p w14:paraId="1DE63E7A" w14:textId="77777777" w:rsidR="00DC582F" w:rsidRDefault="00DC582F" w:rsidP="0033506D">
      <w:pPr>
        <w:pStyle w:val="NormalWeb"/>
        <w:rPr>
          <w:color w:val="000000" w:themeColor="text1"/>
          <w:sz w:val="22"/>
          <w:szCs w:val="22"/>
        </w:rPr>
      </w:pPr>
    </w:p>
    <w:p w14:paraId="24F78DB6" w14:textId="77777777" w:rsidR="00DC582F" w:rsidRDefault="00DC582F" w:rsidP="0033506D">
      <w:pPr>
        <w:pStyle w:val="NormalWeb"/>
        <w:rPr>
          <w:color w:val="000000" w:themeColor="text1"/>
          <w:sz w:val="22"/>
          <w:szCs w:val="22"/>
        </w:rPr>
      </w:pPr>
    </w:p>
    <w:p w14:paraId="48044C38" w14:textId="77777777" w:rsidR="0027763B" w:rsidRPr="00DC582F" w:rsidRDefault="0027763B" w:rsidP="0027763B">
      <w:pPr>
        <w:pStyle w:val="Heading2"/>
        <w:rPr>
          <w:color w:val="000000" w:themeColor="text1"/>
          <w:sz w:val="22"/>
          <w:szCs w:val="22"/>
        </w:rPr>
      </w:pPr>
      <w:r w:rsidRPr="00DC582F">
        <w:rPr>
          <w:color w:val="000000" w:themeColor="text1"/>
          <w:sz w:val="22"/>
          <w:szCs w:val="22"/>
        </w:rPr>
        <w:t>6. Discussion</w:t>
      </w:r>
    </w:p>
    <w:p w14:paraId="67ECD6A9" w14:textId="77777777" w:rsidR="0027763B" w:rsidRPr="00DC582F" w:rsidRDefault="0027763B" w:rsidP="0027763B">
      <w:pPr>
        <w:pStyle w:val="NormalWeb"/>
        <w:rPr>
          <w:color w:val="000000" w:themeColor="text1"/>
          <w:sz w:val="22"/>
          <w:szCs w:val="22"/>
        </w:rPr>
      </w:pPr>
      <w:r w:rsidRPr="00DC582F">
        <w:rPr>
          <w:color w:val="000000" w:themeColor="text1"/>
          <w:sz w:val="22"/>
          <w:szCs w:val="22"/>
        </w:rPr>
        <w:lastRenderedPageBreak/>
        <w:t>This study developed a hybrid SEIR</w:t>
      </w:r>
      <w:r w:rsidR="00DC582F">
        <w:rPr>
          <w:color w:val="000000" w:themeColor="text1"/>
          <w:sz w:val="22"/>
          <w:szCs w:val="22"/>
        </w:rPr>
        <w:t>-</w:t>
      </w:r>
      <w:r w:rsidRPr="00DC582F">
        <w:rPr>
          <w:color w:val="000000" w:themeColor="text1"/>
          <w:sz w:val="22"/>
          <w:szCs w:val="22"/>
        </w:rPr>
        <w:t>SEI</w:t>
      </w:r>
      <w:r w:rsidR="00DC582F">
        <w:rPr>
          <w:color w:val="000000" w:themeColor="text1"/>
          <w:sz w:val="22"/>
          <w:szCs w:val="22"/>
        </w:rPr>
        <w:t>-</w:t>
      </w:r>
      <w:r w:rsidRPr="00DC582F">
        <w:rPr>
          <w:color w:val="000000" w:themeColor="text1"/>
          <w:sz w:val="22"/>
          <w:szCs w:val="22"/>
        </w:rPr>
        <w:t>ARIMA modeling framework to evaluate malaria intervention packages and assess elimination prospects in the Federal Capital Territory (FCT), Nigeria. By integrating a mechanistic transmission model with a data-driven forecasting approach, the study provides a more comprehensive understanding of malaria dynamics and control compared to the use of either method in isolation.</w:t>
      </w:r>
      <w:r w:rsidR="00DC582F">
        <w:rPr>
          <w:color w:val="000000" w:themeColor="text1"/>
          <w:sz w:val="22"/>
          <w:szCs w:val="22"/>
        </w:rPr>
        <w:t xml:space="preserve"> </w:t>
      </w:r>
      <w:r w:rsidRPr="00DC582F">
        <w:rPr>
          <w:color w:val="000000" w:themeColor="text1"/>
          <w:sz w:val="22"/>
          <w:szCs w:val="22"/>
        </w:rPr>
        <w:t>The ARIMA model results indicate that, under current conditions, malaria incidence in the FCT is likely to persist over time, with only marginal reductions observed in projected trends. This finding reflects the limitations of existing intervention coverage and aligns with epidemiological reports showing sustained malaria transmission in Nigeria despite ongoing control efforts. While ARIMA models are effective in capturing temporal patterns and generating short-term forecasts, they do not account for underlying transmission mechanisms or intervention effects, which limits their utility for evaluating long-term control strategies.</w:t>
      </w:r>
    </w:p>
    <w:p w14:paraId="03F3F4D4" w14:textId="77777777" w:rsidR="0027763B" w:rsidRPr="00DC582F" w:rsidRDefault="0027763B" w:rsidP="0027763B">
      <w:pPr>
        <w:pStyle w:val="NormalWeb"/>
        <w:rPr>
          <w:color w:val="000000" w:themeColor="text1"/>
          <w:sz w:val="22"/>
          <w:szCs w:val="22"/>
        </w:rPr>
      </w:pPr>
      <w:r w:rsidRPr="00DC582F">
        <w:rPr>
          <w:color w:val="000000" w:themeColor="text1"/>
          <w:sz w:val="22"/>
          <w:szCs w:val="22"/>
        </w:rPr>
        <w:t>In contrast, the SEIR</w:t>
      </w:r>
      <w:r w:rsidR="00DC582F">
        <w:rPr>
          <w:color w:val="000000" w:themeColor="text1"/>
          <w:sz w:val="22"/>
          <w:szCs w:val="22"/>
        </w:rPr>
        <w:t>-</w:t>
      </w:r>
      <w:r w:rsidRPr="00DC582F">
        <w:rPr>
          <w:color w:val="000000" w:themeColor="text1"/>
          <w:sz w:val="22"/>
          <w:szCs w:val="22"/>
        </w:rPr>
        <w:t>SEI model provides a mechanistic representation of malaria transmission dynamics, explicitly incorporating human</w:t>
      </w:r>
      <w:r w:rsidR="009C5967">
        <w:rPr>
          <w:color w:val="000000" w:themeColor="text1"/>
          <w:sz w:val="22"/>
          <w:szCs w:val="22"/>
        </w:rPr>
        <w:t>-</w:t>
      </w:r>
      <w:r w:rsidRPr="00DC582F">
        <w:rPr>
          <w:color w:val="000000" w:themeColor="text1"/>
          <w:sz w:val="22"/>
          <w:szCs w:val="22"/>
        </w:rPr>
        <w:t>vector interactions, disease progression, and intervention effects. The baseline simulation results confirm that malaria remains endemic under current conditions, as indicated by a basic reproduction number (R0) greater than unity. This reinforces the understanding that treatment alone, even when effective at reducing disease severity, does not sufficiently interrupt transmission.</w:t>
      </w:r>
    </w:p>
    <w:p w14:paraId="41041DEA" w14:textId="77777777" w:rsidR="0027763B" w:rsidRPr="00DC582F" w:rsidRDefault="0027763B" w:rsidP="0027763B">
      <w:pPr>
        <w:pStyle w:val="NormalWeb"/>
        <w:rPr>
          <w:color w:val="000000" w:themeColor="text1"/>
          <w:sz w:val="22"/>
          <w:szCs w:val="22"/>
        </w:rPr>
      </w:pPr>
      <w:r w:rsidRPr="00DC582F">
        <w:rPr>
          <w:color w:val="000000" w:themeColor="text1"/>
          <w:sz w:val="22"/>
          <w:szCs w:val="22"/>
        </w:rPr>
        <w:t>The intervention scenario analysis highlights important differences in the effectiveness of various control strategies. Vector control interventions, particularly insecticide-treated nets (ITNs) and indoor residual spraying (IRS), demonstrated substantial reductions in transmission by targeting the mosquito population and reducing human exposure to infectious bites. These findings are consistent with previous studies emphasizing the central role of vector control in malaria reduction. However, even these interventions were insufficient to achieve elimination when implemented individually, suggesting that their impact is constrained by coverage levels, adherence, and potential vector resistance.</w:t>
      </w:r>
      <w:r w:rsidR="005807B1" w:rsidRPr="00DC582F">
        <w:rPr>
          <w:color w:val="000000" w:themeColor="text1"/>
          <w:sz w:val="22"/>
          <w:szCs w:val="22"/>
        </w:rPr>
        <w:t xml:space="preserve"> </w:t>
      </w:r>
      <w:r w:rsidRPr="00DC582F">
        <w:rPr>
          <w:color w:val="000000" w:themeColor="text1"/>
          <w:sz w:val="22"/>
          <w:szCs w:val="22"/>
        </w:rPr>
        <w:t>Chemoprevention strategies, including seasonal malaria chemoprevention (SMC) and intermittent preventive treatment in pregnancy (IPTp), showed targeted benefits by reducing infection among high-risk populations. While these interventions are essential for protecting vulnerable groups, their limited impact on overall transmission dynamics highlights the need for broader, population-level strategies. Similarly, treatment with artemisinin-based combination therapy (ACT) reduced the duration of infectiousness but did not significantly alter the overall transmission trajectory.</w:t>
      </w:r>
    </w:p>
    <w:p w14:paraId="55FC7CFD" w14:textId="77777777" w:rsidR="0027763B" w:rsidRPr="00DC582F" w:rsidRDefault="0027763B" w:rsidP="0027763B">
      <w:pPr>
        <w:pStyle w:val="NormalWeb"/>
        <w:rPr>
          <w:color w:val="000000" w:themeColor="text1"/>
          <w:sz w:val="22"/>
          <w:szCs w:val="22"/>
        </w:rPr>
      </w:pPr>
      <w:r w:rsidRPr="00DC582F">
        <w:rPr>
          <w:color w:val="000000" w:themeColor="text1"/>
          <w:sz w:val="22"/>
          <w:szCs w:val="22"/>
        </w:rPr>
        <w:t>A key contribution of this study lies in the hybrid modeling framework, which combines the strengths of mechanistic and data-driven approaches. The consistency observed between ARIMA forecasts and SEIR</w:t>
      </w:r>
      <w:r w:rsidR="009C5967">
        <w:rPr>
          <w:color w:val="000000" w:themeColor="text1"/>
          <w:sz w:val="22"/>
          <w:szCs w:val="22"/>
        </w:rPr>
        <w:t>-</w:t>
      </w:r>
      <w:r w:rsidRPr="00DC582F">
        <w:rPr>
          <w:color w:val="000000" w:themeColor="text1"/>
          <w:sz w:val="22"/>
          <w:szCs w:val="22"/>
        </w:rPr>
        <w:t>SEI simulation outputs strengthens confidence in the model results and demonstrates the value of integrating multiple modeling perspectives. Importantly, the hybrid framework reveals insights that would not be apparent from either model alone. While ARIMA forecasts suggest continued persistence of malaria, the SEIR</w:t>
      </w:r>
      <w:r w:rsidR="009C5967">
        <w:rPr>
          <w:color w:val="000000" w:themeColor="text1"/>
          <w:sz w:val="22"/>
          <w:szCs w:val="22"/>
        </w:rPr>
        <w:t>-</w:t>
      </w:r>
      <w:r w:rsidRPr="00DC582F">
        <w:rPr>
          <w:color w:val="000000" w:themeColor="text1"/>
          <w:sz w:val="22"/>
          <w:szCs w:val="22"/>
        </w:rPr>
        <w:t>SEI model identifies specific intervention conditions under which transmission can be significantly reduced or eliminated.</w:t>
      </w:r>
      <w:r w:rsidR="005807B1" w:rsidRPr="00DC582F">
        <w:rPr>
          <w:color w:val="000000" w:themeColor="text1"/>
          <w:sz w:val="22"/>
          <w:szCs w:val="22"/>
        </w:rPr>
        <w:t xml:space="preserve"> </w:t>
      </w:r>
      <w:r w:rsidRPr="00DC582F">
        <w:rPr>
          <w:color w:val="000000" w:themeColor="text1"/>
          <w:sz w:val="22"/>
          <w:szCs w:val="22"/>
        </w:rPr>
        <w:t>The analysis of elimination prospects provides critical insights into the challenges of malaria control in the FCT. The results indicate that malaria elimination is unlikely under current intervention coverage levels. However, under optimized combined intervention strategies</w:t>
      </w:r>
      <w:r w:rsidR="005807B1" w:rsidRPr="00DC582F">
        <w:rPr>
          <w:color w:val="000000" w:themeColor="text1"/>
          <w:sz w:val="22"/>
          <w:szCs w:val="22"/>
        </w:rPr>
        <w:t xml:space="preserve"> </w:t>
      </w:r>
      <w:r w:rsidRPr="00DC582F">
        <w:rPr>
          <w:color w:val="000000" w:themeColor="text1"/>
          <w:sz w:val="22"/>
          <w:szCs w:val="22"/>
        </w:rPr>
        <w:t>incorporating vector control, chemoprevention, and effective treatment at high coverage levels</w:t>
      </w:r>
      <w:r w:rsidR="005807B1" w:rsidRPr="00DC582F">
        <w:rPr>
          <w:color w:val="000000" w:themeColor="text1"/>
          <w:sz w:val="22"/>
          <w:szCs w:val="22"/>
        </w:rPr>
        <w:t xml:space="preserve"> </w:t>
      </w:r>
      <w:r w:rsidRPr="00DC582F">
        <w:rPr>
          <w:color w:val="000000" w:themeColor="text1"/>
          <w:sz w:val="22"/>
          <w:szCs w:val="22"/>
        </w:rPr>
        <w:t>the reproduction number can be reduced below unity, leading to a gradual decline in transmission toward elimination. This finding underscores the importance of integrated intervention packages and sustained implementation.</w:t>
      </w:r>
    </w:p>
    <w:p w14:paraId="5253CDBA" w14:textId="77777777" w:rsidR="0027763B" w:rsidRPr="00DC582F" w:rsidRDefault="0027763B" w:rsidP="0027763B">
      <w:pPr>
        <w:pStyle w:val="NormalWeb"/>
        <w:rPr>
          <w:color w:val="000000" w:themeColor="text1"/>
          <w:sz w:val="22"/>
          <w:szCs w:val="22"/>
        </w:rPr>
      </w:pPr>
      <w:r w:rsidRPr="00DC582F">
        <w:rPr>
          <w:color w:val="000000" w:themeColor="text1"/>
          <w:sz w:val="22"/>
          <w:szCs w:val="22"/>
        </w:rPr>
        <w:t>Sensitivity analysis further emphasizes the dominant role of key transmission parameters, particularly mosquito biting rate and transmission probabilities. The high sensitivity of model outcomes to these parameters highlights the importance of vector-targeted interventions and suggests that even modest improvements in vector control coverage and effectiveness can yield substantial reductions in transmission. This has important implications for resource allocation and prioritization in malaria control programs.</w:t>
      </w:r>
      <w:r w:rsidR="005807B1" w:rsidRPr="00DC582F">
        <w:rPr>
          <w:color w:val="000000" w:themeColor="text1"/>
          <w:sz w:val="22"/>
          <w:szCs w:val="22"/>
        </w:rPr>
        <w:t xml:space="preserve"> </w:t>
      </w:r>
      <w:r w:rsidRPr="00DC582F">
        <w:rPr>
          <w:color w:val="000000" w:themeColor="text1"/>
          <w:sz w:val="22"/>
          <w:szCs w:val="22"/>
        </w:rPr>
        <w:t xml:space="preserve">From a broader perspective, the persistence of malaria observed in this study reflects systemic challenges rather than the failure of individual interventions. The findings suggest </w:t>
      </w:r>
      <w:r w:rsidRPr="00DC582F">
        <w:rPr>
          <w:color w:val="000000" w:themeColor="text1"/>
          <w:sz w:val="22"/>
          <w:szCs w:val="22"/>
        </w:rPr>
        <w:lastRenderedPageBreak/>
        <w:t>that the primary barrier to elimination is not the absence of effective tools, but rather the suboptimal integration, coverage, and sustained implementation of these tools within the health system. This supports the notion that malaria control strategies must move beyond isolated interventions toward coordinated, multi-layered approaches.</w:t>
      </w:r>
    </w:p>
    <w:p w14:paraId="74082DE9" w14:textId="77777777" w:rsidR="0027763B" w:rsidRPr="00DC582F" w:rsidRDefault="0027763B" w:rsidP="0027763B">
      <w:pPr>
        <w:pStyle w:val="NormalWeb"/>
        <w:rPr>
          <w:color w:val="000000" w:themeColor="text1"/>
          <w:sz w:val="22"/>
          <w:szCs w:val="22"/>
        </w:rPr>
      </w:pPr>
      <w:r w:rsidRPr="00DC582F">
        <w:rPr>
          <w:color w:val="000000" w:themeColor="text1"/>
          <w:sz w:val="22"/>
          <w:szCs w:val="22"/>
        </w:rPr>
        <w:t>This study contributes to the existing literature by demonstrating the value of hybrid modeling frameworks in infectious disease research. By integrating mechanistic understanding with empirical forecasting, the approach provides a more robust and realistic basis for evaluating intervention strategies and predicting future transmission dynamics. This is particularly relevant in settings like Nigeria, where complex transmission patterns and heterogeneous intervention coverage require more sophisticated analytical tools.</w:t>
      </w:r>
    </w:p>
    <w:p w14:paraId="78D63F93" w14:textId="77777777" w:rsidR="0027763B" w:rsidRDefault="0027763B" w:rsidP="0027763B">
      <w:pPr>
        <w:pStyle w:val="NormalWeb"/>
        <w:rPr>
          <w:color w:val="000000" w:themeColor="text1"/>
          <w:sz w:val="22"/>
          <w:szCs w:val="22"/>
        </w:rPr>
      </w:pPr>
      <w:r w:rsidRPr="00DC582F">
        <w:rPr>
          <w:color w:val="000000" w:themeColor="text1"/>
          <w:sz w:val="22"/>
          <w:szCs w:val="22"/>
        </w:rPr>
        <w:t>However, several limitations should be acknowledged. The model assumes homogeneous mixing within population groups, which may not fully capture spatial heterogeneity and localized transmission patterns. Additionally, the ARIMA model relies on the quality and completeness of reported incidence data, which may be affected by underreporting or inconsistencies in surveillance systems. Furthermore, the parameter values used in the SEIR</w:t>
      </w:r>
      <w:r w:rsidR="009C5967">
        <w:rPr>
          <w:color w:val="000000" w:themeColor="text1"/>
          <w:sz w:val="22"/>
          <w:szCs w:val="22"/>
        </w:rPr>
        <w:t>-</w:t>
      </w:r>
      <w:r w:rsidRPr="00DC582F">
        <w:rPr>
          <w:color w:val="000000" w:themeColor="text1"/>
          <w:sz w:val="22"/>
          <w:szCs w:val="22"/>
        </w:rPr>
        <w:t>SEI model were derived from literature and may not fully reflect local variations in transmission dynamics.</w:t>
      </w:r>
      <w:r w:rsidR="005807B1" w:rsidRPr="00DC582F">
        <w:rPr>
          <w:color w:val="000000" w:themeColor="text1"/>
          <w:sz w:val="22"/>
          <w:szCs w:val="22"/>
        </w:rPr>
        <w:t xml:space="preserve"> </w:t>
      </w:r>
      <w:r w:rsidRPr="00DC582F">
        <w:rPr>
          <w:color w:val="000000" w:themeColor="text1"/>
          <w:sz w:val="22"/>
          <w:szCs w:val="22"/>
        </w:rPr>
        <w:t>Future research should consider incorporating spatial structure, seasonality, and more detailed behavioral and environmental factors into the modeling framework. In addition, further refinement of the hybrid approach</w:t>
      </w:r>
      <w:r w:rsidR="005807B1" w:rsidRPr="00DC582F">
        <w:rPr>
          <w:color w:val="000000" w:themeColor="text1"/>
          <w:sz w:val="22"/>
          <w:szCs w:val="22"/>
        </w:rPr>
        <w:t xml:space="preserve"> </w:t>
      </w:r>
      <w:r w:rsidRPr="00DC582F">
        <w:rPr>
          <w:color w:val="000000" w:themeColor="text1"/>
          <w:sz w:val="22"/>
          <w:szCs w:val="22"/>
        </w:rPr>
        <w:t>such as dynamic coupling between mechanistic and statistical models</w:t>
      </w:r>
      <w:r w:rsidR="005807B1" w:rsidRPr="00DC582F">
        <w:rPr>
          <w:color w:val="000000" w:themeColor="text1"/>
          <w:sz w:val="22"/>
          <w:szCs w:val="22"/>
        </w:rPr>
        <w:t xml:space="preserve"> </w:t>
      </w:r>
      <w:r w:rsidRPr="00DC582F">
        <w:rPr>
          <w:color w:val="000000" w:themeColor="text1"/>
          <w:sz w:val="22"/>
          <w:szCs w:val="22"/>
        </w:rPr>
        <w:t>could enhance predictive accuracy and policy relevance.</w:t>
      </w:r>
    </w:p>
    <w:p w14:paraId="4B5A8465" w14:textId="77777777" w:rsidR="00826AFB" w:rsidRPr="00C65E69" w:rsidRDefault="00826AFB" w:rsidP="00826AFB">
      <w:pPr>
        <w:spacing w:before="100" w:beforeAutospacing="1" w:after="100" w:afterAutospacing="1"/>
        <w:outlineLvl w:val="1"/>
        <w:rPr>
          <w:rFonts w:ascii="Times New Roman" w:eastAsia="Times New Roman" w:hAnsi="Times New Roman" w:cs="Times New Roman"/>
          <w:b/>
          <w:bCs/>
          <w:sz w:val="36"/>
          <w:szCs w:val="36"/>
          <w:lang w:eastAsia="en-GB"/>
        </w:rPr>
      </w:pPr>
      <w:r w:rsidRPr="00C65E69">
        <w:rPr>
          <w:rFonts w:ascii="Times New Roman" w:eastAsia="Times New Roman" w:hAnsi="Times New Roman" w:cs="Times New Roman"/>
          <w:b/>
          <w:bCs/>
          <w:sz w:val="36"/>
          <w:szCs w:val="36"/>
          <w:lang w:eastAsia="en-GB"/>
        </w:rPr>
        <w:t>Conclusion</w:t>
      </w:r>
    </w:p>
    <w:p w14:paraId="6A95E37E" w14:textId="77777777" w:rsidR="00826AFB" w:rsidRPr="00C65E69" w:rsidRDefault="00826AFB" w:rsidP="00826AFB">
      <w:pPr>
        <w:spacing w:before="100" w:beforeAutospacing="1" w:after="100" w:afterAutospacing="1"/>
        <w:rPr>
          <w:rFonts w:ascii="Times New Roman" w:eastAsia="Times New Roman" w:hAnsi="Times New Roman" w:cs="Times New Roman"/>
          <w:lang w:eastAsia="en-GB"/>
        </w:rPr>
      </w:pPr>
      <w:r w:rsidRPr="00C65E69">
        <w:rPr>
          <w:rFonts w:ascii="Times New Roman" w:eastAsia="Times New Roman" w:hAnsi="Times New Roman" w:cs="Times New Roman"/>
          <w:lang w:eastAsia="en-GB"/>
        </w:rPr>
        <w:t xml:space="preserve">This study applied a hybrid SEIR-SEI and ARIMA </w:t>
      </w:r>
      <w:proofErr w:type="spellStart"/>
      <w:r w:rsidRPr="00C65E69">
        <w:rPr>
          <w:rFonts w:ascii="Times New Roman" w:eastAsia="Times New Roman" w:hAnsi="Times New Roman" w:cs="Times New Roman"/>
          <w:lang w:eastAsia="en-GB"/>
        </w:rPr>
        <w:t>modeling</w:t>
      </w:r>
      <w:proofErr w:type="spellEnd"/>
      <w:r w:rsidRPr="00C65E69">
        <w:rPr>
          <w:rFonts w:ascii="Times New Roman" w:eastAsia="Times New Roman" w:hAnsi="Times New Roman" w:cs="Times New Roman"/>
          <w:lang w:eastAsia="en-GB"/>
        </w:rPr>
        <w:t xml:space="preserve"> framework to examine malaria intervention packages and elimination prospects in the Federal Capital Territory, Nigeria. The results suggest that malaria transmission is likely to persist under current intervention conditions, while individual interventions alone may reduce infection levels without achieving elimination. Combined intervention strategies showed greater potential to reduce transmission and, under optimized coverage assumptions, may lower the reproduction number below unity. These findings support the need for coordinated vector control, chemoprevention, treatment, and sustained monitoring. However, conclusions should be interpreted cautiously because model performance depends on data quality, parameter assumptions, and the adequacy of local calibration.</w:t>
      </w:r>
    </w:p>
    <w:p w14:paraId="49B8A338" w14:textId="77777777" w:rsidR="00826AFB" w:rsidRPr="00DC582F" w:rsidRDefault="00826AFB" w:rsidP="0027763B">
      <w:pPr>
        <w:pStyle w:val="NormalWeb"/>
        <w:rPr>
          <w:color w:val="000000" w:themeColor="text1"/>
          <w:sz w:val="22"/>
          <w:szCs w:val="22"/>
        </w:rPr>
      </w:pPr>
    </w:p>
    <w:p w14:paraId="4E51D506" w14:textId="77777777" w:rsidR="0027763B" w:rsidRPr="00DC582F" w:rsidRDefault="0027763B" w:rsidP="0027763B">
      <w:pPr>
        <w:pStyle w:val="Heading3"/>
        <w:rPr>
          <w:rFonts w:ascii="Times New Roman" w:hAnsi="Times New Roman" w:cs="Times New Roman"/>
          <w:color w:val="000000" w:themeColor="text1"/>
          <w:sz w:val="22"/>
          <w:szCs w:val="22"/>
        </w:rPr>
      </w:pPr>
      <w:r w:rsidRPr="00DC582F">
        <w:rPr>
          <w:rFonts w:ascii="Times New Roman" w:hAnsi="Times New Roman" w:cs="Times New Roman"/>
          <w:color w:val="000000" w:themeColor="text1"/>
          <w:sz w:val="22"/>
          <w:szCs w:val="22"/>
        </w:rPr>
        <w:t>Policy Implications</w:t>
      </w:r>
    </w:p>
    <w:p w14:paraId="3466334D" w14:textId="77777777" w:rsidR="0027763B" w:rsidRPr="00DC582F" w:rsidRDefault="0027763B" w:rsidP="0027763B">
      <w:pPr>
        <w:pStyle w:val="NormalWeb"/>
        <w:rPr>
          <w:color w:val="000000" w:themeColor="text1"/>
          <w:sz w:val="22"/>
          <w:szCs w:val="22"/>
        </w:rPr>
      </w:pPr>
      <w:r w:rsidRPr="00DC582F">
        <w:rPr>
          <w:color w:val="000000" w:themeColor="text1"/>
          <w:sz w:val="22"/>
          <w:szCs w:val="22"/>
        </w:rPr>
        <w:t>The findings of this study have important implications for malaria control policy in Nigeria and similar endemic settings. The results clearly indicate that reliance on single interventions is insufficient to achieve elimination. Policymakers should prioritize integrated intervention strategies that combine vector control, chemoprevention, and effective treatment. In particular, scaling up ITNs and IRS coverage, improving access to ACT, and ensuring consistent implementation of SMC and IPTp programs are critical.</w:t>
      </w:r>
    </w:p>
    <w:p w14:paraId="4FCAEEEF" w14:textId="77777777" w:rsidR="0027763B" w:rsidRDefault="0027763B" w:rsidP="0027763B">
      <w:pPr>
        <w:pStyle w:val="NormalWeb"/>
        <w:rPr>
          <w:color w:val="000000" w:themeColor="text1"/>
          <w:sz w:val="22"/>
          <w:szCs w:val="22"/>
        </w:rPr>
      </w:pPr>
      <w:r w:rsidRPr="00DC582F">
        <w:rPr>
          <w:color w:val="000000" w:themeColor="text1"/>
          <w:sz w:val="22"/>
          <w:szCs w:val="22"/>
        </w:rPr>
        <w:t>Furthermore, the hybrid modeling framework developed in this study provides a valuable tool for evidence-based decision-making. By combining transmission dynamics with real-world data trends, policymakers can better assess the potential impact of intervention strategies and optimize resource allocation. Achieving malaria elimination will require not only increased investment but also improved coordination, monitoring, and adaptive implementation of intervention programs.</w:t>
      </w:r>
    </w:p>
    <w:p w14:paraId="373D181F" w14:textId="77777777" w:rsidR="00DC582F" w:rsidRDefault="00DC582F" w:rsidP="0027763B">
      <w:pPr>
        <w:pStyle w:val="NormalWeb"/>
        <w:rPr>
          <w:color w:val="000000" w:themeColor="text1"/>
          <w:sz w:val="22"/>
          <w:szCs w:val="22"/>
        </w:rPr>
      </w:pPr>
    </w:p>
    <w:p w14:paraId="3DD33A2C" w14:textId="77777777" w:rsidR="00DC582F" w:rsidRDefault="00DC582F" w:rsidP="0027763B">
      <w:pPr>
        <w:pStyle w:val="NormalWeb"/>
        <w:rPr>
          <w:color w:val="000000" w:themeColor="text1"/>
          <w:sz w:val="22"/>
          <w:szCs w:val="22"/>
        </w:rPr>
      </w:pPr>
    </w:p>
    <w:p w14:paraId="025C74C8" w14:textId="77777777" w:rsidR="00826AFB" w:rsidRDefault="00826AFB" w:rsidP="00826AFB">
      <w:pPr>
        <w:rPr>
          <w:rFonts w:ascii="Times New Roman" w:hAnsi="Times New Roman" w:cs="Times New Roman"/>
          <w:b/>
        </w:rPr>
      </w:pPr>
      <w:r w:rsidRPr="000839CE">
        <w:rPr>
          <w:rFonts w:ascii="Times New Roman" w:hAnsi="Times New Roman" w:cs="Times New Roman"/>
          <w:b/>
        </w:rPr>
        <w:t>Declaration of AI Use</w:t>
      </w:r>
    </w:p>
    <w:p w14:paraId="2FF8BDA0" w14:textId="77777777" w:rsidR="00826AFB" w:rsidRDefault="00826AFB" w:rsidP="00826AFB">
      <w:pPr>
        <w:rPr>
          <w:rFonts w:ascii="Times New Roman" w:hAnsi="Times New Roman" w:cs="Times New Roman"/>
          <w:b/>
        </w:rPr>
      </w:pPr>
    </w:p>
    <w:p w14:paraId="748F79F7" w14:textId="77777777" w:rsidR="00826AFB" w:rsidRDefault="00826AFB" w:rsidP="00826AFB">
      <w:pPr>
        <w:rPr>
          <w:rFonts w:ascii="Times New Roman" w:hAnsi="Times New Roman" w:cs="Times New Roman"/>
          <w:b/>
        </w:rPr>
      </w:pPr>
    </w:p>
    <w:p w14:paraId="3F46FD94" w14:textId="77777777" w:rsidR="00826AFB" w:rsidRDefault="00826AFB" w:rsidP="00826AFB">
      <w:pPr>
        <w:rPr>
          <w:rFonts w:ascii="Times New Roman" w:hAnsi="Times New Roman" w:cs="Times New Roman"/>
          <w:b/>
        </w:rPr>
      </w:pPr>
    </w:p>
    <w:p w14:paraId="217AF28E" w14:textId="77777777" w:rsidR="00826AFB" w:rsidRPr="002D08AC" w:rsidRDefault="00826AFB" w:rsidP="00826AFB">
      <w:pPr>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B6B8CD0" w14:textId="77777777" w:rsidR="00DC582F" w:rsidRDefault="00DC582F" w:rsidP="0027763B">
      <w:pPr>
        <w:pStyle w:val="NormalWeb"/>
        <w:rPr>
          <w:color w:val="000000" w:themeColor="text1"/>
          <w:sz w:val="22"/>
          <w:szCs w:val="22"/>
        </w:rPr>
      </w:pPr>
    </w:p>
    <w:p w14:paraId="1805F7CF" w14:textId="77777777" w:rsidR="00DC582F" w:rsidRPr="00DC582F" w:rsidRDefault="00DC582F" w:rsidP="0027763B">
      <w:pPr>
        <w:pStyle w:val="NormalWeb"/>
        <w:rPr>
          <w:color w:val="000000" w:themeColor="text1"/>
          <w:sz w:val="22"/>
          <w:szCs w:val="22"/>
        </w:rPr>
      </w:pPr>
    </w:p>
    <w:p w14:paraId="38007792" w14:textId="77777777" w:rsidR="00DC582F" w:rsidRDefault="00DC582F" w:rsidP="0027763B">
      <w:pPr>
        <w:pStyle w:val="Heading1"/>
        <w:rPr>
          <w:rFonts w:ascii="Times New Roman" w:hAnsi="Times New Roman" w:cs="Times New Roman"/>
          <w:color w:val="000000" w:themeColor="text1"/>
          <w:sz w:val="22"/>
          <w:szCs w:val="22"/>
        </w:rPr>
      </w:pPr>
    </w:p>
    <w:p w14:paraId="04F7FECC" w14:textId="77777777" w:rsidR="009C5967" w:rsidRPr="009C5967" w:rsidRDefault="009C5967" w:rsidP="009C5967"/>
    <w:p w14:paraId="38F69B05" w14:textId="77777777" w:rsidR="0027763B" w:rsidRPr="00DC582F" w:rsidRDefault="0027763B" w:rsidP="0027763B">
      <w:pPr>
        <w:pStyle w:val="Heading1"/>
        <w:rPr>
          <w:rFonts w:ascii="Times New Roman" w:hAnsi="Times New Roman" w:cs="Times New Roman"/>
          <w:b/>
          <w:bCs/>
          <w:color w:val="000000" w:themeColor="text1"/>
          <w:sz w:val="22"/>
          <w:szCs w:val="22"/>
        </w:rPr>
      </w:pPr>
      <w:r w:rsidRPr="00DC582F">
        <w:rPr>
          <w:rFonts w:ascii="Times New Roman" w:hAnsi="Times New Roman" w:cs="Times New Roman"/>
          <w:b/>
          <w:bCs/>
          <w:color w:val="000000" w:themeColor="text1"/>
          <w:sz w:val="22"/>
          <w:szCs w:val="22"/>
        </w:rPr>
        <w:t xml:space="preserve">REFERENCES </w:t>
      </w:r>
    </w:p>
    <w:p w14:paraId="67A5F085" w14:textId="77777777" w:rsidR="0027763B" w:rsidRPr="00DC582F" w:rsidRDefault="0027763B" w:rsidP="0027763B">
      <w:pPr>
        <w:numPr>
          <w:ilvl w:val="0"/>
          <w:numId w:val="9"/>
        </w:numPr>
        <w:spacing w:before="100" w:beforeAutospacing="1" w:after="100" w:afterAutospacing="1"/>
        <w:rPr>
          <w:rFonts w:ascii="Times New Roman" w:hAnsi="Times New Roman" w:cs="Times New Roman"/>
          <w:color w:val="000000" w:themeColor="text1"/>
          <w:sz w:val="22"/>
          <w:szCs w:val="22"/>
        </w:rPr>
      </w:pPr>
      <w:r w:rsidRPr="00DC582F">
        <w:rPr>
          <w:rStyle w:val="whitespace-normal"/>
          <w:rFonts w:ascii="Times New Roman" w:hAnsi="Times New Roman" w:cs="Times New Roman"/>
          <w:color w:val="000000" w:themeColor="text1"/>
          <w:sz w:val="22"/>
          <w:szCs w:val="22"/>
        </w:rPr>
        <w:t>World Health Organization</w:t>
      </w:r>
      <w:r w:rsidRPr="00DC582F">
        <w:rPr>
          <w:rFonts w:ascii="Times New Roman" w:hAnsi="Times New Roman" w:cs="Times New Roman"/>
          <w:color w:val="000000" w:themeColor="text1"/>
          <w:sz w:val="22"/>
          <w:szCs w:val="22"/>
        </w:rPr>
        <w:t xml:space="preserve">. World malaria report 2023. Geneva: WHO; 2023. </w:t>
      </w:r>
    </w:p>
    <w:p w14:paraId="6409191F" w14:textId="77777777" w:rsidR="0027763B" w:rsidRPr="00DC582F" w:rsidRDefault="0027763B" w:rsidP="0027763B">
      <w:pPr>
        <w:numPr>
          <w:ilvl w:val="0"/>
          <w:numId w:val="9"/>
        </w:numPr>
        <w:spacing w:before="100" w:beforeAutospacing="1" w:after="100" w:afterAutospacing="1"/>
        <w:rPr>
          <w:rFonts w:ascii="Times New Roman" w:hAnsi="Times New Roman" w:cs="Times New Roman"/>
          <w:color w:val="000000" w:themeColor="text1"/>
          <w:sz w:val="22"/>
          <w:szCs w:val="22"/>
        </w:rPr>
      </w:pPr>
      <w:r w:rsidRPr="00DC582F">
        <w:rPr>
          <w:rStyle w:val="whitespace-normal"/>
          <w:rFonts w:ascii="Times New Roman" w:hAnsi="Times New Roman" w:cs="Times New Roman"/>
          <w:color w:val="000000" w:themeColor="text1"/>
          <w:sz w:val="22"/>
          <w:szCs w:val="22"/>
        </w:rPr>
        <w:t>World Health Organization</w:t>
      </w:r>
      <w:r w:rsidRPr="00DC582F">
        <w:rPr>
          <w:rFonts w:ascii="Times New Roman" w:hAnsi="Times New Roman" w:cs="Times New Roman"/>
          <w:color w:val="000000" w:themeColor="text1"/>
          <w:sz w:val="22"/>
          <w:szCs w:val="22"/>
        </w:rPr>
        <w:t xml:space="preserve">. Global technical strategy for malaria 2016–2030. Geneva: WHO; 2015. </w:t>
      </w:r>
    </w:p>
    <w:p w14:paraId="4C15AF4D" w14:textId="77777777" w:rsidR="0027763B" w:rsidRPr="00DC582F" w:rsidRDefault="0027763B" w:rsidP="0027763B">
      <w:pPr>
        <w:numPr>
          <w:ilvl w:val="0"/>
          <w:numId w:val="9"/>
        </w:numPr>
        <w:spacing w:before="100" w:beforeAutospacing="1" w:after="100" w:afterAutospacing="1"/>
        <w:rPr>
          <w:rFonts w:ascii="Times New Roman" w:hAnsi="Times New Roman" w:cs="Times New Roman"/>
          <w:color w:val="000000" w:themeColor="text1"/>
          <w:sz w:val="22"/>
          <w:szCs w:val="22"/>
        </w:rPr>
      </w:pPr>
      <w:r w:rsidRPr="00DC582F">
        <w:rPr>
          <w:rStyle w:val="whitespace-normal"/>
          <w:rFonts w:ascii="Times New Roman" w:hAnsi="Times New Roman" w:cs="Times New Roman"/>
          <w:color w:val="000000" w:themeColor="text1"/>
          <w:sz w:val="22"/>
          <w:szCs w:val="22"/>
        </w:rPr>
        <w:t>National Malaria Elimination Programme</w:t>
      </w:r>
      <w:r w:rsidRPr="00DC582F">
        <w:rPr>
          <w:rFonts w:ascii="Times New Roman" w:hAnsi="Times New Roman" w:cs="Times New Roman"/>
          <w:color w:val="000000" w:themeColor="text1"/>
          <w:sz w:val="22"/>
          <w:szCs w:val="22"/>
        </w:rPr>
        <w:t xml:space="preserve">. National malaria strategic plan 2021–2025. Abuja: Federal Ministry of Health; 2021. </w:t>
      </w:r>
    </w:p>
    <w:p w14:paraId="76F2EC2B" w14:textId="77777777" w:rsidR="0027763B" w:rsidRPr="00DC582F" w:rsidRDefault="0027763B" w:rsidP="0027763B">
      <w:pPr>
        <w:numPr>
          <w:ilvl w:val="0"/>
          <w:numId w:val="9"/>
        </w:numPr>
        <w:spacing w:before="100" w:beforeAutospacing="1" w:after="100" w:afterAutospacing="1"/>
        <w:rPr>
          <w:rFonts w:ascii="Times New Roman" w:hAnsi="Times New Roman" w:cs="Times New Roman"/>
          <w:color w:val="000000" w:themeColor="text1"/>
          <w:sz w:val="22"/>
          <w:szCs w:val="22"/>
        </w:rPr>
      </w:pPr>
      <w:r w:rsidRPr="00DC582F">
        <w:rPr>
          <w:rStyle w:val="whitespace-normal"/>
          <w:rFonts w:ascii="Times New Roman" w:hAnsi="Times New Roman" w:cs="Times New Roman"/>
          <w:color w:val="000000" w:themeColor="text1"/>
          <w:sz w:val="22"/>
          <w:szCs w:val="22"/>
        </w:rPr>
        <w:t>Ronald Ross</w:t>
      </w:r>
      <w:r w:rsidRPr="00DC582F">
        <w:rPr>
          <w:rFonts w:ascii="Times New Roman" w:hAnsi="Times New Roman" w:cs="Times New Roman"/>
          <w:color w:val="000000" w:themeColor="text1"/>
          <w:sz w:val="22"/>
          <w:szCs w:val="22"/>
        </w:rPr>
        <w:t xml:space="preserve">. The prevention of malaria. London: John Murray; 1911. </w:t>
      </w:r>
    </w:p>
    <w:p w14:paraId="605B2D99" w14:textId="77777777" w:rsidR="0027763B" w:rsidRPr="00DC582F" w:rsidRDefault="0027763B" w:rsidP="0027763B">
      <w:pPr>
        <w:numPr>
          <w:ilvl w:val="0"/>
          <w:numId w:val="9"/>
        </w:numPr>
        <w:spacing w:before="100" w:beforeAutospacing="1" w:after="100" w:afterAutospacing="1"/>
        <w:rPr>
          <w:rFonts w:ascii="Times New Roman" w:hAnsi="Times New Roman" w:cs="Times New Roman"/>
          <w:color w:val="000000" w:themeColor="text1"/>
          <w:sz w:val="22"/>
          <w:szCs w:val="22"/>
        </w:rPr>
      </w:pPr>
      <w:r w:rsidRPr="00DC582F">
        <w:rPr>
          <w:rStyle w:val="whitespace-normal"/>
          <w:rFonts w:ascii="Times New Roman" w:hAnsi="Times New Roman" w:cs="Times New Roman"/>
          <w:color w:val="000000" w:themeColor="text1"/>
          <w:sz w:val="22"/>
          <w:szCs w:val="22"/>
        </w:rPr>
        <w:t>George Macdonald</w:t>
      </w:r>
      <w:r w:rsidRPr="00DC582F">
        <w:rPr>
          <w:rFonts w:ascii="Times New Roman" w:hAnsi="Times New Roman" w:cs="Times New Roman"/>
          <w:color w:val="000000" w:themeColor="text1"/>
          <w:sz w:val="22"/>
          <w:szCs w:val="22"/>
        </w:rPr>
        <w:t xml:space="preserve">. The epidemiology and control of malaria. Oxford: Oxford University Press; 1957. </w:t>
      </w:r>
    </w:p>
    <w:p w14:paraId="24F129B7" w14:textId="77777777" w:rsidR="0027763B" w:rsidRPr="00DC582F" w:rsidRDefault="0027763B" w:rsidP="0027763B">
      <w:pPr>
        <w:numPr>
          <w:ilvl w:val="0"/>
          <w:numId w:val="9"/>
        </w:numPr>
        <w:spacing w:before="100" w:beforeAutospacing="1" w:after="100" w:afterAutospacing="1"/>
        <w:rPr>
          <w:rFonts w:ascii="Times New Roman" w:hAnsi="Times New Roman" w:cs="Times New Roman"/>
          <w:color w:val="000000" w:themeColor="text1"/>
          <w:sz w:val="22"/>
          <w:szCs w:val="22"/>
        </w:rPr>
      </w:pPr>
      <w:r w:rsidRPr="00DC582F">
        <w:rPr>
          <w:rStyle w:val="whitespace-normal"/>
          <w:rFonts w:ascii="Times New Roman" w:hAnsi="Times New Roman" w:cs="Times New Roman"/>
          <w:color w:val="000000" w:themeColor="text1"/>
          <w:sz w:val="22"/>
          <w:szCs w:val="22"/>
        </w:rPr>
        <w:t>Odo Diekmann</w:t>
      </w:r>
      <w:r w:rsidRPr="00DC582F">
        <w:rPr>
          <w:rFonts w:ascii="Times New Roman" w:hAnsi="Times New Roman" w:cs="Times New Roman"/>
          <w:color w:val="000000" w:themeColor="text1"/>
          <w:sz w:val="22"/>
          <w:szCs w:val="22"/>
        </w:rPr>
        <w:t xml:space="preserve">, </w:t>
      </w:r>
      <w:r w:rsidRPr="00DC582F">
        <w:rPr>
          <w:rStyle w:val="whitespace-normal"/>
          <w:rFonts w:ascii="Times New Roman" w:hAnsi="Times New Roman" w:cs="Times New Roman"/>
          <w:color w:val="000000" w:themeColor="text1"/>
          <w:sz w:val="22"/>
          <w:szCs w:val="22"/>
        </w:rPr>
        <w:t>Johan Andre Peter Heesterbeek</w:t>
      </w:r>
      <w:r w:rsidRPr="00DC582F">
        <w:rPr>
          <w:rFonts w:ascii="Times New Roman" w:hAnsi="Times New Roman" w:cs="Times New Roman"/>
          <w:color w:val="000000" w:themeColor="text1"/>
          <w:sz w:val="22"/>
          <w:szCs w:val="22"/>
        </w:rPr>
        <w:t xml:space="preserve">. Mathematical epidemiology of infectious diseases. Chichester: Wiley; 2000. </w:t>
      </w:r>
    </w:p>
    <w:p w14:paraId="52DA10DE" w14:textId="77777777" w:rsidR="0027763B" w:rsidRPr="00DC582F" w:rsidRDefault="0027763B" w:rsidP="0027763B">
      <w:pPr>
        <w:numPr>
          <w:ilvl w:val="0"/>
          <w:numId w:val="9"/>
        </w:numPr>
        <w:spacing w:before="100" w:beforeAutospacing="1" w:after="100" w:afterAutospacing="1"/>
        <w:rPr>
          <w:rFonts w:ascii="Times New Roman" w:hAnsi="Times New Roman" w:cs="Times New Roman"/>
          <w:color w:val="000000" w:themeColor="text1"/>
          <w:sz w:val="22"/>
          <w:szCs w:val="22"/>
        </w:rPr>
      </w:pPr>
      <w:r w:rsidRPr="00DC582F">
        <w:rPr>
          <w:rStyle w:val="whitespace-normal"/>
          <w:rFonts w:ascii="Times New Roman" w:hAnsi="Times New Roman" w:cs="Times New Roman"/>
          <w:color w:val="000000" w:themeColor="text1"/>
          <w:sz w:val="22"/>
          <w:szCs w:val="22"/>
        </w:rPr>
        <w:t>Pieter van den Driessche</w:t>
      </w:r>
      <w:r w:rsidRPr="00DC582F">
        <w:rPr>
          <w:rFonts w:ascii="Times New Roman" w:hAnsi="Times New Roman" w:cs="Times New Roman"/>
          <w:color w:val="000000" w:themeColor="text1"/>
          <w:sz w:val="22"/>
          <w:szCs w:val="22"/>
        </w:rPr>
        <w:t xml:space="preserve">, </w:t>
      </w:r>
      <w:r w:rsidRPr="00DC582F">
        <w:rPr>
          <w:rStyle w:val="whitespace-normal"/>
          <w:rFonts w:ascii="Times New Roman" w:hAnsi="Times New Roman" w:cs="Times New Roman"/>
          <w:color w:val="000000" w:themeColor="text1"/>
          <w:sz w:val="22"/>
          <w:szCs w:val="22"/>
        </w:rPr>
        <w:t>James Watmough</w:t>
      </w:r>
      <w:r w:rsidRPr="00DC582F">
        <w:rPr>
          <w:rFonts w:ascii="Times New Roman" w:hAnsi="Times New Roman" w:cs="Times New Roman"/>
          <w:color w:val="000000" w:themeColor="text1"/>
          <w:sz w:val="22"/>
          <w:szCs w:val="22"/>
        </w:rPr>
        <w:t xml:space="preserve">. Reproduction numbers and sub-threshold endemic equilibria for compartmental models of disease transmission. Math Biosci. 2002;180:29–48. </w:t>
      </w:r>
    </w:p>
    <w:p w14:paraId="12C6081E" w14:textId="77777777" w:rsidR="0027763B" w:rsidRPr="00DC582F" w:rsidRDefault="0027763B" w:rsidP="0027763B">
      <w:pPr>
        <w:numPr>
          <w:ilvl w:val="0"/>
          <w:numId w:val="9"/>
        </w:numPr>
        <w:spacing w:before="100" w:beforeAutospacing="1" w:after="100" w:afterAutospacing="1"/>
        <w:rPr>
          <w:rFonts w:ascii="Times New Roman" w:hAnsi="Times New Roman" w:cs="Times New Roman"/>
          <w:color w:val="000000" w:themeColor="text1"/>
          <w:sz w:val="22"/>
          <w:szCs w:val="22"/>
        </w:rPr>
      </w:pPr>
      <w:r w:rsidRPr="00DC582F">
        <w:rPr>
          <w:rStyle w:val="whitespace-normal"/>
          <w:rFonts w:ascii="Times New Roman" w:hAnsi="Times New Roman" w:cs="Times New Roman"/>
          <w:color w:val="000000" w:themeColor="text1"/>
          <w:sz w:val="22"/>
          <w:szCs w:val="22"/>
        </w:rPr>
        <w:t>David L Smith</w:t>
      </w:r>
      <w:r w:rsidRPr="00DC582F">
        <w:rPr>
          <w:rFonts w:ascii="Times New Roman" w:hAnsi="Times New Roman" w:cs="Times New Roman"/>
          <w:color w:val="000000" w:themeColor="text1"/>
          <w:sz w:val="22"/>
          <w:szCs w:val="22"/>
        </w:rPr>
        <w:t xml:space="preserve">, et al. Revisiting the basic reproductive number for malaria and its implications for malaria control. Proc Natl Acad Sci USA. 2007;104:190–195. </w:t>
      </w:r>
    </w:p>
    <w:p w14:paraId="523216DA" w14:textId="77777777" w:rsidR="0027763B" w:rsidRPr="00DC582F" w:rsidRDefault="0027763B" w:rsidP="0027763B">
      <w:pPr>
        <w:numPr>
          <w:ilvl w:val="0"/>
          <w:numId w:val="9"/>
        </w:numPr>
        <w:spacing w:before="100" w:beforeAutospacing="1" w:after="100" w:afterAutospacing="1"/>
        <w:rPr>
          <w:rFonts w:ascii="Times New Roman" w:hAnsi="Times New Roman" w:cs="Times New Roman"/>
          <w:color w:val="000000" w:themeColor="text1"/>
          <w:sz w:val="22"/>
          <w:szCs w:val="22"/>
        </w:rPr>
      </w:pPr>
      <w:r w:rsidRPr="00DC582F">
        <w:rPr>
          <w:rStyle w:val="whitespace-normal"/>
          <w:rFonts w:ascii="Times New Roman" w:hAnsi="Times New Roman" w:cs="Times New Roman"/>
          <w:color w:val="000000" w:themeColor="text1"/>
          <w:sz w:val="22"/>
          <w:szCs w:val="22"/>
        </w:rPr>
        <w:t>Robert W Snow</w:t>
      </w:r>
      <w:r w:rsidRPr="00DC582F">
        <w:rPr>
          <w:rFonts w:ascii="Times New Roman" w:hAnsi="Times New Roman" w:cs="Times New Roman"/>
          <w:color w:val="000000" w:themeColor="text1"/>
          <w:sz w:val="22"/>
          <w:szCs w:val="22"/>
        </w:rPr>
        <w:t xml:space="preserve">, et al. The global distribution of clinical episodes of Plasmodium falciparum malaria. Nature. 2005;434:214–217. </w:t>
      </w:r>
    </w:p>
    <w:p w14:paraId="66A38CA0" w14:textId="77777777" w:rsidR="0027763B" w:rsidRPr="00DC582F" w:rsidRDefault="0027763B" w:rsidP="0027763B">
      <w:pPr>
        <w:numPr>
          <w:ilvl w:val="0"/>
          <w:numId w:val="9"/>
        </w:numPr>
        <w:spacing w:before="100" w:beforeAutospacing="1" w:after="100" w:afterAutospacing="1"/>
        <w:rPr>
          <w:rFonts w:ascii="Times New Roman" w:hAnsi="Times New Roman" w:cs="Times New Roman"/>
          <w:color w:val="000000" w:themeColor="text1"/>
          <w:sz w:val="22"/>
          <w:szCs w:val="22"/>
        </w:rPr>
      </w:pPr>
      <w:r w:rsidRPr="00DC582F">
        <w:rPr>
          <w:rStyle w:val="whitespace-normal"/>
          <w:rFonts w:ascii="Times New Roman" w:hAnsi="Times New Roman" w:cs="Times New Roman"/>
          <w:color w:val="000000" w:themeColor="text1"/>
          <w:sz w:val="22"/>
          <w:szCs w:val="22"/>
        </w:rPr>
        <w:t>Azra C Ghani</w:t>
      </w:r>
      <w:r w:rsidRPr="00DC582F">
        <w:rPr>
          <w:rFonts w:ascii="Times New Roman" w:hAnsi="Times New Roman" w:cs="Times New Roman"/>
          <w:color w:val="000000" w:themeColor="text1"/>
          <w:sz w:val="22"/>
          <w:szCs w:val="22"/>
        </w:rPr>
        <w:t xml:space="preserve">, et al. The impact of malaria interventions on transmission dynamics. Nature. 2012;481:451–456. </w:t>
      </w:r>
    </w:p>
    <w:p w14:paraId="2B56B164" w14:textId="77777777" w:rsidR="0027763B" w:rsidRPr="00DC582F" w:rsidRDefault="0027763B" w:rsidP="0027763B">
      <w:pPr>
        <w:numPr>
          <w:ilvl w:val="0"/>
          <w:numId w:val="9"/>
        </w:numPr>
        <w:spacing w:before="100" w:beforeAutospacing="1" w:after="100" w:afterAutospacing="1"/>
        <w:rPr>
          <w:rFonts w:ascii="Times New Roman" w:hAnsi="Times New Roman" w:cs="Times New Roman"/>
          <w:color w:val="000000" w:themeColor="text1"/>
          <w:sz w:val="22"/>
          <w:szCs w:val="22"/>
        </w:rPr>
      </w:pPr>
      <w:r w:rsidRPr="00DC582F">
        <w:rPr>
          <w:rStyle w:val="whitespace-normal"/>
          <w:rFonts w:ascii="Times New Roman" w:hAnsi="Times New Roman" w:cs="Times New Roman"/>
          <w:color w:val="000000" w:themeColor="text1"/>
          <w:sz w:val="22"/>
          <w:szCs w:val="22"/>
        </w:rPr>
        <w:t>Nicholas J White</w:t>
      </w:r>
      <w:r w:rsidRPr="00DC582F">
        <w:rPr>
          <w:rFonts w:ascii="Times New Roman" w:hAnsi="Times New Roman" w:cs="Times New Roman"/>
          <w:color w:val="000000" w:themeColor="text1"/>
          <w:sz w:val="22"/>
          <w:szCs w:val="22"/>
        </w:rPr>
        <w:t xml:space="preserve">. Antimalarial drug resistance. N Engl J Med. 2004;350:1567–1577. </w:t>
      </w:r>
    </w:p>
    <w:p w14:paraId="37E005F2" w14:textId="77777777" w:rsidR="0027763B" w:rsidRPr="00DC582F" w:rsidRDefault="0027763B" w:rsidP="0027763B">
      <w:pPr>
        <w:numPr>
          <w:ilvl w:val="0"/>
          <w:numId w:val="9"/>
        </w:numPr>
        <w:spacing w:before="100" w:beforeAutospacing="1" w:after="100" w:afterAutospacing="1"/>
        <w:rPr>
          <w:rFonts w:ascii="Times New Roman" w:hAnsi="Times New Roman" w:cs="Times New Roman"/>
          <w:color w:val="000000" w:themeColor="text1"/>
          <w:sz w:val="22"/>
          <w:szCs w:val="22"/>
        </w:rPr>
      </w:pPr>
      <w:r w:rsidRPr="00DC582F">
        <w:rPr>
          <w:rStyle w:val="whitespace-normal"/>
          <w:rFonts w:ascii="Times New Roman" w:hAnsi="Times New Roman" w:cs="Times New Roman"/>
          <w:color w:val="000000" w:themeColor="text1"/>
          <w:sz w:val="22"/>
          <w:szCs w:val="22"/>
        </w:rPr>
        <w:t>Teun Bousema</w:t>
      </w:r>
      <w:r w:rsidRPr="00DC582F">
        <w:rPr>
          <w:rFonts w:ascii="Times New Roman" w:hAnsi="Times New Roman" w:cs="Times New Roman"/>
          <w:color w:val="000000" w:themeColor="text1"/>
          <w:sz w:val="22"/>
          <w:szCs w:val="22"/>
        </w:rPr>
        <w:t xml:space="preserve">, et al. Asymptomatic malaria infections: detectability, transmissibility and public health relevance. Trends Parasitol. 2014;30(5):240–248. </w:t>
      </w:r>
    </w:p>
    <w:p w14:paraId="2850ECBB" w14:textId="77777777" w:rsidR="0027763B" w:rsidRPr="00DC582F" w:rsidRDefault="0027763B" w:rsidP="0027763B">
      <w:pPr>
        <w:numPr>
          <w:ilvl w:val="0"/>
          <w:numId w:val="9"/>
        </w:numPr>
        <w:spacing w:before="100" w:beforeAutospacing="1" w:after="100" w:afterAutospacing="1"/>
        <w:rPr>
          <w:rFonts w:ascii="Times New Roman" w:hAnsi="Times New Roman" w:cs="Times New Roman"/>
          <w:color w:val="000000" w:themeColor="text1"/>
          <w:sz w:val="22"/>
          <w:szCs w:val="22"/>
        </w:rPr>
      </w:pPr>
      <w:r w:rsidRPr="00DC582F">
        <w:rPr>
          <w:rStyle w:val="whitespace-normal"/>
          <w:rFonts w:ascii="Times New Roman" w:hAnsi="Times New Roman" w:cs="Times New Roman"/>
          <w:color w:val="000000" w:themeColor="text1"/>
          <w:sz w:val="22"/>
          <w:szCs w:val="22"/>
        </w:rPr>
        <w:t>George E P Box</w:t>
      </w:r>
      <w:r w:rsidRPr="00DC582F">
        <w:rPr>
          <w:rFonts w:ascii="Times New Roman" w:hAnsi="Times New Roman" w:cs="Times New Roman"/>
          <w:color w:val="000000" w:themeColor="text1"/>
          <w:sz w:val="22"/>
          <w:szCs w:val="22"/>
        </w:rPr>
        <w:t xml:space="preserve">, </w:t>
      </w:r>
      <w:r w:rsidRPr="00DC582F">
        <w:rPr>
          <w:rStyle w:val="whitespace-normal"/>
          <w:rFonts w:ascii="Times New Roman" w:hAnsi="Times New Roman" w:cs="Times New Roman"/>
          <w:color w:val="000000" w:themeColor="text1"/>
          <w:sz w:val="22"/>
          <w:szCs w:val="22"/>
        </w:rPr>
        <w:t>Gwilym M Jenkins</w:t>
      </w:r>
      <w:r w:rsidRPr="00DC582F">
        <w:rPr>
          <w:rFonts w:ascii="Times New Roman" w:hAnsi="Times New Roman" w:cs="Times New Roman"/>
          <w:color w:val="000000" w:themeColor="text1"/>
          <w:sz w:val="22"/>
          <w:szCs w:val="22"/>
        </w:rPr>
        <w:t xml:space="preserve">. Time series analysis: forecasting and control. 5th ed. Hoboken: Wiley; 2015. </w:t>
      </w:r>
    </w:p>
    <w:p w14:paraId="43969747" w14:textId="77777777" w:rsidR="0027763B" w:rsidRPr="00DC582F" w:rsidRDefault="0027763B" w:rsidP="0027763B">
      <w:pPr>
        <w:numPr>
          <w:ilvl w:val="0"/>
          <w:numId w:val="9"/>
        </w:numPr>
        <w:spacing w:before="100" w:beforeAutospacing="1" w:after="100" w:afterAutospacing="1"/>
        <w:rPr>
          <w:rFonts w:ascii="Times New Roman" w:hAnsi="Times New Roman" w:cs="Times New Roman"/>
          <w:color w:val="000000" w:themeColor="text1"/>
          <w:sz w:val="22"/>
          <w:szCs w:val="22"/>
        </w:rPr>
      </w:pPr>
      <w:r w:rsidRPr="00DC582F">
        <w:rPr>
          <w:rStyle w:val="whitespace-normal"/>
          <w:rFonts w:ascii="Times New Roman" w:hAnsi="Times New Roman" w:cs="Times New Roman"/>
          <w:color w:val="000000" w:themeColor="text1"/>
          <w:sz w:val="22"/>
          <w:szCs w:val="22"/>
        </w:rPr>
        <w:t>Rob J Hyndman</w:t>
      </w:r>
      <w:r w:rsidRPr="00DC582F">
        <w:rPr>
          <w:rFonts w:ascii="Times New Roman" w:hAnsi="Times New Roman" w:cs="Times New Roman"/>
          <w:color w:val="000000" w:themeColor="text1"/>
          <w:sz w:val="22"/>
          <w:szCs w:val="22"/>
        </w:rPr>
        <w:t xml:space="preserve">, </w:t>
      </w:r>
      <w:r w:rsidRPr="00DC582F">
        <w:rPr>
          <w:rStyle w:val="whitespace-normal"/>
          <w:rFonts w:ascii="Times New Roman" w:hAnsi="Times New Roman" w:cs="Times New Roman"/>
          <w:color w:val="000000" w:themeColor="text1"/>
          <w:sz w:val="22"/>
          <w:szCs w:val="22"/>
        </w:rPr>
        <w:t>George Athanasopoulos</w:t>
      </w:r>
      <w:r w:rsidRPr="00DC582F">
        <w:rPr>
          <w:rFonts w:ascii="Times New Roman" w:hAnsi="Times New Roman" w:cs="Times New Roman"/>
          <w:color w:val="000000" w:themeColor="text1"/>
          <w:sz w:val="22"/>
          <w:szCs w:val="22"/>
        </w:rPr>
        <w:t xml:space="preserve">. Forecasting: principles and practice. 3rd ed. Melbourne: OTexts; 2021. </w:t>
      </w:r>
    </w:p>
    <w:p w14:paraId="0336545D" w14:textId="77777777" w:rsidR="0027763B" w:rsidRPr="00DC582F" w:rsidRDefault="0027763B" w:rsidP="0027763B">
      <w:pPr>
        <w:numPr>
          <w:ilvl w:val="0"/>
          <w:numId w:val="9"/>
        </w:numPr>
        <w:spacing w:before="100" w:beforeAutospacing="1" w:after="100" w:afterAutospacing="1"/>
        <w:rPr>
          <w:rFonts w:ascii="Times New Roman" w:hAnsi="Times New Roman" w:cs="Times New Roman"/>
          <w:color w:val="000000" w:themeColor="text1"/>
          <w:sz w:val="22"/>
          <w:szCs w:val="22"/>
        </w:rPr>
      </w:pPr>
      <w:r w:rsidRPr="00DC582F">
        <w:rPr>
          <w:rStyle w:val="whitespace-normal"/>
          <w:rFonts w:ascii="Times New Roman" w:hAnsi="Times New Roman" w:cs="Times New Roman"/>
          <w:color w:val="000000" w:themeColor="text1"/>
          <w:sz w:val="22"/>
          <w:szCs w:val="22"/>
        </w:rPr>
        <w:t>Shumway Robert H</w:t>
      </w:r>
      <w:r w:rsidRPr="00DC582F">
        <w:rPr>
          <w:rFonts w:ascii="Times New Roman" w:hAnsi="Times New Roman" w:cs="Times New Roman"/>
          <w:color w:val="000000" w:themeColor="text1"/>
          <w:sz w:val="22"/>
          <w:szCs w:val="22"/>
        </w:rPr>
        <w:t xml:space="preserve">, </w:t>
      </w:r>
      <w:r w:rsidRPr="00DC582F">
        <w:rPr>
          <w:rStyle w:val="whitespace-normal"/>
          <w:rFonts w:ascii="Times New Roman" w:hAnsi="Times New Roman" w:cs="Times New Roman"/>
          <w:color w:val="000000" w:themeColor="text1"/>
          <w:sz w:val="22"/>
          <w:szCs w:val="22"/>
        </w:rPr>
        <w:t>David S Stoffer</w:t>
      </w:r>
      <w:r w:rsidRPr="00DC582F">
        <w:rPr>
          <w:rFonts w:ascii="Times New Roman" w:hAnsi="Times New Roman" w:cs="Times New Roman"/>
          <w:color w:val="000000" w:themeColor="text1"/>
          <w:sz w:val="22"/>
          <w:szCs w:val="22"/>
        </w:rPr>
        <w:t xml:space="preserve">. Time series analysis and its applications. New York: Springer; 2017. </w:t>
      </w:r>
    </w:p>
    <w:p w14:paraId="564F37E5" w14:textId="77777777" w:rsidR="0027763B" w:rsidRPr="00DC582F" w:rsidRDefault="0027763B" w:rsidP="0027763B">
      <w:pPr>
        <w:numPr>
          <w:ilvl w:val="0"/>
          <w:numId w:val="9"/>
        </w:numPr>
        <w:spacing w:before="100" w:beforeAutospacing="1" w:after="100" w:afterAutospacing="1"/>
        <w:rPr>
          <w:rFonts w:ascii="Times New Roman" w:hAnsi="Times New Roman" w:cs="Times New Roman"/>
          <w:color w:val="000000" w:themeColor="text1"/>
          <w:sz w:val="22"/>
          <w:szCs w:val="22"/>
        </w:rPr>
      </w:pPr>
      <w:r w:rsidRPr="00DC582F">
        <w:rPr>
          <w:rStyle w:val="whitespace-normal"/>
          <w:rFonts w:ascii="Times New Roman" w:hAnsi="Times New Roman" w:cs="Times New Roman"/>
          <w:color w:val="000000" w:themeColor="text1"/>
          <w:sz w:val="22"/>
          <w:szCs w:val="22"/>
        </w:rPr>
        <w:t>Luca Mari</w:t>
      </w:r>
      <w:r w:rsidRPr="00DC582F">
        <w:rPr>
          <w:rFonts w:ascii="Times New Roman" w:hAnsi="Times New Roman" w:cs="Times New Roman"/>
          <w:color w:val="000000" w:themeColor="text1"/>
          <w:sz w:val="22"/>
          <w:szCs w:val="22"/>
        </w:rPr>
        <w:t>, et al. Integrating mechanistic and statistical models in infectious disease epidemiology. Nat Commun. 2021;12:1–10.</w:t>
      </w:r>
    </w:p>
    <w:p w14:paraId="38202A4E" w14:textId="77777777" w:rsidR="0027763B" w:rsidRPr="00DC582F" w:rsidRDefault="0027763B" w:rsidP="0027763B">
      <w:pPr>
        <w:numPr>
          <w:ilvl w:val="0"/>
          <w:numId w:val="9"/>
        </w:numPr>
        <w:spacing w:before="100" w:beforeAutospacing="1" w:after="100" w:afterAutospacing="1"/>
        <w:rPr>
          <w:rFonts w:ascii="Times New Roman" w:hAnsi="Times New Roman" w:cs="Times New Roman"/>
          <w:color w:val="000000" w:themeColor="text1"/>
          <w:sz w:val="22"/>
          <w:szCs w:val="22"/>
        </w:rPr>
      </w:pPr>
      <w:r w:rsidRPr="00DC582F">
        <w:rPr>
          <w:rStyle w:val="whitespace-normal"/>
          <w:rFonts w:ascii="Times New Roman" w:hAnsi="Times New Roman" w:cs="Times New Roman"/>
          <w:color w:val="000000" w:themeColor="text1"/>
          <w:sz w:val="22"/>
          <w:szCs w:val="22"/>
        </w:rPr>
        <w:lastRenderedPageBreak/>
        <w:t>Nicholas G Reich</w:t>
      </w:r>
      <w:r w:rsidRPr="00DC582F">
        <w:rPr>
          <w:rFonts w:ascii="Times New Roman" w:hAnsi="Times New Roman" w:cs="Times New Roman"/>
          <w:color w:val="000000" w:themeColor="text1"/>
          <w:sz w:val="22"/>
          <w:szCs w:val="22"/>
        </w:rPr>
        <w:t xml:space="preserve">, et al. A collaborative multiyear, multimodel assessment of seasonal influenza forecasting. Proc Natl Acad Sci USA. 2019;116:3146–3154. </w:t>
      </w:r>
    </w:p>
    <w:p w14:paraId="4503C236" w14:textId="77777777" w:rsidR="0027763B" w:rsidRPr="00DC582F" w:rsidRDefault="0027763B" w:rsidP="0027763B">
      <w:pPr>
        <w:numPr>
          <w:ilvl w:val="0"/>
          <w:numId w:val="9"/>
        </w:numPr>
        <w:spacing w:before="100" w:beforeAutospacing="1" w:after="100" w:afterAutospacing="1"/>
        <w:rPr>
          <w:rFonts w:ascii="Times New Roman" w:hAnsi="Times New Roman" w:cs="Times New Roman"/>
          <w:color w:val="000000" w:themeColor="text1"/>
          <w:sz w:val="22"/>
          <w:szCs w:val="22"/>
        </w:rPr>
      </w:pPr>
      <w:r w:rsidRPr="00DC582F">
        <w:rPr>
          <w:rFonts w:ascii="Times New Roman" w:hAnsi="Times New Roman" w:cs="Times New Roman"/>
          <w:color w:val="000000" w:themeColor="text1"/>
          <w:sz w:val="22"/>
          <w:szCs w:val="22"/>
        </w:rPr>
        <w:t xml:space="preserve">Edmond M. Mathematical modeling of malaria transmission dynamics. </w:t>
      </w:r>
      <w:r w:rsidRPr="00DC582F">
        <w:rPr>
          <w:rStyle w:val="Emphasis"/>
          <w:rFonts w:ascii="Times New Roman" w:hAnsi="Times New Roman" w:cs="Times New Roman"/>
          <w:color w:val="000000" w:themeColor="text1"/>
          <w:sz w:val="22"/>
          <w:szCs w:val="22"/>
        </w:rPr>
        <w:t>International Journal of Community Health and Medical Development</w:t>
      </w:r>
      <w:r w:rsidRPr="00DC582F">
        <w:rPr>
          <w:rFonts w:ascii="Times New Roman" w:hAnsi="Times New Roman" w:cs="Times New Roman"/>
          <w:color w:val="000000" w:themeColor="text1"/>
          <w:sz w:val="22"/>
          <w:szCs w:val="22"/>
        </w:rPr>
        <w:t xml:space="preserve">. 2023. Available from: </w:t>
      </w:r>
      <w:hyperlink r:id="rId14" w:tgtFrame="_new" w:history="1">
        <w:r w:rsidRPr="00DC582F">
          <w:rPr>
            <w:rStyle w:val="Hyperlink"/>
            <w:rFonts w:ascii="Times New Roman" w:hAnsi="Times New Roman" w:cs="Times New Roman"/>
            <w:color w:val="000000" w:themeColor="text1"/>
            <w:sz w:val="22"/>
            <w:szCs w:val="22"/>
          </w:rPr>
          <w:t>https://halafoundation.com/index.php/ijchmd/article/view/45/98</w:t>
        </w:r>
      </w:hyperlink>
    </w:p>
    <w:p w14:paraId="3C3E5D38" w14:textId="77777777" w:rsidR="003276B5" w:rsidRPr="00DC582F" w:rsidRDefault="003276B5">
      <w:pPr>
        <w:rPr>
          <w:rFonts w:ascii="Times New Roman" w:hAnsi="Times New Roman" w:cs="Times New Roman"/>
          <w:color w:val="000000" w:themeColor="text1"/>
          <w:sz w:val="22"/>
          <w:szCs w:val="22"/>
        </w:rPr>
      </w:pPr>
    </w:p>
    <w:sectPr w:rsidR="003276B5" w:rsidRPr="00DC582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FE003" w14:textId="77777777" w:rsidR="00FC59E3" w:rsidRDefault="00FC59E3" w:rsidP="00E44B68">
      <w:r>
        <w:separator/>
      </w:r>
    </w:p>
  </w:endnote>
  <w:endnote w:type="continuationSeparator" w:id="0">
    <w:p w14:paraId="42E19F0B" w14:textId="77777777" w:rsidR="00FC59E3" w:rsidRDefault="00FC59E3" w:rsidP="00E44B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D1127" w14:textId="77777777" w:rsidR="00E44B68" w:rsidRDefault="00E44B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2A0C6" w14:textId="77777777" w:rsidR="00E44B68" w:rsidRDefault="00E44B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AD1B4" w14:textId="77777777" w:rsidR="00E44B68" w:rsidRDefault="00E44B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114EA" w14:textId="77777777" w:rsidR="00FC59E3" w:rsidRDefault="00FC59E3" w:rsidP="00E44B68">
      <w:r>
        <w:separator/>
      </w:r>
    </w:p>
  </w:footnote>
  <w:footnote w:type="continuationSeparator" w:id="0">
    <w:p w14:paraId="3B8469BB" w14:textId="77777777" w:rsidR="00FC59E3" w:rsidRDefault="00FC59E3" w:rsidP="00E44B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6CFCC" w14:textId="13AF1D73" w:rsidR="00E44B68" w:rsidRDefault="00E44B68">
    <w:pPr>
      <w:pStyle w:val="Header"/>
    </w:pPr>
    <w:r>
      <w:rPr>
        <w:noProof/>
      </w:rPr>
      <w:pict w14:anchorId="26C5F7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466329"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A5D70" w14:textId="1032C74E" w:rsidR="00E44B68" w:rsidRDefault="00E44B68">
    <w:pPr>
      <w:pStyle w:val="Header"/>
    </w:pPr>
    <w:r>
      <w:rPr>
        <w:noProof/>
      </w:rPr>
      <w:pict w14:anchorId="53737A9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466330"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2A34A" w14:textId="2B1728DD" w:rsidR="00E44B68" w:rsidRDefault="00E44B68">
    <w:pPr>
      <w:pStyle w:val="Header"/>
    </w:pPr>
    <w:r>
      <w:rPr>
        <w:noProof/>
      </w:rPr>
      <w:pict w14:anchorId="08CC92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466328"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9170A"/>
    <w:multiLevelType w:val="multilevel"/>
    <w:tmpl w:val="28083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1E6C69"/>
    <w:multiLevelType w:val="multilevel"/>
    <w:tmpl w:val="AC42D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CC457B"/>
    <w:multiLevelType w:val="multilevel"/>
    <w:tmpl w:val="6B02C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E30377"/>
    <w:multiLevelType w:val="multilevel"/>
    <w:tmpl w:val="29646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FB7DBE"/>
    <w:multiLevelType w:val="multilevel"/>
    <w:tmpl w:val="8ECE1E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FF21F33"/>
    <w:multiLevelType w:val="multilevel"/>
    <w:tmpl w:val="1D384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06106E"/>
    <w:multiLevelType w:val="multilevel"/>
    <w:tmpl w:val="19E4890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8C17937"/>
    <w:multiLevelType w:val="multilevel"/>
    <w:tmpl w:val="00260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A110DD"/>
    <w:multiLevelType w:val="hybridMultilevel"/>
    <w:tmpl w:val="3B687B18"/>
    <w:lvl w:ilvl="0" w:tplc="7E8AE29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59D61A5"/>
    <w:multiLevelType w:val="multilevel"/>
    <w:tmpl w:val="91B43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A37B0A"/>
    <w:multiLevelType w:val="multilevel"/>
    <w:tmpl w:val="20083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6C16A9B"/>
    <w:multiLevelType w:val="multilevel"/>
    <w:tmpl w:val="298AF42C"/>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EF24C94"/>
    <w:multiLevelType w:val="multilevel"/>
    <w:tmpl w:val="3114263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65205899">
    <w:abstractNumId w:val="9"/>
  </w:num>
  <w:num w:numId="2" w16cid:durableId="1713966565">
    <w:abstractNumId w:val="5"/>
  </w:num>
  <w:num w:numId="3" w16cid:durableId="1012756697">
    <w:abstractNumId w:val="2"/>
  </w:num>
  <w:num w:numId="4" w16cid:durableId="773789861">
    <w:abstractNumId w:val="10"/>
  </w:num>
  <w:num w:numId="5" w16cid:durableId="841895150">
    <w:abstractNumId w:val="1"/>
  </w:num>
  <w:num w:numId="6" w16cid:durableId="87118364">
    <w:abstractNumId w:val="0"/>
  </w:num>
  <w:num w:numId="7" w16cid:durableId="1668438905">
    <w:abstractNumId w:val="3"/>
  </w:num>
  <w:num w:numId="8" w16cid:durableId="132675927">
    <w:abstractNumId w:val="7"/>
  </w:num>
  <w:num w:numId="9" w16cid:durableId="1968511555">
    <w:abstractNumId w:val="4"/>
  </w:num>
  <w:num w:numId="10" w16cid:durableId="605970078">
    <w:abstractNumId w:val="12"/>
  </w:num>
  <w:num w:numId="11" w16cid:durableId="433020897">
    <w:abstractNumId w:val="6"/>
  </w:num>
  <w:num w:numId="12" w16cid:durableId="2016420839">
    <w:abstractNumId w:val="11"/>
  </w:num>
  <w:num w:numId="13" w16cid:durableId="131753870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6B5"/>
    <w:rsid w:val="00031602"/>
    <w:rsid w:val="00212D23"/>
    <w:rsid w:val="0027763B"/>
    <w:rsid w:val="002B19F3"/>
    <w:rsid w:val="0030263C"/>
    <w:rsid w:val="003276B5"/>
    <w:rsid w:val="0033506D"/>
    <w:rsid w:val="003366A1"/>
    <w:rsid w:val="003E41DB"/>
    <w:rsid w:val="00435802"/>
    <w:rsid w:val="00453C26"/>
    <w:rsid w:val="005807B1"/>
    <w:rsid w:val="0065021E"/>
    <w:rsid w:val="006A21A1"/>
    <w:rsid w:val="00797E85"/>
    <w:rsid w:val="007B1D63"/>
    <w:rsid w:val="007C12DD"/>
    <w:rsid w:val="00826AFB"/>
    <w:rsid w:val="00844365"/>
    <w:rsid w:val="009A7B32"/>
    <w:rsid w:val="009C5967"/>
    <w:rsid w:val="009E57FF"/>
    <w:rsid w:val="00C168A3"/>
    <w:rsid w:val="00C36304"/>
    <w:rsid w:val="00C54AB0"/>
    <w:rsid w:val="00DC582F"/>
    <w:rsid w:val="00E44B68"/>
    <w:rsid w:val="00FC59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8DFC16"/>
  <w15:docId w15:val="{748CC95C-FA79-C54C-A003-C455A842F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763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3276B5"/>
    <w:pPr>
      <w:spacing w:before="100" w:beforeAutospacing="1" w:after="100" w:afterAutospacing="1"/>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3276B5"/>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276B5"/>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3276B5"/>
    <w:rPr>
      <w:b/>
      <w:bCs/>
    </w:rPr>
  </w:style>
  <w:style w:type="character" w:customStyle="1" w:styleId="Heading2Char">
    <w:name w:val="Heading 2 Char"/>
    <w:basedOn w:val="DefaultParagraphFont"/>
    <w:link w:val="Heading2"/>
    <w:uiPriority w:val="9"/>
    <w:rsid w:val="003276B5"/>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semiHidden/>
    <w:rsid w:val="003276B5"/>
    <w:rPr>
      <w:rFonts w:asciiTheme="majorHAnsi" w:eastAsiaTheme="majorEastAsia" w:hAnsiTheme="majorHAnsi" w:cstheme="majorBidi"/>
      <w:color w:val="1F3763" w:themeColor="accent1" w:themeShade="7F"/>
    </w:rPr>
  </w:style>
  <w:style w:type="character" w:styleId="Emphasis">
    <w:name w:val="Emphasis"/>
    <w:basedOn w:val="DefaultParagraphFont"/>
    <w:uiPriority w:val="20"/>
    <w:qFormat/>
    <w:rsid w:val="0033506D"/>
    <w:rPr>
      <w:i/>
      <w:iCs/>
    </w:rPr>
  </w:style>
  <w:style w:type="character" w:customStyle="1" w:styleId="Heading1Char">
    <w:name w:val="Heading 1 Char"/>
    <w:basedOn w:val="DefaultParagraphFont"/>
    <w:link w:val="Heading1"/>
    <w:uiPriority w:val="9"/>
    <w:rsid w:val="0027763B"/>
    <w:rPr>
      <w:rFonts w:asciiTheme="majorHAnsi" w:eastAsiaTheme="majorEastAsia" w:hAnsiTheme="majorHAnsi" w:cstheme="majorBidi"/>
      <w:color w:val="2F5496" w:themeColor="accent1" w:themeShade="BF"/>
      <w:sz w:val="32"/>
      <w:szCs w:val="32"/>
    </w:rPr>
  </w:style>
  <w:style w:type="character" w:customStyle="1" w:styleId="whitespace-normal">
    <w:name w:val="whitespace-normal"/>
    <w:basedOn w:val="DefaultParagraphFont"/>
    <w:rsid w:val="0027763B"/>
  </w:style>
  <w:style w:type="character" w:styleId="Hyperlink">
    <w:name w:val="Hyperlink"/>
    <w:basedOn w:val="DefaultParagraphFont"/>
    <w:uiPriority w:val="99"/>
    <w:unhideWhenUsed/>
    <w:rsid w:val="0027763B"/>
    <w:rPr>
      <w:color w:val="0000FF"/>
      <w:u w:val="single"/>
    </w:rPr>
  </w:style>
  <w:style w:type="character" w:customStyle="1" w:styleId="katex-mathml">
    <w:name w:val="katex-mathml"/>
    <w:basedOn w:val="DefaultParagraphFont"/>
    <w:rsid w:val="00844365"/>
  </w:style>
  <w:style w:type="character" w:customStyle="1" w:styleId="vlist-s">
    <w:name w:val="vlist-s"/>
    <w:basedOn w:val="DefaultParagraphFont"/>
    <w:rsid w:val="00844365"/>
  </w:style>
  <w:style w:type="table" w:styleId="TableGrid">
    <w:name w:val="Table Grid"/>
    <w:basedOn w:val="TableNormal"/>
    <w:uiPriority w:val="39"/>
    <w:rsid w:val="008443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7B1D63"/>
  </w:style>
  <w:style w:type="paragraph" w:styleId="Header">
    <w:name w:val="header"/>
    <w:basedOn w:val="Normal"/>
    <w:link w:val="HeaderChar"/>
    <w:uiPriority w:val="99"/>
    <w:unhideWhenUsed/>
    <w:rsid w:val="00E44B68"/>
    <w:pPr>
      <w:tabs>
        <w:tab w:val="center" w:pos="4680"/>
        <w:tab w:val="right" w:pos="9360"/>
      </w:tabs>
    </w:pPr>
  </w:style>
  <w:style w:type="character" w:customStyle="1" w:styleId="HeaderChar">
    <w:name w:val="Header Char"/>
    <w:basedOn w:val="DefaultParagraphFont"/>
    <w:link w:val="Header"/>
    <w:uiPriority w:val="99"/>
    <w:rsid w:val="00E44B68"/>
  </w:style>
  <w:style w:type="paragraph" w:styleId="Footer">
    <w:name w:val="footer"/>
    <w:basedOn w:val="Normal"/>
    <w:link w:val="FooterChar"/>
    <w:uiPriority w:val="99"/>
    <w:unhideWhenUsed/>
    <w:rsid w:val="00E44B68"/>
    <w:pPr>
      <w:tabs>
        <w:tab w:val="center" w:pos="4680"/>
        <w:tab w:val="right" w:pos="9360"/>
      </w:tabs>
    </w:pPr>
  </w:style>
  <w:style w:type="character" w:customStyle="1" w:styleId="FooterChar">
    <w:name w:val="Footer Char"/>
    <w:basedOn w:val="DefaultParagraphFont"/>
    <w:link w:val="Footer"/>
    <w:uiPriority w:val="99"/>
    <w:rsid w:val="00E44B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93372">
      <w:bodyDiv w:val="1"/>
      <w:marLeft w:val="0"/>
      <w:marRight w:val="0"/>
      <w:marTop w:val="0"/>
      <w:marBottom w:val="0"/>
      <w:divBdr>
        <w:top w:val="none" w:sz="0" w:space="0" w:color="auto"/>
        <w:left w:val="none" w:sz="0" w:space="0" w:color="auto"/>
        <w:bottom w:val="none" w:sz="0" w:space="0" w:color="auto"/>
        <w:right w:val="none" w:sz="0" w:space="0" w:color="auto"/>
      </w:divBdr>
    </w:div>
    <w:div w:id="277763006">
      <w:bodyDiv w:val="1"/>
      <w:marLeft w:val="0"/>
      <w:marRight w:val="0"/>
      <w:marTop w:val="0"/>
      <w:marBottom w:val="0"/>
      <w:divBdr>
        <w:top w:val="none" w:sz="0" w:space="0" w:color="auto"/>
        <w:left w:val="none" w:sz="0" w:space="0" w:color="auto"/>
        <w:bottom w:val="none" w:sz="0" w:space="0" w:color="auto"/>
        <w:right w:val="none" w:sz="0" w:space="0" w:color="auto"/>
      </w:divBdr>
    </w:div>
    <w:div w:id="1184049818">
      <w:bodyDiv w:val="1"/>
      <w:marLeft w:val="0"/>
      <w:marRight w:val="0"/>
      <w:marTop w:val="0"/>
      <w:marBottom w:val="0"/>
      <w:divBdr>
        <w:top w:val="none" w:sz="0" w:space="0" w:color="auto"/>
        <w:left w:val="none" w:sz="0" w:space="0" w:color="auto"/>
        <w:bottom w:val="none" w:sz="0" w:space="0" w:color="auto"/>
        <w:right w:val="none" w:sz="0" w:space="0" w:color="auto"/>
      </w:divBdr>
    </w:div>
    <w:div w:id="1247225588">
      <w:bodyDiv w:val="1"/>
      <w:marLeft w:val="0"/>
      <w:marRight w:val="0"/>
      <w:marTop w:val="0"/>
      <w:marBottom w:val="0"/>
      <w:divBdr>
        <w:top w:val="none" w:sz="0" w:space="0" w:color="auto"/>
        <w:left w:val="none" w:sz="0" w:space="0" w:color="auto"/>
        <w:bottom w:val="none" w:sz="0" w:space="0" w:color="auto"/>
        <w:right w:val="none" w:sz="0" w:space="0" w:color="auto"/>
      </w:divBdr>
    </w:div>
    <w:div w:id="1737627400">
      <w:bodyDiv w:val="1"/>
      <w:marLeft w:val="0"/>
      <w:marRight w:val="0"/>
      <w:marTop w:val="0"/>
      <w:marBottom w:val="0"/>
      <w:divBdr>
        <w:top w:val="none" w:sz="0" w:space="0" w:color="auto"/>
        <w:left w:val="none" w:sz="0" w:space="0" w:color="auto"/>
        <w:bottom w:val="none" w:sz="0" w:space="0" w:color="auto"/>
        <w:right w:val="none" w:sz="0" w:space="0" w:color="auto"/>
      </w:divBdr>
    </w:div>
    <w:div w:id="1781293532">
      <w:bodyDiv w:val="1"/>
      <w:marLeft w:val="0"/>
      <w:marRight w:val="0"/>
      <w:marTop w:val="0"/>
      <w:marBottom w:val="0"/>
      <w:divBdr>
        <w:top w:val="none" w:sz="0" w:space="0" w:color="auto"/>
        <w:left w:val="none" w:sz="0" w:space="0" w:color="auto"/>
        <w:bottom w:val="none" w:sz="0" w:space="0" w:color="auto"/>
        <w:right w:val="none" w:sz="0" w:space="0" w:color="auto"/>
      </w:divBdr>
    </w:div>
    <w:div w:id="19839240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halafoundation.com/index.php/ijchmd/article/view/45/98"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334</TotalTime>
  <Pages>18</Pages>
  <Words>4365</Words>
  <Characters>24886</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 Edmond</dc:creator>
  <cp:keywords/>
  <dc:description/>
  <cp:lastModifiedBy>SDI 1084</cp:lastModifiedBy>
  <cp:revision>17</cp:revision>
  <dcterms:created xsi:type="dcterms:W3CDTF">2026-04-21T15:36:00Z</dcterms:created>
  <dcterms:modified xsi:type="dcterms:W3CDTF">2026-08-28T12:18:00Z</dcterms:modified>
</cp:coreProperties>
</file>