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2B838" w14:textId="77777777" w:rsidR="00AD22FA" w:rsidRPr="00AD22FA" w:rsidRDefault="00AD22FA" w:rsidP="00AD22FA">
      <w:pPr>
        <w:jc w:val="center"/>
        <w:rPr>
          <w:rFonts w:ascii="Arial" w:hAnsi="Arial" w:cs="Arial"/>
          <w:b/>
          <w:bCs/>
          <w:i/>
          <w:iCs/>
          <w:sz w:val="36"/>
          <w:szCs w:val="36"/>
          <w:u w:val="single"/>
          <w:lang w:val="en-US"/>
        </w:rPr>
      </w:pPr>
      <w:r w:rsidRPr="00AD22FA">
        <w:rPr>
          <w:rFonts w:ascii="Arial" w:hAnsi="Arial" w:cs="Arial"/>
          <w:b/>
          <w:bCs/>
          <w:i/>
          <w:iCs/>
          <w:sz w:val="36"/>
          <w:szCs w:val="36"/>
          <w:u w:val="single"/>
          <w:lang w:val="en-US"/>
        </w:rPr>
        <w:t xml:space="preserve">Case report </w:t>
      </w:r>
    </w:p>
    <w:p w14:paraId="457539ED" w14:textId="77777777" w:rsidR="00AD22FA" w:rsidRPr="00AD22FA" w:rsidRDefault="00AD22FA" w:rsidP="00AD22FA">
      <w:pPr>
        <w:jc w:val="center"/>
        <w:rPr>
          <w:rFonts w:ascii="Arial" w:hAnsi="Arial" w:cs="Arial"/>
          <w:b/>
          <w:bCs/>
          <w:sz w:val="36"/>
          <w:szCs w:val="36"/>
        </w:rPr>
      </w:pPr>
      <w:r w:rsidRPr="00AD22FA">
        <w:rPr>
          <w:rFonts w:ascii="Arial" w:hAnsi="Arial" w:cs="Arial"/>
          <w:b/>
          <w:bCs/>
          <w:sz w:val="36"/>
          <w:szCs w:val="36"/>
        </w:rPr>
        <w:t xml:space="preserve">Multiple </w:t>
      </w:r>
      <w:proofErr w:type="spellStart"/>
      <w:r w:rsidRPr="00AD22FA">
        <w:rPr>
          <w:rFonts w:ascii="Arial" w:hAnsi="Arial" w:cs="Arial"/>
          <w:b/>
          <w:bCs/>
          <w:sz w:val="36"/>
          <w:szCs w:val="36"/>
        </w:rPr>
        <w:t>Cutaneous</w:t>
      </w:r>
      <w:proofErr w:type="spellEnd"/>
      <w:r w:rsidRPr="00AD22FA">
        <w:rPr>
          <w:rFonts w:ascii="Arial" w:hAnsi="Arial" w:cs="Arial"/>
          <w:b/>
          <w:bCs/>
          <w:sz w:val="36"/>
          <w:szCs w:val="36"/>
        </w:rPr>
        <w:t xml:space="preserve"> </w:t>
      </w:r>
      <w:proofErr w:type="spellStart"/>
      <w:r w:rsidRPr="00AD22FA">
        <w:rPr>
          <w:rFonts w:ascii="Arial" w:hAnsi="Arial" w:cs="Arial"/>
          <w:b/>
          <w:bCs/>
          <w:sz w:val="36"/>
          <w:szCs w:val="36"/>
        </w:rPr>
        <w:t>Juvenile</w:t>
      </w:r>
      <w:proofErr w:type="spellEnd"/>
      <w:r w:rsidRPr="00AD22FA">
        <w:rPr>
          <w:rFonts w:ascii="Arial" w:hAnsi="Arial" w:cs="Arial"/>
          <w:b/>
          <w:bCs/>
          <w:sz w:val="36"/>
          <w:szCs w:val="36"/>
        </w:rPr>
        <w:t xml:space="preserve"> </w:t>
      </w:r>
      <w:proofErr w:type="spellStart"/>
      <w:r w:rsidRPr="00AD22FA">
        <w:rPr>
          <w:rFonts w:ascii="Arial" w:hAnsi="Arial" w:cs="Arial"/>
          <w:b/>
          <w:bCs/>
          <w:sz w:val="36"/>
          <w:szCs w:val="36"/>
        </w:rPr>
        <w:t>Xanthogranuloma</w:t>
      </w:r>
      <w:proofErr w:type="spellEnd"/>
      <w:r w:rsidRPr="00AD22FA">
        <w:rPr>
          <w:rFonts w:ascii="Arial" w:hAnsi="Arial" w:cs="Arial"/>
          <w:b/>
          <w:bCs/>
          <w:sz w:val="36"/>
          <w:szCs w:val="36"/>
        </w:rPr>
        <w:t xml:space="preserve"> in an </w:t>
      </w:r>
      <w:proofErr w:type="gramStart"/>
      <w:r w:rsidRPr="00AD22FA">
        <w:rPr>
          <w:rFonts w:ascii="Arial" w:hAnsi="Arial" w:cs="Arial"/>
          <w:b/>
          <w:bCs/>
          <w:sz w:val="36"/>
          <w:szCs w:val="36"/>
        </w:rPr>
        <w:t>Infant:</w:t>
      </w:r>
      <w:proofErr w:type="gramEnd"/>
      <w:r w:rsidRPr="00AD22FA">
        <w:rPr>
          <w:rFonts w:ascii="Arial" w:hAnsi="Arial" w:cs="Arial"/>
          <w:b/>
          <w:bCs/>
          <w:sz w:val="36"/>
          <w:szCs w:val="36"/>
        </w:rPr>
        <w:t xml:space="preserve"> A Case Report</w:t>
      </w:r>
    </w:p>
    <w:p w14:paraId="79C65A4F" w14:textId="77777777" w:rsidR="005D787F" w:rsidRDefault="005D787F" w:rsidP="005D787F">
      <w:pPr>
        <w:rPr>
          <w:rFonts w:ascii="Arial" w:hAnsi="Arial" w:cs="Arial"/>
          <w:lang w:val="en-US"/>
        </w:rPr>
      </w:pPr>
    </w:p>
    <w:p w14:paraId="3D43EEE7" w14:textId="77777777" w:rsidR="008F708D" w:rsidRPr="00AD22FA" w:rsidRDefault="008F708D" w:rsidP="005D787F">
      <w:pPr>
        <w:rPr>
          <w:rFonts w:ascii="Arial" w:hAnsi="Arial" w:cs="Arial"/>
          <w:lang w:val="en-US"/>
        </w:rPr>
      </w:pPr>
    </w:p>
    <w:p w14:paraId="498372DF" w14:textId="77777777" w:rsidR="00D27CC4" w:rsidRPr="00AD22FA" w:rsidRDefault="00D27CC4" w:rsidP="00D27CC4">
      <w:pPr>
        <w:rPr>
          <w:rFonts w:ascii="Arial" w:hAnsi="Arial" w:cs="Arial"/>
          <w:lang w:val="en-US"/>
        </w:rPr>
      </w:pPr>
    </w:p>
    <w:p w14:paraId="52DABDB0" w14:textId="77777777" w:rsidR="004C606F" w:rsidRPr="00AD22FA" w:rsidRDefault="004C606F" w:rsidP="00D27CC4">
      <w:pPr>
        <w:rPr>
          <w:rFonts w:ascii="Arial" w:hAnsi="Arial" w:cs="Arial"/>
          <w:u w:val="single"/>
          <w:lang w:val="en-US"/>
        </w:rPr>
      </w:pPr>
      <w:r w:rsidRPr="00AD22FA">
        <w:rPr>
          <w:rFonts w:ascii="Arial" w:hAnsi="Arial" w:cs="Arial"/>
          <w:u w:val="single"/>
          <w:lang w:val="en-US"/>
        </w:rPr>
        <w:t xml:space="preserve">Abstract: </w:t>
      </w:r>
    </w:p>
    <w:p w14:paraId="2CABD943" w14:textId="77777777" w:rsidR="004C606F" w:rsidRPr="00AD22FA" w:rsidRDefault="000C1898" w:rsidP="00AD2A3B">
      <w:pPr>
        <w:spacing w:line="240" w:lineRule="auto"/>
        <w:rPr>
          <w:rFonts w:ascii="Arial" w:hAnsi="Arial" w:cs="Arial"/>
          <w:lang w:val="en-US"/>
        </w:rPr>
      </w:pPr>
      <w:r w:rsidRPr="00AD22FA">
        <w:rPr>
          <w:rFonts w:ascii="Arial" w:hAnsi="Arial" w:cs="Arial"/>
          <w:lang w:val="en-US"/>
        </w:rPr>
        <w:t xml:space="preserve">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is the most common form of non-Langerhans cell histiocytosis in children, characterized by benign histiocytic proliferation. It predominantly affects infants and young children. The diagnosis is primarily clinical, based on the presence of characteristic orange to yellow-brown papulonodular lesions, typically well-demarcated and ranging from a few millimeters to several centimeters in size. These lesions preferentially involve the head, neck, and upper trunk. While solitary lesions are most frequent, multiple lesions can occur, particularly in infants. Histologically, 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shows a dense dermal infiltrate of histiocytes with foamy cytoplasm, often accompanied by Touton giant cells, without epidermal involvement. Although cutaneous involvement predominates, extracutaneous manifestations may occur, with ocular involvement being the most common. The condition follows a benign, self-limiting course, with spontaneous regression over several years without specific treatment. A conservative approach with clinical monitoring is recommended for isolated cutaneous forms. This case report highlights the importance of recognizing this entity to avoid unnecessary invasive investigations and treatments.</w:t>
      </w:r>
    </w:p>
    <w:p w14:paraId="57BAAE63" w14:textId="77777777" w:rsidR="001A3344" w:rsidRPr="00AD22FA" w:rsidRDefault="001A3344" w:rsidP="00D27CC4">
      <w:pPr>
        <w:rPr>
          <w:rFonts w:ascii="Arial" w:hAnsi="Arial" w:cs="Arial"/>
          <w:lang w:val="en-US"/>
        </w:rPr>
      </w:pPr>
    </w:p>
    <w:p w14:paraId="2FC0FE02" w14:textId="77777777" w:rsidR="00DE1A1B" w:rsidRPr="00AD22FA" w:rsidRDefault="001A3344" w:rsidP="00AD2A3B">
      <w:pPr>
        <w:spacing w:line="240" w:lineRule="auto"/>
        <w:rPr>
          <w:rFonts w:ascii="Arial" w:hAnsi="Arial" w:cs="Arial"/>
          <w:u w:val="single"/>
        </w:rPr>
      </w:pPr>
      <w:r w:rsidRPr="00AD22FA">
        <w:rPr>
          <w:rFonts w:ascii="Arial" w:hAnsi="Arial" w:cs="Arial"/>
          <w:u w:val="single"/>
        </w:rPr>
        <w:t xml:space="preserve">Keywords: </w:t>
      </w:r>
    </w:p>
    <w:p w14:paraId="19DD57BD" w14:textId="77777777" w:rsidR="001A3344" w:rsidRPr="00AD22FA" w:rsidRDefault="001A3344" w:rsidP="00AD2A3B">
      <w:pPr>
        <w:spacing w:line="240" w:lineRule="auto"/>
        <w:rPr>
          <w:rFonts w:ascii="Arial" w:hAnsi="Arial" w:cs="Arial"/>
        </w:rPr>
      </w:pPr>
      <w:proofErr w:type="spellStart"/>
      <w:r w:rsidRPr="00AD22FA">
        <w:rPr>
          <w:rFonts w:ascii="Arial" w:hAnsi="Arial" w:cs="Arial"/>
        </w:rPr>
        <w:t>Juvenile</w:t>
      </w:r>
      <w:proofErr w:type="spellEnd"/>
      <w:r w:rsidRPr="00AD22FA">
        <w:rPr>
          <w:rFonts w:ascii="Arial" w:hAnsi="Arial" w:cs="Arial"/>
        </w:rPr>
        <w:t xml:space="preserve"> </w:t>
      </w:r>
      <w:proofErr w:type="spellStart"/>
      <w:r w:rsidRPr="00AD22FA">
        <w:rPr>
          <w:rFonts w:ascii="Arial" w:hAnsi="Arial" w:cs="Arial"/>
        </w:rPr>
        <w:t>xanthogranuloma</w:t>
      </w:r>
      <w:proofErr w:type="spellEnd"/>
      <w:r w:rsidRPr="00AD22FA">
        <w:rPr>
          <w:rFonts w:ascii="Arial" w:hAnsi="Arial" w:cs="Arial"/>
        </w:rPr>
        <w:t xml:space="preserve">, </w:t>
      </w:r>
      <w:proofErr w:type="spellStart"/>
      <w:r w:rsidRPr="00AD22FA">
        <w:rPr>
          <w:rFonts w:ascii="Arial" w:hAnsi="Arial" w:cs="Arial"/>
        </w:rPr>
        <w:t>histiocytosis</w:t>
      </w:r>
      <w:proofErr w:type="spellEnd"/>
      <w:r w:rsidRPr="00AD22FA">
        <w:rPr>
          <w:rFonts w:ascii="Arial" w:hAnsi="Arial" w:cs="Arial"/>
        </w:rPr>
        <w:t xml:space="preserve">, </w:t>
      </w:r>
      <w:r w:rsidR="00E16F0F" w:rsidRPr="00AD22FA">
        <w:rPr>
          <w:rFonts w:ascii="Arial" w:hAnsi="Arial" w:cs="Arial"/>
        </w:rPr>
        <w:t>non-Langerhans</w:t>
      </w:r>
      <w:r w:rsidR="00321DB1" w:rsidRPr="00AD22FA">
        <w:rPr>
          <w:rFonts w:ascii="Arial" w:hAnsi="Arial" w:cs="Arial"/>
        </w:rPr>
        <w:t xml:space="preserve"> </w:t>
      </w:r>
      <w:proofErr w:type="spellStart"/>
      <w:r w:rsidR="00321DB1" w:rsidRPr="00AD22FA">
        <w:rPr>
          <w:rFonts w:ascii="Arial" w:hAnsi="Arial" w:cs="Arial"/>
        </w:rPr>
        <w:t>cell</w:t>
      </w:r>
      <w:proofErr w:type="spellEnd"/>
      <w:r w:rsidR="00E16F0F" w:rsidRPr="00AD22FA">
        <w:rPr>
          <w:rFonts w:ascii="Arial" w:hAnsi="Arial" w:cs="Arial"/>
        </w:rPr>
        <w:t xml:space="preserve"> </w:t>
      </w:r>
      <w:proofErr w:type="spellStart"/>
      <w:r w:rsidR="00E16F0F" w:rsidRPr="00AD22FA">
        <w:rPr>
          <w:rFonts w:ascii="Arial" w:hAnsi="Arial" w:cs="Arial"/>
        </w:rPr>
        <w:t>histiocytosis</w:t>
      </w:r>
      <w:proofErr w:type="spellEnd"/>
      <w:r w:rsidR="00321DB1" w:rsidRPr="00AD22FA">
        <w:rPr>
          <w:rFonts w:ascii="Arial" w:hAnsi="Arial" w:cs="Arial"/>
        </w:rPr>
        <w:t>,</w:t>
      </w:r>
      <w:r w:rsidR="00E16F0F" w:rsidRPr="00AD22FA">
        <w:rPr>
          <w:rFonts w:ascii="Arial" w:hAnsi="Arial" w:cs="Arial"/>
        </w:rPr>
        <w:t xml:space="preserve"> </w:t>
      </w:r>
      <w:proofErr w:type="spellStart"/>
      <w:r w:rsidR="00E16F0F" w:rsidRPr="00AD22FA">
        <w:rPr>
          <w:rFonts w:ascii="Arial" w:hAnsi="Arial" w:cs="Arial"/>
        </w:rPr>
        <w:t>cutaneous</w:t>
      </w:r>
      <w:proofErr w:type="spellEnd"/>
      <w:r w:rsidR="00E16F0F" w:rsidRPr="00AD22FA">
        <w:rPr>
          <w:rFonts w:ascii="Arial" w:hAnsi="Arial" w:cs="Arial"/>
        </w:rPr>
        <w:t xml:space="preserve"> </w:t>
      </w:r>
      <w:proofErr w:type="spellStart"/>
      <w:r w:rsidR="00E16F0F" w:rsidRPr="00AD22FA">
        <w:rPr>
          <w:rFonts w:ascii="Arial" w:hAnsi="Arial" w:cs="Arial"/>
        </w:rPr>
        <w:t>lesions</w:t>
      </w:r>
      <w:proofErr w:type="spellEnd"/>
      <w:r w:rsidR="00E16F0F" w:rsidRPr="00AD22FA">
        <w:rPr>
          <w:rFonts w:ascii="Arial" w:hAnsi="Arial" w:cs="Arial"/>
        </w:rPr>
        <w:t xml:space="preserve">, </w:t>
      </w:r>
      <w:proofErr w:type="spellStart"/>
      <w:r w:rsidR="00E16F0F" w:rsidRPr="00AD22FA">
        <w:rPr>
          <w:rFonts w:ascii="Arial" w:hAnsi="Arial" w:cs="Arial"/>
        </w:rPr>
        <w:t>pediatric</w:t>
      </w:r>
      <w:proofErr w:type="spellEnd"/>
      <w:r w:rsidR="00E16F0F" w:rsidRPr="00AD22FA">
        <w:rPr>
          <w:rFonts w:ascii="Arial" w:hAnsi="Arial" w:cs="Arial"/>
        </w:rPr>
        <w:t xml:space="preserve"> </w:t>
      </w:r>
      <w:proofErr w:type="spellStart"/>
      <w:r w:rsidR="00E16F0F" w:rsidRPr="00AD22FA">
        <w:rPr>
          <w:rFonts w:ascii="Arial" w:hAnsi="Arial" w:cs="Arial"/>
        </w:rPr>
        <w:t>dermatology</w:t>
      </w:r>
      <w:proofErr w:type="spellEnd"/>
    </w:p>
    <w:p w14:paraId="5B7BAC4D" w14:textId="77777777" w:rsidR="00D27CC4" w:rsidRPr="00AD22FA" w:rsidRDefault="00D27CC4" w:rsidP="00D27CC4">
      <w:pPr>
        <w:rPr>
          <w:rFonts w:ascii="Arial" w:hAnsi="Arial" w:cs="Arial"/>
          <w:u w:val="single"/>
          <w:lang w:val="en-US"/>
        </w:rPr>
      </w:pPr>
      <w:r w:rsidRPr="00AD22FA">
        <w:rPr>
          <w:rFonts w:ascii="Arial" w:hAnsi="Arial" w:cs="Arial"/>
          <w:u w:val="single"/>
          <w:lang w:val="en-US"/>
        </w:rPr>
        <w:t xml:space="preserve">Introduction: </w:t>
      </w:r>
    </w:p>
    <w:p w14:paraId="328DDA1E" w14:textId="77777777" w:rsidR="00D27CC4" w:rsidRPr="00AD22FA" w:rsidRDefault="005D787F" w:rsidP="00BB726A">
      <w:pPr>
        <w:spacing w:line="360" w:lineRule="auto"/>
        <w:jc w:val="both"/>
        <w:rPr>
          <w:rFonts w:ascii="Arial" w:hAnsi="Arial" w:cs="Arial"/>
          <w:lang w:val="en-US"/>
        </w:rPr>
      </w:pPr>
      <w:r w:rsidRPr="00AD22FA">
        <w:rPr>
          <w:rFonts w:ascii="Arial" w:hAnsi="Arial" w:cs="Arial"/>
          <w:lang w:val="en-US"/>
        </w:rPr>
        <w:t xml:space="preserve">Juvenile </w:t>
      </w:r>
      <w:proofErr w:type="spellStart"/>
      <w:r w:rsidR="00321DB1" w:rsidRPr="00AD22FA">
        <w:rPr>
          <w:rFonts w:ascii="Arial" w:hAnsi="Arial" w:cs="Arial"/>
          <w:lang w:val="en-US"/>
        </w:rPr>
        <w:t>x</w:t>
      </w:r>
      <w:r w:rsidRPr="00AD22FA">
        <w:rPr>
          <w:rFonts w:ascii="Arial" w:hAnsi="Arial" w:cs="Arial"/>
          <w:lang w:val="en-US"/>
        </w:rPr>
        <w:t>anthogranuloma</w:t>
      </w:r>
      <w:proofErr w:type="spellEnd"/>
      <w:r w:rsidRPr="00AD22FA">
        <w:rPr>
          <w:rFonts w:ascii="Arial" w:hAnsi="Arial" w:cs="Arial"/>
          <w:lang w:val="en-US"/>
        </w:rPr>
        <w:t xml:space="preserve"> is a heterogeneous group of non-Langerhans histiocytosis, characterized by a proliferation of histiocytic cells. This entity is relatively rare, with an estimated incidence of approximately 1 case per million children. It is the most common form of histiocytosis in pediatric patients [1]. Cutaneous lesions typically emerge within the first few months of life, usually before the age of one, although they can be congenital. The preferred sites include the head (face, scalp) and neck, with a predominance in males. We present here the case of an infant diagnosed with juvenile </w:t>
      </w:r>
      <w:proofErr w:type="spellStart"/>
      <w:r w:rsidRPr="00AD22FA">
        <w:rPr>
          <w:rFonts w:ascii="Arial" w:hAnsi="Arial" w:cs="Arial"/>
          <w:lang w:val="en-US"/>
        </w:rPr>
        <w:t>xanthogranuloma</w:t>
      </w:r>
      <w:proofErr w:type="spellEnd"/>
      <w:r w:rsidRPr="00AD22FA">
        <w:rPr>
          <w:rFonts w:ascii="Arial" w:hAnsi="Arial" w:cs="Arial"/>
          <w:lang w:val="en-US"/>
        </w:rPr>
        <w:t>.</w:t>
      </w:r>
    </w:p>
    <w:p w14:paraId="06F58A11" w14:textId="77777777" w:rsidR="00677026" w:rsidRPr="00AD22FA" w:rsidRDefault="00000000">
      <w:pPr>
        <w:spacing w:line="360" w:lineRule="auto"/>
        <w:jc w:val="both"/>
      </w:pPr>
      <w:r w:rsidRPr="00AD22FA">
        <w:rPr>
          <w:rFonts w:ascii="Arial" w:hAnsi="Arial"/>
        </w:rPr>
        <w:lastRenderedPageBreak/>
        <w:t>Contemporary pediatric series indicate that the clinical profile of juvenile xanthogranuloma is broader than a single fixed incidence estimate: the disorder remains uncommon, usually presents in early childhood, and most often involves the head and neck, with solitary cutaneous lesions predominating (Kundak &amp; Çakır, 2021; Wee et al., 2022). A large 30-year clinicopathologic series further demonstrated age-related and morphologic heterogeneity, including distinct histopathologic patterns and occasional extracutaneous disease, supporting the characterization of juvenile xanthogranuloma as a clinically and pathologically heterogeneous non-Langerhans histiocytic disorder (Salari &amp; Dehner, 2022). These observations underscore the importance of careful clinical recognition in infants presenting with characteristic yellow-orange papules or nodules.</w:t>
      </w:r>
    </w:p>
    <w:p w14:paraId="14BE6780" w14:textId="77777777" w:rsidR="005D787F" w:rsidRPr="00AD22FA" w:rsidRDefault="005D787F" w:rsidP="00D27CC4">
      <w:pPr>
        <w:rPr>
          <w:rFonts w:ascii="Arial" w:hAnsi="Arial" w:cs="Arial"/>
          <w:lang w:val="en-US"/>
        </w:rPr>
      </w:pPr>
      <w:r w:rsidRPr="00AD22FA">
        <w:rPr>
          <w:rFonts w:ascii="Arial" w:hAnsi="Arial" w:cs="Arial"/>
          <w:u w:val="single"/>
          <w:lang w:val="en-US"/>
        </w:rPr>
        <w:t>Case Presentation</w:t>
      </w:r>
      <w:r w:rsidRPr="00AD22FA">
        <w:rPr>
          <w:rFonts w:ascii="Arial" w:hAnsi="Arial" w:cs="Arial"/>
          <w:lang w:val="en-US"/>
        </w:rPr>
        <w:t xml:space="preserve">: </w:t>
      </w:r>
    </w:p>
    <w:p w14:paraId="67954B40" w14:textId="77777777" w:rsidR="005D787F" w:rsidRPr="00AD22FA" w:rsidRDefault="005D787F" w:rsidP="005D787F">
      <w:pPr>
        <w:spacing w:line="360" w:lineRule="auto"/>
        <w:jc w:val="both"/>
        <w:rPr>
          <w:rFonts w:ascii="Arial" w:hAnsi="Arial" w:cs="Arial"/>
          <w:lang w:val="en-US"/>
        </w:rPr>
      </w:pPr>
      <w:r w:rsidRPr="00AD22FA">
        <w:rPr>
          <w:rFonts w:ascii="Arial" w:hAnsi="Arial" w:cs="Arial"/>
          <w:lang w:val="en-US"/>
        </w:rPr>
        <w:t xml:space="preserve">This case involves an 8-month-old infant, born at term from an unremarkable pregnancy, with neonatal history showing no reported anomalies. The parents consulted due to the appearance of two papular lesions in the cephalic region that had been evolving for the past six months. Upon clinical examination, the infant was in good general condition. The dermatological examination revealed two well-defined, firm papules, rounded in shape, with a smooth surface, measuring approximately 1 cm in diameter. The lesions exhibited a characteristic orange coloration, with no associated inflammatory signs, ulceration, or discharge. They were located at the hairline and on the cheek (Figures 1 and 2), which is a classic topography for 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lesions. Given this evocative clinical appearance, a diagnosis of multiple cutaneous 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was retained. The clinical evolution, the typical morphology of the lesions, and their cephalic localization allowed for an essentially clinical diagnosis. In the absence of any severe signs or extracutaneous involvement, no treatment was initiated, and simple clinical monitoring was recommended to the parents, explaining the benign and self-resolving nature of this condition.</w:t>
      </w:r>
    </w:p>
    <w:p w14:paraId="6574C777" w14:textId="77777777" w:rsidR="00EA69BD" w:rsidRPr="00AD22FA" w:rsidRDefault="00EA69BD" w:rsidP="005D787F">
      <w:pPr>
        <w:spacing w:line="360" w:lineRule="auto"/>
        <w:jc w:val="both"/>
        <w:rPr>
          <w:rFonts w:ascii="Arial" w:hAnsi="Arial" w:cs="Arial"/>
          <w:lang w:val="en-US"/>
        </w:rPr>
      </w:pPr>
    </w:p>
    <w:p w14:paraId="4C150BAD" w14:textId="77777777" w:rsidR="00EA69BD" w:rsidRPr="00AD22FA" w:rsidRDefault="00EA69BD" w:rsidP="005D787F">
      <w:pPr>
        <w:spacing w:line="360" w:lineRule="auto"/>
        <w:jc w:val="both"/>
        <w:rPr>
          <w:rFonts w:ascii="Arial" w:hAnsi="Arial" w:cs="Arial"/>
          <w:lang w:val="en-US"/>
        </w:rPr>
      </w:pPr>
    </w:p>
    <w:p w14:paraId="5E6DD7D1" w14:textId="77777777" w:rsidR="00EA69BD" w:rsidRPr="00AD22FA" w:rsidRDefault="00EA69BD" w:rsidP="005D787F">
      <w:pPr>
        <w:spacing w:line="360" w:lineRule="auto"/>
        <w:jc w:val="both"/>
        <w:rPr>
          <w:rFonts w:ascii="Arial" w:hAnsi="Arial" w:cs="Arial"/>
          <w:lang w:val="en-US"/>
        </w:rPr>
      </w:pPr>
    </w:p>
    <w:p w14:paraId="36FD6350" w14:textId="77777777" w:rsidR="00EA69BD" w:rsidRPr="00AD22FA" w:rsidRDefault="00EA69BD" w:rsidP="005D787F">
      <w:pPr>
        <w:spacing w:line="360" w:lineRule="auto"/>
        <w:jc w:val="both"/>
        <w:rPr>
          <w:rFonts w:ascii="Arial" w:hAnsi="Arial" w:cs="Arial"/>
          <w:lang w:val="en-US"/>
        </w:rPr>
      </w:pPr>
    </w:p>
    <w:p w14:paraId="31D7CD9A" w14:textId="77777777" w:rsidR="00EA69BD" w:rsidRPr="00AD22FA" w:rsidRDefault="00EA69BD" w:rsidP="005D787F">
      <w:pPr>
        <w:spacing w:line="360" w:lineRule="auto"/>
        <w:jc w:val="both"/>
        <w:rPr>
          <w:rFonts w:ascii="Arial" w:hAnsi="Arial" w:cs="Arial"/>
          <w:lang w:val="en-US"/>
        </w:rPr>
      </w:pPr>
    </w:p>
    <w:p w14:paraId="3EF7691C" w14:textId="77777777" w:rsidR="00EA69BD" w:rsidRPr="00AD22FA" w:rsidRDefault="00EA69BD" w:rsidP="005D787F">
      <w:pPr>
        <w:spacing w:line="360" w:lineRule="auto"/>
        <w:jc w:val="both"/>
        <w:rPr>
          <w:rFonts w:ascii="Arial" w:hAnsi="Arial" w:cs="Arial"/>
          <w:lang w:val="en-US"/>
        </w:rPr>
      </w:pPr>
    </w:p>
    <w:p w14:paraId="34881AAF" w14:textId="77777777" w:rsidR="00EA69BD" w:rsidRPr="00AD22FA" w:rsidRDefault="00EA69BD" w:rsidP="005D787F">
      <w:pPr>
        <w:spacing w:line="360" w:lineRule="auto"/>
        <w:jc w:val="both"/>
        <w:rPr>
          <w:rFonts w:ascii="Arial" w:hAnsi="Arial" w:cs="Arial"/>
          <w:lang w:val="en-US"/>
        </w:rPr>
      </w:pPr>
    </w:p>
    <w:p w14:paraId="6474784D" w14:textId="77777777" w:rsidR="00EA69BD" w:rsidRPr="00AD22FA" w:rsidRDefault="00EA69BD" w:rsidP="005D787F">
      <w:pPr>
        <w:spacing w:line="360" w:lineRule="auto"/>
        <w:jc w:val="both"/>
        <w:rPr>
          <w:rFonts w:ascii="Arial" w:hAnsi="Arial" w:cs="Arial"/>
          <w:lang w:val="en-US"/>
        </w:rPr>
      </w:pPr>
    </w:p>
    <w:p w14:paraId="6337FBCF" w14:textId="77777777" w:rsidR="00EA69BD" w:rsidRPr="00AD22FA" w:rsidRDefault="00EA69BD" w:rsidP="005D787F">
      <w:pPr>
        <w:spacing w:line="360" w:lineRule="auto"/>
        <w:jc w:val="both"/>
        <w:rPr>
          <w:rFonts w:ascii="Arial" w:hAnsi="Arial" w:cs="Arial"/>
          <w:lang w:val="en-US"/>
        </w:rPr>
      </w:pPr>
    </w:p>
    <w:p w14:paraId="75C42C3B" w14:textId="77777777" w:rsidR="00EA69BD" w:rsidRPr="00AD22FA" w:rsidRDefault="00EA69BD" w:rsidP="005D787F">
      <w:pPr>
        <w:spacing w:line="360" w:lineRule="auto"/>
        <w:jc w:val="both"/>
        <w:rPr>
          <w:rFonts w:ascii="Arial" w:hAnsi="Arial" w:cs="Arial"/>
        </w:rPr>
      </w:pPr>
      <w:r w:rsidRPr="00AD22FA">
        <w:rPr>
          <w:rFonts w:ascii="Arial" w:hAnsi="Arial" w:cs="Arial"/>
          <w:lang w:val="en-US"/>
        </w:rPr>
        <w:t xml:space="preserve">Figure 1: </w:t>
      </w:r>
      <w:proofErr w:type="spellStart"/>
      <w:r w:rsidRPr="00AD22FA">
        <w:rPr>
          <w:rFonts w:ascii="Arial" w:hAnsi="Arial" w:cs="Arial"/>
        </w:rPr>
        <w:t>Juvenile</w:t>
      </w:r>
      <w:proofErr w:type="spellEnd"/>
      <w:r w:rsidRPr="00AD22FA">
        <w:rPr>
          <w:rFonts w:ascii="Arial" w:hAnsi="Arial" w:cs="Arial"/>
        </w:rPr>
        <w:t xml:space="preserve"> </w:t>
      </w:r>
      <w:proofErr w:type="spellStart"/>
      <w:r w:rsidRPr="00AD22FA">
        <w:rPr>
          <w:rFonts w:ascii="Arial" w:hAnsi="Arial" w:cs="Arial"/>
        </w:rPr>
        <w:t>Xanthogranuloma</w:t>
      </w:r>
      <w:proofErr w:type="spellEnd"/>
      <w:r w:rsidRPr="00AD22FA">
        <w:rPr>
          <w:rFonts w:ascii="Arial" w:hAnsi="Arial" w:cs="Arial"/>
        </w:rPr>
        <w:t>: An Orange-</w:t>
      </w:r>
      <w:proofErr w:type="spellStart"/>
      <w:r w:rsidRPr="00AD22FA">
        <w:rPr>
          <w:rFonts w:ascii="Arial" w:hAnsi="Arial" w:cs="Arial"/>
        </w:rPr>
        <w:t>Colored</w:t>
      </w:r>
      <w:proofErr w:type="spellEnd"/>
      <w:r w:rsidRPr="00AD22FA">
        <w:rPr>
          <w:rFonts w:ascii="Arial" w:hAnsi="Arial" w:cs="Arial"/>
        </w:rPr>
        <w:t xml:space="preserve"> Scalp Papule</w:t>
      </w:r>
    </w:p>
    <w:p w14:paraId="01E1D331" w14:textId="77777777" w:rsidR="00EA69BD" w:rsidRPr="00AD22FA" w:rsidRDefault="00EA69BD" w:rsidP="00EA69BD">
      <w:pPr>
        <w:spacing w:line="360" w:lineRule="auto"/>
        <w:jc w:val="both"/>
        <w:rPr>
          <w:rFonts w:ascii="Arial" w:hAnsi="Arial" w:cs="Arial"/>
        </w:rPr>
      </w:pPr>
      <w:r w:rsidRPr="00AD22FA">
        <w:rPr>
          <w:rFonts w:ascii="Arial" w:hAnsi="Arial" w:cs="Arial"/>
          <w:noProof/>
        </w:rPr>
        <w:drawing>
          <wp:inline distT="0" distB="0" distL="0" distR="0" wp14:anchorId="6761D964" wp14:editId="7762AA16">
            <wp:extent cx="4000500" cy="4038600"/>
            <wp:effectExtent l="0" t="0" r="0" b="0"/>
            <wp:docPr id="12718154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0500" cy="4038600"/>
                    </a:xfrm>
                    <a:prstGeom prst="rect">
                      <a:avLst/>
                    </a:prstGeom>
                    <a:noFill/>
                    <a:ln>
                      <a:noFill/>
                    </a:ln>
                  </pic:spPr>
                </pic:pic>
              </a:graphicData>
            </a:graphic>
          </wp:inline>
        </w:drawing>
      </w:r>
    </w:p>
    <w:p w14:paraId="4F6FA6BD" w14:textId="77777777" w:rsidR="00EA69BD" w:rsidRPr="00AD22FA" w:rsidRDefault="00EA69BD" w:rsidP="00EA69BD">
      <w:pPr>
        <w:spacing w:line="360" w:lineRule="auto"/>
        <w:jc w:val="both"/>
        <w:rPr>
          <w:rFonts w:ascii="Arial" w:hAnsi="Arial" w:cs="Arial"/>
        </w:rPr>
      </w:pPr>
      <w:r w:rsidRPr="00AD22FA">
        <w:rPr>
          <w:rFonts w:ascii="Arial" w:hAnsi="Arial" w:cs="Arial"/>
          <w:lang w:val="en-US"/>
        </w:rPr>
        <w:t xml:space="preserve">Figure 2: </w:t>
      </w:r>
      <w:proofErr w:type="spellStart"/>
      <w:r w:rsidRPr="00AD22FA">
        <w:rPr>
          <w:rFonts w:ascii="Arial" w:hAnsi="Arial" w:cs="Arial"/>
        </w:rPr>
        <w:t>Juvenile</w:t>
      </w:r>
      <w:proofErr w:type="spellEnd"/>
      <w:r w:rsidRPr="00AD22FA">
        <w:rPr>
          <w:rFonts w:ascii="Arial" w:hAnsi="Arial" w:cs="Arial"/>
        </w:rPr>
        <w:t xml:space="preserve"> </w:t>
      </w:r>
      <w:proofErr w:type="spellStart"/>
      <w:r w:rsidRPr="00AD22FA">
        <w:rPr>
          <w:rFonts w:ascii="Arial" w:hAnsi="Arial" w:cs="Arial"/>
        </w:rPr>
        <w:t>Xanthogranuloma</w:t>
      </w:r>
      <w:proofErr w:type="spellEnd"/>
      <w:r w:rsidRPr="00AD22FA">
        <w:rPr>
          <w:rFonts w:ascii="Arial" w:hAnsi="Arial" w:cs="Arial"/>
        </w:rPr>
        <w:t xml:space="preserve">: An Orange </w:t>
      </w:r>
      <w:proofErr w:type="spellStart"/>
      <w:r w:rsidRPr="00AD22FA">
        <w:rPr>
          <w:rFonts w:ascii="Arial" w:hAnsi="Arial" w:cs="Arial"/>
        </w:rPr>
        <w:t>papulonodule</w:t>
      </w:r>
      <w:proofErr w:type="spellEnd"/>
      <w:r w:rsidRPr="00AD22FA">
        <w:rPr>
          <w:rFonts w:ascii="Arial" w:hAnsi="Arial" w:cs="Arial"/>
        </w:rPr>
        <w:t xml:space="preserve"> on the Cheek</w:t>
      </w:r>
    </w:p>
    <w:p w14:paraId="095C7363" w14:textId="77777777" w:rsidR="00EA69BD" w:rsidRPr="00AD22FA" w:rsidRDefault="00EA69BD" w:rsidP="00EA69BD">
      <w:pPr>
        <w:spacing w:line="360" w:lineRule="auto"/>
        <w:jc w:val="both"/>
        <w:rPr>
          <w:rFonts w:ascii="Arial" w:hAnsi="Arial" w:cs="Arial"/>
        </w:rPr>
      </w:pPr>
      <w:r w:rsidRPr="00AD22FA">
        <w:rPr>
          <w:rFonts w:ascii="Arial" w:hAnsi="Arial" w:cs="Arial"/>
          <w:noProof/>
        </w:rPr>
        <w:lastRenderedPageBreak/>
        <w:drawing>
          <wp:inline distT="0" distB="0" distL="0" distR="0" wp14:anchorId="0E606A7F" wp14:editId="7D0D0416">
            <wp:extent cx="3857625" cy="3800475"/>
            <wp:effectExtent l="0" t="0" r="9525" b="9525"/>
            <wp:docPr id="13689514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7625" cy="3800475"/>
                    </a:xfrm>
                    <a:prstGeom prst="rect">
                      <a:avLst/>
                    </a:prstGeom>
                    <a:noFill/>
                    <a:ln>
                      <a:noFill/>
                    </a:ln>
                  </pic:spPr>
                </pic:pic>
              </a:graphicData>
            </a:graphic>
          </wp:inline>
        </w:drawing>
      </w:r>
    </w:p>
    <w:p w14:paraId="3AC35576" w14:textId="77777777" w:rsidR="00EA69BD" w:rsidRPr="00AD22FA" w:rsidRDefault="00EA69BD" w:rsidP="005D787F">
      <w:pPr>
        <w:spacing w:line="360" w:lineRule="auto"/>
        <w:jc w:val="both"/>
        <w:rPr>
          <w:rFonts w:ascii="Arial" w:hAnsi="Arial" w:cs="Arial"/>
          <w:lang w:val="en-US"/>
        </w:rPr>
      </w:pPr>
    </w:p>
    <w:p w14:paraId="72B2680E" w14:textId="77777777" w:rsidR="009F496A" w:rsidRPr="00AD22FA" w:rsidRDefault="00E75B28" w:rsidP="005D787F">
      <w:pPr>
        <w:spacing w:line="360" w:lineRule="auto"/>
        <w:jc w:val="both"/>
        <w:rPr>
          <w:rFonts w:ascii="Arial" w:hAnsi="Arial" w:cs="Arial"/>
          <w:u w:val="single"/>
          <w:lang w:val="en-US"/>
        </w:rPr>
      </w:pPr>
      <w:r w:rsidRPr="00AD22FA">
        <w:rPr>
          <w:rFonts w:ascii="Arial" w:hAnsi="Arial" w:cs="Arial"/>
          <w:u w:val="single"/>
          <w:lang w:val="en-US"/>
        </w:rPr>
        <w:t xml:space="preserve">Discussion: </w:t>
      </w:r>
    </w:p>
    <w:p w14:paraId="414ED945" w14:textId="77777777" w:rsidR="00E75B28" w:rsidRPr="00AD22FA" w:rsidRDefault="00E75B28" w:rsidP="005D787F">
      <w:pPr>
        <w:spacing w:line="360" w:lineRule="auto"/>
        <w:jc w:val="both"/>
        <w:rPr>
          <w:rFonts w:ascii="Arial" w:hAnsi="Arial" w:cs="Arial"/>
          <w:lang w:val="en-US"/>
        </w:rPr>
      </w:pPr>
      <w:r w:rsidRPr="00AD22FA">
        <w:rPr>
          <w:rFonts w:ascii="Arial" w:hAnsi="Arial" w:cs="Arial"/>
          <w:lang w:val="en-US"/>
        </w:rPr>
        <w:t xml:space="preserve">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is the most common non-Langerhans cell histiocytosis in children. It belongs to the group of benign histiocytic proliferations characterized by a dermal accumulation of dendritic cells derived from macrophages</w:t>
      </w:r>
      <w:r w:rsidR="00584085" w:rsidRPr="00AD22FA">
        <w:rPr>
          <w:rFonts w:ascii="Arial" w:hAnsi="Arial" w:cs="Arial"/>
          <w:lang w:val="en-US"/>
        </w:rPr>
        <w:t xml:space="preserve"> [2]</w:t>
      </w:r>
      <w:r w:rsidRPr="00AD22FA">
        <w:rPr>
          <w:rFonts w:ascii="Arial" w:hAnsi="Arial" w:cs="Arial"/>
          <w:lang w:val="en-US"/>
        </w:rPr>
        <w:t>. This condition occurs predominantly in infants and young children, with nearly 75% of cases diagnosed before one year of age, although later-onset forms have been described</w:t>
      </w:r>
      <w:r w:rsidR="00584085" w:rsidRPr="00AD22FA">
        <w:rPr>
          <w:rFonts w:ascii="Arial" w:hAnsi="Arial" w:cs="Arial"/>
          <w:lang w:val="en-US"/>
        </w:rPr>
        <w:t xml:space="preserve"> [3]</w:t>
      </w:r>
      <w:r w:rsidRPr="00AD22FA">
        <w:rPr>
          <w:rFonts w:ascii="Arial" w:hAnsi="Arial" w:cs="Arial"/>
          <w:lang w:val="en-US"/>
        </w:rPr>
        <w:t xml:space="preserve">. Clinically, 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presents as one or multiple well-demarcated papular or nodular lesions that are orange to yellow-brown in color and range in size from a few millimeters to several centimeters. Lesions preferentially involve the head, neck, and upper trunk. Solitary lesions are most frequent, whereas multiple lesions are less common and occur mainly in infants</w:t>
      </w:r>
      <w:r w:rsidR="00584085" w:rsidRPr="00AD22FA">
        <w:rPr>
          <w:rFonts w:ascii="Arial" w:hAnsi="Arial" w:cs="Arial"/>
          <w:lang w:val="en-US"/>
        </w:rPr>
        <w:t xml:space="preserve"> [3]</w:t>
      </w:r>
      <w:r w:rsidRPr="00AD22FA">
        <w:rPr>
          <w:rFonts w:ascii="Arial" w:hAnsi="Arial" w:cs="Arial"/>
          <w:lang w:val="en-US"/>
        </w:rPr>
        <w:t xml:space="preserve">. The diagnosis of 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is primarily clinical, particularly in typical presentations. Histologically, there is a dense, well-demarcated dermal or dermo</w:t>
      </w:r>
      <w:r w:rsidRPr="00AD22FA">
        <w:rPr>
          <w:rFonts w:ascii="Cambria Math" w:hAnsi="Cambria Math" w:cs="Cambria Math"/>
          <w:lang w:val="en-US"/>
        </w:rPr>
        <w:t>‑</w:t>
      </w:r>
      <w:r w:rsidRPr="00AD22FA">
        <w:rPr>
          <w:rFonts w:ascii="Arial" w:hAnsi="Arial" w:cs="Arial"/>
          <w:lang w:val="en-US"/>
        </w:rPr>
        <w:t>hypodermal infiltrate of histiocytes without epidermal involvement</w:t>
      </w:r>
      <w:r w:rsidR="00584085" w:rsidRPr="00AD22FA">
        <w:rPr>
          <w:rFonts w:ascii="Arial" w:hAnsi="Arial" w:cs="Arial"/>
          <w:lang w:val="en-US"/>
        </w:rPr>
        <w:t xml:space="preserve"> [4]</w:t>
      </w:r>
      <w:r w:rsidRPr="00AD22FA">
        <w:rPr>
          <w:rFonts w:ascii="Arial" w:hAnsi="Arial" w:cs="Arial"/>
          <w:lang w:val="en-US"/>
        </w:rPr>
        <w:t xml:space="preserve">. The histiocytes have foamy cytoplasm and may be accompanied by multinucleated Touton giant cells, especially in more developed lesions. Although cutaneous involvement predominates, extracutaneous localizations have been reported, notably ocular, pulmonary, hepatic, neurological, and </w:t>
      </w:r>
      <w:r w:rsidRPr="00AD22FA">
        <w:rPr>
          <w:rFonts w:ascii="Arial" w:hAnsi="Arial" w:cs="Arial"/>
          <w:lang w:val="en-US"/>
        </w:rPr>
        <w:lastRenderedPageBreak/>
        <w:t>osseous sites. Ocular involvement is the most frequent extracutaneous manifestation</w:t>
      </w:r>
      <w:r w:rsidR="00584085" w:rsidRPr="00AD22FA">
        <w:rPr>
          <w:rFonts w:ascii="Arial" w:hAnsi="Arial" w:cs="Arial"/>
          <w:lang w:val="en-US"/>
        </w:rPr>
        <w:t xml:space="preserve"> [5]</w:t>
      </w:r>
      <w:r w:rsidRPr="00AD22FA">
        <w:rPr>
          <w:rFonts w:ascii="Arial" w:hAnsi="Arial" w:cs="Arial"/>
          <w:lang w:val="en-US"/>
        </w:rPr>
        <w:t xml:space="preserve">. The course of 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is spontaneously favorable in the majority of cases. Lesions typically regress over several years without specific treatment, sometimes leaving a slight atrophic scar or residual hyperpigmentation</w:t>
      </w:r>
      <w:r w:rsidR="00584085" w:rsidRPr="00AD22FA">
        <w:rPr>
          <w:rFonts w:ascii="Arial" w:hAnsi="Arial" w:cs="Arial"/>
          <w:lang w:val="en-US"/>
        </w:rPr>
        <w:t xml:space="preserve"> [6]</w:t>
      </w:r>
      <w:r w:rsidRPr="00AD22FA">
        <w:rPr>
          <w:rFonts w:ascii="Arial" w:hAnsi="Arial" w:cs="Arial"/>
          <w:lang w:val="en-US"/>
        </w:rPr>
        <w:t>. Therefore, a conservative (watchful waiting) therapeutic approach is generally recommended for isolated cutaneous forms.</w:t>
      </w:r>
    </w:p>
    <w:p w14:paraId="08F21365" w14:textId="77777777" w:rsidR="00677026" w:rsidRPr="00AD22FA" w:rsidRDefault="00000000">
      <w:pPr>
        <w:spacing w:line="360" w:lineRule="auto"/>
        <w:jc w:val="both"/>
      </w:pPr>
      <w:r w:rsidRPr="00AD22FA">
        <w:rPr>
          <w:rFonts w:ascii="Arial" w:hAnsi="Arial"/>
        </w:rPr>
        <w:t>The clinical profile in the present case—infancy, cephalic distribution, and two well-demarcated orange papules—is consistent with contemporary pediatric cohorts. Kundak and Çakır (2021) described juvenile xanthogranuloma predominantly in children, while Wee et al. (2022) reported that 69.4% of 147 pediatric patients presented before two years of age and that the head and neck were the most frequently involved sites. These findings support the clinical plausibility of the diagnosis in an 8-month-old with facial and scalp lesions while indicating that multiple lesions represent a less common, but recognized, presentation.</w:t>
      </w:r>
    </w:p>
    <w:p w14:paraId="49DECFAD" w14:textId="77777777" w:rsidR="00677026" w:rsidRPr="00AD22FA" w:rsidRDefault="00000000">
      <w:pPr>
        <w:spacing w:line="360" w:lineRule="auto"/>
        <w:jc w:val="both"/>
      </w:pPr>
      <w:r w:rsidRPr="00AD22FA">
        <w:rPr>
          <w:rFonts w:ascii="Arial" w:hAnsi="Arial"/>
        </w:rPr>
        <w:t>The histopathologic appearance can vary with lesion maturation; lipidization and Touton giant-cell formation may become more conspicuous as lesions evolve (Kubota et al., 2001). Salari and Dehner (2022) identified early, classic, and transitional histopathologic patterns in a large single-center series, whereas Fraitag and Emile (2022) emphasized integrating morphology with immunophenotype when distinguishing pediatric cutaneous histiocytoses. Accordingly, biopsy is especially useful when morphology is atypical, lesions evolve unexpectedly, or the differential diagnosis remains broad, although a characteristic uncomplicated cutaneous presentation may be managed primarily on clinical grounds.</w:t>
      </w:r>
    </w:p>
    <w:p w14:paraId="03D1EC5A" w14:textId="77777777" w:rsidR="00677026" w:rsidRPr="00AD22FA" w:rsidRDefault="00000000">
      <w:pPr>
        <w:spacing w:line="360" w:lineRule="auto"/>
        <w:jc w:val="both"/>
      </w:pPr>
      <w:r w:rsidRPr="00AD22FA">
        <w:rPr>
          <w:rFonts w:ascii="Arial" w:hAnsi="Arial"/>
        </w:rPr>
        <w:t>Although the current infant had no extracutaneous signs, awareness of ocular disease remains clinically important because ocular juvenile xanthogranuloma may be associated with vision-threatening complications that require active ophthalmic management (Samara et al., 2015). At the same time, a more recent cohort of 147 Asian children identified no ophthalmologic complications and did not support routine ophthalmologic or systemic screening in the absence of clinical indications, even in children with multiple cutaneous lesions (Wee et al., 2022). Taken together, these data support individualized surveillance guided by ocular symptoms, lesion burden, age, and examination findings rather than indiscriminate extensive investigation.</w:t>
      </w:r>
    </w:p>
    <w:p w14:paraId="2764FDA2" w14:textId="77777777" w:rsidR="00677026" w:rsidRPr="00AD22FA" w:rsidRDefault="00000000">
      <w:pPr>
        <w:spacing w:line="360" w:lineRule="auto"/>
        <w:jc w:val="both"/>
      </w:pPr>
      <w:r w:rsidRPr="00AD22FA">
        <w:rPr>
          <w:rFonts w:ascii="Arial" w:hAnsi="Arial"/>
        </w:rPr>
        <w:lastRenderedPageBreak/>
        <w:t>The decision for observation in this case is also concordant with contemporary outcome data. Wee et al. (2022) documented spontaneous resolution in 57.7% of children, with a mean time to resolution of 18.8 months, and Kundak and Çakır (2021) similarly described a generally benign clinical course without extracutaneous involvement in their pediatric cohort. Thus, watchful waiting is reasonable for uncomplicated skin-limited disease, provided that clinical follow-up is maintained to identify unexpected progression or extracutaneous manifestations.</w:t>
      </w:r>
    </w:p>
    <w:p w14:paraId="6862E785" w14:textId="77777777" w:rsidR="00E75B28" w:rsidRPr="00AD22FA" w:rsidRDefault="00E75B28" w:rsidP="005D787F">
      <w:pPr>
        <w:spacing w:line="360" w:lineRule="auto"/>
        <w:jc w:val="both"/>
        <w:rPr>
          <w:rFonts w:ascii="Arial" w:hAnsi="Arial" w:cs="Arial"/>
          <w:lang w:val="en-US"/>
        </w:rPr>
      </w:pPr>
    </w:p>
    <w:p w14:paraId="3558D7F2" w14:textId="77777777" w:rsidR="00E75B28" w:rsidRPr="00AD22FA" w:rsidRDefault="00E75B28" w:rsidP="005D787F">
      <w:pPr>
        <w:spacing w:line="360" w:lineRule="auto"/>
        <w:jc w:val="both"/>
        <w:rPr>
          <w:rFonts w:ascii="Arial" w:hAnsi="Arial" w:cs="Arial"/>
          <w:lang w:val="en-US"/>
        </w:rPr>
      </w:pPr>
      <w:r w:rsidRPr="00AD22FA">
        <w:rPr>
          <w:rFonts w:ascii="Arial" w:hAnsi="Arial" w:cs="Arial"/>
          <w:u w:val="single"/>
          <w:lang w:val="en-US"/>
        </w:rPr>
        <w:t>Conclusion</w:t>
      </w:r>
      <w:r w:rsidRPr="00AD22FA">
        <w:rPr>
          <w:rFonts w:ascii="Arial" w:hAnsi="Arial" w:cs="Arial"/>
          <w:lang w:val="en-US"/>
        </w:rPr>
        <w:t xml:space="preserve">: </w:t>
      </w:r>
    </w:p>
    <w:p w14:paraId="33FDFE59" w14:textId="77777777" w:rsidR="00343973" w:rsidRPr="005010C3" w:rsidRDefault="00343973" w:rsidP="00343973">
      <w:pPr>
        <w:spacing w:before="100" w:beforeAutospacing="1" w:after="100" w:afterAutospacing="1" w:line="240" w:lineRule="auto"/>
        <w:rPr>
          <w:rFonts w:ascii="Times New Roman" w:eastAsia="Times New Roman" w:hAnsi="Times New Roman" w:cs="Times New Roman"/>
          <w:lang w:eastAsia="en-GB"/>
        </w:rPr>
      </w:pPr>
      <w:proofErr w:type="spellStart"/>
      <w:r w:rsidRPr="005010C3">
        <w:rPr>
          <w:rFonts w:ascii="Times New Roman" w:eastAsia="Times New Roman" w:hAnsi="Times New Roman" w:cs="Times New Roman"/>
          <w:lang w:eastAsia="en-GB"/>
        </w:rPr>
        <w:t>Juvenile</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xanthogranuloma</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should</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be</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considered</w:t>
      </w:r>
      <w:proofErr w:type="spellEnd"/>
      <w:r w:rsidRPr="005010C3">
        <w:rPr>
          <w:rFonts w:ascii="Times New Roman" w:eastAsia="Times New Roman" w:hAnsi="Times New Roman" w:cs="Times New Roman"/>
          <w:lang w:eastAsia="en-GB"/>
        </w:rPr>
        <w:t xml:space="preserve"> in infants </w:t>
      </w:r>
      <w:proofErr w:type="spellStart"/>
      <w:r w:rsidRPr="005010C3">
        <w:rPr>
          <w:rFonts w:ascii="Times New Roman" w:eastAsia="Times New Roman" w:hAnsi="Times New Roman" w:cs="Times New Roman"/>
          <w:lang w:eastAsia="en-GB"/>
        </w:rPr>
        <w:t>presenting</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with</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well-defined</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yellow</w:t>
      </w:r>
      <w:proofErr w:type="spellEnd"/>
      <w:r w:rsidRPr="005010C3">
        <w:rPr>
          <w:rFonts w:ascii="Times New Roman" w:eastAsia="Times New Roman" w:hAnsi="Times New Roman" w:cs="Times New Roman"/>
          <w:lang w:eastAsia="en-GB"/>
        </w:rPr>
        <w:t xml:space="preserve">-orange papules or nodules, </w:t>
      </w:r>
      <w:proofErr w:type="spellStart"/>
      <w:r w:rsidRPr="005010C3">
        <w:rPr>
          <w:rFonts w:ascii="Times New Roman" w:eastAsia="Times New Roman" w:hAnsi="Times New Roman" w:cs="Times New Roman"/>
          <w:lang w:eastAsia="en-GB"/>
        </w:rPr>
        <w:t>particularly</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when</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lesions</w:t>
      </w:r>
      <w:proofErr w:type="spellEnd"/>
      <w:r w:rsidRPr="005010C3">
        <w:rPr>
          <w:rFonts w:ascii="Times New Roman" w:eastAsia="Times New Roman" w:hAnsi="Times New Roman" w:cs="Times New Roman"/>
          <w:lang w:eastAsia="en-GB"/>
        </w:rPr>
        <w:t xml:space="preserve"> are </w:t>
      </w:r>
      <w:proofErr w:type="spellStart"/>
      <w:r w:rsidRPr="005010C3">
        <w:rPr>
          <w:rFonts w:ascii="Times New Roman" w:eastAsia="Times New Roman" w:hAnsi="Times New Roman" w:cs="Times New Roman"/>
          <w:lang w:eastAsia="en-GB"/>
        </w:rPr>
        <w:t>located</w:t>
      </w:r>
      <w:proofErr w:type="spellEnd"/>
      <w:r w:rsidRPr="005010C3">
        <w:rPr>
          <w:rFonts w:ascii="Times New Roman" w:eastAsia="Times New Roman" w:hAnsi="Times New Roman" w:cs="Times New Roman"/>
          <w:lang w:eastAsia="en-GB"/>
        </w:rPr>
        <w:t xml:space="preserve"> on the </w:t>
      </w:r>
      <w:proofErr w:type="spellStart"/>
      <w:r w:rsidRPr="005010C3">
        <w:rPr>
          <w:rFonts w:ascii="Times New Roman" w:eastAsia="Times New Roman" w:hAnsi="Times New Roman" w:cs="Times New Roman"/>
          <w:lang w:eastAsia="en-GB"/>
        </w:rPr>
        <w:t>head</w:t>
      </w:r>
      <w:proofErr w:type="spellEnd"/>
      <w:r w:rsidRPr="005010C3">
        <w:rPr>
          <w:rFonts w:ascii="Times New Roman" w:eastAsia="Times New Roman" w:hAnsi="Times New Roman" w:cs="Times New Roman"/>
          <w:lang w:eastAsia="en-GB"/>
        </w:rPr>
        <w:t xml:space="preserve"> or face. In </w:t>
      </w:r>
      <w:proofErr w:type="spellStart"/>
      <w:r w:rsidRPr="005010C3">
        <w:rPr>
          <w:rFonts w:ascii="Times New Roman" w:eastAsia="Times New Roman" w:hAnsi="Times New Roman" w:cs="Times New Roman"/>
          <w:lang w:eastAsia="en-GB"/>
        </w:rPr>
        <w:t>this</w:t>
      </w:r>
      <w:proofErr w:type="spellEnd"/>
      <w:r w:rsidRPr="005010C3">
        <w:rPr>
          <w:rFonts w:ascii="Times New Roman" w:eastAsia="Times New Roman" w:hAnsi="Times New Roman" w:cs="Times New Roman"/>
          <w:lang w:eastAsia="en-GB"/>
        </w:rPr>
        <w:t xml:space="preserve"> case, the patient </w:t>
      </w:r>
      <w:proofErr w:type="spellStart"/>
      <w:r w:rsidRPr="005010C3">
        <w:rPr>
          <w:rFonts w:ascii="Times New Roman" w:eastAsia="Times New Roman" w:hAnsi="Times New Roman" w:cs="Times New Roman"/>
          <w:lang w:eastAsia="en-GB"/>
        </w:rPr>
        <w:t>had</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two</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typical</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cephalic</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lesions</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without</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clinical</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evidence</w:t>
      </w:r>
      <w:proofErr w:type="spellEnd"/>
      <w:r w:rsidRPr="005010C3">
        <w:rPr>
          <w:rFonts w:ascii="Times New Roman" w:eastAsia="Times New Roman" w:hAnsi="Times New Roman" w:cs="Times New Roman"/>
          <w:lang w:eastAsia="en-GB"/>
        </w:rPr>
        <w:t xml:space="preserve"> of </w:t>
      </w:r>
      <w:proofErr w:type="spellStart"/>
      <w:r w:rsidRPr="005010C3">
        <w:rPr>
          <w:rFonts w:ascii="Times New Roman" w:eastAsia="Times New Roman" w:hAnsi="Times New Roman" w:cs="Times New Roman"/>
          <w:lang w:eastAsia="en-GB"/>
        </w:rPr>
        <w:t>extracutaneous</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involvement</w:t>
      </w:r>
      <w:proofErr w:type="spellEnd"/>
      <w:r w:rsidRPr="005010C3">
        <w:rPr>
          <w:rFonts w:ascii="Times New Roman" w:eastAsia="Times New Roman" w:hAnsi="Times New Roman" w:cs="Times New Roman"/>
          <w:lang w:eastAsia="en-GB"/>
        </w:rPr>
        <w:t xml:space="preserve">. The </w:t>
      </w:r>
      <w:proofErr w:type="spellStart"/>
      <w:r w:rsidRPr="005010C3">
        <w:rPr>
          <w:rFonts w:ascii="Times New Roman" w:eastAsia="Times New Roman" w:hAnsi="Times New Roman" w:cs="Times New Roman"/>
          <w:lang w:eastAsia="en-GB"/>
        </w:rPr>
        <w:t>diagnosis</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was</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retained</w:t>
      </w:r>
      <w:proofErr w:type="spellEnd"/>
      <w:r w:rsidRPr="005010C3">
        <w:rPr>
          <w:rFonts w:ascii="Times New Roman" w:eastAsia="Times New Roman" w:hAnsi="Times New Roman" w:cs="Times New Roman"/>
          <w:lang w:eastAsia="en-GB"/>
        </w:rPr>
        <w:t xml:space="preserve"> on </w:t>
      </w:r>
      <w:proofErr w:type="spellStart"/>
      <w:r w:rsidRPr="005010C3">
        <w:rPr>
          <w:rFonts w:ascii="Times New Roman" w:eastAsia="Times New Roman" w:hAnsi="Times New Roman" w:cs="Times New Roman"/>
          <w:lang w:eastAsia="en-GB"/>
        </w:rPr>
        <w:t>clinical</w:t>
      </w:r>
      <w:proofErr w:type="spellEnd"/>
      <w:r w:rsidRPr="005010C3">
        <w:rPr>
          <w:rFonts w:ascii="Times New Roman" w:eastAsia="Times New Roman" w:hAnsi="Times New Roman" w:cs="Times New Roman"/>
          <w:lang w:eastAsia="en-GB"/>
        </w:rPr>
        <w:t xml:space="preserve"> grounds, and conservative monitoring </w:t>
      </w:r>
      <w:proofErr w:type="spellStart"/>
      <w:r w:rsidRPr="005010C3">
        <w:rPr>
          <w:rFonts w:ascii="Times New Roman" w:eastAsia="Times New Roman" w:hAnsi="Times New Roman" w:cs="Times New Roman"/>
          <w:lang w:eastAsia="en-GB"/>
        </w:rPr>
        <w:t>was</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selected</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because</w:t>
      </w:r>
      <w:proofErr w:type="spellEnd"/>
      <w:r w:rsidRPr="005010C3">
        <w:rPr>
          <w:rFonts w:ascii="Times New Roman" w:eastAsia="Times New Roman" w:hAnsi="Times New Roman" w:cs="Times New Roman"/>
          <w:lang w:eastAsia="en-GB"/>
        </w:rPr>
        <w:t xml:space="preserve"> of the </w:t>
      </w:r>
      <w:proofErr w:type="spellStart"/>
      <w:r w:rsidRPr="005010C3">
        <w:rPr>
          <w:rFonts w:ascii="Times New Roman" w:eastAsia="Times New Roman" w:hAnsi="Times New Roman" w:cs="Times New Roman"/>
          <w:lang w:eastAsia="en-GB"/>
        </w:rPr>
        <w:t>benign</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presentation</w:t>
      </w:r>
      <w:proofErr w:type="spellEnd"/>
      <w:r w:rsidRPr="005010C3">
        <w:rPr>
          <w:rFonts w:ascii="Times New Roman" w:eastAsia="Times New Roman" w:hAnsi="Times New Roman" w:cs="Times New Roman"/>
          <w:lang w:eastAsia="en-GB"/>
        </w:rPr>
        <w:t xml:space="preserve">. Recognition of </w:t>
      </w:r>
      <w:proofErr w:type="spellStart"/>
      <w:r w:rsidRPr="005010C3">
        <w:rPr>
          <w:rFonts w:ascii="Times New Roman" w:eastAsia="Times New Roman" w:hAnsi="Times New Roman" w:cs="Times New Roman"/>
          <w:lang w:eastAsia="en-GB"/>
        </w:rPr>
        <w:t>this</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entity</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is</w:t>
      </w:r>
      <w:proofErr w:type="spellEnd"/>
      <w:r w:rsidRPr="005010C3">
        <w:rPr>
          <w:rFonts w:ascii="Times New Roman" w:eastAsia="Times New Roman" w:hAnsi="Times New Roman" w:cs="Times New Roman"/>
          <w:lang w:eastAsia="en-GB"/>
        </w:rPr>
        <w:t xml:space="preserve"> important to </w:t>
      </w:r>
      <w:proofErr w:type="spellStart"/>
      <w:r w:rsidRPr="005010C3">
        <w:rPr>
          <w:rFonts w:ascii="Times New Roman" w:eastAsia="Times New Roman" w:hAnsi="Times New Roman" w:cs="Times New Roman"/>
          <w:lang w:eastAsia="en-GB"/>
        </w:rPr>
        <w:t>reassure</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caregivers</w:t>
      </w:r>
      <w:proofErr w:type="spellEnd"/>
      <w:r w:rsidRPr="005010C3">
        <w:rPr>
          <w:rFonts w:ascii="Times New Roman" w:eastAsia="Times New Roman" w:hAnsi="Times New Roman" w:cs="Times New Roman"/>
          <w:lang w:eastAsia="en-GB"/>
        </w:rPr>
        <w:t xml:space="preserve"> and </w:t>
      </w:r>
      <w:proofErr w:type="spellStart"/>
      <w:r w:rsidRPr="005010C3">
        <w:rPr>
          <w:rFonts w:ascii="Times New Roman" w:eastAsia="Times New Roman" w:hAnsi="Times New Roman" w:cs="Times New Roman"/>
          <w:lang w:eastAsia="en-GB"/>
        </w:rPr>
        <w:t>avoid</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unnecessary</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treatment</w:t>
      </w:r>
      <w:proofErr w:type="spellEnd"/>
      <w:r w:rsidRPr="005010C3">
        <w:rPr>
          <w:rFonts w:ascii="Times New Roman" w:eastAsia="Times New Roman" w:hAnsi="Times New Roman" w:cs="Times New Roman"/>
          <w:lang w:eastAsia="en-GB"/>
        </w:rPr>
        <w:t xml:space="preserve"> in </w:t>
      </w:r>
      <w:proofErr w:type="spellStart"/>
      <w:r w:rsidRPr="005010C3">
        <w:rPr>
          <w:rFonts w:ascii="Times New Roman" w:eastAsia="Times New Roman" w:hAnsi="Times New Roman" w:cs="Times New Roman"/>
          <w:lang w:eastAsia="en-GB"/>
        </w:rPr>
        <w:t>uncomplicated</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cutaneous</w:t>
      </w:r>
      <w:proofErr w:type="spellEnd"/>
      <w:r w:rsidRPr="005010C3">
        <w:rPr>
          <w:rFonts w:ascii="Times New Roman" w:eastAsia="Times New Roman" w:hAnsi="Times New Roman" w:cs="Times New Roman"/>
          <w:lang w:eastAsia="en-GB"/>
        </w:rPr>
        <w:t xml:space="preserve"> cases. </w:t>
      </w:r>
      <w:proofErr w:type="spellStart"/>
      <w:r w:rsidRPr="005010C3">
        <w:rPr>
          <w:rFonts w:ascii="Times New Roman" w:eastAsia="Times New Roman" w:hAnsi="Times New Roman" w:cs="Times New Roman"/>
          <w:lang w:eastAsia="en-GB"/>
        </w:rPr>
        <w:t>Continued</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clinical</w:t>
      </w:r>
      <w:proofErr w:type="spellEnd"/>
      <w:r w:rsidRPr="005010C3">
        <w:rPr>
          <w:rFonts w:ascii="Times New Roman" w:eastAsia="Times New Roman" w:hAnsi="Times New Roman" w:cs="Times New Roman"/>
          <w:lang w:eastAsia="en-GB"/>
        </w:rPr>
        <w:t xml:space="preserve"> follow-up </w:t>
      </w:r>
      <w:proofErr w:type="spellStart"/>
      <w:r w:rsidRPr="005010C3">
        <w:rPr>
          <w:rFonts w:ascii="Times New Roman" w:eastAsia="Times New Roman" w:hAnsi="Times New Roman" w:cs="Times New Roman"/>
          <w:lang w:eastAsia="en-GB"/>
        </w:rPr>
        <w:t>remains</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appropriate</w:t>
      </w:r>
      <w:proofErr w:type="spellEnd"/>
      <w:r w:rsidRPr="005010C3">
        <w:rPr>
          <w:rFonts w:ascii="Times New Roman" w:eastAsia="Times New Roman" w:hAnsi="Times New Roman" w:cs="Times New Roman"/>
          <w:lang w:eastAsia="en-GB"/>
        </w:rPr>
        <w:t xml:space="preserve"> to </w:t>
      </w:r>
      <w:proofErr w:type="spellStart"/>
      <w:r w:rsidRPr="005010C3">
        <w:rPr>
          <w:rFonts w:ascii="Times New Roman" w:eastAsia="Times New Roman" w:hAnsi="Times New Roman" w:cs="Times New Roman"/>
          <w:lang w:eastAsia="en-GB"/>
        </w:rPr>
        <w:t>confirm</w:t>
      </w:r>
      <w:proofErr w:type="spellEnd"/>
      <w:r w:rsidRPr="005010C3">
        <w:rPr>
          <w:rFonts w:ascii="Times New Roman" w:eastAsia="Times New Roman" w:hAnsi="Times New Roman" w:cs="Times New Roman"/>
          <w:lang w:eastAsia="en-GB"/>
        </w:rPr>
        <w:t xml:space="preserve"> favorable </w:t>
      </w:r>
      <w:proofErr w:type="spellStart"/>
      <w:r w:rsidRPr="005010C3">
        <w:rPr>
          <w:rFonts w:ascii="Times New Roman" w:eastAsia="Times New Roman" w:hAnsi="Times New Roman" w:cs="Times New Roman"/>
          <w:lang w:eastAsia="en-GB"/>
        </w:rPr>
        <w:t>evolution</w:t>
      </w:r>
      <w:proofErr w:type="spellEnd"/>
      <w:r w:rsidRPr="005010C3">
        <w:rPr>
          <w:rFonts w:ascii="Times New Roman" w:eastAsia="Times New Roman" w:hAnsi="Times New Roman" w:cs="Times New Roman"/>
          <w:lang w:eastAsia="en-GB"/>
        </w:rPr>
        <w:t xml:space="preserve"> and </w:t>
      </w:r>
      <w:proofErr w:type="spellStart"/>
      <w:r w:rsidRPr="005010C3">
        <w:rPr>
          <w:rFonts w:ascii="Times New Roman" w:eastAsia="Times New Roman" w:hAnsi="Times New Roman" w:cs="Times New Roman"/>
          <w:lang w:eastAsia="en-GB"/>
        </w:rPr>
        <w:t>detect</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any</w:t>
      </w:r>
      <w:proofErr w:type="spellEnd"/>
      <w:r w:rsidRPr="005010C3">
        <w:rPr>
          <w:rFonts w:ascii="Times New Roman" w:eastAsia="Times New Roman" w:hAnsi="Times New Roman" w:cs="Times New Roman"/>
          <w:lang w:eastAsia="en-GB"/>
        </w:rPr>
        <w:t xml:space="preserve"> </w:t>
      </w:r>
      <w:proofErr w:type="spellStart"/>
      <w:r w:rsidRPr="005010C3">
        <w:rPr>
          <w:rFonts w:ascii="Times New Roman" w:eastAsia="Times New Roman" w:hAnsi="Times New Roman" w:cs="Times New Roman"/>
          <w:lang w:eastAsia="en-GB"/>
        </w:rPr>
        <w:t>unexpected</w:t>
      </w:r>
      <w:proofErr w:type="spellEnd"/>
      <w:r w:rsidRPr="005010C3">
        <w:rPr>
          <w:rFonts w:ascii="Times New Roman" w:eastAsia="Times New Roman" w:hAnsi="Times New Roman" w:cs="Times New Roman"/>
          <w:lang w:eastAsia="en-GB"/>
        </w:rPr>
        <w:t xml:space="preserve"> change.</w:t>
      </w:r>
    </w:p>
    <w:p w14:paraId="59E47FBC" w14:textId="77777777" w:rsidR="008F708D" w:rsidRDefault="008F708D" w:rsidP="005D787F">
      <w:pPr>
        <w:spacing w:line="360" w:lineRule="auto"/>
        <w:jc w:val="both"/>
        <w:rPr>
          <w:rFonts w:ascii="Arial" w:hAnsi="Arial" w:cs="Arial"/>
          <w:bCs/>
          <w:u w:val="single"/>
        </w:rPr>
      </w:pPr>
    </w:p>
    <w:p w14:paraId="4D50BC88" w14:textId="7230EC41" w:rsidR="00EA69BD" w:rsidRPr="00AD22FA" w:rsidRDefault="00EA69BD" w:rsidP="005D787F">
      <w:pPr>
        <w:spacing w:line="360" w:lineRule="auto"/>
        <w:jc w:val="both"/>
        <w:rPr>
          <w:rFonts w:ascii="Arial" w:hAnsi="Arial" w:cs="Arial"/>
          <w:bCs/>
          <w:u w:val="single"/>
        </w:rPr>
      </w:pPr>
      <w:r w:rsidRPr="00AD22FA">
        <w:rPr>
          <w:rFonts w:ascii="Arial" w:hAnsi="Arial" w:cs="Arial"/>
          <w:bCs/>
          <w:u w:val="single"/>
        </w:rPr>
        <w:t>Consent :</w:t>
      </w:r>
    </w:p>
    <w:p w14:paraId="2D5D841A" w14:textId="77777777" w:rsidR="00EA69BD" w:rsidRDefault="00EA69BD" w:rsidP="005D787F">
      <w:pPr>
        <w:spacing w:line="360" w:lineRule="auto"/>
        <w:jc w:val="both"/>
        <w:rPr>
          <w:rFonts w:ascii="Arial" w:hAnsi="Arial" w:cs="Arial"/>
        </w:rPr>
      </w:pPr>
      <w:r w:rsidRPr="00AD22FA">
        <w:rPr>
          <w:rFonts w:ascii="Arial" w:hAnsi="Arial" w:cs="Arial"/>
        </w:rPr>
        <w:t xml:space="preserve">All </w:t>
      </w:r>
      <w:proofErr w:type="spellStart"/>
      <w:r w:rsidRPr="00AD22FA">
        <w:rPr>
          <w:rFonts w:ascii="Arial" w:hAnsi="Arial" w:cs="Arial"/>
        </w:rPr>
        <w:t>authors</w:t>
      </w:r>
      <w:proofErr w:type="spellEnd"/>
      <w:r w:rsidRPr="00AD22FA">
        <w:rPr>
          <w:rFonts w:ascii="Arial" w:hAnsi="Arial" w:cs="Arial"/>
        </w:rPr>
        <w:t xml:space="preserve"> </w:t>
      </w:r>
      <w:proofErr w:type="spellStart"/>
      <w:r w:rsidRPr="00AD22FA">
        <w:rPr>
          <w:rFonts w:ascii="Arial" w:hAnsi="Arial" w:cs="Arial"/>
        </w:rPr>
        <w:t>declare</w:t>
      </w:r>
      <w:proofErr w:type="spellEnd"/>
      <w:r w:rsidRPr="00AD22FA">
        <w:rPr>
          <w:rFonts w:ascii="Arial" w:hAnsi="Arial" w:cs="Arial"/>
        </w:rPr>
        <w:t xml:space="preserve"> </w:t>
      </w:r>
      <w:proofErr w:type="spellStart"/>
      <w:r w:rsidRPr="00AD22FA">
        <w:rPr>
          <w:rFonts w:ascii="Arial" w:hAnsi="Arial" w:cs="Arial"/>
        </w:rPr>
        <w:t>that</w:t>
      </w:r>
      <w:proofErr w:type="spellEnd"/>
      <w:r w:rsidRPr="00AD22FA">
        <w:rPr>
          <w:rFonts w:ascii="Arial" w:hAnsi="Arial" w:cs="Arial"/>
        </w:rPr>
        <w:t xml:space="preserve"> ‘</w:t>
      </w:r>
      <w:proofErr w:type="spellStart"/>
      <w:r w:rsidRPr="00AD22FA">
        <w:rPr>
          <w:rFonts w:ascii="Arial" w:hAnsi="Arial" w:cs="Arial"/>
        </w:rPr>
        <w:t>written</w:t>
      </w:r>
      <w:proofErr w:type="spellEnd"/>
      <w:r w:rsidRPr="00AD22FA">
        <w:rPr>
          <w:rFonts w:ascii="Arial" w:hAnsi="Arial" w:cs="Arial"/>
        </w:rPr>
        <w:t xml:space="preserve"> </w:t>
      </w:r>
      <w:proofErr w:type="spellStart"/>
      <w:r w:rsidRPr="00AD22FA">
        <w:rPr>
          <w:rFonts w:ascii="Arial" w:hAnsi="Arial" w:cs="Arial"/>
        </w:rPr>
        <w:t>informed</w:t>
      </w:r>
      <w:proofErr w:type="spellEnd"/>
      <w:r w:rsidRPr="00AD22FA">
        <w:rPr>
          <w:rFonts w:ascii="Arial" w:hAnsi="Arial" w:cs="Arial"/>
        </w:rPr>
        <w:t xml:space="preserve"> consent </w:t>
      </w:r>
      <w:proofErr w:type="spellStart"/>
      <w:r w:rsidRPr="00AD22FA">
        <w:rPr>
          <w:rFonts w:ascii="Arial" w:hAnsi="Arial" w:cs="Arial"/>
        </w:rPr>
        <w:t>was</w:t>
      </w:r>
      <w:proofErr w:type="spellEnd"/>
      <w:r w:rsidRPr="00AD22FA">
        <w:rPr>
          <w:rFonts w:ascii="Arial" w:hAnsi="Arial" w:cs="Arial"/>
        </w:rPr>
        <w:t xml:space="preserve"> </w:t>
      </w:r>
      <w:proofErr w:type="spellStart"/>
      <w:r w:rsidRPr="00AD22FA">
        <w:rPr>
          <w:rFonts w:ascii="Arial" w:hAnsi="Arial" w:cs="Arial"/>
        </w:rPr>
        <w:t>obtained</w:t>
      </w:r>
      <w:proofErr w:type="spellEnd"/>
      <w:r w:rsidRPr="00AD22FA">
        <w:rPr>
          <w:rFonts w:ascii="Arial" w:hAnsi="Arial" w:cs="Arial"/>
        </w:rPr>
        <w:t xml:space="preserve"> </w:t>
      </w:r>
      <w:proofErr w:type="spellStart"/>
      <w:r w:rsidRPr="00AD22FA">
        <w:rPr>
          <w:rFonts w:ascii="Arial" w:hAnsi="Arial" w:cs="Arial"/>
        </w:rPr>
        <w:t>from</w:t>
      </w:r>
      <w:proofErr w:type="spellEnd"/>
      <w:r w:rsidRPr="00AD22FA">
        <w:rPr>
          <w:rFonts w:ascii="Arial" w:hAnsi="Arial" w:cs="Arial"/>
        </w:rPr>
        <w:t xml:space="preserve"> the patient (or </w:t>
      </w:r>
      <w:proofErr w:type="spellStart"/>
      <w:r w:rsidRPr="00AD22FA">
        <w:rPr>
          <w:rFonts w:ascii="Arial" w:hAnsi="Arial" w:cs="Arial"/>
        </w:rPr>
        <w:t>other</w:t>
      </w:r>
      <w:proofErr w:type="spellEnd"/>
      <w:r w:rsidRPr="00AD22FA">
        <w:rPr>
          <w:rFonts w:ascii="Arial" w:hAnsi="Arial" w:cs="Arial"/>
        </w:rPr>
        <w:t xml:space="preserve"> </w:t>
      </w:r>
      <w:proofErr w:type="spellStart"/>
      <w:r w:rsidRPr="00AD22FA">
        <w:rPr>
          <w:rFonts w:ascii="Arial" w:hAnsi="Arial" w:cs="Arial"/>
        </w:rPr>
        <w:t>approved</w:t>
      </w:r>
      <w:proofErr w:type="spellEnd"/>
      <w:r w:rsidRPr="00AD22FA">
        <w:rPr>
          <w:rFonts w:ascii="Arial" w:hAnsi="Arial" w:cs="Arial"/>
        </w:rPr>
        <w:t xml:space="preserve"> parties) for publication of </w:t>
      </w:r>
      <w:proofErr w:type="spellStart"/>
      <w:r w:rsidRPr="00AD22FA">
        <w:rPr>
          <w:rFonts w:ascii="Arial" w:hAnsi="Arial" w:cs="Arial"/>
        </w:rPr>
        <w:t>this</w:t>
      </w:r>
      <w:proofErr w:type="spellEnd"/>
      <w:r w:rsidRPr="00AD22FA">
        <w:rPr>
          <w:rFonts w:ascii="Arial" w:hAnsi="Arial" w:cs="Arial"/>
        </w:rPr>
        <w:t xml:space="preserve"> case report and </w:t>
      </w:r>
      <w:proofErr w:type="spellStart"/>
      <w:r w:rsidRPr="00AD22FA">
        <w:rPr>
          <w:rFonts w:ascii="Arial" w:hAnsi="Arial" w:cs="Arial"/>
        </w:rPr>
        <w:t>accompanying</w:t>
      </w:r>
      <w:proofErr w:type="spellEnd"/>
      <w:r w:rsidRPr="00AD22FA">
        <w:rPr>
          <w:rFonts w:ascii="Arial" w:hAnsi="Arial" w:cs="Arial"/>
        </w:rPr>
        <w:t xml:space="preserve"> images’.</w:t>
      </w:r>
    </w:p>
    <w:p w14:paraId="3A1888EA" w14:textId="77777777" w:rsidR="00343973" w:rsidRDefault="00343973" w:rsidP="00343973">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5A4946B5" w14:textId="77777777" w:rsidR="00343973" w:rsidRDefault="00343973" w:rsidP="00343973">
      <w:pPr>
        <w:spacing w:after="0" w:line="240" w:lineRule="auto"/>
        <w:rPr>
          <w:rFonts w:ascii="Times New Roman" w:hAnsi="Times New Roman" w:cs="Times New Roman"/>
          <w:b/>
        </w:rPr>
      </w:pPr>
    </w:p>
    <w:p w14:paraId="482A7574" w14:textId="77777777" w:rsidR="00343973" w:rsidRDefault="00343973" w:rsidP="00343973">
      <w:pPr>
        <w:spacing w:after="0" w:line="240" w:lineRule="auto"/>
        <w:rPr>
          <w:rFonts w:ascii="Times New Roman" w:hAnsi="Times New Roman" w:cs="Times New Roman"/>
          <w:b/>
        </w:rPr>
      </w:pPr>
    </w:p>
    <w:p w14:paraId="1FE8CBF8" w14:textId="77777777" w:rsidR="00343973" w:rsidRDefault="00343973" w:rsidP="00343973">
      <w:pPr>
        <w:spacing w:after="0" w:line="240" w:lineRule="auto"/>
        <w:rPr>
          <w:rFonts w:ascii="Times New Roman" w:hAnsi="Times New Roman" w:cs="Times New Roman"/>
          <w:b/>
        </w:rPr>
      </w:pPr>
    </w:p>
    <w:p w14:paraId="40E5A0FE" w14:textId="77777777" w:rsidR="00343973" w:rsidRPr="002D08AC" w:rsidRDefault="00343973" w:rsidP="00343973">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0D5612B6" w14:textId="77777777" w:rsidR="00343973" w:rsidRPr="00AD22FA" w:rsidRDefault="00343973" w:rsidP="005D787F">
      <w:pPr>
        <w:spacing w:line="360" w:lineRule="auto"/>
        <w:jc w:val="both"/>
        <w:rPr>
          <w:rFonts w:ascii="Arial" w:hAnsi="Arial" w:cs="Arial"/>
        </w:rPr>
      </w:pPr>
    </w:p>
    <w:p w14:paraId="77A192FD" w14:textId="77777777" w:rsidR="00E75B28" w:rsidRPr="00AD22FA" w:rsidRDefault="00E75B28" w:rsidP="005D787F">
      <w:pPr>
        <w:spacing w:line="360" w:lineRule="auto"/>
        <w:jc w:val="both"/>
        <w:rPr>
          <w:rFonts w:ascii="Arial" w:hAnsi="Arial" w:cs="Arial"/>
          <w:u w:val="single"/>
          <w:lang w:val="en-US"/>
        </w:rPr>
      </w:pPr>
      <w:r w:rsidRPr="00AD22FA">
        <w:rPr>
          <w:rFonts w:ascii="Arial" w:hAnsi="Arial" w:cs="Arial"/>
          <w:u w:val="single"/>
          <w:lang w:val="en-US"/>
        </w:rPr>
        <w:t xml:space="preserve">References: </w:t>
      </w:r>
    </w:p>
    <w:p w14:paraId="0C90E0EF" w14:textId="77777777" w:rsidR="00584085" w:rsidRPr="00AD22FA" w:rsidRDefault="00584085" w:rsidP="00AD2A3B">
      <w:pPr>
        <w:pStyle w:val="ListParagraph"/>
        <w:numPr>
          <w:ilvl w:val="0"/>
          <w:numId w:val="2"/>
        </w:numPr>
        <w:spacing w:line="240" w:lineRule="auto"/>
        <w:jc w:val="both"/>
        <w:rPr>
          <w:rFonts w:ascii="Arial" w:hAnsi="Arial" w:cs="Arial"/>
        </w:rPr>
      </w:pPr>
      <w:r w:rsidRPr="00AD22FA">
        <w:rPr>
          <w:rFonts w:ascii="Arial" w:hAnsi="Arial" w:cs="Arial"/>
        </w:rPr>
        <w:t xml:space="preserve">Hernandez-Martin A, </w:t>
      </w:r>
      <w:proofErr w:type="spellStart"/>
      <w:r w:rsidRPr="00AD22FA">
        <w:rPr>
          <w:rFonts w:ascii="Arial" w:hAnsi="Arial" w:cs="Arial"/>
        </w:rPr>
        <w:t>Baselga</w:t>
      </w:r>
      <w:proofErr w:type="spellEnd"/>
      <w:r w:rsidRPr="00AD22FA">
        <w:rPr>
          <w:rFonts w:ascii="Arial" w:hAnsi="Arial" w:cs="Arial"/>
        </w:rPr>
        <w:t xml:space="preserve"> E, Drolet BA, et al. </w:t>
      </w:r>
      <w:r w:rsidRPr="00AD22FA">
        <w:rPr>
          <w:rFonts w:ascii="Arial" w:hAnsi="Arial" w:cs="Arial"/>
          <w:lang w:val="en-US"/>
        </w:rPr>
        <w:t xml:space="preserve">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w:t>
      </w:r>
      <w:r w:rsidRPr="00AD22FA">
        <w:rPr>
          <w:rFonts w:ascii="Arial" w:hAnsi="Arial" w:cs="Arial"/>
          <w:i/>
          <w:iCs/>
          <w:lang w:val="en-US"/>
        </w:rPr>
        <w:t>J Am Acad Dermatol</w:t>
      </w:r>
      <w:r w:rsidRPr="00AD22FA">
        <w:rPr>
          <w:rFonts w:ascii="Arial" w:hAnsi="Arial" w:cs="Arial"/>
          <w:lang w:val="en-US"/>
        </w:rPr>
        <w:t xml:space="preserve">. </w:t>
      </w:r>
      <w:r w:rsidRPr="00AD22FA">
        <w:rPr>
          <w:rFonts w:ascii="Arial" w:hAnsi="Arial" w:cs="Arial"/>
        </w:rPr>
        <w:t>1997</w:t>
      </w:r>
      <w:r w:rsidR="00321DB1" w:rsidRPr="00AD22FA">
        <w:rPr>
          <w:rFonts w:ascii="Arial" w:hAnsi="Arial" w:cs="Arial"/>
        </w:rPr>
        <w:t>,</w:t>
      </w:r>
      <w:r w:rsidRPr="00AD22FA">
        <w:rPr>
          <w:rFonts w:ascii="Arial" w:hAnsi="Arial" w:cs="Arial"/>
        </w:rPr>
        <w:t>36(3</w:t>
      </w:r>
      <w:proofErr w:type="gramStart"/>
      <w:r w:rsidRPr="00AD22FA">
        <w:rPr>
          <w:rFonts w:ascii="Arial" w:hAnsi="Arial" w:cs="Arial"/>
        </w:rPr>
        <w:t>):</w:t>
      </w:r>
      <w:proofErr w:type="gramEnd"/>
      <w:r w:rsidRPr="00AD22FA">
        <w:rPr>
          <w:rFonts w:ascii="Arial" w:hAnsi="Arial" w:cs="Arial"/>
        </w:rPr>
        <w:t xml:space="preserve">355-367. </w:t>
      </w:r>
    </w:p>
    <w:p w14:paraId="2D11EF64" w14:textId="77777777" w:rsidR="00584085" w:rsidRPr="00AD22FA" w:rsidRDefault="00584085" w:rsidP="00AD2A3B">
      <w:pPr>
        <w:numPr>
          <w:ilvl w:val="0"/>
          <w:numId w:val="2"/>
        </w:numPr>
        <w:spacing w:line="240" w:lineRule="auto"/>
        <w:jc w:val="both"/>
        <w:rPr>
          <w:rFonts w:ascii="Arial" w:hAnsi="Arial" w:cs="Arial"/>
        </w:rPr>
      </w:pPr>
      <w:r w:rsidRPr="00AD22FA">
        <w:rPr>
          <w:rFonts w:ascii="Arial" w:hAnsi="Arial" w:cs="Arial"/>
          <w:lang w:val="en-US"/>
        </w:rPr>
        <w:t xml:space="preserve">Dehner LP. Juvenile </w:t>
      </w:r>
      <w:proofErr w:type="spellStart"/>
      <w:r w:rsidRPr="00AD22FA">
        <w:rPr>
          <w:rFonts w:ascii="Arial" w:hAnsi="Arial" w:cs="Arial"/>
          <w:lang w:val="en-US"/>
        </w:rPr>
        <w:t>xanthogranulomas</w:t>
      </w:r>
      <w:proofErr w:type="spellEnd"/>
      <w:r w:rsidRPr="00AD22FA">
        <w:rPr>
          <w:rFonts w:ascii="Arial" w:hAnsi="Arial" w:cs="Arial"/>
          <w:lang w:val="en-US"/>
        </w:rPr>
        <w:t xml:space="preserve"> in the first two decades of life: a clinicopathologic study of 174 cases with cutaneous and extracutaneous manifestations. </w:t>
      </w:r>
      <w:r w:rsidRPr="00AD22FA">
        <w:rPr>
          <w:rFonts w:ascii="Arial" w:hAnsi="Arial" w:cs="Arial"/>
          <w:i/>
          <w:iCs/>
        </w:rPr>
        <w:t xml:space="preserve">Am J </w:t>
      </w:r>
      <w:proofErr w:type="spellStart"/>
      <w:r w:rsidRPr="00AD22FA">
        <w:rPr>
          <w:rFonts w:ascii="Arial" w:hAnsi="Arial" w:cs="Arial"/>
          <w:i/>
          <w:iCs/>
        </w:rPr>
        <w:t>Surg</w:t>
      </w:r>
      <w:proofErr w:type="spellEnd"/>
      <w:r w:rsidRPr="00AD22FA">
        <w:rPr>
          <w:rFonts w:ascii="Arial" w:hAnsi="Arial" w:cs="Arial"/>
          <w:i/>
          <w:iCs/>
        </w:rPr>
        <w:t xml:space="preserve"> </w:t>
      </w:r>
      <w:proofErr w:type="spellStart"/>
      <w:r w:rsidRPr="00AD22FA">
        <w:rPr>
          <w:rFonts w:ascii="Arial" w:hAnsi="Arial" w:cs="Arial"/>
          <w:i/>
          <w:iCs/>
        </w:rPr>
        <w:t>Pathol</w:t>
      </w:r>
      <w:proofErr w:type="spellEnd"/>
      <w:r w:rsidRPr="00AD22FA">
        <w:rPr>
          <w:rFonts w:ascii="Arial" w:hAnsi="Arial" w:cs="Arial"/>
        </w:rPr>
        <w:t>. 2003</w:t>
      </w:r>
      <w:r w:rsidR="00321DB1" w:rsidRPr="00AD22FA">
        <w:rPr>
          <w:rFonts w:ascii="Arial" w:hAnsi="Arial" w:cs="Arial"/>
        </w:rPr>
        <w:t>,</w:t>
      </w:r>
      <w:r w:rsidRPr="00AD22FA">
        <w:rPr>
          <w:rFonts w:ascii="Arial" w:hAnsi="Arial" w:cs="Arial"/>
        </w:rPr>
        <w:t>27(5</w:t>
      </w:r>
      <w:proofErr w:type="gramStart"/>
      <w:r w:rsidRPr="00AD22FA">
        <w:rPr>
          <w:rFonts w:ascii="Arial" w:hAnsi="Arial" w:cs="Arial"/>
        </w:rPr>
        <w:t>):</w:t>
      </w:r>
      <w:proofErr w:type="gramEnd"/>
      <w:r w:rsidRPr="00AD22FA">
        <w:rPr>
          <w:rFonts w:ascii="Arial" w:hAnsi="Arial" w:cs="Arial"/>
        </w:rPr>
        <w:t xml:space="preserve">579-593. </w:t>
      </w:r>
    </w:p>
    <w:p w14:paraId="24199C82" w14:textId="77777777" w:rsidR="00584085" w:rsidRPr="00AD22FA" w:rsidRDefault="00584085" w:rsidP="00AD2A3B">
      <w:pPr>
        <w:pStyle w:val="ListParagraph"/>
        <w:numPr>
          <w:ilvl w:val="0"/>
          <w:numId w:val="2"/>
        </w:numPr>
        <w:spacing w:line="240" w:lineRule="auto"/>
        <w:jc w:val="both"/>
        <w:rPr>
          <w:rFonts w:ascii="Arial" w:hAnsi="Arial" w:cs="Arial"/>
          <w:lang w:val="en-US"/>
        </w:rPr>
      </w:pPr>
      <w:r w:rsidRPr="00AD22FA">
        <w:rPr>
          <w:rFonts w:ascii="Arial" w:hAnsi="Arial" w:cs="Arial"/>
          <w:lang w:val="en-US"/>
        </w:rPr>
        <w:lastRenderedPageBreak/>
        <w:t xml:space="preserve">Janssen D, Harms D. 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in childhood and adolescence: a clinicopathologic study of 129 patients. Am J Surg </w:t>
      </w:r>
      <w:proofErr w:type="spellStart"/>
      <w:r w:rsidRPr="00AD22FA">
        <w:rPr>
          <w:rFonts w:ascii="Arial" w:hAnsi="Arial" w:cs="Arial"/>
          <w:lang w:val="en-US"/>
        </w:rPr>
        <w:t>Pathol</w:t>
      </w:r>
      <w:proofErr w:type="spellEnd"/>
      <w:r w:rsidRPr="00AD22FA">
        <w:rPr>
          <w:rFonts w:ascii="Arial" w:hAnsi="Arial" w:cs="Arial"/>
          <w:lang w:val="en-US"/>
        </w:rPr>
        <w:t>. 2005</w:t>
      </w:r>
      <w:r w:rsidR="00321DB1" w:rsidRPr="00AD22FA">
        <w:rPr>
          <w:rFonts w:ascii="Arial" w:hAnsi="Arial" w:cs="Arial"/>
          <w:lang w:val="en-US"/>
        </w:rPr>
        <w:t>,</w:t>
      </w:r>
      <w:r w:rsidRPr="00AD22FA">
        <w:rPr>
          <w:rFonts w:ascii="Arial" w:hAnsi="Arial" w:cs="Arial"/>
          <w:lang w:val="en-US"/>
        </w:rPr>
        <w:t>29(1):21-28.</w:t>
      </w:r>
    </w:p>
    <w:p w14:paraId="0595DE27" w14:textId="77777777" w:rsidR="00584085" w:rsidRPr="00AD22FA" w:rsidRDefault="00584085" w:rsidP="00AD2A3B">
      <w:pPr>
        <w:numPr>
          <w:ilvl w:val="0"/>
          <w:numId w:val="2"/>
        </w:numPr>
        <w:spacing w:line="240" w:lineRule="auto"/>
        <w:jc w:val="both"/>
        <w:rPr>
          <w:rFonts w:ascii="Arial" w:hAnsi="Arial" w:cs="Arial"/>
          <w:lang w:val="en-US"/>
        </w:rPr>
      </w:pPr>
      <w:r w:rsidRPr="00AD22FA">
        <w:rPr>
          <w:rFonts w:ascii="Arial" w:hAnsi="Arial" w:cs="Arial"/>
          <w:lang w:val="en-US"/>
        </w:rPr>
        <w:t xml:space="preserve">Weitzman S, Jaffe R. Uncommon histiocytic disorders: the non-Langerhans cell </w:t>
      </w:r>
      <w:proofErr w:type="spellStart"/>
      <w:r w:rsidRPr="00AD22FA">
        <w:rPr>
          <w:rFonts w:ascii="Arial" w:hAnsi="Arial" w:cs="Arial"/>
          <w:lang w:val="en-US"/>
        </w:rPr>
        <w:t>histiocytoses</w:t>
      </w:r>
      <w:proofErr w:type="spellEnd"/>
      <w:r w:rsidRPr="00AD22FA">
        <w:rPr>
          <w:rFonts w:ascii="Arial" w:hAnsi="Arial" w:cs="Arial"/>
          <w:lang w:val="en-US"/>
        </w:rPr>
        <w:t xml:space="preserve">. </w:t>
      </w:r>
      <w:proofErr w:type="spellStart"/>
      <w:r w:rsidRPr="00AD22FA">
        <w:rPr>
          <w:rFonts w:ascii="Arial" w:hAnsi="Arial" w:cs="Arial"/>
          <w:lang w:val="en-US"/>
        </w:rPr>
        <w:t>Pediatr</w:t>
      </w:r>
      <w:proofErr w:type="spellEnd"/>
      <w:r w:rsidRPr="00AD22FA">
        <w:rPr>
          <w:rFonts w:ascii="Arial" w:hAnsi="Arial" w:cs="Arial"/>
          <w:lang w:val="en-US"/>
        </w:rPr>
        <w:t xml:space="preserve"> Blood Cancer. 2005</w:t>
      </w:r>
      <w:r w:rsidR="00321DB1" w:rsidRPr="00AD22FA">
        <w:rPr>
          <w:rFonts w:ascii="Arial" w:hAnsi="Arial" w:cs="Arial"/>
          <w:lang w:val="en-US"/>
        </w:rPr>
        <w:t>,</w:t>
      </w:r>
      <w:r w:rsidRPr="00AD22FA">
        <w:rPr>
          <w:rFonts w:ascii="Arial" w:hAnsi="Arial" w:cs="Arial"/>
          <w:lang w:val="en-US"/>
        </w:rPr>
        <w:t xml:space="preserve">45(3):256-264. </w:t>
      </w:r>
    </w:p>
    <w:p w14:paraId="6178371D" w14:textId="77777777" w:rsidR="00584085" w:rsidRPr="00AD22FA" w:rsidRDefault="00584085" w:rsidP="00AD2A3B">
      <w:pPr>
        <w:pStyle w:val="ListParagraph"/>
        <w:numPr>
          <w:ilvl w:val="0"/>
          <w:numId w:val="2"/>
        </w:numPr>
        <w:spacing w:line="240" w:lineRule="auto"/>
        <w:jc w:val="both"/>
        <w:rPr>
          <w:rFonts w:ascii="Arial" w:hAnsi="Arial" w:cs="Arial"/>
        </w:rPr>
      </w:pPr>
      <w:r w:rsidRPr="00AD22FA">
        <w:rPr>
          <w:rFonts w:ascii="Arial" w:hAnsi="Arial" w:cs="Arial"/>
          <w:lang w:val="en-US"/>
        </w:rPr>
        <w:t xml:space="preserve">Chang MW, Frieden IJ, Good W. The risk intraocular juvenile </w:t>
      </w:r>
      <w:proofErr w:type="spellStart"/>
      <w:r w:rsidRPr="00AD22FA">
        <w:rPr>
          <w:rFonts w:ascii="Arial" w:hAnsi="Arial" w:cs="Arial"/>
          <w:lang w:val="en-US"/>
        </w:rPr>
        <w:t>xanthogranuloma</w:t>
      </w:r>
      <w:proofErr w:type="spellEnd"/>
      <w:r w:rsidRPr="00AD22FA">
        <w:rPr>
          <w:rFonts w:ascii="Arial" w:hAnsi="Arial" w:cs="Arial"/>
          <w:lang w:val="en-US"/>
        </w:rPr>
        <w:t xml:space="preserve">: survey of current practices and assessment of risk. </w:t>
      </w:r>
      <w:r w:rsidRPr="00AD22FA">
        <w:rPr>
          <w:rFonts w:ascii="Arial" w:hAnsi="Arial" w:cs="Arial"/>
        </w:rPr>
        <w:t xml:space="preserve">J Am </w:t>
      </w:r>
      <w:proofErr w:type="spellStart"/>
      <w:r w:rsidRPr="00AD22FA">
        <w:rPr>
          <w:rFonts w:ascii="Arial" w:hAnsi="Arial" w:cs="Arial"/>
        </w:rPr>
        <w:t>Acad</w:t>
      </w:r>
      <w:proofErr w:type="spellEnd"/>
      <w:r w:rsidRPr="00AD22FA">
        <w:rPr>
          <w:rFonts w:ascii="Arial" w:hAnsi="Arial" w:cs="Arial"/>
        </w:rPr>
        <w:t xml:space="preserve"> </w:t>
      </w:r>
      <w:proofErr w:type="spellStart"/>
      <w:r w:rsidRPr="00AD22FA">
        <w:rPr>
          <w:rFonts w:ascii="Arial" w:hAnsi="Arial" w:cs="Arial"/>
        </w:rPr>
        <w:t>Dermatol</w:t>
      </w:r>
      <w:proofErr w:type="spellEnd"/>
      <w:r w:rsidRPr="00AD22FA">
        <w:rPr>
          <w:rFonts w:ascii="Arial" w:hAnsi="Arial" w:cs="Arial"/>
        </w:rPr>
        <w:t>. 1996</w:t>
      </w:r>
      <w:r w:rsidR="00321DB1" w:rsidRPr="00AD22FA">
        <w:rPr>
          <w:rFonts w:ascii="Arial" w:hAnsi="Arial" w:cs="Arial"/>
        </w:rPr>
        <w:t>,</w:t>
      </w:r>
      <w:r w:rsidRPr="00AD22FA">
        <w:rPr>
          <w:rFonts w:ascii="Arial" w:hAnsi="Arial" w:cs="Arial"/>
        </w:rPr>
        <w:t>34(3</w:t>
      </w:r>
      <w:proofErr w:type="gramStart"/>
      <w:r w:rsidRPr="00AD22FA">
        <w:rPr>
          <w:rFonts w:ascii="Arial" w:hAnsi="Arial" w:cs="Arial"/>
        </w:rPr>
        <w:t>):</w:t>
      </w:r>
      <w:proofErr w:type="gramEnd"/>
      <w:r w:rsidRPr="00AD22FA">
        <w:rPr>
          <w:rFonts w:ascii="Arial" w:hAnsi="Arial" w:cs="Arial"/>
        </w:rPr>
        <w:t>445-449.</w:t>
      </w:r>
    </w:p>
    <w:p w14:paraId="5BE72F2C" w14:textId="77777777" w:rsidR="00E75B28" w:rsidRPr="00AD22FA" w:rsidRDefault="00584085" w:rsidP="00AD2A3B">
      <w:pPr>
        <w:pStyle w:val="ListParagraph"/>
        <w:numPr>
          <w:ilvl w:val="0"/>
          <w:numId w:val="2"/>
        </w:numPr>
        <w:spacing w:line="240" w:lineRule="auto"/>
        <w:jc w:val="both"/>
        <w:rPr>
          <w:rFonts w:ascii="Arial" w:hAnsi="Arial" w:cs="Arial"/>
        </w:rPr>
      </w:pPr>
      <w:r w:rsidRPr="00AD22FA">
        <w:rPr>
          <w:rFonts w:ascii="Arial" w:hAnsi="Arial" w:cs="Arial"/>
        </w:rPr>
        <w:t xml:space="preserve">Pires da Silva S, Viveiros C, Almeida R, Almeida Pereira M, Vaz R, Portela A. </w:t>
      </w:r>
      <w:proofErr w:type="spellStart"/>
      <w:r w:rsidR="009D2859" w:rsidRPr="00AD22FA">
        <w:rPr>
          <w:rFonts w:ascii="Arial" w:hAnsi="Arial" w:cs="Arial"/>
        </w:rPr>
        <w:t>Juvenile</w:t>
      </w:r>
      <w:proofErr w:type="spellEnd"/>
      <w:r w:rsidR="009D2859" w:rsidRPr="00AD22FA">
        <w:rPr>
          <w:rFonts w:ascii="Arial" w:hAnsi="Arial" w:cs="Arial"/>
        </w:rPr>
        <w:t xml:space="preserve"> </w:t>
      </w:r>
      <w:proofErr w:type="spellStart"/>
      <w:r w:rsidR="009D2859" w:rsidRPr="00AD22FA">
        <w:rPr>
          <w:rFonts w:ascii="Arial" w:hAnsi="Arial" w:cs="Arial"/>
        </w:rPr>
        <w:t>xanthogranuloma</w:t>
      </w:r>
      <w:proofErr w:type="spellEnd"/>
      <w:r w:rsidR="009D2859" w:rsidRPr="00AD22FA">
        <w:rPr>
          <w:rFonts w:ascii="Arial" w:hAnsi="Arial" w:cs="Arial"/>
        </w:rPr>
        <w:t> : A case report.</w:t>
      </w:r>
      <w:r w:rsidRPr="00AD22FA">
        <w:rPr>
          <w:rFonts w:ascii="Arial" w:hAnsi="Arial" w:cs="Arial"/>
          <w:sz w:val="22"/>
          <w:szCs w:val="22"/>
        </w:rPr>
        <w:t xml:space="preserve"> </w:t>
      </w:r>
      <w:r w:rsidRPr="00AD22FA">
        <w:rPr>
          <w:rFonts w:ascii="Arial" w:hAnsi="Arial" w:cs="Arial"/>
        </w:rPr>
        <w:t>Rev Paul Pediatr. 2019</w:t>
      </w:r>
      <w:r w:rsidR="00321DB1" w:rsidRPr="00AD22FA">
        <w:rPr>
          <w:rFonts w:ascii="Arial" w:hAnsi="Arial" w:cs="Arial"/>
        </w:rPr>
        <w:t>,</w:t>
      </w:r>
      <w:r w:rsidRPr="00AD22FA">
        <w:rPr>
          <w:rFonts w:ascii="Arial" w:hAnsi="Arial" w:cs="Arial"/>
        </w:rPr>
        <w:t>37(2</w:t>
      </w:r>
      <w:proofErr w:type="gramStart"/>
      <w:r w:rsidRPr="00AD22FA">
        <w:rPr>
          <w:rFonts w:ascii="Arial" w:hAnsi="Arial" w:cs="Arial"/>
        </w:rPr>
        <w:t>)</w:t>
      </w:r>
      <w:r w:rsidR="009D2859" w:rsidRPr="00AD22FA">
        <w:rPr>
          <w:rFonts w:ascii="Arial" w:hAnsi="Arial" w:cs="Arial"/>
        </w:rPr>
        <w:t>:</w:t>
      </w:r>
      <w:proofErr w:type="gramEnd"/>
      <w:r w:rsidRPr="00AD22FA">
        <w:rPr>
          <w:rFonts w:ascii="Arial" w:hAnsi="Arial" w:cs="Arial"/>
        </w:rPr>
        <w:t>257-260.</w:t>
      </w:r>
    </w:p>
    <w:p w14:paraId="4F098A71" w14:textId="77777777" w:rsidR="00E75B28" w:rsidRPr="00AD22FA" w:rsidRDefault="00E75B28" w:rsidP="005D787F">
      <w:pPr>
        <w:spacing w:line="360" w:lineRule="auto"/>
        <w:jc w:val="both"/>
        <w:rPr>
          <w:rFonts w:ascii="Arial" w:hAnsi="Arial" w:cs="Arial"/>
        </w:rPr>
      </w:pPr>
    </w:p>
    <w:p w14:paraId="3C10FAA0" w14:textId="77777777" w:rsidR="00677026" w:rsidRPr="00AD22FA" w:rsidRDefault="00000000">
      <w:pPr>
        <w:spacing w:line="240" w:lineRule="auto"/>
        <w:ind w:left="720" w:hanging="720"/>
      </w:pPr>
      <w:r w:rsidRPr="00AD22FA">
        <w:rPr>
          <w:rFonts w:ascii="Arial" w:hAnsi="Arial"/>
        </w:rPr>
        <w:t xml:space="preserve">Kundak, S., &amp; Çakır, Y. (2021). Juvenile xanthogranuloma: Retrospective analysis of 44 pediatric cases (single tertiary care center experience). </w:t>
      </w:r>
      <w:r w:rsidRPr="00AD22FA">
        <w:rPr>
          <w:rFonts w:ascii="Arial" w:hAnsi="Arial"/>
          <w:i/>
        </w:rPr>
        <w:t>International Journal of Dermatology</w:t>
      </w:r>
      <w:r w:rsidRPr="00AD22FA">
        <w:rPr>
          <w:rFonts w:ascii="Arial" w:hAnsi="Arial"/>
        </w:rPr>
        <w:t xml:space="preserve">, </w:t>
      </w:r>
      <w:r w:rsidRPr="00AD22FA">
        <w:rPr>
          <w:rFonts w:ascii="Arial" w:hAnsi="Arial"/>
          <w:i/>
        </w:rPr>
        <w:t>60</w:t>
      </w:r>
      <w:r w:rsidRPr="00AD22FA">
        <w:rPr>
          <w:rFonts w:ascii="Arial" w:hAnsi="Arial"/>
        </w:rPr>
        <w:t>(5), 564–569. https://doi.org/10.1111/ijd.15223</w:t>
      </w:r>
    </w:p>
    <w:p w14:paraId="726BA357" w14:textId="77777777" w:rsidR="00677026" w:rsidRPr="00AD22FA" w:rsidRDefault="00000000">
      <w:pPr>
        <w:spacing w:line="240" w:lineRule="auto"/>
        <w:ind w:left="720" w:hanging="720"/>
      </w:pPr>
      <w:r w:rsidRPr="00AD22FA">
        <w:rPr>
          <w:rFonts w:ascii="Arial" w:hAnsi="Arial"/>
        </w:rPr>
        <w:t xml:space="preserve">Wee, L. W. Y., Ling, H. Y., Ho, V. P. Y., Foong, A. Y. W., &amp; Koh, M. J. A. (2022). Juvenile xanthogranulomas in Asian children. </w:t>
      </w:r>
      <w:r w:rsidRPr="00AD22FA">
        <w:rPr>
          <w:rFonts w:ascii="Arial" w:hAnsi="Arial"/>
          <w:i/>
        </w:rPr>
        <w:t>Dermatologic Therapy</w:t>
      </w:r>
      <w:r w:rsidRPr="00AD22FA">
        <w:rPr>
          <w:rFonts w:ascii="Arial" w:hAnsi="Arial"/>
        </w:rPr>
        <w:t xml:space="preserve">, </w:t>
      </w:r>
      <w:r w:rsidRPr="00AD22FA">
        <w:rPr>
          <w:rFonts w:ascii="Arial" w:hAnsi="Arial"/>
          <w:i/>
        </w:rPr>
        <w:t>35</w:t>
      </w:r>
      <w:r w:rsidRPr="00AD22FA">
        <w:rPr>
          <w:rFonts w:ascii="Arial" w:hAnsi="Arial"/>
        </w:rPr>
        <w:t>(2), e15224. https://doi.org/10.1111/dth.15224</w:t>
      </w:r>
    </w:p>
    <w:p w14:paraId="26662AEE" w14:textId="77777777" w:rsidR="00677026" w:rsidRPr="00AD22FA" w:rsidRDefault="00000000">
      <w:pPr>
        <w:spacing w:line="240" w:lineRule="auto"/>
        <w:ind w:left="720" w:hanging="720"/>
      </w:pPr>
      <w:r w:rsidRPr="00AD22FA">
        <w:rPr>
          <w:rFonts w:ascii="Arial" w:hAnsi="Arial"/>
        </w:rPr>
        <w:t xml:space="preserve">Salari, B., &amp; Dehner, L. P. (2022). Juvenile and adult xanthogranuloma: A 30-year single-center experience and review of the disorder and its relationship to other histiocytoses. </w:t>
      </w:r>
      <w:r w:rsidRPr="00AD22FA">
        <w:rPr>
          <w:rFonts w:ascii="Arial" w:hAnsi="Arial"/>
          <w:i/>
        </w:rPr>
        <w:t>Annals of Diagnostic Pathology</w:t>
      </w:r>
      <w:r w:rsidRPr="00AD22FA">
        <w:rPr>
          <w:rFonts w:ascii="Arial" w:hAnsi="Arial"/>
        </w:rPr>
        <w:t xml:space="preserve">, </w:t>
      </w:r>
      <w:r w:rsidRPr="00AD22FA">
        <w:rPr>
          <w:rFonts w:ascii="Arial" w:hAnsi="Arial"/>
          <w:i/>
        </w:rPr>
        <w:t>58</w:t>
      </w:r>
      <w:r w:rsidRPr="00AD22FA">
        <w:rPr>
          <w:rFonts w:ascii="Arial" w:hAnsi="Arial"/>
        </w:rPr>
        <w:t>, 151940. https://doi.org/10.1016/j.anndiagpath.2022.151940</w:t>
      </w:r>
    </w:p>
    <w:p w14:paraId="3889BCB6" w14:textId="77777777" w:rsidR="00677026" w:rsidRPr="00AD22FA" w:rsidRDefault="00000000">
      <w:pPr>
        <w:spacing w:line="240" w:lineRule="auto"/>
        <w:ind w:left="720" w:hanging="720"/>
      </w:pPr>
      <w:r w:rsidRPr="00AD22FA">
        <w:rPr>
          <w:rFonts w:ascii="Arial" w:hAnsi="Arial"/>
        </w:rPr>
        <w:t xml:space="preserve">Fraitag, S., &amp; Emile, J.-F. (2022). Cutaneous histiocytoses in children. </w:t>
      </w:r>
      <w:r w:rsidRPr="00AD22FA">
        <w:rPr>
          <w:rFonts w:ascii="Arial" w:hAnsi="Arial"/>
          <w:i/>
        </w:rPr>
        <w:t>Histopathology</w:t>
      </w:r>
      <w:r w:rsidRPr="00AD22FA">
        <w:rPr>
          <w:rFonts w:ascii="Arial" w:hAnsi="Arial"/>
        </w:rPr>
        <w:t xml:space="preserve">, </w:t>
      </w:r>
      <w:r w:rsidRPr="00AD22FA">
        <w:rPr>
          <w:rFonts w:ascii="Arial" w:hAnsi="Arial"/>
          <w:i/>
        </w:rPr>
        <w:t>80</w:t>
      </w:r>
      <w:r w:rsidRPr="00AD22FA">
        <w:rPr>
          <w:rFonts w:ascii="Arial" w:hAnsi="Arial"/>
        </w:rPr>
        <w:t>(1), 196–215. https://doi.org/10.1111/his.14569</w:t>
      </w:r>
    </w:p>
    <w:p w14:paraId="17195A33" w14:textId="77777777" w:rsidR="00677026" w:rsidRPr="00AD22FA" w:rsidRDefault="00000000">
      <w:pPr>
        <w:spacing w:line="240" w:lineRule="auto"/>
        <w:ind w:left="720" w:hanging="720"/>
      </w:pPr>
      <w:r w:rsidRPr="00AD22FA">
        <w:rPr>
          <w:rFonts w:ascii="Arial" w:hAnsi="Arial"/>
        </w:rPr>
        <w:t xml:space="preserve">Samara, W. A., Khoo, C. T. L., Say, E. A. T., Saktanasate, J., Eagle, R. C., Jr., Shields, J. A., &amp; Shields, C. L. (2015). Juvenile xanthogranuloma involving the eye and ocular adnexa: Tumor control, visual outcomes, and globe salvage in 30 patients. </w:t>
      </w:r>
      <w:r w:rsidRPr="00AD22FA">
        <w:rPr>
          <w:rFonts w:ascii="Arial" w:hAnsi="Arial"/>
          <w:i/>
        </w:rPr>
        <w:t>Ophthalmology</w:t>
      </w:r>
      <w:r w:rsidRPr="00AD22FA">
        <w:rPr>
          <w:rFonts w:ascii="Arial" w:hAnsi="Arial"/>
        </w:rPr>
        <w:t xml:space="preserve">, </w:t>
      </w:r>
      <w:r w:rsidRPr="00AD22FA">
        <w:rPr>
          <w:rFonts w:ascii="Arial" w:hAnsi="Arial"/>
          <w:i/>
        </w:rPr>
        <w:t>122</w:t>
      </w:r>
      <w:r w:rsidRPr="00AD22FA">
        <w:rPr>
          <w:rFonts w:ascii="Arial" w:hAnsi="Arial"/>
        </w:rPr>
        <w:t>(10), 2130–2138. https://doi.org/10.1016/j.ophtha.2015.06.009</w:t>
      </w:r>
    </w:p>
    <w:p w14:paraId="42A62653" w14:textId="77777777" w:rsidR="00677026" w:rsidRDefault="00000000">
      <w:pPr>
        <w:spacing w:line="240" w:lineRule="auto"/>
        <w:ind w:left="720" w:hanging="720"/>
      </w:pPr>
      <w:r w:rsidRPr="00AD22FA">
        <w:rPr>
          <w:rFonts w:ascii="Arial" w:hAnsi="Arial"/>
        </w:rPr>
        <w:t xml:space="preserve">Kubota, Y., Kiryu, H., Nakayama, J., &amp; Koga, T. (2001). Histopathologic maturation of juvenile xanthogranuloma in a short period. </w:t>
      </w:r>
      <w:r w:rsidRPr="00AD22FA">
        <w:rPr>
          <w:rFonts w:ascii="Arial" w:hAnsi="Arial"/>
          <w:i/>
        </w:rPr>
        <w:t>Pediatric Dermatology</w:t>
      </w:r>
      <w:r w:rsidRPr="00AD22FA">
        <w:rPr>
          <w:rFonts w:ascii="Arial" w:hAnsi="Arial"/>
        </w:rPr>
        <w:t xml:space="preserve">, </w:t>
      </w:r>
      <w:r w:rsidRPr="00AD22FA">
        <w:rPr>
          <w:rFonts w:ascii="Arial" w:hAnsi="Arial"/>
          <w:i/>
        </w:rPr>
        <w:t>18</w:t>
      </w:r>
      <w:r w:rsidRPr="00AD22FA">
        <w:rPr>
          <w:rFonts w:ascii="Arial" w:hAnsi="Arial"/>
        </w:rPr>
        <w:t>(2), 127–130. https://doi.org/10.1046/j.1525-1470.2001.018002127.x</w:t>
      </w:r>
    </w:p>
    <w:sectPr w:rsidR="0067702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E9E99" w14:textId="77777777" w:rsidR="00335409" w:rsidRDefault="00335409" w:rsidP="008F708D">
      <w:pPr>
        <w:spacing w:after="0" w:line="240" w:lineRule="auto"/>
      </w:pPr>
      <w:r>
        <w:separator/>
      </w:r>
    </w:p>
  </w:endnote>
  <w:endnote w:type="continuationSeparator" w:id="0">
    <w:p w14:paraId="482CD67E" w14:textId="77777777" w:rsidR="00335409" w:rsidRDefault="00335409" w:rsidP="008F7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2713" w14:textId="77777777" w:rsidR="008F708D" w:rsidRDefault="008F7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8D7D" w14:textId="77777777" w:rsidR="008F708D" w:rsidRDefault="008F70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5169" w14:textId="77777777" w:rsidR="008F708D" w:rsidRDefault="008F7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C0BF9" w14:textId="77777777" w:rsidR="00335409" w:rsidRDefault="00335409" w:rsidP="008F708D">
      <w:pPr>
        <w:spacing w:after="0" w:line="240" w:lineRule="auto"/>
      </w:pPr>
      <w:r>
        <w:separator/>
      </w:r>
    </w:p>
  </w:footnote>
  <w:footnote w:type="continuationSeparator" w:id="0">
    <w:p w14:paraId="561A890A" w14:textId="77777777" w:rsidR="00335409" w:rsidRDefault="00335409" w:rsidP="008F7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C982" w14:textId="5E95CBD9" w:rsidR="008F708D" w:rsidRDefault="008F708D">
    <w:pPr>
      <w:pStyle w:val="Header"/>
    </w:pPr>
    <w:r>
      <w:rPr>
        <w:noProof/>
      </w:rPr>
      <w:pict w14:anchorId="34A5F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556126"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F7F0" w14:textId="4468A19E" w:rsidR="008F708D" w:rsidRDefault="008F708D">
    <w:pPr>
      <w:pStyle w:val="Header"/>
    </w:pPr>
    <w:r>
      <w:rPr>
        <w:noProof/>
      </w:rPr>
      <w:pict w14:anchorId="1DBBB0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556127"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0A0B" w14:textId="599A7D57" w:rsidR="008F708D" w:rsidRDefault="008F708D">
    <w:pPr>
      <w:pStyle w:val="Header"/>
    </w:pPr>
    <w:r>
      <w:rPr>
        <w:noProof/>
      </w:rPr>
      <w:pict w14:anchorId="00F532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556125"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6746D"/>
    <w:multiLevelType w:val="hybridMultilevel"/>
    <w:tmpl w:val="C9CC37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18F6932"/>
    <w:multiLevelType w:val="hybridMultilevel"/>
    <w:tmpl w:val="6C2A01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79511150">
    <w:abstractNumId w:val="0"/>
  </w:num>
  <w:num w:numId="2" w16cid:durableId="2039576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39"/>
    <w:rsid w:val="000020DB"/>
    <w:rsid w:val="000051CB"/>
    <w:rsid w:val="000C1898"/>
    <w:rsid w:val="001A3344"/>
    <w:rsid w:val="002B0121"/>
    <w:rsid w:val="002D7C39"/>
    <w:rsid w:val="00321DB1"/>
    <w:rsid w:val="00335409"/>
    <w:rsid w:val="00343973"/>
    <w:rsid w:val="003E71A7"/>
    <w:rsid w:val="004C606F"/>
    <w:rsid w:val="00584085"/>
    <w:rsid w:val="005D787F"/>
    <w:rsid w:val="00677026"/>
    <w:rsid w:val="006F0646"/>
    <w:rsid w:val="0083550E"/>
    <w:rsid w:val="008E603D"/>
    <w:rsid w:val="008F708D"/>
    <w:rsid w:val="00933B91"/>
    <w:rsid w:val="00936E69"/>
    <w:rsid w:val="009C320C"/>
    <w:rsid w:val="009D2859"/>
    <w:rsid w:val="009F496A"/>
    <w:rsid w:val="00A55BAB"/>
    <w:rsid w:val="00AD22FA"/>
    <w:rsid w:val="00AD2A3B"/>
    <w:rsid w:val="00BB726A"/>
    <w:rsid w:val="00C26B48"/>
    <w:rsid w:val="00D27CC4"/>
    <w:rsid w:val="00DE1A1B"/>
    <w:rsid w:val="00E16F0F"/>
    <w:rsid w:val="00E369A2"/>
    <w:rsid w:val="00E75B28"/>
    <w:rsid w:val="00E87AB9"/>
    <w:rsid w:val="00EA69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FDD01"/>
  <w15:chartTrackingRefBased/>
  <w15:docId w15:val="{7776DD7F-0117-41E6-8B30-5FA59D85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C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7C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7C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7C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7C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7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C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7C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7C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7C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7C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7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C39"/>
    <w:rPr>
      <w:rFonts w:eastAsiaTheme="majorEastAsia" w:cstheme="majorBidi"/>
      <w:color w:val="272727" w:themeColor="text1" w:themeTint="D8"/>
    </w:rPr>
  </w:style>
  <w:style w:type="paragraph" w:styleId="Title">
    <w:name w:val="Title"/>
    <w:basedOn w:val="Normal"/>
    <w:next w:val="Normal"/>
    <w:link w:val="TitleChar"/>
    <w:uiPriority w:val="10"/>
    <w:qFormat/>
    <w:rsid w:val="002D7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C39"/>
    <w:pPr>
      <w:spacing w:before="160"/>
      <w:jc w:val="center"/>
    </w:pPr>
    <w:rPr>
      <w:i/>
      <w:iCs/>
      <w:color w:val="404040" w:themeColor="text1" w:themeTint="BF"/>
    </w:rPr>
  </w:style>
  <w:style w:type="character" w:customStyle="1" w:styleId="QuoteChar">
    <w:name w:val="Quote Char"/>
    <w:basedOn w:val="DefaultParagraphFont"/>
    <w:link w:val="Quote"/>
    <w:uiPriority w:val="29"/>
    <w:rsid w:val="002D7C39"/>
    <w:rPr>
      <w:i/>
      <w:iCs/>
      <w:color w:val="404040" w:themeColor="text1" w:themeTint="BF"/>
    </w:rPr>
  </w:style>
  <w:style w:type="paragraph" w:styleId="ListParagraph">
    <w:name w:val="List Paragraph"/>
    <w:basedOn w:val="Normal"/>
    <w:uiPriority w:val="34"/>
    <w:qFormat/>
    <w:rsid w:val="002D7C39"/>
    <w:pPr>
      <w:ind w:left="720"/>
      <w:contextualSpacing/>
    </w:pPr>
  </w:style>
  <w:style w:type="character" w:styleId="IntenseEmphasis">
    <w:name w:val="Intense Emphasis"/>
    <w:basedOn w:val="DefaultParagraphFont"/>
    <w:uiPriority w:val="21"/>
    <w:qFormat/>
    <w:rsid w:val="002D7C39"/>
    <w:rPr>
      <w:i/>
      <w:iCs/>
      <w:color w:val="2F5496" w:themeColor="accent1" w:themeShade="BF"/>
    </w:rPr>
  </w:style>
  <w:style w:type="paragraph" w:styleId="IntenseQuote">
    <w:name w:val="Intense Quote"/>
    <w:basedOn w:val="Normal"/>
    <w:next w:val="Normal"/>
    <w:link w:val="IntenseQuoteChar"/>
    <w:uiPriority w:val="30"/>
    <w:qFormat/>
    <w:rsid w:val="002D7C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7C39"/>
    <w:rPr>
      <w:i/>
      <w:iCs/>
      <w:color w:val="2F5496" w:themeColor="accent1" w:themeShade="BF"/>
    </w:rPr>
  </w:style>
  <w:style w:type="character" w:styleId="IntenseReference">
    <w:name w:val="Intense Reference"/>
    <w:basedOn w:val="DefaultParagraphFont"/>
    <w:uiPriority w:val="32"/>
    <w:qFormat/>
    <w:rsid w:val="002D7C39"/>
    <w:rPr>
      <w:b/>
      <w:bCs/>
      <w:smallCaps/>
      <w:color w:val="2F5496" w:themeColor="accent1" w:themeShade="BF"/>
      <w:spacing w:val="5"/>
    </w:rPr>
  </w:style>
  <w:style w:type="character" w:styleId="Hyperlink">
    <w:name w:val="Hyperlink"/>
    <w:basedOn w:val="DefaultParagraphFont"/>
    <w:uiPriority w:val="99"/>
    <w:unhideWhenUsed/>
    <w:rsid w:val="00D27CC4"/>
    <w:rPr>
      <w:color w:val="0563C1" w:themeColor="hyperlink"/>
      <w:u w:val="single"/>
    </w:rPr>
  </w:style>
  <w:style w:type="character" w:styleId="UnresolvedMention">
    <w:name w:val="Unresolved Mention"/>
    <w:basedOn w:val="DefaultParagraphFont"/>
    <w:uiPriority w:val="99"/>
    <w:semiHidden/>
    <w:unhideWhenUsed/>
    <w:rsid w:val="00D27CC4"/>
    <w:rPr>
      <w:color w:val="605E5C"/>
      <w:shd w:val="clear" w:color="auto" w:fill="E1DFDD"/>
    </w:rPr>
  </w:style>
  <w:style w:type="paragraph" w:styleId="Header">
    <w:name w:val="header"/>
    <w:basedOn w:val="Normal"/>
    <w:link w:val="HeaderChar"/>
    <w:uiPriority w:val="99"/>
    <w:unhideWhenUsed/>
    <w:rsid w:val="008F7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8D"/>
  </w:style>
  <w:style w:type="paragraph" w:styleId="Footer">
    <w:name w:val="footer"/>
    <w:basedOn w:val="Normal"/>
    <w:link w:val="FooterChar"/>
    <w:uiPriority w:val="99"/>
    <w:unhideWhenUsed/>
    <w:rsid w:val="008F7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1856</Words>
  <Characters>10585</Characters>
  <Application>Microsoft Office Word</Application>
  <DocSecurity>0</DocSecurity>
  <Lines>88</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dagan hamda</dc:creator>
  <cp:keywords/>
  <dc:description/>
  <cp:lastModifiedBy>SDI 1084</cp:lastModifiedBy>
  <cp:revision>26</cp:revision>
  <dcterms:created xsi:type="dcterms:W3CDTF">2026-05-24T12:58:00Z</dcterms:created>
  <dcterms:modified xsi:type="dcterms:W3CDTF">2026-09-01T14:06:00Z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532fd8e2-9458-408d-ad99-744a0257e35d</vt:lpwstr>
  </property>
</Properties>
</file>