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EBB35" w14:textId="77777777" w:rsidR="0024369B" w:rsidRDefault="0024369B" w:rsidP="0024369B">
      <w:pPr>
        <w:pStyle w:val="Author"/>
        <w:spacing w:line="240" w:lineRule="auto"/>
        <w:jc w:val="left"/>
        <w:rPr>
          <w:rFonts w:ascii="Arial" w:hAnsi="Arial" w:cs="Arial"/>
          <w:bCs/>
          <w:iCs/>
          <w:kern w:val="28"/>
          <w:sz w:val="36"/>
        </w:rPr>
      </w:pPr>
      <w:r w:rsidRPr="0024369B">
        <w:rPr>
          <w:rFonts w:ascii="Arial" w:hAnsi="Arial" w:cs="Arial"/>
          <w:bCs/>
          <w:iCs/>
          <w:kern w:val="28"/>
          <w:sz w:val="36"/>
        </w:rPr>
        <w:t>Sub-Chronic Toxicity of Kalanchoe pinnata Leaf Extract: Effects on Haematological Indices and Hepatic Biomarkers</w:t>
      </w:r>
    </w:p>
    <w:p w14:paraId="137628DD" w14:textId="77777777" w:rsidR="007D0A2D" w:rsidRDefault="007D0A2D" w:rsidP="0054602B">
      <w:pPr>
        <w:pStyle w:val="Affiliation"/>
        <w:spacing w:after="0" w:line="240" w:lineRule="auto"/>
        <w:rPr>
          <w:rFonts w:ascii="Arial" w:hAnsi="Arial" w:cs="Arial"/>
          <w:i/>
        </w:rPr>
      </w:pPr>
    </w:p>
    <w:p w14:paraId="091BA29D" w14:textId="77777777" w:rsidR="000C368A" w:rsidRPr="0054602B" w:rsidRDefault="000C368A" w:rsidP="0054602B">
      <w:pPr>
        <w:pStyle w:val="Affiliation"/>
        <w:spacing w:after="0" w:line="240" w:lineRule="auto"/>
        <w:rPr>
          <w:rFonts w:ascii="Arial" w:hAnsi="Arial" w:cs="Arial"/>
          <w:i/>
        </w:rPr>
      </w:pPr>
    </w:p>
    <w:p w14:paraId="387B91F4" w14:textId="77777777" w:rsidR="00B01FCD" w:rsidRPr="00FB3A86" w:rsidRDefault="002F6CD9" w:rsidP="00441B6F">
      <w:pPr>
        <w:pStyle w:val="Copyright"/>
        <w:spacing w:after="0" w:line="240" w:lineRule="auto"/>
        <w:jc w:val="both"/>
        <w:rPr>
          <w:rFonts w:ascii="Arial" w:hAnsi="Arial" w:cs="Arial"/>
        </w:rPr>
        <w:sectPr w:rsidR="00B01FCD" w:rsidRPr="00FB3A86" w:rsidSect="0066124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4ED553D5" wp14:editId="68FDE6BF">
                <wp:extent cx="5303520" cy="635"/>
                <wp:effectExtent l="11430" t="11430" r="9525" b="1714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352C5C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779AFEC0"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p>
    <w:p w14:paraId="102C0609" w14:textId="77777777" w:rsidR="003B210F" w:rsidRPr="003B210F" w:rsidRDefault="003B210F" w:rsidP="003B210F">
      <w:pPr>
        <w:spacing w:before="100" w:beforeAutospacing="1" w:after="100" w:afterAutospacing="1"/>
        <w:rPr>
          <w:rFonts w:ascii="Times New Roman" w:hAnsi="Times New Roman"/>
          <w:sz w:val="24"/>
          <w:szCs w:val="24"/>
        </w:rPr>
      </w:pPr>
      <w:r w:rsidRPr="003B210F">
        <w:rPr>
          <w:rFonts w:ascii="Times New Roman" w:hAnsi="Times New Roman"/>
          <w:sz w:val="24"/>
          <w:szCs w:val="24"/>
        </w:rPr>
        <w:t>This study evaluated the effects of 28-day oral administration of aqueous Kalanchoe pinnata leaf extract (KPE) on selected haematological indices and serum liver marker enzymes in male albino rats. Twenty-five male Wistar albino rats were randomly divided into five groups of five animals each. Group I served as the control and received distilled water, while Groups II–V received 100, 200, 400 and 800 mg/kg body weight of KPE, respectively, for 28 consecutive days. Haematological assessment included red blood cell (RBC) count, haemoglobin (Hb) concentration, packed cell volume (PCV), total white blood cell (WBC) count, lymphocyte and neutrophil percentages. Serum liver marker enzymes assessed were alanine aminotransferase (ALT), aspartate aminotransferase (AST) and alkaline phosphatase (ALP). The results showed that KPE administration produced no statistically significant changes (p &gt; 0.05) in RBC, Hb, PCV, WBC, lymphocyte or neutrophil counts across all treatment groups compared with the control. Conversely, serum ALT, AST and ALP activities showed a dose-related increase. At 100 and 200 mg/kg, the increases in enzyme activities were not statistically significant (p &gt; 0.05). However, significant increases (p &lt; 0.05) were observed at 400 mg/kg, while more pronounced elevations (p &lt; 0.01) occurred at 800 mg/kg. ALT increased from 32.5 ± 1.8 U/L in the control to 52.7 ± 3.5 U/L and 89.4 ± 5.2 U/L at 400 and 800 mg/kg, respectively. AST increased from 48.3 ± 2.2 U/L in the control to 78.9 ± 4.8 U/L and 124.6 ± 7.1 U/L, while ALP increased from 118.6 ± 6.5 U/L to 167.2 ± 10.4 U/L and 245.8 ± 15.7 U/L at the corresponding doses. The findings indicate that repeated administration of KPE did not produce significant haematological toxicity during the 28-day exposure period but produced evidence of hepatic injury at 400 and 800 mg/kg, as indicated by elevations in serum ALT, AST and ALP.</w:t>
      </w:r>
    </w:p>
    <w:p w14:paraId="03F04B88" w14:textId="77777777" w:rsidR="00B52896" w:rsidRDefault="00F261E4" w:rsidP="003B210F">
      <w:r w:rsidRPr="00F261E4">
        <w:t xml:space="preserve">Keywords: Kalanchoe pinnata; </w:t>
      </w:r>
      <w:proofErr w:type="spellStart"/>
      <w:r w:rsidRPr="00F261E4">
        <w:t>Haematological</w:t>
      </w:r>
      <w:proofErr w:type="spellEnd"/>
      <w:r w:rsidRPr="00F261E4">
        <w:t xml:space="preserve"> indices; Liver </w:t>
      </w:r>
      <w:r>
        <w:t>marker enzymes; Hepatotoxicity</w:t>
      </w:r>
      <w:r w:rsidRPr="00F261E4">
        <w:t>; Alanine aminotransferase; Aspartate aminotransferase; Alkaline phosphatase</w:t>
      </w:r>
      <w:r>
        <w:t>.</w:t>
      </w:r>
    </w:p>
    <w:p w14:paraId="43F52E78" w14:textId="77777777" w:rsidR="000C368A" w:rsidRPr="003B210F" w:rsidRDefault="000C368A" w:rsidP="003B210F">
      <w:pPr>
        <w:rPr>
          <w:rFonts w:ascii="Times New Roman" w:hAnsi="Times New Roman"/>
          <w:sz w:val="24"/>
          <w:szCs w:val="24"/>
        </w:rPr>
      </w:pPr>
    </w:p>
    <w:p w14:paraId="348E6617" w14:textId="77777777" w:rsidR="00790ADA" w:rsidRPr="00FB3A86" w:rsidRDefault="00B01FCD" w:rsidP="00441B6F">
      <w:pPr>
        <w:pStyle w:val="AbstHead"/>
        <w:spacing w:after="0"/>
        <w:jc w:val="both"/>
        <w:rPr>
          <w:rFonts w:ascii="Arial" w:hAnsi="Arial" w:cs="Arial"/>
        </w:rPr>
      </w:pPr>
      <w:r w:rsidRPr="00FB3A86">
        <w:rPr>
          <w:rFonts w:ascii="Arial" w:hAnsi="Arial" w:cs="Arial"/>
        </w:rPr>
        <w:t>INTRODUCTION</w:t>
      </w:r>
    </w:p>
    <w:p w14:paraId="55EF5759" w14:textId="77777777" w:rsidR="00F261E4" w:rsidRDefault="00F261E4" w:rsidP="00F261E4">
      <w:pPr>
        <w:jc w:val="both"/>
        <w:rPr>
          <w:rFonts w:ascii="Times New Roman" w:hAnsi="Times New Roman"/>
        </w:rPr>
      </w:pPr>
      <w:r>
        <w:rPr>
          <w:rFonts w:ascii="Times New Roman" w:hAnsi="Times New Roman"/>
        </w:rPr>
        <w:t>Medicinal plants have remained an important source of therapeutic agents, particularly in developing countries where traditional medicine continues to contribute significantly to primary healthcare</w:t>
      </w:r>
      <w:r w:rsidR="004850C9">
        <w:rPr>
          <w:rFonts w:ascii="Times New Roman" w:hAnsi="Times New Roman"/>
        </w:rPr>
        <w:t xml:space="preserve"> (</w:t>
      </w:r>
      <w:proofErr w:type="spellStart"/>
      <w:r w:rsidR="004850C9" w:rsidRPr="00DD4FF3">
        <w:rPr>
          <w:rFonts w:ascii="Times New Roman" w:hAnsi="Times New Roman"/>
        </w:rPr>
        <w:t>Achika</w:t>
      </w:r>
      <w:proofErr w:type="spellEnd"/>
      <w:r w:rsidR="004850C9">
        <w:rPr>
          <w:rFonts w:ascii="Times New Roman" w:hAnsi="Times New Roman"/>
        </w:rPr>
        <w:t xml:space="preserve"> </w:t>
      </w:r>
      <w:r w:rsidR="004850C9" w:rsidRPr="004850C9">
        <w:rPr>
          <w:rFonts w:ascii="Times New Roman" w:hAnsi="Times New Roman"/>
          <w:i/>
        </w:rPr>
        <w:t>et al.</w:t>
      </w:r>
      <w:r w:rsidR="004850C9">
        <w:rPr>
          <w:rFonts w:ascii="Times New Roman" w:hAnsi="Times New Roman"/>
        </w:rPr>
        <w:t>, 2023)</w:t>
      </w:r>
      <w:r>
        <w:rPr>
          <w:rFonts w:ascii="Times New Roman" w:hAnsi="Times New Roman"/>
        </w:rPr>
        <w:t xml:space="preserve">. The increasing use of herbal preparations has been associated with their perceived natural origin, accessibility, affordability, and reported pharmacological activities. However, the natural origin of a plant does not necessarily imply complete safety, as plant extracts contain numerous bioactive constituents that may produce beneficial or adverse effects depending on the dose, duration of exposure, method of preparation, and route of administration. Consequently, systematic toxicological evaluation of medicinal plants is necessary to establish their safety margins and identify possible target organs affected by prolonged exposure (Saravanan </w:t>
      </w:r>
      <w:r>
        <w:rPr>
          <w:rFonts w:ascii="Times New Roman" w:hAnsi="Times New Roman"/>
          <w:i/>
          <w:iCs/>
        </w:rPr>
        <w:t>et al.,</w:t>
      </w:r>
      <w:r>
        <w:rPr>
          <w:rFonts w:ascii="Times New Roman" w:hAnsi="Times New Roman"/>
        </w:rPr>
        <w:t xml:space="preserve"> 2021; Omoruyi </w:t>
      </w:r>
      <w:r>
        <w:rPr>
          <w:rFonts w:ascii="Times New Roman" w:hAnsi="Times New Roman"/>
          <w:i/>
          <w:iCs/>
        </w:rPr>
        <w:t>et al.,</w:t>
      </w:r>
      <w:r>
        <w:rPr>
          <w:rFonts w:ascii="Times New Roman" w:hAnsi="Times New Roman"/>
        </w:rPr>
        <w:t xml:space="preserve"> 2025). </w:t>
      </w:r>
      <w:r>
        <w:rPr>
          <w:rFonts w:ascii="Times New Roman" w:hAnsi="Times New Roman"/>
          <w:i/>
          <w:iCs/>
        </w:rPr>
        <w:t>Kalanchoe pinnata</w:t>
      </w:r>
      <w:r>
        <w:rPr>
          <w:rFonts w:ascii="Times New Roman" w:hAnsi="Times New Roman"/>
        </w:rPr>
        <w:t xml:space="preserve"> (Lam.) Pers., belonging to the family Crassulaceae, is a succulent medicinal plant widely used in traditional medicine in several parts of Africa, Asia, and South America. The plant is commonly known as the “miracle plant” or “life plant” and has been traditionally employed in the management of inflammatory conditions, wounds, infections, diabetes, and other health disorders. Its medicinal properties have been associated with a variety of phytochemicals, including flavonoids, alkaloids, triterpenes, glycosides, and other phenolic compounds. Recent reviews have continued to highlight the broad pharmacological potential of </w:t>
      </w:r>
      <w:r>
        <w:rPr>
          <w:rFonts w:ascii="Times New Roman" w:hAnsi="Times New Roman"/>
          <w:i/>
          <w:iCs/>
        </w:rPr>
        <w:t>K. pinnata</w:t>
      </w:r>
      <w:r>
        <w:rPr>
          <w:rFonts w:ascii="Times New Roman" w:hAnsi="Times New Roman"/>
        </w:rPr>
        <w:t xml:space="preserve">, particularly its antioxidant, anti-inflammatory, antimicrobial, antidiabetic, and hepatoprotective activities (Biswas </w:t>
      </w:r>
      <w:r>
        <w:rPr>
          <w:rFonts w:ascii="Times New Roman" w:hAnsi="Times New Roman"/>
          <w:i/>
          <w:iCs/>
        </w:rPr>
        <w:t>et al.,</w:t>
      </w:r>
      <w:r>
        <w:rPr>
          <w:rFonts w:ascii="Times New Roman" w:hAnsi="Times New Roman"/>
        </w:rPr>
        <w:t xml:space="preserve"> 2021; Omoruyi </w:t>
      </w:r>
      <w:r>
        <w:rPr>
          <w:rFonts w:ascii="Times New Roman" w:hAnsi="Times New Roman"/>
          <w:i/>
          <w:iCs/>
        </w:rPr>
        <w:t>et al.,</w:t>
      </w:r>
      <w:r>
        <w:rPr>
          <w:rFonts w:ascii="Times New Roman" w:hAnsi="Times New Roman"/>
        </w:rPr>
        <w:t xml:space="preserve"> 2025). Despite its extensive traditional use, increasing scientific interest in </w:t>
      </w:r>
      <w:r>
        <w:rPr>
          <w:rFonts w:ascii="Times New Roman" w:hAnsi="Times New Roman"/>
          <w:i/>
          <w:iCs/>
        </w:rPr>
        <w:t>K. pinnata</w:t>
      </w:r>
      <w:r>
        <w:rPr>
          <w:rFonts w:ascii="Times New Roman" w:hAnsi="Times New Roman"/>
        </w:rPr>
        <w:t xml:space="preserve"> has also emphasized the need for detailed safety assessment. The biological activity of the plant is dependent on its chemical constituents, some of which may produce undesirable effects at sufficiently high concentrations </w:t>
      </w:r>
      <w:r>
        <w:rPr>
          <w:rFonts w:ascii="Times New Roman" w:hAnsi="Times New Roman"/>
        </w:rPr>
        <w:lastRenderedPageBreak/>
        <w:t xml:space="preserve">or following prolonged exposure. In particular, the presence of </w:t>
      </w:r>
      <w:proofErr w:type="spellStart"/>
      <w:r>
        <w:rPr>
          <w:rFonts w:ascii="Times New Roman" w:hAnsi="Times New Roman"/>
        </w:rPr>
        <w:t>bufadienolide</w:t>
      </w:r>
      <w:proofErr w:type="spellEnd"/>
      <w:r>
        <w:rPr>
          <w:rFonts w:ascii="Times New Roman" w:hAnsi="Times New Roman"/>
        </w:rPr>
        <w:t xml:space="preserve">-type compounds in </w:t>
      </w:r>
      <w:r>
        <w:rPr>
          <w:rFonts w:ascii="Times New Roman" w:hAnsi="Times New Roman"/>
          <w:i/>
          <w:iCs/>
        </w:rPr>
        <w:t>Kalanchoe</w:t>
      </w:r>
      <w:r>
        <w:rPr>
          <w:rFonts w:ascii="Times New Roman" w:hAnsi="Times New Roman"/>
        </w:rPr>
        <w:t xml:space="preserve"> species has generated toxicological interest because these compounds may possess potent biological activities. Recent literature has therefore emphasized that the therapeutic application of </w:t>
      </w:r>
      <w:r>
        <w:rPr>
          <w:rFonts w:ascii="Times New Roman" w:hAnsi="Times New Roman"/>
          <w:i/>
          <w:iCs/>
        </w:rPr>
        <w:t>K. pinnata</w:t>
      </w:r>
      <w:r>
        <w:rPr>
          <w:rFonts w:ascii="Times New Roman" w:hAnsi="Times New Roman"/>
        </w:rPr>
        <w:t xml:space="preserve"> should be accompanied by appropriate toxicological evaluation and monitoring (Omoruyi </w:t>
      </w:r>
      <w:r>
        <w:rPr>
          <w:rFonts w:ascii="Times New Roman" w:hAnsi="Times New Roman"/>
          <w:i/>
          <w:iCs/>
        </w:rPr>
        <w:t>et al.,</w:t>
      </w:r>
      <w:r>
        <w:rPr>
          <w:rFonts w:ascii="Times New Roman" w:hAnsi="Times New Roman"/>
        </w:rPr>
        <w:t xml:space="preserve"> 2025).</w:t>
      </w:r>
    </w:p>
    <w:p w14:paraId="59F6C6C0" w14:textId="77777777" w:rsidR="00790ADA" w:rsidRDefault="00F261E4" w:rsidP="00F261E4">
      <w:pPr>
        <w:pStyle w:val="Body"/>
        <w:spacing w:after="0"/>
        <w:rPr>
          <w:rFonts w:ascii="Times New Roman" w:hAnsi="Times New Roman"/>
        </w:rPr>
      </w:pPr>
      <w:r>
        <w:rPr>
          <w:rFonts w:ascii="Times New Roman" w:hAnsi="Times New Roman"/>
        </w:rPr>
        <w:t>Sub-chronic toxicity studies are particularly important because they provide information about the consequences of repeated exposure to a substance over an extended period. Unlike acute toxicity studies, which primarily investigate adverse effects following a single or short-term exposure, sub-chronic studies can reveal cumulative or dose-dependent effects that may not become apparent during acute exposure. Haematological and biochemical parameters are commonly used as sensitive indicators of systemic toxicity because changes in blood composition and serum biochemical markers may occur before pronounced clinical or morphological abnormalities become evident</w:t>
      </w:r>
      <w:r w:rsidR="0024369B">
        <w:rPr>
          <w:rFonts w:ascii="Times New Roman" w:hAnsi="Times New Roman"/>
        </w:rPr>
        <w:t xml:space="preserve"> (</w:t>
      </w:r>
      <w:r w:rsidR="0024369B" w:rsidRPr="00DD4FF3">
        <w:rPr>
          <w:rFonts w:ascii="Times New Roman" w:hAnsi="Times New Roman"/>
        </w:rPr>
        <w:t>OECD</w:t>
      </w:r>
      <w:r w:rsidR="0024369B">
        <w:rPr>
          <w:rFonts w:ascii="Times New Roman" w:hAnsi="Times New Roman"/>
        </w:rPr>
        <w:t>, 2025)</w:t>
      </w:r>
      <w:r>
        <w:rPr>
          <w:rFonts w:ascii="Times New Roman" w:hAnsi="Times New Roman"/>
        </w:rPr>
        <w:t xml:space="preserve">. Therefore, evaluation of haematological indices and serum liver enzymes provides useful information about the physiological effects and possible target-organ toxicity of medicinal plant extracts. Haematological indices are important indicators of the functional status of the blood and haematopoietic system. Parameters such as red blood cell count (RBC), haemoglobin concentration (Hb), packed cell volume (PCV), white blood cell count (WBC), and differential leucocyte counts can provide information about erythropoiesis, oxygen-carrying capacity, immune responses, and inflammatory processes. Alterations in these parameters following repeated administration of a plant extract may indicate effects on blood-cell production, destruction of circulating cells, immune function, or general physiological stress. Thus, assessment of haematological indices represents an important component of the safety evaluation of medicinal plant preparations. Previous experimental evidence has provided varying findings regarding the safety of </w:t>
      </w:r>
      <w:r>
        <w:rPr>
          <w:rFonts w:ascii="Times New Roman" w:hAnsi="Times New Roman"/>
          <w:i/>
          <w:iCs/>
        </w:rPr>
        <w:t>K. pinnata</w:t>
      </w:r>
      <w:r>
        <w:rPr>
          <w:rFonts w:ascii="Times New Roman" w:hAnsi="Times New Roman"/>
        </w:rPr>
        <w:t xml:space="preserve">. Saravanan et al. (2021), in a 28-day sub-acute toxicity study of ethanolic </w:t>
      </w:r>
      <w:r>
        <w:rPr>
          <w:rFonts w:ascii="Times New Roman" w:hAnsi="Times New Roman"/>
          <w:i/>
          <w:iCs/>
        </w:rPr>
        <w:t>K. pinnata</w:t>
      </w:r>
      <w:r>
        <w:rPr>
          <w:rFonts w:ascii="Times New Roman" w:hAnsi="Times New Roman"/>
        </w:rPr>
        <w:t xml:space="preserve"> leaf extract in Wistar rats, reported no mortality, significant body-weight changes, or treatment-related gross pathological abnormalities at 500 and 1,000 mg/kg body weight. Histopathological examination of the liver, heart, and kidneys also showed no remarkable treatment-related lesions, and the authors reported a no-observed-adverse-effect level of 1,000 mg/kg body weight under the conditions of their study. These findings suggest a relatively wide safety margin for the particular ethanolic extract and exposure conditions investigated, but they do not eliminate the need to evaluate other extract types, doses, and experimental conditions. The liver is a major organ involved in the metabolism and detoxification of endogenous and exogenous substances, making it an important target organ in toxicological investigations. Exposure to bioactive plant constituents may affect hepatocellular membranes, intracellular metabolic processes, or biliary function. Serum alanine aminotransferase (ALT), aspartate aminotransferase (AST), and alkaline phosphatase (ALP) are therefore commonly assessed as biochemical indicators of hepatic injury. ALT is predominantly associated with hepatocytes, and increased serum activity may reflect leakage of the enzyme following hepatocellular membrane damage. AST is also present in hepatocytes but occurs in other tissues, including skeletal and cardiac muscle, making it less liver-specific than ALT. ALP is associated with the biliary system, and increased serum activity may be associated with cholestatic or biliary injury. The relevance of liver enzyme assessment to </w:t>
      </w:r>
      <w:r>
        <w:rPr>
          <w:rFonts w:ascii="Times New Roman" w:hAnsi="Times New Roman"/>
          <w:i/>
          <w:iCs/>
        </w:rPr>
        <w:t>K. pinnata</w:t>
      </w:r>
      <w:r>
        <w:rPr>
          <w:rFonts w:ascii="Times New Roman" w:hAnsi="Times New Roman"/>
        </w:rPr>
        <w:t xml:space="preserve"> safety is supported by recent experimental research. A 2025 study investigating a </w:t>
      </w:r>
      <w:r>
        <w:rPr>
          <w:rFonts w:ascii="Times New Roman" w:hAnsi="Times New Roman"/>
          <w:i/>
          <w:iCs/>
        </w:rPr>
        <w:t>K. pinnata</w:t>
      </w:r>
      <w:r>
        <w:rPr>
          <w:rFonts w:ascii="Times New Roman" w:hAnsi="Times New Roman"/>
        </w:rPr>
        <w:t xml:space="preserve">-based beverage in male Wistar rats reported reductions in serum ALT, AST, ALP, and bilirubin in rats exposed to carbon tetrachloride- and gentamicin-induced hepatotoxicity, suggesting a potential hepatoprotective effect of the preparation under those experimental conditions. However, hepatoprotective activity in a disease or chemically induced injury model should not automatically be interpreted as evidence that all doses and preparations of the plant are completely free from toxicity. More recent toxicological evidence has further demonstrated the importance of evaluating prolonged exposure to </w:t>
      </w:r>
      <w:r>
        <w:rPr>
          <w:rFonts w:ascii="Times New Roman" w:hAnsi="Times New Roman"/>
          <w:i/>
          <w:iCs/>
        </w:rPr>
        <w:t>K. pinnata</w:t>
      </w:r>
      <w:r>
        <w:rPr>
          <w:rFonts w:ascii="Times New Roman" w:hAnsi="Times New Roman"/>
        </w:rPr>
        <w:t xml:space="preserve">. Pereira et al. (2025) investigated chronic exposure to </w:t>
      </w:r>
      <w:r>
        <w:rPr>
          <w:rFonts w:ascii="Times New Roman" w:hAnsi="Times New Roman"/>
          <w:i/>
          <w:iCs/>
        </w:rPr>
        <w:t>K. pinnata</w:t>
      </w:r>
      <w:r>
        <w:rPr>
          <w:rFonts w:ascii="Times New Roman" w:hAnsi="Times New Roman"/>
        </w:rPr>
        <w:t xml:space="preserve"> leaf extract using zebrafish embryos and reported developmental and </w:t>
      </w:r>
      <w:proofErr w:type="spellStart"/>
      <w:r>
        <w:rPr>
          <w:rFonts w:ascii="Times New Roman" w:hAnsi="Times New Roman"/>
        </w:rPr>
        <w:t>behavioural</w:t>
      </w:r>
      <w:proofErr w:type="spellEnd"/>
      <w:r>
        <w:rPr>
          <w:rFonts w:ascii="Times New Roman" w:hAnsi="Times New Roman"/>
        </w:rPr>
        <w:t xml:space="preserve"> alterations at higher exposure concentrations, together with changes in the expression of genes associated with protein processing, DNA replication and repair, and immune and endocrine functions. The authors emphasized the need for strict toxicological, pharmacological, and medical supervision in the use of medicinal plant extracts. Although zebrafish findings cannot be directly equated with mammalian toxicity, the study demonstrates the importance of investigating possible adverse effects associated with prolonged exposure. Also, the safety profile of </w:t>
      </w:r>
      <w:r>
        <w:rPr>
          <w:rFonts w:ascii="Times New Roman" w:hAnsi="Times New Roman"/>
          <w:i/>
          <w:iCs/>
        </w:rPr>
        <w:t>K. pinnata</w:t>
      </w:r>
      <w:r>
        <w:rPr>
          <w:rFonts w:ascii="Times New Roman" w:hAnsi="Times New Roman"/>
        </w:rPr>
        <w:t xml:space="preserve"> may vary according to the extraction solvent, plant material, dose, duration of administration, and experimental model. For example, evidence from ethanolic leaf extract studies indicates relatively low toxicity under specific experimental conditions, whereas more recent investigations using other models have identified biological effects following chronic exposure. This variation makes it necessary to conduct controlled studies using clearly defined extract preparations and dose levels. Therefore, evaluation of the sub-chronic toxicity of </w:t>
      </w:r>
      <w:r>
        <w:rPr>
          <w:rFonts w:ascii="Times New Roman" w:hAnsi="Times New Roman"/>
          <w:i/>
          <w:iCs/>
        </w:rPr>
        <w:t>K. pinnata</w:t>
      </w:r>
      <w:r>
        <w:rPr>
          <w:rFonts w:ascii="Times New Roman" w:hAnsi="Times New Roman"/>
        </w:rPr>
        <w:t xml:space="preserve"> leaf extract using haematological indices and liver marker enzymes is important for establishing its biological safety profile. Monitoring RBC, Hb, PCV, WBC, and differential leucocyte counts can provide information on possible effects on the haematopoietic and immune systems, while assessment of ALT, AST, and ALP can provide evidence of possible hepatocellular or biliary injury. The present study consequently focuses on the evaluation of the sub-chronic toxicity effects of </w:t>
      </w:r>
      <w:r>
        <w:rPr>
          <w:rFonts w:ascii="Times New Roman" w:hAnsi="Times New Roman"/>
          <w:i/>
          <w:iCs/>
        </w:rPr>
        <w:t>Kalanchoe pinnata</w:t>
      </w:r>
      <w:r>
        <w:rPr>
          <w:rFonts w:ascii="Times New Roman" w:hAnsi="Times New Roman"/>
        </w:rPr>
        <w:t xml:space="preserve"> leaf extract on haematological indices and liver marker enzymes in male albino rats. The findings may contribute to the scientific understanding of the safety of repeated </w:t>
      </w:r>
      <w:r>
        <w:rPr>
          <w:rFonts w:ascii="Times New Roman" w:hAnsi="Times New Roman"/>
          <w:i/>
          <w:iCs/>
        </w:rPr>
        <w:t>K. pinnata</w:t>
      </w:r>
      <w:r>
        <w:rPr>
          <w:rFonts w:ascii="Times New Roman" w:hAnsi="Times New Roman"/>
        </w:rPr>
        <w:t xml:space="preserve"> exposure and provide useful information for the appropriate and cautious use of the plant as a medicinal preparation.</w:t>
      </w:r>
    </w:p>
    <w:p w14:paraId="379447F3" w14:textId="77777777" w:rsidR="000C368A" w:rsidRPr="00FB3A86" w:rsidRDefault="000C368A" w:rsidP="00F261E4">
      <w:pPr>
        <w:pStyle w:val="Body"/>
        <w:spacing w:after="0"/>
        <w:rPr>
          <w:rFonts w:ascii="Arial" w:hAnsi="Arial" w:cs="Arial"/>
        </w:rPr>
      </w:pPr>
    </w:p>
    <w:p w14:paraId="6B339049" w14:textId="36823CBB"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343326DF" w14:textId="3D6093F2" w:rsidR="00F261E4" w:rsidRDefault="00F261E4" w:rsidP="00F261E4">
      <w:pPr>
        <w:jc w:val="both"/>
        <w:rPr>
          <w:rFonts w:ascii="Times New Roman" w:hAnsi="Times New Roman"/>
          <w:b/>
          <w:bCs/>
          <w:lang w:val="en-GB"/>
        </w:rPr>
      </w:pPr>
    </w:p>
    <w:p w14:paraId="296717A6" w14:textId="77777777" w:rsidR="00F261E4" w:rsidRDefault="00F261E4" w:rsidP="00F261E4">
      <w:pPr>
        <w:jc w:val="both"/>
        <w:rPr>
          <w:rFonts w:ascii="Times New Roman" w:hAnsi="Times New Roman"/>
          <w:b/>
          <w:bCs/>
          <w:lang w:val="en-GB"/>
        </w:rPr>
      </w:pPr>
      <w:r>
        <w:rPr>
          <w:rFonts w:ascii="Times New Roman" w:hAnsi="Times New Roman"/>
          <w:b/>
          <w:bCs/>
          <w:lang w:val="en-GB"/>
        </w:rPr>
        <w:t xml:space="preserve">Description of Study Area </w:t>
      </w:r>
    </w:p>
    <w:p w14:paraId="7302FE96" w14:textId="77777777" w:rsidR="00F261E4" w:rsidRDefault="00F261E4" w:rsidP="00F261E4">
      <w:pPr>
        <w:rPr>
          <w:rFonts w:ascii="Times New Roman" w:hAnsi="Times New Roman"/>
        </w:rPr>
      </w:pPr>
      <w:r>
        <w:rPr>
          <w:rFonts w:ascii="Times New Roman" w:hAnsi="Times New Roman"/>
        </w:rPr>
        <w:t>This study was conducted at the Animal Facility and Biochemistry Research Laboratories of the Department of Biochemistry, University of Cross River State, Calabar, Nigeria.</w:t>
      </w:r>
    </w:p>
    <w:p w14:paraId="54EDC50A" w14:textId="77777777" w:rsidR="00F261E4" w:rsidRDefault="00F261E4" w:rsidP="00F261E4">
      <w:pPr>
        <w:rPr>
          <w:rFonts w:ascii="Times New Roman" w:hAnsi="Times New Roman"/>
          <w:b/>
          <w:bCs/>
        </w:rPr>
      </w:pPr>
      <w:r>
        <w:rPr>
          <w:rFonts w:ascii="Times New Roman" w:hAnsi="Times New Roman"/>
          <w:b/>
          <w:bCs/>
        </w:rPr>
        <w:t>Plant Material and Collection</w:t>
      </w:r>
    </w:p>
    <w:p w14:paraId="40ACF6E9" w14:textId="77777777" w:rsidR="00F261E4" w:rsidRDefault="00F261E4" w:rsidP="00F261E4">
      <w:pPr>
        <w:spacing w:line="360" w:lineRule="auto"/>
        <w:jc w:val="both"/>
        <w:rPr>
          <w:rFonts w:ascii="Times New Roman" w:hAnsi="Times New Roman"/>
        </w:rPr>
      </w:pPr>
      <w:r>
        <w:rPr>
          <w:rFonts w:ascii="Times New Roman" w:hAnsi="Times New Roman"/>
        </w:rPr>
        <w:t xml:space="preserve">Fresh, fully mature leaves of </w:t>
      </w:r>
      <w:r>
        <w:rPr>
          <w:rFonts w:ascii="Times New Roman" w:hAnsi="Times New Roman"/>
          <w:i/>
          <w:iCs/>
        </w:rPr>
        <w:t>Kalanchoe pinnata</w:t>
      </w:r>
      <w:r>
        <w:rPr>
          <w:rFonts w:ascii="Times New Roman" w:hAnsi="Times New Roman"/>
        </w:rPr>
        <w:t xml:space="preserve"> were the primary biological material used in this study. The leaves were harvested from a cultivated botanical garden located in the Calabar South Local Government Area of Cross River State, Nigeria, during the wet season </w:t>
      </w:r>
      <w:r>
        <w:rPr>
          <w:rFonts w:ascii="Times New Roman" w:hAnsi="Times New Roman"/>
        </w:rPr>
        <w:lastRenderedPageBreak/>
        <w:t>(June 2023). Botanical authentication was performed by a qualified taxonomist at the Forest Herbarium, University of Calabar Botanical Garden, Calabar, and a voucher specimen (Voucher No.: FHI 112358) was deposited for future reference.</w:t>
      </w:r>
    </w:p>
    <w:p w14:paraId="46892029" w14:textId="77777777" w:rsidR="00F261E4" w:rsidRDefault="00F261E4" w:rsidP="00F261E4">
      <w:pPr>
        <w:spacing w:line="360" w:lineRule="auto"/>
        <w:jc w:val="both"/>
        <w:rPr>
          <w:rFonts w:ascii="Times New Roman" w:hAnsi="Times New Roman"/>
          <w:b/>
          <w:bCs/>
        </w:rPr>
      </w:pPr>
      <w:r>
        <w:rPr>
          <w:rFonts w:ascii="Times New Roman" w:hAnsi="Times New Roman"/>
          <w:b/>
          <w:bCs/>
        </w:rPr>
        <w:t>Chemicals and Reagents</w:t>
      </w:r>
    </w:p>
    <w:p w14:paraId="15A3A4BB" w14:textId="77777777" w:rsidR="00F261E4" w:rsidRDefault="00F261E4" w:rsidP="00F261E4">
      <w:pPr>
        <w:rPr>
          <w:rFonts w:ascii="Times New Roman" w:hAnsi="Times New Roman"/>
        </w:rPr>
      </w:pPr>
      <w:r>
        <w:rPr>
          <w:rFonts w:ascii="Times New Roman" w:hAnsi="Times New Roman"/>
        </w:rPr>
        <w:t>Ethylenediaminetetraacetic acid (EDTA),</w:t>
      </w:r>
      <w:r>
        <w:t xml:space="preserve"> </w:t>
      </w:r>
      <w:r>
        <w:rPr>
          <w:rFonts w:ascii="Times New Roman" w:hAnsi="Times New Roman"/>
        </w:rPr>
        <w:t>Ketamine hydrochloride (75 mg/kg), Xylazine hydrochloride (10 mg/kg), Distilled water and Random test kits for liver function tests (ALT, AST, ALP). All other chemicals and reagents were obtained from certified suppliers and were of analytical grade.</w:t>
      </w:r>
    </w:p>
    <w:p w14:paraId="41F3599F" w14:textId="77777777" w:rsidR="00F261E4" w:rsidRDefault="00F261E4" w:rsidP="00F261E4">
      <w:pPr>
        <w:rPr>
          <w:rFonts w:ascii="Times New Roman" w:hAnsi="Times New Roman"/>
          <w:b/>
          <w:bCs/>
          <w:lang w:val="en-GB"/>
        </w:rPr>
      </w:pPr>
      <w:r>
        <w:rPr>
          <w:rFonts w:ascii="Times New Roman" w:hAnsi="Times New Roman"/>
          <w:b/>
          <w:bCs/>
          <w:lang w:val="en-GB"/>
        </w:rPr>
        <w:t>Equipment/Apparatus</w:t>
      </w:r>
    </w:p>
    <w:p w14:paraId="2FC211BD" w14:textId="77777777" w:rsidR="00F261E4" w:rsidRDefault="00F261E4" w:rsidP="00F261E4">
      <w:pPr>
        <w:spacing w:line="360" w:lineRule="auto"/>
        <w:jc w:val="both"/>
        <w:rPr>
          <w:rFonts w:ascii="Times New Roman" w:hAnsi="Times New Roman"/>
        </w:rPr>
      </w:pPr>
      <w:r>
        <w:rPr>
          <w:rFonts w:ascii="Times New Roman" w:hAnsi="Times New Roman"/>
          <w:lang w:val="en-GB"/>
        </w:rPr>
        <w:t xml:space="preserve">The equipment and materials include an </w:t>
      </w:r>
      <w:r>
        <w:rPr>
          <w:rFonts w:ascii="Times New Roman" w:hAnsi="Times New Roman"/>
        </w:rPr>
        <w:t>Electric mechanical grinder, Rotary evaporator, Freeze-dryer (</w:t>
      </w:r>
      <w:proofErr w:type="spellStart"/>
      <w:r>
        <w:rPr>
          <w:rFonts w:ascii="Times New Roman" w:hAnsi="Times New Roman"/>
        </w:rPr>
        <w:t>lyophilizer</w:t>
      </w:r>
      <w:proofErr w:type="spellEnd"/>
      <w:r>
        <w:rPr>
          <w:rFonts w:ascii="Times New Roman" w:hAnsi="Times New Roman"/>
        </w:rPr>
        <w:t xml:space="preserve">), Analytical balance (digital), Bench-top centrifuge, UV-Visible Spectrophotometer, Oral gavage needle, Rotary microtome, Refrigerator (4°C), Polypropylene rat cages, </w:t>
      </w:r>
      <w:proofErr w:type="spellStart"/>
      <w:r>
        <w:rPr>
          <w:rFonts w:ascii="Times New Roman" w:hAnsi="Times New Roman"/>
        </w:rPr>
        <w:t>Haematology</w:t>
      </w:r>
      <w:proofErr w:type="spellEnd"/>
      <w:r>
        <w:rPr>
          <w:rFonts w:ascii="Times New Roman" w:hAnsi="Times New Roman"/>
        </w:rPr>
        <w:t xml:space="preserve"> </w:t>
      </w:r>
      <w:proofErr w:type="spellStart"/>
      <w:r>
        <w:rPr>
          <w:rFonts w:ascii="Times New Roman" w:hAnsi="Times New Roman"/>
        </w:rPr>
        <w:t>analyser</w:t>
      </w:r>
      <w:proofErr w:type="spellEnd"/>
      <w:r>
        <w:rPr>
          <w:rFonts w:ascii="Times New Roman" w:hAnsi="Times New Roman"/>
        </w:rPr>
        <w:t>, GraphPad Prism v9.0.</w:t>
      </w:r>
    </w:p>
    <w:p w14:paraId="432F457E" w14:textId="77777777" w:rsidR="00F261E4" w:rsidRDefault="00F261E4" w:rsidP="00F261E4">
      <w:pPr>
        <w:rPr>
          <w:rFonts w:ascii="Times New Roman" w:hAnsi="Times New Roman"/>
          <w:b/>
          <w:bCs/>
          <w:lang w:val="en-GB"/>
        </w:rPr>
      </w:pPr>
      <w:r>
        <w:rPr>
          <w:rFonts w:ascii="Times New Roman" w:hAnsi="Times New Roman"/>
          <w:b/>
          <w:bCs/>
          <w:lang w:val="en-GB"/>
        </w:rPr>
        <w:t>Methodology</w:t>
      </w:r>
    </w:p>
    <w:p w14:paraId="0789D7B5" w14:textId="77777777" w:rsidR="00F261E4" w:rsidRDefault="00F261E4" w:rsidP="00F261E4">
      <w:pPr>
        <w:rPr>
          <w:rFonts w:ascii="Times New Roman" w:hAnsi="Times New Roman"/>
          <w:b/>
          <w:bCs/>
          <w:lang w:val="en-GB"/>
        </w:rPr>
      </w:pPr>
      <w:r>
        <w:rPr>
          <w:rFonts w:ascii="Times New Roman" w:hAnsi="Times New Roman"/>
          <w:b/>
          <w:bCs/>
        </w:rPr>
        <w:t>Experimental Animals</w:t>
      </w:r>
    </w:p>
    <w:p w14:paraId="4E24E191" w14:textId="77777777" w:rsidR="00F261E4" w:rsidRDefault="00F261E4" w:rsidP="00F261E4">
      <w:pPr>
        <w:spacing w:line="480" w:lineRule="auto"/>
        <w:jc w:val="both"/>
        <w:rPr>
          <w:rFonts w:ascii="Times New Roman" w:hAnsi="Times New Roman"/>
        </w:rPr>
      </w:pPr>
      <w:r>
        <w:rPr>
          <w:rFonts w:ascii="Times New Roman" w:hAnsi="Times New Roman"/>
        </w:rPr>
        <w:t>Twenty-five (25) healthy, young adult male albino rats (</w:t>
      </w:r>
      <w:r>
        <w:rPr>
          <w:rFonts w:ascii="Times New Roman" w:hAnsi="Times New Roman"/>
          <w:i/>
          <w:iCs/>
        </w:rPr>
        <w:t>Rattus norvegicus</w:t>
      </w:r>
      <w:r>
        <w:rPr>
          <w:rFonts w:ascii="Times New Roman" w:hAnsi="Times New Roman"/>
        </w:rPr>
        <w:t xml:space="preserve">) of the Wistar strain, with body weights ranging from 150 to 200g, were procured from the Animal House Facility of the Department of Biochemistry, University of Cross River State. The use of male animals exclusively was adopted to eliminate the hormonal variability inherent to the </w:t>
      </w:r>
      <w:proofErr w:type="spellStart"/>
      <w:r>
        <w:rPr>
          <w:rFonts w:ascii="Times New Roman" w:hAnsi="Times New Roman"/>
        </w:rPr>
        <w:t>oestrous</w:t>
      </w:r>
      <w:proofErr w:type="spellEnd"/>
      <w:r>
        <w:rPr>
          <w:rFonts w:ascii="Times New Roman" w:hAnsi="Times New Roman"/>
        </w:rPr>
        <w:t xml:space="preserve"> cycle in female rats, which could confound biochemical and haematological measurements. The rats were housed in well ventilated cages under standard laboratory conditions (12-hour light/dark cycle, temperature of 25 ± 2°C, and relative humidity of 50-60%). They were fed standard rat chow and giving water ad libitum. The animals were allowed two days to acclimatize before the commencement of the experiment.</w:t>
      </w:r>
    </w:p>
    <w:p w14:paraId="77EE54F5" w14:textId="5E164AFD" w:rsidR="00F261E4" w:rsidRDefault="007A1929" w:rsidP="00F261E4">
      <w:pPr>
        <w:rPr>
          <w:rFonts w:ascii="Times New Roman" w:hAnsi="Times New Roman"/>
          <w:b/>
          <w:bCs/>
          <w:lang w:val="en-GB"/>
        </w:rPr>
      </w:pPr>
      <w:r>
        <w:rPr>
          <w:rFonts w:ascii="Times New Roman" w:hAnsi="Times New Roman"/>
          <w:b/>
          <w:bCs/>
          <w:lang w:val="en-GB"/>
        </w:rPr>
        <w:t xml:space="preserve">List </w:t>
      </w:r>
      <w:proofErr w:type="gramStart"/>
      <w:r>
        <w:rPr>
          <w:rFonts w:ascii="Times New Roman" w:hAnsi="Times New Roman"/>
          <w:b/>
          <w:bCs/>
          <w:lang w:val="en-GB"/>
        </w:rPr>
        <w:t>1 :</w:t>
      </w:r>
      <w:proofErr w:type="gramEnd"/>
      <w:r>
        <w:rPr>
          <w:rFonts w:ascii="Times New Roman" w:hAnsi="Times New Roman"/>
          <w:b/>
          <w:bCs/>
          <w:lang w:val="en-GB"/>
        </w:rPr>
        <w:t xml:space="preserve"> </w:t>
      </w:r>
      <w:r w:rsidR="00F261E4">
        <w:rPr>
          <w:rFonts w:ascii="Times New Roman" w:hAnsi="Times New Roman"/>
          <w:b/>
          <w:bCs/>
          <w:lang w:val="en-GB"/>
        </w:rPr>
        <w:t>Experimental Design</w:t>
      </w:r>
    </w:p>
    <w:tbl>
      <w:tblPr>
        <w:tblStyle w:val="TableGrid"/>
        <w:tblW w:w="9645" w:type="dxa"/>
        <w:tblLook w:val="04A0" w:firstRow="1" w:lastRow="0" w:firstColumn="1" w:lastColumn="0" w:noHBand="0" w:noVBand="1"/>
      </w:tblPr>
      <w:tblGrid>
        <w:gridCol w:w="2401"/>
        <w:gridCol w:w="7244"/>
      </w:tblGrid>
      <w:tr w:rsidR="00F261E4" w14:paraId="55065C81" w14:textId="77777777" w:rsidTr="00F261E4">
        <w:trPr>
          <w:trHeight w:val="447"/>
        </w:trPr>
        <w:tc>
          <w:tcPr>
            <w:tcW w:w="2401" w:type="dxa"/>
            <w:tcBorders>
              <w:top w:val="single" w:sz="4" w:space="0" w:color="auto"/>
              <w:left w:val="single" w:sz="4" w:space="0" w:color="auto"/>
              <w:bottom w:val="single" w:sz="4" w:space="0" w:color="auto"/>
              <w:right w:val="single" w:sz="4" w:space="0" w:color="auto"/>
            </w:tcBorders>
            <w:hideMark/>
          </w:tcPr>
          <w:p w14:paraId="0D3E40AE" w14:textId="77777777" w:rsidR="00F261E4" w:rsidRDefault="00F261E4">
            <w:pPr>
              <w:rPr>
                <w:rFonts w:ascii="Times New Roman" w:hAnsi="Times New Roman"/>
                <w:b/>
                <w:bCs/>
                <w:lang w:val="en-GB"/>
              </w:rPr>
            </w:pPr>
            <w:r>
              <w:rPr>
                <w:rFonts w:ascii="Times New Roman" w:hAnsi="Times New Roman"/>
                <w:b/>
                <w:bCs/>
                <w:lang w:val="en-GB"/>
              </w:rPr>
              <w:t>Groups</w:t>
            </w:r>
          </w:p>
        </w:tc>
        <w:tc>
          <w:tcPr>
            <w:tcW w:w="7244" w:type="dxa"/>
            <w:tcBorders>
              <w:top w:val="single" w:sz="4" w:space="0" w:color="auto"/>
              <w:left w:val="single" w:sz="4" w:space="0" w:color="auto"/>
              <w:bottom w:val="single" w:sz="4" w:space="0" w:color="auto"/>
              <w:right w:val="single" w:sz="4" w:space="0" w:color="auto"/>
            </w:tcBorders>
            <w:hideMark/>
          </w:tcPr>
          <w:p w14:paraId="2844087D" w14:textId="77777777" w:rsidR="00F261E4" w:rsidRDefault="00F261E4">
            <w:pPr>
              <w:rPr>
                <w:rFonts w:ascii="Times New Roman" w:hAnsi="Times New Roman"/>
                <w:b/>
                <w:bCs/>
                <w:lang w:val="en-GB"/>
              </w:rPr>
            </w:pPr>
            <w:r>
              <w:rPr>
                <w:rFonts w:ascii="Times New Roman" w:hAnsi="Times New Roman"/>
                <w:b/>
                <w:bCs/>
                <w:lang w:val="en-GB"/>
              </w:rPr>
              <w:t xml:space="preserve">                           Treatment Administration</w:t>
            </w:r>
          </w:p>
        </w:tc>
      </w:tr>
      <w:tr w:rsidR="00F261E4" w14:paraId="2BA2C53E" w14:textId="77777777" w:rsidTr="00F261E4">
        <w:trPr>
          <w:trHeight w:val="1205"/>
        </w:trPr>
        <w:tc>
          <w:tcPr>
            <w:tcW w:w="2401" w:type="dxa"/>
            <w:tcBorders>
              <w:top w:val="single" w:sz="4" w:space="0" w:color="auto"/>
              <w:left w:val="single" w:sz="4" w:space="0" w:color="auto"/>
              <w:bottom w:val="single" w:sz="4" w:space="0" w:color="auto"/>
              <w:right w:val="single" w:sz="4" w:space="0" w:color="auto"/>
            </w:tcBorders>
            <w:hideMark/>
          </w:tcPr>
          <w:p w14:paraId="7017AA6F" w14:textId="77777777" w:rsidR="00F261E4" w:rsidRDefault="00F261E4">
            <w:pPr>
              <w:rPr>
                <w:rFonts w:ascii="Times New Roman" w:hAnsi="Times New Roman"/>
                <w:lang w:val="en-GB"/>
              </w:rPr>
            </w:pPr>
            <w:r>
              <w:rPr>
                <w:rFonts w:ascii="Times New Roman" w:hAnsi="Times New Roman"/>
                <w:lang w:val="en-GB"/>
              </w:rPr>
              <w:t xml:space="preserve">Group I </w:t>
            </w:r>
            <w:r>
              <w:rPr>
                <w:rFonts w:ascii="Times New Roman" w:hAnsi="Times New Roman"/>
              </w:rPr>
              <w:t>(Negative Control)</w:t>
            </w:r>
          </w:p>
        </w:tc>
        <w:tc>
          <w:tcPr>
            <w:tcW w:w="7244" w:type="dxa"/>
            <w:tcBorders>
              <w:top w:val="single" w:sz="4" w:space="0" w:color="auto"/>
              <w:left w:val="single" w:sz="4" w:space="0" w:color="auto"/>
              <w:bottom w:val="single" w:sz="4" w:space="0" w:color="auto"/>
              <w:right w:val="single" w:sz="4" w:space="0" w:color="auto"/>
            </w:tcBorders>
            <w:hideMark/>
          </w:tcPr>
          <w:p w14:paraId="56F261E7" w14:textId="77777777" w:rsidR="00F261E4" w:rsidRDefault="00F261E4">
            <w:pPr>
              <w:rPr>
                <w:rFonts w:ascii="Times New Roman" w:hAnsi="Times New Roman"/>
                <w:b/>
                <w:bCs/>
                <w:lang w:val="en-GB"/>
              </w:rPr>
            </w:pPr>
            <w:r>
              <w:rPr>
                <w:rFonts w:ascii="Times New Roman" w:hAnsi="Times New Roman"/>
              </w:rPr>
              <w:t>Received 1 mL/kg body weight of distilled water (vehicle) by oral gavage daily for 28 days</w:t>
            </w:r>
          </w:p>
        </w:tc>
      </w:tr>
      <w:tr w:rsidR="00F261E4" w14:paraId="125D0443"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1E75ABB3" w14:textId="77777777" w:rsidR="00F261E4" w:rsidRDefault="00F261E4">
            <w:pPr>
              <w:rPr>
                <w:rFonts w:ascii="Times New Roman" w:hAnsi="Times New Roman"/>
                <w:lang w:val="en-GB"/>
              </w:rPr>
            </w:pPr>
            <w:r>
              <w:rPr>
                <w:rFonts w:ascii="Times New Roman" w:hAnsi="Times New Roman"/>
                <w:lang w:val="en-GB"/>
              </w:rPr>
              <w:t xml:space="preserve">Group II </w:t>
            </w:r>
            <w:r>
              <w:rPr>
                <w:rFonts w:ascii="Times New Roman" w:hAnsi="Times New Roman"/>
              </w:rPr>
              <w:t>(Low Dose)</w:t>
            </w:r>
          </w:p>
        </w:tc>
        <w:tc>
          <w:tcPr>
            <w:tcW w:w="7244" w:type="dxa"/>
            <w:tcBorders>
              <w:top w:val="single" w:sz="4" w:space="0" w:color="auto"/>
              <w:left w:val="single" w:sz="4" w:space="0" w:color="auto"/>
              <w:bottom w:val="single" w:sz="4" w:space="0" w:color="auto"/>
              <w:right w:val="single" w:sz="4" w:space="0" w:color="auto"/>
            </w:tcBorders>
          </w:tcPr>
          <w:p w14:paraId="2348B324" w14:textId="77777777" w:rsidR="00F261E4" w:rsidRDefault="00F261E4">
            <w:pPr>
              <w:spacing w:line="480" w:lineRule="auto"/>
              <w:jc w:val="both"/>
              <w:rPr>
                <w:rFonts w:asciiTheme="minorHAnsi" w:hAnsiTheme="minorHAnsi" w:cstheme="minorBidi"/>
              </w:rPr>
            </w:pPr>
            <w:r>
              <w:rPr>
                <w:rFonts w:ascii="Times New Roman" w:hAnsi="Times New Roman"/>
              </w:rPr>
              <w:t>Received KPE at 100 mg/kg body weight by oral gavage daily for 28 days.</w:t>
            </w:r>
          </w:p>
          <w:p w14:paraId="370D4000" w14:textId="77777777" w:rsidR="00F261E4" w:rsidRDefault="00F261E4">
            <w:pPr>
              <w:rPr>
                <w:rFonts w:ascii="Times New Roman" w:hAnsi="Times New Roman"/>
                <w:b/>
                <w:bCs/>
                <w:lang w:val="en-GB"/>
              </w:rPr>
            </w:pPr>
          </w:p>
        </w:tc>
      </w:tr>
      <w:tr w:rsidR="00F261E4" w14:paraId="6D299DF4"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15794407" w14:textId="77777777" w:rsidR="00F261E4" w:rsidRDefault="00F261E4">
            <w:pPr>
              <w:rPr>
                <w:rFonts w:ascii="Times New Roman" w:hAnsi="Times New Roman"/>
                <w:lang w:val="en-GB"/>
              </w:rPr>
            </w:pPr>
            <w:r>
              <w:rPr>
                <w:rFonts w:ascii="Times New Roman" w:hAnsi="Times New Roman"/>
                <w:lang w:val="en-GB"/>
              </w:rPr>
              <w:t xml:space="preserve">Group III </w:t>
            </w:r>
            <w:r>
              <w:rPr>
                <w:rFonts w:ascii="Times New Roman" w:hAnsi="Times New Roman"/>
              </w:rPr>
              <w:t>(Mid-Low Dose)</w:t>
            </w:r>
          </w:p>
        </w:tc>
        <w:tc>
          <w:tcPr>
            <w:tcW w:w="7244" w:type="dxa"/>
            <w:tcBorders>
              <w:top w:val="single" w:sz="4" w:space="0" w:color="auto"/>
              <w:left w:val="single" w:sz="4" w:space="0" w:color="auto"/>
              <w:bottom w:val="single" w:sz="4" w:space="0" w:color="auto"/>
              <w:right w:val="single" w:sz="4" w:space="0" w:color="auto"/>
            </w:tcBorders>
          </w:tcPr>
          <w:p w14:paraId="6833712B" w14:textId="77777777" w:rsidR="00F261E4" w:rsidRDefault="00F261E4">
            <w:pPr>
              <w:spacing w:line="480" w:lineRule="auto"/>
              <w:jc w:val="both"/>
              <w:rPr>
                <w:rFonts w:ascii="Times New Roman" w:hAnsi="Times New Roman"/>
              </w:rPr>
            </w:pPr>
            <w:r>
              <w:rPr>
                <w:rFonts w:ascii="Times New Roman" w:hAnsi="Times New Roman"/>
              </w:rPr>
              <w:t>Received KPE at 200 mg/kg body weight by oral gavage daily for 28 days.</w:t>
            </w:r>
          </w:p>
          <w:p w14:paraId="18897A68" w14:textId="77777777" w:rsidR="00F261E4" w:rsidRDefault="00F261E4">
            <w:pPr>
              <w:rPr>
                <w:rFonts w:ascii="Times New Roman" w:hAnsi="Times New Roman"/>
                <w:b/>
                <w:bCs/>
                <w:lang w:val="en-GB"/>
              </w:rPr>
            </w:pPr>
          </w:p>
        </w:tc>
      </w:tr>
      <w:tr w:rsidR="00F261E4" w14:paraId="01319A85"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709D7FFD" w14:textId="77777777" w:rsidR="00F261E4" w:rsidRDefault="00F261E4">
            <w:pPr>
              <w:rPr>
                <w:rFonts w:ascii="Times New Roman" w:hAnsi="Times New Roman"/>
                <w:lang w:val="en-GB"/>
              </w:rPr>
            </w:pPr>
            <w:r>
              <w:rPr>
                <w:rFonts w:ascii="Times New Roman" w:hAnsi="Times New Roman"/>
                <w:lang w:val="en-GB"/>
              </w:rPr>
              <w:t xml:space="preserve">Group IV </w:t>
            </w:r>
            <w:r>
              <w:rPr>
                <w:rFonts w:ascii="Times New Roman" w:hAnsi="Times New Roman"/>
              </w:rPr>
              <w:t>(Mid-High Dose)</w:t>
            </w:r>
          </w:p>
        </w:tc>
        <w:tc>
          <w:tcPr>
            <w:tcW w:w="7244" w:type="dxa"/>
            <w:tcBorders>
              <w:top w:val="single" w:sz="4" w:space="0" w:color="auto"/>
              <w:left w:val="single" w:sz="4" w:space="0" w:color="auto"/>
              <w:bottom w:val="single" w:sz="4" w:space="0" w:color="auto"/>
              <w:right w:val="single" w:sz="4" w:space="0" w:color="auto"/>
            </w:tcBorders>
          </w:tcPr>
          <w:p w14:paraId="654411E8" w14:textId="77777777" w:rsidR="00F261E4" w:rsidRDefault="00F261E4">
            <w:pPr>
              <w:spacing w:line="480" w:lineRule="auto"/>
              <w:jc w:val="both"/>
              <w:rPr>
                <w:rFonts w:ascii="Times New Roman" w:hAnsi="Times New Roman"/>
              </w:rPr>
            </w:pPr>
            <w:r>
              <w:rPr>
                <w:rFonts w:ascii="Times New Roman" w:hAnsi="Times New Roman"/>
              </w:rPr>
              <w:t>Received KPE at 400 mg/kg body weight by oral gavage daily for 28 days.</w:t>
            </w:r>
          </w:p>
          <w:p w14:paraId="7F6FDB00" w14:textId="77777777" w:rsidR="00F261E4" w:rsidRDefault="00F261E4">
            <w:pPr>
              <w:rPr>
                <w:rFonts w:ascii="Times New Roman" w:hAnsi="Times New Roman"/>
                <w:b/>
                <w:bCs/>
                <w:lang w:val="en-GB"/>
              </w:rPr>
            </w:pPr>
          </w:p>
        </w:tc>
      </w:tr>
      <w:tr w:rsidR="00F261E4" w14:paraId="5C17997D" w14:textId="77777777" w:rsidTr="00F261E4">
        <w:trPr>
          <w:trHeight w:val="1242"/>
        </w:trPr>
        <w:tc>
          <w:tcPr>
            <w:tcW w:w="2401" w:type="dxa"/>
            <w:tcBorders>
              <w:top w:val="single" w:sz="4" w:space="0" w:color="auto"/>
              <w:left w:val="single" w:sz="4" w:space="0" w:color="auto"/>
              <w:bottom w:val="single" w:sz="4" w:space="0" w:color="auto"/>
              <w:right w:val="single" w:sz="4" w:space="0" w:color="auto"/>
            </w:tcBorders>
            <w:hideMark/>
          </w:tcPr>
          <w:p w14:paraId="67019C2F" w14:textId="77777777" w:rsidR="00F261E4" w:rsidRDefault="00F261E4">
            <w:pPr>
              <w:rPr>
                <w:rFonts w:ascii="Times New Roman" w:hAnsi="Times New Roman"/>
                <w:lang w:val="en-GB"/>
              </w:rPr>
            </w:pPr>
            <w:r>
              <w:rPr>
                <w:rFonts w:ascii="Times New Roman" w:hAnsi="Times New Roman"/>
                <w:lang w:val="en-GB"/>
              </w:rPr>
              <w:t xml:space="preserve">Group V </w:t>
            </w:r>
            <w:r>
              <w:rPr>
                <w:rFonts w:ascii="Times New Roman" w:hAnsi="Times New Roman"/>
              </w:rPr>
              <w:t>(High Dose)</w:t>
            </w:r>
          </w:p>
        </w:tc>
        <w:tc>
          <w:tcPr>
            <w:tcW w:w="7244" w:type="dxa"/>
            <w:tcBorders>
              <w:top w:val="single" w:sz="4" w:space="0" w:color="auto"/>
              <w:left w:val="single" w:sz="4" w:space="0" w:color="auto"/>
              <w:bottom w:val="single" w:sz="4" w:space="0" w:color="auto"/>
              <w:right w:val="single" w:sz="4" w:space="0" w:color="auto"/>
            </w:tcBorders>
          </w:tcPr>
          <w:p w14:paraId="43D195EF" w14:textId="77777777" w:rsidR="00F261E4" w:rsidRDefault="00F261E4">
            <w:pPr>
              <w:spacing w:line="480" w:lineRule="auto"/>
              <w:jc w:val="both"/>
              <w:rPr>
                <w:rFonts w:ascii="Times New Roman" w:hAnsi="Times New Roman"/>
              </w:rPr>
            </w:pPr>
            <w:r>
              <w:rPr>
                <w:rFonts w:ascii="Times New Roman" w:hAnsi="Times New Roman"/>
              </w:rPr>
              <w:t>Received KPE at 800 mg/kg body weight by oral gavage daily for 28 days.</w:t>
            </w:r>
          </w:p>
          <w:p w14:paraId="5A71D57A" w14:textId="77777777" w:rsidR="00F261E4" w:rsidRDefault="00F261E4">
            <w:pPr>
              <w:rPr>
                <w:rFonts w:ascii="Times New Roman" w:hAnsi="Times New Roman"/>
                <w:b/>
                <w:bCs/>
                <w:lang w:val="en-GB"/>
              </w:rPr>
            </w:pPr>
          </w:p>
        </w:tc>
      </w:tr>
    </w:tbl>
    <w:p w14:paraId="10682708" w14:textId="77777777" w:rsidR="00F261E4" w:rsidRPr="00F261E4" w:rsidRDefault="00F261E4" w:rsidP="00F261E4">
      <w:pPr>
        <w:jc w:val="both"/>
        <w:rPr>
          <w:rFonts w:ascii="Times New Roman" w:hAnsi="Times New Roman"/>
          <w:kern w:val="2"/>
        </w:rPr>
      </w:pPr>
    </w:p>
    <w:p w14:paraId="06AE107D" w14:textId="77777777" w:rsidR="00F261E4" w:rsidRDefault="00F261E4" w:rsidP="00F261E4">
      <w:pPr>
        <w:spacing w:line="360" w:lineRule="auto"/>
        <w:jc w:val="both"/>
        <w:rPr>
          <w:rFonts w:ascii="Times New Roman" w:hAnsi="Times New Roman"/>
        </w:rPr>
      </w:pPr>
      <w:r>
        <w:rPr>
          <w:rFonts w:ascii="Times New Roman" w:hAnsi="Times New Roman"/>
        </w:rPr>
        <w:t xml:space="preserve">The dose levels were selected based on findings from a preliminary pilot acute toxicity study and a critical review of previously reported therapeutic and sub-toxic doses in rodent pharmacological literature, with the highest dose (800 mg/kg) specifically chosen to investigate </w:t>
      </w:r>
      <w:r>
        <w:rPr>
          <w:rFonts w:ascii="Times New Roman" w:hAnsi="Times New Roman"/>
        </w:rPr>
        <w:lastRenderedPageBreak/>
        <w:t xml:space="preserve">potential hepatotoxic effects (Yadav &amp; Dixit, 2008; Bopanna </w:t>
      </w:r>
      <w:r>
        <w:rPr>
          <w:rFonts w:ascii="Times New Roman" w:hAnsi="Times New Roman"/>
          <w:i/>
          <w:iCs/>
        </w:rPr>
        <w:t>et al.,</w:t>
      </w:r>
      <w:r>
        <w:rPr>
          <w:rFonts w:ascii="Times New Roman" w:hAnsi="Times New Roman"/>
        </w:rPr>
        <w:t xml:space="preserve"> 2020). The extract was freshly reconstituted in distilled water immediately </w:t>
      </w:r>
      <w:r w:rsidR="0054602B">
        <w:rPr>
          <w:rFonts w:ascii="Times New Roman" w:hAnsi="Times New Roman"/>
        </w:rPr>
        <w:t>before</w:t>
      </w:r>
      <w:r>
        <w:rPr>
          <w:rFonts w:ascii="Times New Roman" w:hAnsi="Times New Roman"/>
        </w:rPr>
        <w:t xml:space="preserve"> each administration. All administrations were performed between </w:t>
      </w:r>
      <w:r w:rsidR="0054602B">
        <w:rPr>
          <w:rFonts w:ascii="Times New Roman" w:hAnsi="Times New Roman"/>
        </w:rPr>
        <w:t>08:00 am</w:t>
      </w:r>
      <w:r>
        <w:rPr>
          <w:rFonts w:ascii="Times New Roman" w:hAnsi="Times New Roman"/>
        </w:rPr>
        <w:t xml:space="preserve"> and </w:t>
      </w:r>
      <w:r w:rsidR="0054602B">
        <w:rPr>
          <w:rFonts w:ascii="Times New Roman" w:hAnsi="Times New Roman"/>
        </w:rPr>
        <w:t>10:00 am</w:t>
      </w:r>
      <w:r>
        <w:rPr>
          <w:rFonts w:ascii="Times New Roman" w:hAnsi="Times New Roman"/>
        </w:rPr>
        <w:t xml:space="preserve"> daily via a standard oral gavage needle (16G × 3 in., stainless steel) for 28 consecutive days. Body weights were recorded weekly throughout the experimental period, and administered volumes were adjusted accordingly.</w:t>
      </w:r>
    </w:p>
    <w:p w14:paraId="5EBB2FD3" w14:textId="77777777" w:rsidR="00F261E4" w:rsidRDefault="00F261E4" w:rsidP="00F261E4">
      <w:pPr>
        <w:spacing w:line="360" w:lineRule="auto"/>
        <w:jc w:val="both"/>
        <w:rPr>
          <w:rFonts w:ascii="Times New Roman" w:hAnsi="Times New Roman"/>
          <w:b/>
          <w:bCs/>
        </w:rPr>
      </w:pPr>
      <w:r>
        <w:rPr>
          <w:rFonts w:ascii="Times New Roman" w:hAnsi="Times New Roman"/>
          <w:b/>
          <w:bCs/>
        </w:rPr>
        <w:t xml:space="preserve">Preparation of </w:t>
      </w:r>
      <w:r>
        <w:rPr>
          <w:rFonts w:ascii="Times New Roman" w:hAnsi="Times New Roman"/>
          <w:b/>
          <w:bCs/>
          <w:i/>
          <w:iCs/>
        </w:rPr>
        <w:t>Kalanchoe Pinnata</w:t>
      </w:r>
      <w:r>
        <w:rPr>
          <w:rFonts w:ascii="Times New Roman" w:hAnsi="Times New Roman"/>
          <w:b/>
          <w:bCs/>
        </w:rPr>
        <w:t xml:space="preserve"> Leaf Extract</w:t>
      </w:r>
    </w:p>
    <w:p w14:paraId="4E269621" w14:textId="77777777" w:rsidR="00F261E4" w:rsidRDefault="00F261E4" w:rsidP="00F261E4">
      <w:pPr>
        <w:jc w:val="both"/>
        <w:rPr>
          <w:rFonts w:ascii="Times New Roman" w:hAnsi="Times New Roman"/>
        </w:rPr>
      </w:pPr>
      <w:r>
        <w:rPr>
          <w:rFonts w:ascii="Times New Roman" w:hAnsi="Times New Roman"/>
        </w:rPr>
        <w:t>The collected leaves were washed thoroughly to remove dust and debris, air-dried at room temperature (</w:t>
      </w:r>
      <w:bookmarkStart w:id="0" w:name="_Hlk239906295"/>
      <w:r>
        <w:rPr>
          <w:rFonts w:ascii="Times New Roman" w:hAnsi="Times New Roman"/>
        </w:rPr>
        <w:t>25 ± 2°C</w:t>
      </w:r>
      <w:bookmarkEnd w:id="0"/>
      <w:r>
        <w:rPr>
          <w:rFonts w:ascii="Times New Roman" w:hAnsi="Times New Roman"/>
        </w:rPr>
        <w:t>) for 14 days, and pulverized into a fine powder using an electric blender.</w:t>
      </w:r>
    </w:p>
    <w:p w14:paraId="395A6015" w14:textId="77777777" w:rsidR="00F261E4" w:rsidRDefault="00F261E4" w:rsidP="00F261E4">
      <w:pPr>
        <w:rPr>
          <w:rFonts w:ascii="Times New Roman" w:hAnsi="Times New Roman"/>
          <w:b/>
          <w:bCs/>
        </w:rPr>
      </w:pPr>
      <w:r>
        <w:rPr>
          <w:rFonts w:ascii="Times New Roman" w:hAnsi="Times New Roman"/>
          <w:b/>
          <w:bCs/>
        </w:rPr>
        <w:t>Collection of Blood Samples</w:t>
      </w:r>
    </w:p>
    <w:p w14:paraId="5B24D547" w14:textId="77777777" w:rsidR="00F261E4" w:rsidRDefault="00F261E4" w:rsidP="00F261E4">
      <w:pPr>
        <w:spacing w:line="360" w:lineRule="auto"/>
        <w:jc w:val="both"/>
        <w:rPr>
          <w:rFonts w:asciiTheme="minorHAnsi" w:hAnsiTheme="minorHAnsi" w:cstheme="minorBidi"/>
        </w:rPr>
      </w:pPr>
      <w:r>
        <w:rPr>
          <w:rFonts w:ascii="Times New Roman" w:hAnsi="Times New Roman"/>
        </w:rPr>
        <w:t>At the end of the experimental period, the animals were anaesthetized with ketamine/xylazine. Blood samples were collected via cardiac puncture using sterile syringes. Samples were divided into two portions: 2.0 mL</w:t>
      </w:r>
      <w:r>
        <w:t xml:space="preserve"> </w:t>
      </w:r>
      <w:r>
        <w:rPr>
          <w:rFonts w:ascii="Times New Roman" w:hAnsi="Times New Roman"/>
        </w:rPr>
        <w:t xml:space="preserve">was placed in EDTA tubes for haematological analysis, and </w:t>
      </w:r>
      <w:bookmarkStart w:id="1" w:name="_Hlk239909878"/>
      <w:r>
        <w:rPr>
          <w:rFonts w:ascii="Times New Roman" w:hAnsi="Times New Roman"/>
        </w:rPr>
        <w:t xml:space="preserve">3.0 mL </w:t>
      </w:r>
      <w:bookmarkEnd w:id="1"/>
      <w:r>
        <w:rPr>
          <w:rFonts w:ascii="Times New Roman" w:hAnsi="Times New Roman"/>
        </w:rPr>
        <w:t>was dispensed into plain sample tubes, allowed to clot at room temperature for 30 minutes, and centrifuged at 3,000 rpm for 15 minutes. The resultant clear serum was aspirated, transferred into labelled Eppendorf tubes, and stored at −80°C for subsequent biochemical assays.</w:t>
      </w:r>
    </w:p>
    <w:p w14:paraId="2F16E1DB" w14:textId="77777777" w:rsidR="00F261E4" w:rsidRDefault="00F261E4" w:rsidP="00F261E4">
      <w:pPr>
        <w:rPr>
          <w:rFonts w:ascii="Times New Roman" w:hAnsi="Times New Roman"/>
          <w:b/>
          <w:bCs/>
        </w:rPr>
      </w:pPr>
      <w:r>
        <w:rPr>
          <w:rFonts w:ascii="Times New Roman" w:hAnsi="Times New Roman"/>
          <w:b/>
          <w:bCs/>
        </w:rPr>
        <w:t>Biochemical Assay</w:t>
      </w:r>
    </w:p>
    <w:p w14:paraId="1BE358F7" w14:textId="77777777" w:rsidR="00F261E4" w:rsidRDefault="00F261E4" w:rsidP="00F261E4">
      <w:pPr>
        <w:rPr>
          <w:rFonts w:ascii="Times New Roman" w:hAnsi="Times New Roman"/>
        </w:rPr>
      </w:pPr>
      <w:r>
        <w:rPr>
          <w:rFonts w:ascii="Times New Roman" w:hAnsi="Times New Roman"/>
        </w:rPr>
        <w:t>Haematological and Liver Marker Assay</w:t>
      </w:r>
    </w:p>
    <w:p w14:paraId="7BD8BD5D" w14:textId="77777777" w:rsidR="00F261E4" w:rsidRDefault="00F261E4" w:rsidP="00F261E4">
      <w:pPr>
        <w:rPr>
          <w:rFonts w:ascii="Times New Roman" w:hAnsi="Times New Roman"/>
        </w:rPr>
      </w:pPr>
      <w:r>
        <w:rPr>
          <w:rFonts w:ascii="Times New Roman" w:hAnsi="Times New Roman"/>
        </w:rPr>
        <w:t xml:space="preserve">Blood was collected for haematological tests and liver marker enzyme assays (ALT, AST, ALP) using the Random test kit method. </w:t>
      </w:r>
    </w:p>
    <w:p w14:paraId="44E59D7C" w14:textId="77777777" w:rsidR="00F261E4" w:rsidRDefault="00F261E4" w:rsidP="00F261E4">
      <w:pPr>
        <w:rPr>
          <w:rFonts w:ascii="Times New Roman" w:hAnsi="Times New Roman"/>
          <w:b/>
          <w:bCs/>
        </w:rPr>
      </w:pPr>
      <w:r>
        <w:rPr>
          <w:rFonts w:ascii="Times New Roman" w:hAnsi="Times New Roman"/>
          <w:b/>
          <w:bCs/>
        </w:rPr>
        <w:t xml:space="preserve">Statistical Analysis </w:t>
      </w:r>
    </w:p>
    <w:p w14:paraId="37D76BE6" w14:textId="77777777" w:rsidR="00F261E4" w:rsidRDefault="00F261E4" w:rsidP="00F261E4">
      <w:pPr>
        <w:spacing w:line="360" w:lineRule="auto"/>
        <w:jc w:val="both"/>
        <w:rPr>
          <w:rFonts w:ascii="Times New Roman" w:hAnsi="Times New Roman"/>
        </w:rPr>
      </w:pPr>
      <w:r>
        <w:rPr>
          <w:rFonts w:ascii="Times New Roman" w:hAnsi="Times New Roman"/>
        </w:rPr>
        <w:t>All results were expressed as mean ±</w:t>
      </w:r>
      <w:r>
        <w:t xml:space="preserve"> </w:t>
      </w:r>
      <w:r>
        <w:rPr>
          <w:rFonts w:ascii="Times New Roman" w:hAnsi="Times New Roman"/>
        </w:rPr>
        <w:t>standard deviation (SD). Data were analyzed using one-way analysis of variance (ANOVA) for multiple comparisons. Statistical significance was set at p&lt;0.05.</w:t>
      </w:r>
    </w:p>
    <w:p w14:paraId="5E5325D4" w14:textId="77777777" w:rsidR="00F261E4" w:rsidRPr="00F261E4" w:rsidRDefault="00F261E4" w:rsidP="00F261E4">
      <w:pPr>
        <w:rPr>
          <w:rFonts w:ascii="Arial" w:hAnsi="Arial" w:cs="Arial"/>
          <w:b/>
        </w:rPr>
      </w:pPr>
      <w:r w:rsidRPr="00F261E4">
        <w:rPr>
          <w:rFonts w:ascii="Arial" w:hAnsi="Arial" w:cs="Arial"/>
          <w:b/>
        </w:rPr>
        <w:t>Results</w:t>
      </w:r>
    </w:p>
    <w:p w14:paraId="36DF1699" w14:textId="77777777" w:rsidR="00F261E4" w:rsidRDefault="00F261E4" w:rsidP="00F261E4">
      <w:pPr>
        <w:rPr>
          <w:rFonts w:ascii="Times New Roman" w:hAnsi="Times New Roman"/>
        </w:rPr>
      </w:pPr>
      <w:bookmarkStart w:id="2" w:name="_Hlk239953429"/>
      <w:r>
        <w:rPr>
          <w:rFonts w:ascii="Times New Roman" w:hAnsi="Times New Roman"/>
          <w:b/>
          <w:bCs/>
        </w:rPr>
        <w:t>28-Day Repeated-dose/sub-chronic Observation</w:t>
      </w:r>
      <w:bookmarkEnd w:id="2"/>
    </w:p>
    <w:p w14:paraId="2772CA98" w14:textId="77777777" w:rsidR="00F261E4" w:rsidRDefault="00F261E4" w:rsidP="00F261E4">
      <w:pPr>
        <w:spacing w:line="360" w:lineRule="auto"/>
        <w:jc w:val="both"/>
        <w:rPr>
          <w:rFonts w:ascii="Times New Roman" w:hAnsi="Times New Roman"/>
        </w:rPr>
      </w:pPr>
      <w:bookmarkStart w:id="3" w:name="_Hlk239953363"/>
      <w:r>
        <w:rPr>
          <w:rFonts w:ascii="Times New Roman" w:hAnsi="Times New Roman"/>
        </w:rPr>
        <w:t xml:space="preserve">An acute oral toxicity assessment of </w:t>
      </w:r>
      <w:r>
        <w:rPr>
          <w:rFonts w:ascii="Times New Roman" w:hAnsi="Times New Roman"/>
          <w:i/>
          <w:iCs/>
        </w:rPr>
        <w:t>Kalanchoe pinnata</w:t>
      </w:r>
      <w:r>
        <w:rPr>
          <w:rFonts w:ascii="Times New Roman" w:hAnsi="Times New Roman"/>
        </w:rPr>
        <w:t xml:space="preserve"> leaf extract (KPE) was conducted prior to the 28-day sub-chronic study to evaluate its safety and guide dose selection. Twenty-five albino rats were randomly assigned to five groups (n = 5): Group I served as the control, while Groups II–V received 100, 200, 400, and 800 mg/kg body weight of KPE, respectively. Animals were monitored for mortality and clinical signs of toxicity, including </w:t>
      </w:r>
      <w:r w:rsidR="002F6CD9">
        <w:rPr>
          <w:rFonts w:ascii="Times New Roman" w:hAnsi="Times New Roman"/>
        </w:rPr>
        <w:t>behavioral</w:t>
      </w:r>
      <w:r>
        <w:rPr>
          <w:rFonts w:ascii="Times New Roman" w:hAnsi="Times New Roman"/>
        </w:rPr>
        <w:t xml:space="preserve"> changes, altered locomotor activity, feeding and drinking patterns, respiratory abnormalities, and other observable signs. No mortality or overt signs of toxicity were observed in any group during the observation period. Since no lethal dose was identified, </w:t>
      </w:r>
      <w:proofErr w:type="spellStart"/>
      <w:r>
        <w:rPr>
          <w:rFonts w:ascii="Times New Roman" w:hAnsi="Times New Roman"/>
        </w:rPr>
        <w:t>Lorke’s</w:t>
      </w:r>
      <w:proofErr w:type="spellEnd"/>
      <w:r>
        <w:rPr>
          <w:rFonts w:ascii="Times New Roman" w:hAnsi="Times New Roman"/>
        </w:rPr>
        <w:t xml:space="preserve"> equation could not be used to calculate a numerical LD₅₀. Thus, the LD₅₀ of KPE was estimated to be &gt;800 mg/kg body weight, indicating low acute toxicity within the tested dose range.</w:t>
      </w:r>
    </w:p>
    <w:p w14:paraId="79D2E8FB" w14:textId="77777777" w:rsidR="00F261E4" w:rsidRDefault="00F261E4" w:rsidP="00F261E4">
      <w:pPr>
        <w:rPr>
          <w:rFonts w:ascii="Times New Roman" w:hAnsi="Times New Roman"/>
        </w:rPr>
      </w:pPr>
      <w:bookmarkStart w:id="4" w:name="_Hlk239954713"/>
      <w:bookmarkEnd w:id="3"/>
      <w:r>
        <w:rPr>
          <w:rFonts w:ascii="Times New Roman" w:hAnsi="Times New Roman"/>
          <w:b/>
          <w:bCs/>
        </w:rPr>
        <w:t>Table 1. 28-Day Repeated-dose/sub-chronic Observation</w:t>
      </w:r>
    </w:p>
    <w:tbl>
      <w:tblPr>
        <w:tblStyle w:val="TableGrid"/>
        <w:tblW w:w="9406" w:type="dxa"/>
        <w:tblLook w:val="04A0" w:firstRow="1" w:lastRow="0" w:firstColumn="1" w:lastColumn="0" w:noHBand="0" w:noVBand="1"/>
      </w:tblPr>
      <w:tblGrid>
        <w:gridCol w:w="1338"/>
        <w:gridCol w:w="1332"/>
        <w:gridCol w:w="1333"/>
        <w:gridCol w:w="1339"/>
        <w:gridCol w:w="1335"/>
        <w:gridCol w:w="1339"/>
        <w:gridCol w:w="1390"/>
      </w:tblGrid>
      <w:tr w:rsidR="00F261E4" w14:paraId="5CAE2642"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2B40D521" w14:textId="77777777" w:rsidR="00F261E4" w:rsidRDefault="00F261E4">
            <w:pPr>
              <w:rPr>
                <w:rFonts w:ascii="Times New Roman" w:hAnsi="Times New Roman"/>
                <w:b/>
                <w:bCs/>
              </w:rPr>
            </w:pPr>
            <w:r>
              <w:rPr>
                <w:rFonts w:ascii="Times New Roman" w:hAnsi="Times New Roman"/>
                <w:b/>
                <w:bCs/>
              </w:rPr>
              <w:t>Group</w:t>
            </w:r>
          </w:p>
        </w:tc>
        <w:tc>
          <w:tcPr>
            <w:tcW w:w="1332" w:type="dxa"/>
            <w:tcBorders>
              <w:top w:val="single" w:sz="4" w:space="0" w:color="auto"/>
              <w:left w:val="single" w:sz="4" w:space="0" w:color="auto"/>
              <w:bottom w:val="single" w:sz="4" w:space="0" w:color="auto"/>
              <w:right w:val="single" w:sz="4" w:space="0" w:color="auto"/>
            </w:tcBorders>
            <w:hideMark/>
          </w:tcPr>
          <w:p w14:paraId="713D14D9" w14:textId="77777777" w:rsidR="00F261E4" w:rsidRDefault="00F261E4">
            <w:pPr>
              <w:rPr>
                <w:rFonts w:ascii="Times New Roman" w:hAnsi="Times New Roman"/>
                <w:b/>
                <w:bCs/>
              </w:rPr>
            </w:pPr>
            <w:r>
              <w:rPr>
                <w:rFonts w:ascii="Times New Roman" w:hAnsi="Times New Roman"/>
                <w:b/>
                <w:bCs/>
              </w:rPr>
              <w:t>Dose (mg/kg)</w:t>
            </w:r>
          </w:p>
        </w:tc>
        <w:tc>
          <w:tcPr>
            <w:tcW w:w="1333" w:type="dxa"/>
            <w:tcBorders>
              <w:top w:val="single" w:sz="4" w:space="0" w:color="auto"/>
              <w:left w:val="single" w:sz="4" w:space="0" w:color="auto"/>
              <w:bottom w:val="single" w:sz="4" w:space="0" w:color="auto"/>
              <w:right w:val="single" w:sz="4" w:space="0" w:color="auto"/>
            </w:tcBorders>
            <w:hideMark/>
          </w:tcPr>
          <w:p w14:paraId="4F55BC12" w14:textId="77777777" w:rsidR="00F261E4" w:rsidRDefault="00F261E4">
            <w:pPr>
              <w:rPr>
                <w:rFonts w:ascii="Times New Roman" w:hAnsi="Times New Roman"/>
                <w:b/>
                <w:bCs/>
              </w:rPr>
            </w:pPr>
            <w:r>
              <w:rPr>
                <w:rFonts w:ascii="Times New Roman" w:hAnsi="Times New Roman"/>
                <w:b/>
                <w:bCs/>
              </w:rPr>
              <w:t>No. of animals</w:t>
            </w:r>
          </w:p>
        </w:tc>
        <w:tc>
          <w:tcPr>
            <w:tcW w:w="1339" w:type="dxa"/>
            <w:tcBorders>
              <w:top w:val="single" w:sz="4" w:space="0" w:color="auto"/>
              <w:left w:val="single" w:sz="4" w:space="0" w:color="auto"/>
              <w:bottom w:val="single" w:sz="4" w:space="0" w:color="auto"/>
              <w:right w:val="single" w:sz="4" w:space="0" w:color="auto"/>
            </w:tcBorders>
            <w:hideMark/>
          </w:tcPr>
          <w:p w14:paraId="271CE677" w14:textId="77777777" w:rsidR="00F261E4" w:rsidRDefault="00F261E4">
            <w:pPr>
              <w:rPr>
                <w:rFonts w:ascii="Times New Roman" w:hAnsi="Times New Roman"/>
                <w:b/>
                <w:bCs/>
              </w:rPr>
            </w:pPr>
            <w:r>
              <w:rPr>
                <w:rFonts w:ascii="Times New Roman" w:hAnsi="Times New Roman"/>
                <w:b/>
                <w:bCs/>
              </w:rPr>
              <w:t>Number surviving</w:t>
            </w:r>
          </w:p>
        </w:tc>
        <w:tc>
          <w:tcPr>
            <w:tcW w:w="1335" w:type="dxa"/>
            <w:tcBorders>
              <w:top w:val="single" w:sz="4" w:space="0" w:color="auto"/>
              <w:left w:val="single" w:sz="4" w:space="0" w:color="auto"/>
              <w:bottom w:val="single" w:sz="4" w:space="0" w:color="auto"/>
              <w:right w:val="single" w:sz="4" w:space="0" w:color="auto"/>
            </w:tcBorders>
            <w:hideMark/>
          </w:tcPr>
          <w:p w14:paraId="1AC23A99" w14:textId="77777777" w:rsidR="00F261E4" w:rsidRDefault="00F261E4">
            <w:pPr>
              <w:rPr>
                <w:rFonts w:ascii="Times New Roman" w:hAnsi="Times New Roman"/>
                <w:b/>
                <w:bCs/>
              </w:rPr>
            </w:pPr>
            <w:r>
              <w:rPr>
                <w:rFonts w:ascii="Times New Roman" w:hAnsi="Times New Roman"/>
                <w:b/>
                <w:bCs/>
              </w:rPr>
              <w:t>Number dead</w:t>
            </w:r>
          </w:p>
        </w:tc>
        <w:tc>
          <w:tcPr>
            <w:tcW w:w="1339" w:type="dxa"/>
            <w:tcBorders>
              <w:top w:val="single" w:sz="4" w:space="0" w:color="auto"/>
              <w:left w:val="single" w:sz="4" w:space="0" w:color="auto"/>
              <w:bottom w:val="single" w:sz="4" w:space="0" w:color="auto"/>
              <w:right w:val="single" w:sz="4" w:space="0" w:color="auto"/>
            </w:tcBorders>
            <w:hideMark/>
          </w:tcPr>
          <w:p w14:paraId="284ED17B" w14:textId="77777777" w:rsidR="00F261E4" w:rsidRDefault="00F261E4">
            <w:pPr>
              <w:rPr>
                <w:rFonts w:ascii="Times New Roman" w:hAnsi="Times New Roman"/>
                <w:b/>
                <w:bCs/>
              </w:rPr>
            </w:pPr>
            <w:r>
              <w:rPr>
                <w:rFonts w:ascii="Times New Roman" w:hAnsi="Times New Roman"/>
                <w:b/>
                <w:bCs/>
              </w:rPr>
              <w:t>Mortality (%)</w:t>
            </w:r>
          </w:p>
        </w:tc>
        <w:tc>
          <w:tcPr>
            <w:tcW w:w="1390" w:type="dxa"/>
            <w:tcBorders>
              <w:top w:val="single" w:sz="4" w:space="0" w:color="auto"/>
              <w:left w:val="single" w:sz="4" w:space="0" w:color="auto"/>
              <w:bottom w:val="single" w:sz="4" w:space="0" w:color="auto"/>
              <w:right w:val="single" w:sz="4" w:space="0" w:color="auto"/>
            </w:tcBorders>
            <w:hideMark/>
          </w:tcPr>
          <w:p w14:paraId="72C7239D" w14:textId="77777777" w:rsidR="00F261E4" w:rsidRDefault="00F261E4">
            <w:pPr>
              <w:rPr>
                <w:rFonts w:ascii="Times New Roman" w:hAnsi="Times New Roman"/>
                <w:b/>
                <w:bCs/>
              </w:rPr>
            </w:pPr>
            <w:r>
              <w:rPr>
                <w:rFonts w:ascii="Times New Roman" w:hAnsi="Times New Roman"/>
                <w:b/>
                <w:bCs/>
              </w:rPr>
              <w:t>Observable signs of toxicity</w:t>
            </w:r>
          </w:p>
        </w:tc>
      </w:tr>
      <w:tr w:rsidR="00F261E4" w14:paraId="194E8E26"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1FFEA54B" w14:textId="77777777" w:rsidR="00F261E4" w:rsidRDefault="00F261E4">
            <w:pPr>
              <w:rPr>
                <w:rFonts w:ascii="Times New Roman" w:hAnsi="Times New Roman"/>
              </w:rPr>
            </w:pPr>
            <w:r>
              <w:rPr>
                <w:rFonts w:ascii="Times New Roman" w:hAnsi="Times New Roman"/>
              </w:rPr>
              <w:t>I (Control)</w:t>
            </w:r>
          </w:p>
        </w:tc>
        <w:tc>
          <w:tcPr>
            <w:tcW w:w="1332" w:type="dxa"/>
            <w:tcBorders>
              <w:top w:val="single" w:sz="4" w:space="0" w:color="auto"/>
              <w:left w:val="single" w:sz="4" w:space="0" w:color="auto"/>
              <w:bottom w:val="single" w:sz="4" w:space="0" w:color="auto"/>
              <w:right w:val="single" w:sz="4" w:space="0" w:color="auto"/>
            </w:tcBorders>
            <w:hideMark/>
          </w:tcPr>
          <w:p w14:paraId="0717F6A1" w14:textId="77777777" w:rsidR="00F261E4" w:rsidRDefault="00F261E4">
            <w:pPr>
              <w:rPr>
                <w:rFonts w:ascii="Times New Roman" w:hAnsi="Times New Roman"/>
              </w:rPr>
            </w:pPr>
            <w:r>
              <w:rPr>
                <w:rFonts w:ascii="Times New Roman" w:hAnsi="Times New Roman"/>
              </w:rPr>
              <w:t>0</w:t>
            </w:r>
          </w:p>
        </w:tc>
        <w:tc>
          <w:tcPr>
            <w:tcW w:w="1333" w:type="dxa"/>
            <w:tcBorders>
              <w:top w:val="single" w:sz="4" w:space="0" w:color="auto"/>
              <w:left w:val="single" w:sz="4" w:space="0" w:color="auto"/>
              <w:bottom w:val="single" w:sz="4" w:space="0" w:color="auto"/>
              <w:right w:val="single" w:sz="4" w:space="0" w:color="auto"/>
            </w:tcBorders>
            <w:hideMark/>
          </w:tcPr>
          <w:p w14:paraId="3D5D43CC"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3DFEC3A0"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71A394C8"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2B8FBDAF"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446CB452" w14:textId="77777777" w:rsidR="00F261E4" w:rsidRDefault="00F261E4">
            <w:pPr>
              <w:rPr>
                <w:rFonts w:ascii="Times New Roman" w:hAnsi="Times New Roman"/>
              </w:rPr>
            </w:pPr>
            <w:r>
              <w:rPr>
                <w:rFonts w:ascii="Times New Roman" w:hAnsi="Times New Roman"/>
              </w:rPr>
              <w:t>None observed</w:t>
            </w:r>
          </w:p>
        </w:tc>
      </w:tr>
      <w:tr w:rsidR="00F261E4" w14:paraId="6B96AC63"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75B011E8" w14:textId="77777777" w:rsidR="00F261E4" w:rsidRDefault="00F261E4">
            <w:pPr>
              <w:rPr>
                <w:rFonts w:ascii="Times New Roman" w:hAnsi="Times New Roman"/>
              </w:rPr>
            </w:pPr>
            <w:r>
              <w:rPr>
                <w:rFonts w:ascii="Times New Roman" w:hAnsi="Times New Roman"/>
              </w:rPr>
              <w:t>II</w:t>
            </w:r>
          </w:p>
        </w:tc>
        <w:tc>
          <w:tcPr>
            <w:tcW w:w="1332" w:type="dxa"/>
            <w:tcBorders>
              <w:top w:val="single" w:sz="4" w:space="0" w:color="auto"/>
              <w:left w:val="single" w:sz="4" w:space="0" w:color="auto"/>
              <w:bottom w:val="single" w:sz="4" w:space="0" w:color="auto"/>
              <w:right w:val="single" w:sz="4" w:space="0" w:color="auto"/>
            </w:tcBorders>
            <w:hideMark/>
          </w:tcPr>
          <w:p w14:paraId="7EABE3C5" w14:textId="77777777" w:rsidR="00F261E4" w:rsidRDefault="00F261E4">
            <w:pPr>
              <w:rPr>
                <w:rFonts w:ascii="Times New Roman" w:hAnsi="Times New Roman"/>
              </w:rPr>
            </w:pPr>
            <w:r>
              <w:rPr>
                <w:rFonts w:ascii="Times New Roman" w:hAnsi="Times New Roman"/>
              </w:rPr>
              <w:t>100</w:t>
            </w:r>
          </w:p>
        </w:tc>
        <w:tc>
          <w:tcPr>
            <w:tcW w:w="1333" w:type="dxa"/>
            <w:tcBorders>
              <w:top w:val="single" w:sz="4" w:space="0" w:color="auto"/>
              <w:left w:val="single" w:sz="4" w:space="0" w:color="auto"/>
              <w:bottom w:val="single" w:sz="4" w:space="0" w:color="auto"/>
              <w:right w:val="single" w:sz="4" w:space="0" w:color="auto"/>
            </w:tcBorders>
            <w:hideMark/>
          </w:tcPr>
          <w:p w14:paraId="234DEB63"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7F4C0150"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21DB5DCA"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77A9CE72"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4861D0DE" w14:textId="77777777" w:rsidR="00F261E4" w:rsidRDefault="00F261E4">
            <w:pPr>
              <w:rPr>
                <w:rFonts w:ascii="Times New Roman" w:hAnsi="Times New Roman"/>
              </w:rPr>
            </w:pPr>
            <w:r>
              <w:rPr>
                <w:rFonts w:ascii="Times New Roman" w:hAnsi="Times New Roman"/>
              </w:rPr>
              <w:t>None observed</w:t>
            </w:r>
          </w:p>
        </w:tc>
      </w:tr>
      <w:tr w:rsidR="00F261E4" w14:paraId="4510111A"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0E6046B5" w14:textId="77777777" w:rsidR="00F261E4" w:rsidRDefault="00F261E4">
            <w:pPr>
              <w:rPr>
                <w:rFonts w:ascii="Times New Roman" w:hAnsi="Times New Roman"/>
              </w:rPr>
            </w:pPr>
            <w:r>
              <w:rPr>
                <w:rFonts w:ascii="Times New Roman" w:hAnsi="Times New Roman"/>
              </w:rPr>
              <w:t>III</w:t>
            </w:r>
          </w:p>
        </w:tc>
        <w:tc>
          <w:tcPr>
            <w:tcW w:w="1332" w:type="dxa"/>
            <w:tcBorders>
              <w:top w:val="single" w:sz="4" w:space="0" w:color="auto"/>
              <w:left w:val="single" w:sz="4" w:space="0" w:color="auto"/>
              <w:bottom w:val="single" w:sz="4" w:space="0" w:color="auto"/>
              <w:right w:val="single" w:sz="4" w:space="0" w:color="auto"/>
            </w:tcBorders>
            <w:hideMark/>
          </w:tcPr>
          <w:p w14:paraId="1E85413B" w14:textId="77777777" w:rsidR="00F261E4" w:rsidRDefault="00F261E4">
            <w:pPr>
              <w:rPr>
                <w:rFonts w:ascii="Times New Roman" w:hAnsi="Times New Roman"/>
              </w:rPr>
            </w:pPr>
            <w:r>
              <w:rPr>
                <w:rFonts w:ascii="Times New Roman" w:hAnsi="Times New Roman"/>
              </w:rPr>
              <w:t>200</w:t>
            </w:r>
          </w:p>
        </w:tc>
        <w:tc>
          <w:tcPr>
            <w:tcW w:w="1333" w:type="dxa"/>
            <w:tcBorders>
              <w:top w:val="single" w:sz="4" w:space="0" w:color="auto"/>
              <w:left w:val="single" w:sz="4" w:space="0" w:color="auto"/>
              <w:bottom w:val="single" w:sz="4" w:space="0" w:color="auto"/>
              <w:right w:val="single" w:sz="4" w:space="0" w:color="auto"/>
            </w:tcBorders>
            <w:hideMark/>
          </w:tcPr>
          <w:p w14:paraId="7924461A"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7FA25332"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115E99D5"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75402CCF"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3A03F663" w14:textId="77777777" w:rsidR="00F261E4" w:rsidRDefault="00F261E4">
            <w:pPr>
              <w:rPr>
                <w:rFonts w:ascii="Times New Roman" w:hAnsi="Times New Roman"/>
              </w:rPr>
            </w:pPr>
            <w:r>
              <w:rPr>
                <w:rFonts w:ascii="Times New Roman" w:hAnsi="Times New Roman"/>
              </w:rPr>
              <w:t>None observed</w:t>
            </w:r>
          </w:p>
        </w:tc>
      </w:tr>
      <w:tr w:rsidR="00F261E4" w14:paraId="575EC215" w14:textId="77777777" w:rsidTr="00F261E4">
        <w:trPr>
          <w:trHeight w:val="1189"/>
        </w:trPr>
        <w:tc>
          <w:tcPr>
            <w:tcW w:w="1338" w:type="dxa"/>
            <w:tcBorders>
              <w:top w:val="single" w:sz="4" w:space="0" w:color="auto"/>
              <w:left w:val="single" w:sz="4" w:space="0" w:color="auto"/>
              <w:bottom w:val="single" w:sz="4" w:space="0" w:color="auto"/>
              <w:right w:val="single" w:sz="4" w:space="0" w:color="auto"/>
            </w:tcBorders>
            <w:hideMark/>
          </w:tcPr>
          <w:p w14:paraId="146CE3D2" w14:textId="77777777" w:rsidR="00F261E4" w:rsidRDefault="00F261E4">
            <w:pPr>
              <w:rPr>
                <w:rFonts w:ascii="Times New Roman" w:hAnsi="Times New Roman"/>
              </w:rPr>
            </w:pPr>
            <w:r>
              <w:rPr>
                <w:rFonts w:ascii="Times New Roman" w:hAnsi="Times New Roman"/>
              </w:rPr>
              <w:lastRenderedPageBreak/>
              <w:t>IV</w:t>
            </w:r>
          </w:p>
        </w:tc>
        <w:tc>
          <w:tcPr>
            <w:tcW w:w="1332" w:type="dxa"/>
            <w:tcBorders>
              <w:top w:val="single" w:sz="4" w:space="0" w:color="auto"/>
              <w:left w:val="single" w:sz="4" w:space="0" w:color="auto"/>
              <w:bottom w:val="single" w:sz="4" w:space="0" w:color="auto"/>
              <w:right w:val="single" w:sz="4" w:space="0" w:color="auto"/>
            </w:tcBorders>
            <w:hideMark/>
          </w:tcPr>
          <w:p w14:paraId="306CACCE" w14:textId="77777777" w:rsidR="00F261E4" w:rsidRDefault="00F261E4">
            <w:pPr>
              <w:rPr>
                <w:rFonts w:ascii="Times New Roman" w:hAnsi="Times New Roman"/>
              </w:rPr>
            </w:pPr>
            <w:r>
              <w:rPr>
                <w:rFonts w:ascii="Times New Roman" w:hAnsi="Times New Roman"/>
              </w:rPr>
              <w:t>400</w:t>
            </w:r>
          </w:p>
        </w:tc>
        <w:tc>
          <w:tcPr>
            <w:tcW w:w="1333" w:type="dxa"/>
            <w:tcBorders>
              <w:top w:val="single" w:sz="4" w:space="0" w:color="auto"/>
              <w:left w:val="single" w:sz="4" w:space="0" w:color="auto"/>
              <w:bottom w:val="single" w:sz="4" w:space="0" w:color="auto"/>
              <w:right w:val="single" w:sz="4" w:space="0" w:color="auto"/>
            </w:tcBorders>
            <w:hideMark/>
          </w:tcPr>
          <w:p w14:paraId="542E398B"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0C627A1E"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38F3849A"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7132C828"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443599EC" w14:textId="77777777" w:rsidR="00F261E4" w:rsidRDefault="00F261E4">
            <w:pPr>
              <w:rPr>
                <w:rFonts w:ascii="Times New Roman" w:hAnsi="Times New Roman"/>
              </w:rPr>
            </w:pPr>
            <w:r>
              <w:rPr>
                <w:rFonts w:ascii="Times New Roman" w:hAnsi="Times New Roman"/>
              </w:rPr>
              <w:t>None observed</w:t>
            </w:r>
          </w:p>
        </w:tc>
      </w:tr>
      <w:tr w:rsidR="00F261E4" w14:paraId="7692C92D" w14:textId="77777777" w:rsidTr="00F261E4">
        <w:trPr>
          <w:trHeight w:val="1260"/>
        </w:trPr>
        <w:tc>
          <w:tcPr>
            <w:tcW w:w="1338" w:type="dxa"/>
            <w:tcBorders>
              <w:top w:val="single" w:sz="4" w:space="0" w:color="auto"/>
              <w:left w:val="single" w:sz="4" w:space="0" w:color="auto"/>
              <w:bottom w:val="single" w:sz="4" w:space="0" w:color="auto"/>
              <w:right w:val="single" w:sz="4" w:space="0" w:color="auto"/>
            </w:tcBorders>
            <w:hideMark/>
          </w:tcPr>
          <w:p w14:paraId="6948872D" w14:textId="77777777" w:rsidR="00F261E4" w:rsidRDefault="00F261E4">
            <w:pPr>
              <w:rPr>
                <w:rFonts w:ascii="Times New Roman" w:hAnsi="Times New Roman"/>
              </w:rPr>
            </w:pPr>
            <w:r>
              <w:rPr>
                <w:rFonts w:ascii="Times New Roman" w:hAnsi="Times New Roman"/>
              </w:rPr>
              <w:t>V</w:t>
            </w:r>
          </w:p>
        </w:tc>
        <w:tc>
          <w:tcPr>
            <w:tcW w:w="1332" w:type="dxa"/>
            <w:tcBorders>
              <w:top w:val="single" w:sz="4" w:space="0" w:color="auto"/>
              <w:left w:val="single" w:sz="4" w:space="0" w:color="auto"/>
              <w:bottom w:val="single" w:sz="4" w:space="0" w:color="auto"/>
              <w:right w:val="single" w:sz="4" w:space="0" w:color="auto"/>
            </w:tcBorders>
            <w:hideMark/>
          </w:tcPr>
          <w:p w14:paraId="1E76CA9A" w14:textId="77777777" w:rsidR="00F261E4" w:rsidRDefault="00F261E4">
            <w:pPr>
              <w:rPr>
                <w:rFonts w:ascii="Times New Roman" w:hAnsi="Times New Roman"/>
              </w:rPr>
            </w:pPr>
            <w:r>
              <w:rPr>
                <w:rFonts w:ascii="Times New Roman" w:hAnsi="Times New Roman"/>
              </w:rPr>
              <w:t>800</w:t>
            </w:r>
          </w:p>
        </w:tc>
        <w:tc>
          <w:tcPr>
            <w:tcW w:w="1333" w:type="dxa"/>
            <w:tcBorders>
              <w:top w:val="single" w:sz="4" w:space="0" w:color="auto"/>
              <w:left w:val="single" w:sz="4" w:space="0" w:color="auto"/>
              <w:bottom w:val="single" w:sz="4" w:space="0" w:color="auto"/>
              <w:right w:val="single" w:sz="4" w:space="0" w:color="auto"/>
            </w:tcBorders>
            <w:hideMark/>
          </w:tcPr>
          <w:p w14:paraId="4E473615" w14:textId="77777777" w:rsidR="00F261E4" w:rsidRDefault="00F261E4">
            <w:pPr>
              <w:rPr>
                <w:rFonts w:ascii="Times New Roman" w:hAnsi="Times New Roman"/>
              </w:rPr>
            </w:pPr>
            <w:r>
              <w:rPr>
                <w:rFonts w:ascii="Times New Roman" w:hAnsi="Times New Roman"/>
              </w:rPr>
              <w:t>5</w:t>
            </w:r>
          </w:p>
        </w:tc>
        <w:tc>
          <w:tcPr>
            <w:tcW w:w="1339" w:type="dxa"/>
            <w:tcBorders>
              <w:top w:val="single" w:sz="4" w:space="0" w:color="auto"/>
              <w:left w:val="single" w:sz="4" w:space="0" w:color="auto"/>
              <w:bottom w:val="single" w:sz="4" w:space="0" w:color="auto"/>
              <w:right w:val="single" w:sz="4" w:space="0" w:color="auto"/>
            </w:tcBorders>
            <w:hideMark/>
          </w:tcPr>
          <w:p w14:paraId="1CF2B00D" w14:textId="77777777" w:rsidR="00F261E4" w:rsidRDefault="00F261E4">
            <w:pPr>
              <w:rPr>
                <w:rFonts w:ascii="Times New Roman" w:hAnsi="Times New Roman"/>
              </w:rPr>
            </w:pPr>
            <w:r>
              <w:rPr>
                <w:rFonts w:ascii="Times New Roman" w:hAnsi="Times New Roman"/>
              </w:rPr>
              <w:t>5</w:t>
            </w:r>
          </w:p>
        </w:tc>
        <w:tc>
          <w:tcPr>
            <w:tcW w:w="1335" w:type="dxa"/>
            <w:tcBorders>
              <w:top w:val="single" w:sz="4" w:space="0" w:color="auto"/>
              <w:left w:val="single" w:sz="4" w:space="0" w:color="auto"/>
              <w:bottom w:val="single" w:sz="4" w:space="0" w:color="auto"/>
              <w:right w:val="single" w:sz="4" w:space="0" w:color="auto"/>
            </w:tcBorders>
            <w:hideMark/>
          </w:tcPr>
          <w:p w14:paraId="2558B632"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57525CFA"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0DC5C13C" w14:textId="77777777" w:rsidR="00F261E4" w:rsidRDefault="00F261E4">
            <w:pPr>
              <w:rPr>
                <w:rFonts w:ascii="Times New Roman" w:hAnsi="Times New Roman"/>
              </w:rPr>
            </w:pPr>
            <w:r>
              <w:rPr>
                <w:rFonts w:ascii="Times New Roman" w:hAnsi="Times New Roman"/>
              </w:rPr>
              <w:t>None observed</w:t>
            </w:r>
          </w:p>
        </w:tc>
      </w:tr>
      <w:tr w:rsidR="00F261E4" w14:paraId="54A24769" w14:textId="77777777" w:rsidTr="00F261E4">
        <w:trPr>
          <w:trHeight w:val="1160"/>
        </w:trPr>
        <w:tc>
          <w:tcPr>
            <w:tcW w:w="1338" w:type="dxa"/>
            <w:tcBorders>
              <w:top w:val="single" w:sz="4" w:space="0" w:color="auto"/>
              <w:left w:val="single" w:sz="4" w:space="0" w:color="auto"/>
              <w:bottom w:val="single" w:sz="4" w:space="0" w:color="auto"/>
              <w:right w:val="single" w:sz="4" w:space="0" w:color="auto"/>
            </w:tcBorders>
            <w:hideMark/>
          </w:tcPr>
          <w:p w14:paraId="783CADE5" w14:textId="77777777" w:rsidR="00F261E4" w:rsidRDefault="00F261E4">
            <w:pPr>
              <w:rPr>
                <w:rFonts w:ascii="Times New Roman" w:hAnsi="Times New Roman"/>
              </w:rPr>
            </w:pPr>
            <w:r>
              <w:rPr>
                <w:rFonts w:ascii="Times New Roman" w:hAnsi="Times New Roman"/>
              </w:rPr>
              <w:t>Total</w:t>
            </w:r>
          </w:p>
        </w:tc>
        <w:tc>
          <w:tcPr>
            <w:tcW w:w="1332" w:type="dxa"/>
            <w:tcBorders>
              <w:top w:val="single" w:sz="4" w:space="0" w:color="auto"/>
              <w:left w:val="single" w:sz="4" w:space="0" w:color="auto"/>
              <w:bottom w:val="single" w:sz="4" w:space="0" w:color="auto"/>
              <w:right w:val="single" w:sz="4" w:space="0" w:color="auto"/>
            </w:tcBorders>
            <w:hideMark/>
          </w:tcPr>
          <w:p w14:paraId="4AE80F6B" w14:textId="77777777" w:rsidR="00F261E4" w:rsidRDefault="00F261E4">
            <w:pPr>
              <w:rPr>
                <w:rFonts w:ascii="Times New Roman" w:hAnsi="Times New Roman"/>
              </w:rPr>
            </w:pPr>
            <w:r>
              <w:rPr>
                <w:rFonts w:ascii="Times New Roman" w:hAnsi="Times New Roman"/>
              </w:rPr>
              <w:t xml:space="preserve"> -</w:t>
            </w:r>
          </w:p>
        </w:tc>
        <w:tc>
          <w:tcPr>
            <w:tcW w:w="1333" w:type="dxa"/>
            <w:tcBorders>
              <w:top w:val="single" w:sz="4" w:space="0" w:color="auto"/>
              <w:left w:val="single" w:sz="4" w:space="0" w:color="auto"/>
              <w:bottom w:val="single" w:sz="4" w:space="0" w:color="auto"/>
              <w:right w:val="single" w:sz="4" w:space="0" w:color="auto"/>
            </w:tcBorders>
            <w:hideMark/>
          </w:tcPr>
          <w:p w14:paraId="43A464FF" w14:textId="77777777" w:rsidR="00F261E4" w:rsidRDefault="00F261E4">
            <w:pPr>
              <w:rPr>
                <w:rFonts w:ascii="Times New Roman" w:hAnsi="Times New Roman"/>
              </w:rPr>
            </w:pPr>
            <w:r>
              <w:rPr>
                <w:rFonts w:ascii="Times New Roman" w:hAnsi="Times New Roman"/>
              </w:rPr>
              <w:t>25</w:t>
            </w:r>
          </w:p>
        </w:tc>
        <w:tc>
          <w:tcPr>
            <w:tcW w:w="1339" w:type="dxa"/>
            <w:tcBorders>
              <w:top w:val="single" w:sz="4" w:space="0" w:color="auto"/>
              <w:left w:val="single" w:sz="4" w:space="0" w:color="auto"/>
              <w:bottom w:val="single" w:sz="4" w:space="0" w:color="auto"/>
              <w:right w:val="single" w:sz="4" w:space="0" w:color="auto"/>
            </w:tcBorders>
            <w:hideMark/>
          </w:tcPr>
          <w:p w14:paraId="14C35E69" w14:textId="77777777" w:rsidR="00F261E4" w:rsidRDefault="00F261E4">
            <w:pPr>
              <w:rPr>
                <w:rFonts w:ascii="Times New Roman" w:hAnsi="Times New Roman"/>
              </w:rPr>
            </w:pPr>
            <w:r>
              <w:rPr>
                <w:rFonts w:ascii="Times New Roman" w:hAnsi="Times New Roman"/>
              </w:rPr>
              <w:t>25</w:t>
            </w:r>
          </w:p>
        </w:tc>
        <w:tc>
          <w:tcPr>
            <w:tcW w:w="1335" w:type="dxa"/>
            <w:tcBorders>
              <w:top w:val="single" w:sz="4" w:space="0" w:color="auto"/>
              <w:left w:val="single" w:sz="4" w:space="0" w:color="auto"/>
              <w:bottom w:val="single" w:sz="4" w:space="0" w:color="auto"/>
              <w:right w:val="single" w:sz="4" w:space="0" w:color="auto"/>
            </w:tcBorders>
            <w:hideMark/>
          </w:tcPr>
          <w:p w14:paraId="26099878" w14:textId="77777777" w:rsidR="00F261E4" w:rsidRDefault="00F261E4">
            <w:pPr>
              <w:rPr>
                <w:rFonts w:ascii="Times New Roman" w:hAnsi="Times New Roman"/>
              </w:rPr>
            </w:pPr>
            <w:r>
              <w:rPr>
                <w:rFonts w:ascii="Times New Roman" w:hAnsi="Times New Roman"/>
              </w:rPr>
              <w:t>0</w:t>
            </w:r>
          </w:p>
        </w:tc>
        <w:tc>
          <w:tcPr>
            <w:tcW w:w="1339" w:type="dxa"/>
            <w:tcBorders>
              <w:top w:val="single" w:sz="4" w:space="0" w:color="auto"/>
              <w:left w:val="single" w:sz="4" w:space="0" w:color="auto"/>
              <w:bottom w:val="single" w:sz="4" w:space="0" w:color="auto"/>
              <w:right w:val="single" w:sz="4" w:space="0" w:color="auto"/>
            </w:tcBorders>
            <w:hideMark/>
          </w:tcPr>
          <w:p w14:paraId="592B0185" w14:textId="77777777" w:rsidR="00F261E4" w:rsidRDefault="00F261E4">
            <w:pPr>
              <w:rPr>
                <w:rFonts w:ascii="Times New Roman" w:hAnsi="Times New Roman"/>
              </w:rPr>
            </w:pPr>
            <w:r>
              <w:rPr>
                <w:rFonts w:ascii="Times New Roman" w:hAnsi="Times New Roman"/>
              </w:rPr>
              <w:t>0</w:t>
            </w:r>
          </w:p>
        </w:tc>
        <w:tc>
          <w:tcPr>
            <w:tcW w:w="1390" w:type="dxa"/>
            <w:tcBorders>
              <w:top w:val="single" w:sz="4" w:space="0" w:color="auto"/>
              <w:left w:val="single" w:sz="4" w:space="0" w:color="auto"/>
              <w:bottom w:val="single" w:sz="4" w:space="0" w:color="auto"/>
              <w:right w:val="single" w:sz="4" w:space="0" w:color="auto"/>
            </w:tcBorders>
            <w:hideMark/>
          </w:tcPr>
          <w:p w14:paraId="61E6218F" w14:textId="77777777" w:rsidR="00F261E4" w:rsidRDefault="00F261E4">
            <w:pPr>
              <w:rPr>
                <w:rFonts w:ascii="Times New Roman" w:hAnsi="Times New Roman"/>
              </w:rPr>
            </w:pPr>
            <w:r>
              <w:rPr>
                <w:rFonts w:ascii="Times New Roman" w:hAnsi="Times New Roman"/>
              </w:rPr>
              <w:t>None observed</w:t>
            </w:r>
          </w:p>
        </w:tc>
      </w:tr>
    </w:tbl>
    <w:p w14:paraId="709A6687" w14:textId="77777777" w:rsidR="00F261E4" w:rsidRPr="00F261E4" w:rsidRDefault="00F261E4" w:rsidP="00F261E4">
      <w:pPr>
        <w:rPr>
          <w:rFonts w:ascii="Times New Roman" w:hAnsi="Times New Roman"/>
          <w:b/>
          <w:bCs/>
          <w:kern w:val="2"/>
        </w:rPr>
      </w:pPr>
    </w:p>
    <w:p w14:paraId="6E5C2BA5" w14:textId="77777777" w:rsidR="00F261E4" w:rsidRDefault="00F261E4" w:rsidP="00F261E4">
      <w:pPr>
        <w:spacing w:line="480" w:lineRule="auto"/>
        <w:jc w:val="both"/>
        <w:rPr>
          <w:rFonts w:ascii="Times New Roman" w:hAnsi="Times New Roman"/>
          <w:i/>
          <w:iCs/>
          <w:lang w:val="en-GB"/>
        </w:rPr>
      </w:pPr>
      <w:r>
        <w:rPr>
          <w:rFonts w:ascii="Times New Roman" w:hAnsi="Times New Roman"/>
          <w:i/>
          <w:iCs/>
          <w:lang w:val="en-GB"/>
        </w:rPr>
        <w:t>The appropriate interpretation is consequently that the LD₅₀ of the Kalanchoe pinnata leaf extract is greater than 800 mg/kg body weight. This does not mean that the exact LD₅₀ is 800 mg/kg or that 800 mg/kg represents the lethal dose. Rather, it indicates that the LD₅₀ lies above the highest dose tested in the present experiment.</w:t>
      </w:r>
    </w:p>
    <w:bookmarkEnd w:id="4"/>
    <w:p w14:paraId="61035AA4" w14:textId="77777777" w:rsidR="00F261E4" w:rsidRDefault="00F261E4" w:rsidP="00F261E4">
      <w:pPr>
        <w:rPr>
          <w:rFonts w:ascii="Times New Roman" w:hAnsi="Times New Roman"/>
          <w:b/>
          <w:bCs/>
        </w:rPr>
      </w:pP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Haematological Indices</w:t>
      </w:r>
    </w:p>
    <w:p w14:paraId="58B92F9A" w14:textId="77777777" w:rsidR="00F261E4" w:rsidRDefault="00F261E4" w:rsidP="00F261E4">
      <w:pPr>
        <w:spacing w:line="480" w:lineRule="auto"/>
        <w:jc w:val="both"/>
        <w:rPr>
          <w:rFonts w:ascii="Times New Roman" w:hAnsi="Times New Roman"/>
        </w:rPr>
      </w:pPr>
      <w:r>
        <w:rPr>
          <w:rFonts w:ascii="Times New Roman" w:hAnsi="Times New Roman"/>
        </w:rPr>
        <w:t>The haematological analysis results are presented in Table</w:t>
      </w:r>
      <w:r w:rsidR="002F6CD9">
        <w:rPr>
          <w:rFonts w:ascii="Times New Roman" w:hAnsi="Times New Roman"/>
        </w:rPr>
        <w:t xml:space="preserve"> </w:t>
      </w:r>
      <w:r w:rsidR="00460483">
        <w:rPr>
          <w:rFonts w:ascii="Times New Roman" w:hAnsi="Times New Roman"/>
        </w:rPr>
        <w:t>2</w:t>
      </w:r>
      <w:r w:rsidR="002F6CD9">
        <w:rPr>
          <w:rFonts w:ascii="Times New Roman" w:hAnsi="Times New Roman"/>
        </w:rPr>
        <w:t>.</w:t>
      </w:r>
      <w:r>
        <w:rPr>
          <w:rFonts w:ascii="Times New Roman" w:hAnsi="Times New Roman"/>
        </w:rPr>
        <w:t xml:space="preserve"> Sub-chronic administration of KPE across all dose levels (100</w:t>
      </w:r>
      <w:r w:rsidR="0068119F">
        <w:rPr>
          <w:rFonts w:ascii="Times New Roman" w:hAnsi="Times New Roman"/>
        </w:rPr>
        <w:t>-</w:t>
      </w:r>
      <w:r>
        <w:rPr>
          <w:rFonts w:ascii="Times New Roman" w:hAnsi="Times New Roman"/>
        </w:rPr>
        <w:t xml:space="preserve">800 mg/kg) did not induce any statistically significant (p &gt; 0.05) alterations in any of the measured erythrocytic or leucocytic parameters compared to the control group. RBC count, Hb concentration, PCV, and total WBC count remained within established normal physiological reference ranges for adult Wistar rats throughout the study period. Differential leucocyte counts similarly showed no significant inter-group variation, indicating the absence of treatment-induced </w:t>
      </w:r>
      <w:proofErr w:type="spellStart"/>
      <w:r>
        <w:rPr>
          <w:rFonts w:ascii="Times New Roman" w:hAnsi="Times New Roman"/>
        </w:rPr>
        <w:t>leucocytosis</w:t>
      </w:r>
      <w:proofErr w:type="spellEnd"/>
      <w:r>
        <w:rPr>
          <w:rFonts w:ascii="Times New Roman" w:hAnsi="Times New Roman"/>
        </w:rPr>
        <w:t>, leucopenia, or differential leucocytic shifts.</w:t>
      </w:r>
    </w:p>
    <w:p w14:paraId="5364019C" w14:textId="77777777" w:rsidR="00F261E4" w:rsidRDefault="00F261E4" w:rsidP="00F261E4">
      <w:pPr>
        <w:rPr>
          <w:rFonts w:ascii="Times New Roman" w:hAnsi="Times New Roman"/>
        </w:rPr>
      </w:pPr>
    </w:p>
    <w:p w14:paraId="3E9E8F45" w14:textId="77777777" w:rsidR="00F261E4" w:rsidRDefault="00F261E4" w:rsidP="00F261E4">
      <w:pPr>
        <w:spacing w:line="480" w:lineRule="auto"/>
        <w:rPr>
          <w:rFonts w:asciiTheme="minorHAnsi" w:hAnsiTheme="minorHAnsi" w:cstheme="minorBidi"/>
        </w:rPr>
      </w:pPr>
      <w:r>
        <w:rPr>
          <w:rFonts w:ascii="Times New Roman" w:hAnsi="Times New Roman"/>
          <w:b/>
          <w:bCs/>
        </w:rPr>
        <w:t xml:space="preserve">Table </w:t>
      </w:r>
      <w:r w:rsidR="002F6CD9">
        <w:rPr>
          <w:rFonts w:ascii="Times New Roman" w:hAnsi="Times New Roman"/>
          <w:b/>
          <w:bCs/>
        </w:rPr>
        <w:t>2</w:t>
      </w:r>
      <w:r>
        <w:rPr>
          <w:rFonts w:ascii="Times New Roman" w:hAnsi="Times New Roman"/>
          <w:b/>
          <w:bCs/>
        </w:rPr>
        <w:t>.</w:t>
      </w:r>
      <w:r>
        <w:rPr>
          <w:rFonts w:ascii="Times New Roman" w:hAnsi="Times New Roman"/>
        </w:rPr>
        <w:t xml:space="preserve"> </w:t>
      </w: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Haematological Indices in Albino Rats</w:t>
      </w:r>
    </w:p>
    <w:tbl>
      <w:tblPr>
        <w:tblStyle w:val="TableGridLight"/>
        <w:tblW w:w="9095" w:type="dxa"/>
        <w:tblInd w:w="0" w:type="dxa"/>
        <w:tblLook w:val="04A0" w:firstRow="1" w:lastRow="0" w:firstColumn="1" w:lastColumn="0" w:noHBand="0" w:noVBand="1"/>
      </w:tblPr>
      <w:tblGrid>
        <w:gridCol w:w="1555"/>
        <w:gridCol w:w="1438"/>
        <w:gridCol w:w="1438"/>
        <w:gridCol w:w="1438"/>
        <w:gridCol w:w="1438"/>
        <w:gridCol w:w="1788"/>
      </w:tblGrid>
      <w:tr w:rsidR="00F261E4" w14:paraId="6977BAAF" w14:textId="77777777" w:rsidTr="00F261E4">
        <w:trPr>
          <w:trHeight w:val="717"/>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B1C7C"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Parameter</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B0B9C1"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 (Control)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D312DC"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II (100 mg/kg)</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72B0F"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III (200 mg/kg)</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BAD92"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IV (400 mg/kg)</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EB30C"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V (800 mg/kg)</w:t>
            </w:r>
          </w:p>
        </w:tc>
      </w:tr>
      <w:tr w:rsidR="00F261E4" w14:paraId="7AB9B5D2"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41B7EC" w14:textId="77777777" w:rsidR="00F261E4" w:rsidRDefault="00F261E4">
            <w:pPr>
              <w:spacing w:line="480" w:lineRule="auto"/>
              <w:rPr>
                <w:rFonts w:ascii="Times New Roman" w:hAnsi="Times New Roman" w:cs="Times New Roman"/>
              </w:rPr>
            </w:pPr>
            <w:r>
              <w:rPr>
                <w:rFonts w:ascii="Times New Roman" w:hAnsi="Times New Roman" w:cs="Times New Roman"/>
              </w:rPr>
              <w:t>RBC (×10¹²/L)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39A53D"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7.85 ± 0.21</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84DA1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7.92 ± 0.18</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FA8C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7.68 ± 0.24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E9CC6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7.59 ± 0.26</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527E0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7.41 ± 0.29</w:t>
            </w:r>
          </w:p>
        </w:tc>
      </w:tr>
      <w:tr w:rsidR="00F261E4" w14:paraId="0C14ABC2" w14:textId="77777777" w:rsidTr="00F261E4">
        <w:trPr>
          <w:trHeight w:val="409"/>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12CFB" w14:textId="77777777" w:rsidR="00F261E4" w:rsidRDefault="00F261E4">
            <w:pPr>
              <w:spacing w:line="480" w:lineRule="auto"/>
              <w:rPr>
                <w:rFonts w:ascii="Times New Roman" w:hAnsi="Times New Roman" w:cs="Times New Roman"/>
              </w:rPr>
            </w:pPr>
            <w:r>
              <w:rPr>
                <w:rFonts w:ascii="Times New Roman" w:hAnsi="Times New Roman" w:cs="Times New Roman"/>
              </w:rPr>
              <w:t>Hb (g/dL)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75E0C"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14.8 ± 0.3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FA31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15.1 ± 0.4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F793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14.6 ± 0.3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971F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14.5 ± 0.5</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5114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14.2 ± 0.4</w:t>
            </w:r>
          </w:p>
        </w:tc>
      </w:tr>
      <w:tr w:rsidR="00F261E4" w14:paraId="1FA648FA"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0DF896" w14:textId="77777777" w:rsidR="00F261E4" w:rsidRDefault="00F261E4">
            <w:pPr>
              <w:spacing w:line="480" w:lineRule="auto"/>
              <w:rPr>
                <w:rFonts w:ascii="Times New Roman" w:hAnsi="Times New Roman" w:cs="Times New Roman"/>
              </w:rPr>
            </w:pPr>
            <w:r>
              <w:rPr>
                <w:rFonts w:ascii="Times New Roman" w:hAnsi="Times New Roman" w:cs="Times New Roman"/>
              </w:rPr>
              <w:t>PCV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06546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44.2 ± 0.9</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E1D3C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44.8 ± 1.0</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7697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43.7 ± 1.1</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E6E79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43.5 ± 1.3</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F0CA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42.9 ± 1.2</w:t>
            </w:r>
          </w:p>
        </w:tc>
      </w:tr>
      <w:tr w:rsidR="00F261E4" w14:paraId="138F818D" w14:textId="77777777" w:rsidTr="00F261E4">
        <w:trPr>
          <w:trHeight w:val="402"/>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A6986" w14:textId="77777777" w:rsidR="00F261E4" w:rsidRDefault="00F261E4">
            <w:pPr>
              <w:spacing w:line="480" w:lineRule="auto"/>
              <w:rPr>
                <w:rFonts w:ascii="Times New Roman" w:hAnsi="Times New Roman" w:cs="Times New Roman"/>
              </w:rPr>
            </w:pPr>
            <w:r>
              <w:rPr>
                <w:rFonts w:ascii="Times New Roman" w:hAnsi="Times New Roman" w:cs="Times New Roman"/>
              </w:rPr>
              <w:t>WBC (×10⁹/L)</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BF173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9.2 ± 0.5</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980A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9.5 ± 0.6</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955F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9.8 ± 0.7</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2DF2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10.1 ± 0.8</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16FA5D"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10.5 ± 0.9</w:t>
            </w:r>
          </w:p>
        </w:tc>
      </w:tr>
      <w:tr w:rsidR="00F261E4" w14:paraId="2C6F405E" w14:textId="77777777" w:rsidTr="00F261E4">
        <w:trPr>
          <w:trHeight w:val="724"/>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9C7CE" w14:textId="77777777" w:rsidR="00F261E4" w:rsidRDefault="00F261E4">
            <w:pPr>
              <w:spacing w:line="480" w:lineRule="auto"/>
              <w:rPr>
                <w:rFonts w:ascii="Times New Roman" w:hAnsi="Times New Roman" w:cs="Times New Roman"/>
              </w:rPr>
            </w:pPr>
            <w:r>
              <w:rPr>
                <w:rFonts w:ascii="Times New Roman" w:hAnsi="Times New Roman" w:cs="Times New Roman"/>
              </w:rPr>
              <w:lastRenderedPageBreak/>
              <w:t>Lymphocytes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22EB8D"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68 ± 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33F2A"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70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AF7EA"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67 ± 4</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5594B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65 ± 3</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6051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64 ± 4</w:t>
            </w:r>
          </w:p>
        </w:tc>
      </w:tr>
      <w:tr w:rsidR="00F261E4" w14:paraId="7CEDEBAF" w14:textId="77777777" w:rsidTr="00F261E4">
        <w:trPr>
          <w:trHeight w:val="717"/>
        </w:trPr>
        <w:tc>
          <w:tcPr>
            <w:tcW w:w="15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52247" w14:textId="77777777" w:rsidR="00F261E4" w:rsidRDefault="00F261E4">
            <w:pPr>
              <w:spacing w:line="480" w:lineRule="auto"/>
              <w:rPr>
                <w:rFonts w:ascii="Times New Roman" w:hAnsi="Times New Roman" w:cs="Times New Roman"/>
              </w:rPr>
            </w:pPr>
            <w:r>
              <w:rPr>
                <w:rFonts w:ascii="Times New Roman" w:hAnsi="Times New Roman" w:cs="Times New Roman"/>
              </w:rPr>
              <w:t>Neutrophils (%)</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00C64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28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2518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26 ± 2</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E7E7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29 ± 3</w:t>
            </w:r>
          </w:p>
        </w:tc>
        <w:tc>
          <w:tcPr>
            <w:tcW w:w="14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0552B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31 ± 2</w:t>
            </w:r>
          </w:p>
        </w:tc>
        <w:tc>
          <w:tcPr>
            <w:tcW w:w="17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435A59"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32 ± 3</w:t>
            </w:r>
          </w:p>
        </w:tc>
      </w:tr>
    </w:tbl>
    <w:p w14:paraId="4E77933B" w14:textId="77777777" w:rsidR="00F261E4" w:rsidRDefault="00F261E4" w:rsidP="005651BD">
      <w:pPr>
        <w:spacing w:line="480" w:lineRule="auto"/>
        <w:rPr>
          <w:rFonts w:ascii="Times New Roman" w:hAnsi="Times New Roman"/>
          <w:i/>
          <w:iCs/>
        </w:rPr>
      </w:pPr>
      <w:r>
        <w:rPr>
          <w:rFonts w:ascii="Times New Roman" w:hAnsi="Times New Roman"/>
          <w:i/>
          <w:iCs/>
        </w:rPr>
        <w:t>Values expressed as Mean ± SEM (n = 5). No significant differences (p &gt; 0.05) among groups (one-way ANOVA). RBC = Red Blood Cell; Hb = Haemoglobin; PCV = Packed Cell Volume; WBC = White Blood Cell. Reference: Akindele et al. (2015).</w:t>
      </w:r>
    </w:p>
    <w:p w14:paraId="5C58259C" w14:textId="77777777" w:rsidR="00460483" w:rsidRDefault="00460483" w:rsidP="00460483">
      <w:pPr>
        <w:rPr>
          <w:rFonts w:ascii="Times New Roman" w:hAnsi="Times New Roman"/>
          <w:b/>
          <w:bCs/>
        </w:rPr>
      </w:pP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Serum Liver Marker Enzymes</w:t>
      </w:r>
    </w:p>
    <w:p w14:paraId="3CA7B015" w14:textId="77777777" w:rsidR="00460483" w:rsidRPr="00460483" w:rsidRDefault="00460483" w:rsidP="00460483">
      <w:pPr>
        <w:spacing w:line="480" w:lineRule="auto"/>
        <w:jc w:val="both"/>
        <w:rPr>
          <w:rFonts w:ascii="Times New Roman" w:hAnsi="Times New Roman"/>
        </w:rPr>
      </w:pPr>
      <w:r>
        <w:rPr>
          <w:rFonts w:ascii="Times New Roman" w:hAnsi="Times New Roman"/>
        </w:rPr>
        <w:t>In marked contrast to the body weight findings, biochemical analysis of serum liver enzymes revealed significant, dose-dependent hepatotoxic effects at higher doses. As shown in the table above, oral administration of KPE at 100 and 200 mg/kg did not produce any statistically significant elevation (p &gt; 0.05) in the activities of ALT, AST, or ALP relative to the control group. However, at 400 mg/kg, a significant increase (p &lt; 0.05) in all three enzyme activities was observed. This effect was substantially amplified at 800 mg/kg, where enzyme activities were significantly elevated (p &lt; 0.01) to approximately two- to three-fold the control values. Notably, ALT and AST markers specifically indicative of hepatocellular membrane integrity exhibited the most pronounced dose-dependent increases, consistent with hepatocellular cytolysis.</w:t>
      </w:r>
    </w:p>
    <w:p w14:paraId="081AEA60" w14:textId="77777777" w:rsidR="00F261E4" w:rsidRDefault="00F261E4" w:rsidP="00F261E4">
      <w:pPr>
        <w:spacing w:line="480" w:lineRule="auto"/>
        <w:jc w:val="center"/>
        <w:rPr>
          <w:rFonts w:ascii="Times New Roman" w:hAnsi="Times New Roman"/>
        </w:rPr>
      </w:pPr>
      <w:r>
        <w:rPr>
          <w:rFonts w:ascii="Times New Roman" w:hAnsi="Times New Roman"/>
          <w:b/>
          <w:bCs/>
        </w:rPr>
        <w:t xml:space="preserve">Table </w:t>
      </w:r>
      <w:r w:rsidR="0054602B">
        <w:rPr>
          <w:rFonts w:ascii="Times New Roman" w:hAnsi="Times New Roman"/>
          <w:b/>
          <w:bCs/>
        </w:rPr>
        <w:t>3</w:t>
      </w:r>
      <w:r>
        <w:rPr>
          <w:rFonts w:ascii="Times New Roman" w:hAnsi="Times New Roman"/>
          <w:b/>
          <w:bCs/>
        </w:rPr>
        <w:t>.</w:t>
      </w:r>
      <w:r>
        <w:rPr>
          <w:rFonts w:ascii="Times New Roman" w:hAnsi="Times New Roman"/>
        </w:rPr>
        <w:t xml:space="preserve"> </w:t>
      </w:r>
      <w:r>
        <w:rPr>
          <w:rFonts w:ascii="Times New Roman" w:hAnsi="Times New Roman"/>
          <w:b/>
          <w:bCs/>
        </w:rPr>
        <w:t xml:space="preserve">Effect of </w:t>
      </w:r>
      <w:r>
        <w:rPr>
          <w:rFonts w:ascii="Times New Roman" w:hAnsi="Times New Roman"/>
          <w:b/>
          <w:bCs/>
          <w:i/>
          <w:iCs/>
        </w:rPr>
        <w:t>Kalanchoe pinnata</w:t>
      </w:r>
      <w:r>
        <w:rPr>
          <w:rFonts w:ascii="Times New Roman" w:hAnsi="Times New Roman"/>
          <w:b/>
          <w:bCs/>
        </w:rPr>
        <w:t xml:space="preserve"> Leaf Extract on Serum Liver Marker Enzyme Activities in Albino Rats</w:t>
      </w:r>
    </w:p>
    <w:tbl>
      <w:tblPr>
        <w:tblStyle w:val="TableGridLight"/>
        <w:tblW w:w="9360" w:type="dxa"/>
        <w:tblInd w:w="0" w:type="dxa"/>
        <w:tblLook w:val="04A0" w:firstRow="1" w:lastRow="0" w:firstColumn="1" w:lastColumn="0" w:noHBand="0" w:noVBand="1"/>
      </w:tblPr>
      <w:tblGrid>
        <w:gridCol w:w="2100"/>
        <w:gridCol w:w="2200"/>
        <w:gridCol w:w="2200"/>
        <w:gridCol w:w="2860"/>
      </w:tblGrid>
      <w:tr w:rsidR="00F261E4" w14:paraId="268E0176"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9E2910"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Group (Dose)</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A0987"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ALT (U/L) Mean ± SEM</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C5B28"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AST (U/L) Mean ± SEM</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1E293" w14:textId="77777777" w:rsidR="00F261E4" w:rsidRDefault="00F261E4">
            <w:pPr>
              <w:spacing w:line="480" w:lineRule="auto"/>
              <w:jc w:val="center"/>
              <w:rPr>
                <w:rFonts w:ascii="Times New Roman" w:hAnsi="Times New Roman" w:cs="Times New Roman"/>
              </w:rPr>
            </w:pPr>
            <w:r>
              <w:rPr>
                <w:rFonts w:ascii="Times New Roman" w:hAnsi="Times New Roman" w:cs="Times New Roman"/>
                <w:b/>
                <w:bCs/>
              </w:rPr>
              <w:t>ALP (U/L) Mean ± SEM</w:t>
            </w:r>
          </w:p>
        </w:tc>
      </w:tr>
      <w:tr w:rsidR="00F261E4" w14:paraId="4E9AC6A3"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AE076"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 (Control)</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E1EB7A"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32.5 ± 1.8</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394A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48.3 ± 2.2</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3A31F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118.6 ± 6.5</w:t>
            </w:r>
          </w:p>
        </w:tc>
      </w:tr>
      <w:tr w:rsidR="00F261E4" w14:paraId="26D10CC7"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C33E1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II (100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32FC1C"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35.2 ± 2.1</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E97A3"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52.7 ± 3.0</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C1D68"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124.3 ± 7.8</w:t>
            </w:r>
          </w:p>
        </w:tc>
      </w:tr>
      <w:tr w:rsidR="00F261E4" w14:paraId="31ED320A"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3FAA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III (200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3694E"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38.9 ± 2.4</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B9540"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58.4 ± 3.5</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98FC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133.5 ± 8.2</w:t>
            </w:r>
          </w:p>
        </w:tc>
      </w:tr>
      <w:tr w:rsidR="00F261E4" w14:paraId="0AFB2199"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A56952"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IV (400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657C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52.7 ± 3.5*</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1C01C"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78.9 ± 4.8*</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D3DE11"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167.2 ± 10.4*</w:t>
            </w:r>
          </w:p>
        </w:tc>
      </w:tr>
      <w:tr w:rsidR="00F261E4" w14:paraId="0CFD2123" w14:textId="77777777" w:rsidTr="00F261E4">
        <w:tc>
          <w:tcPr>
            <w:tcW w:w="21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4A1F4"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V (800 mg/kg)</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05F065"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89.4 ± 5.2**</w:t>
            </w:r>
          </w:p>
        </w:tc>
        <w:tc>
          <w:tcPr>
            <w:tcW w:w="22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43BF7"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124.6 ± 7.1**</w:t>
            </w:r>
          </w:p>
        </w:tc>
        <w:tc>
          <w:tcPr>
            <w:tcW w:w="28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D546F" w14:textId="77777777" w:rsidR="00F261E4" w:rsidRDefault="00F261E4">
            <w:pPr>
              <w:spacing w:line="480" w:lineRule="auto"/>
              <w:jc w:val="center"/>
              <w:rPr>
                <w:rFonts w:ascii="Times New Roman" w:hAnsi="Times New Roman" w:cs="Times New Roman"/>
              </w:rPr>
            </w:pPr>
            <w:r>
              <w:rPr>
                <w:rFonts w:ascii="Times New Roman" w:hAnsi="Times New Roman" w:cs="Times New Roman"/>
              </w:rPr>
              <w:t>245.8 ± 15.7**</w:t>
            </w:r>
          </w:p>
        </w:tc>
      </w:tr>
    </w:tbl>
    <w:p w14:paraId="65ECE419" w14:textId="77777777" w:rsidR="00790ADA" w:rsidRPr="00FB3A86" w:rsidRDefault="00F261E4" w:rsidP="00F261E4">
      <w:pPr>
        <w:spacing w:line="480" w:lineRule="auto"/>
        <w:rPr>
          <w:rFonts w:ascii="Arial" w:hAnsi="Arial" w:cs="Arial"/>
        </w:rPr>
      </w:pPr>
      <w:r>
        <w:rPr>
          <w:rFonts w:ascii="Times New Roman" w:hAnsi="Times New Roman"/>
          <w:i/>
          <w:iCs/>
        </w:rPr>
        <w:t>SEM = Standard Error of the Mean (n = 5). *p &lt; 0.05; **p &lt; 0.01 vs. control group (one-way ANOVA followed by Dunnett's post-hoc test). ALT = Alanine Aminotransferase; AST = Aspartate Aminotransferase; ALP = Alkaline Phosphatase.</w:t>
      </w:r>
    </w:p>
    <w:p w14:paraId="4BF78F9D" w14:textId="77777777" w:rsidR="005651BD" w:rsidRPr="005651BD" w:rsidRDefault="005651BD" w:rsidP="005651BD">
      <w:pPr>
        <w:spacing w:after="160" w:line="276" w:lineRule="auto"/>
        <w:jc w:val="both"/>
        <w:rPr>
          <w:rFonts w:ascii="Times New Roman" w:eastAsia="Calibri" w:hAnsi="Times New Roman"/>
          <w:b/>
          <w:kern w:val="2"/>
          <w:sz w:val="24"/>
          <w:szCs w:val="24"/>
          <w14:ligatures w14:val="standardContextual"/>
        </w:rPr>
      </w:pPr>
      <w:r w:rsidRPr="005651BD">
        <w:rPr>
          <w:rFonts w:ascii="Times New Roman" w:eastAsia="Calibri" w:hAnsi="Times New Roman"/>
          <w:b/>
          <w:kern w:val="2"/>
          <w:sz w:val="24"/>
          <w:szCs w:val="24"/>
          <w14:ligatures w14:val="standardContextual"/>
        </w:rPr>
        <w:t>DISCUSSION</w:t>
      </w:r>
    </w:p>
    <w:p w14:paraId="734D4F87"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 xml:space="preserve">The present study demonstrated that 28-day oral administration of aqueous </w:t>
      </w:r>
      <w:r w:rsidRPr="005651BD">
        <w:rPr>
          <w:rFonts w:ascii="Times New Roman" w:eastAsia="Calibri" w:hAnsi="Times New Roman"/>
          <w:i/>
          <w:iCs/>
          <w:kern w:val="2"/>
          <w:sz w:val="24"/>
          <w:szCs w:val="24"/>
          <w14:ligatures w14:val="standardContextual"/>
        </w:rPr>
        <w:t>Kalanchoe pinnata</w:t>
      </w:r>
      <w:r w:rsidRPr="005651BD">
        <w:rPr>
          <w:rFonts w:ascii="Times New Roman" w:eastAsia="Calibri" w:hAnsi="Times New Roman"/>
          <w:kern w:val="2"/>
          <w:sz w:val="24"/>
          <w:szCs w:val="24"/>
          <w14:ligatures w14:val="standardContextual"/>
        </w:rPr>
        <w:t xml:space="preserve"> leaf extract (KPE) at doses of 100, 200, 400 and 800 mg/kg did not produce statistically significant alterations in the haematological parameters evaluated. The RBC count, haemoglobin concentration, packed cell volume (PCV), total WBC count, lymphocyte percentage and neutrophil percentage remained statistically comparable with those of the control </w:t>
      </w:r>
      <w:r w:rsidRPr="005651BD">
        <w:rPr>
          <w:rFonts w:ascii="Times New Roman" w:eastAsia="Calibri" w:hAnsi="Times New Roman"/>
          <w:kern w:val="2"/>
          <w:sz w:val="24"/>
          <w:szCs w:val="24"/>
          <w14:ligatures w14:val="standardContextual"/>
        </w:rPr>
        <w:lastRenderedPageBreak/>
        <w:t>group (p &gt; 0.05). The RBC count ranged from 7.41 to 7.92 × 10¹²/L, haemoglobin from 14.2 to 15.1 g/dL and PCV from 42.9 to 44.8%, while WBC values ranged from 9.2 to 10.5 × 10⁹/L. Similarly, the differential leucocyte counts showed no significant treatment-related alterations.</w:t>
      </w:r>
    </w:p>
    <w:p w14:paraId="77F0D18B"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rsidRPr="005B2AAB">
        <w:rPr>
          <w:rFonts w:ascii="Times New Roman" w:eastAsia="Calibri" w:hAnsi="Times New Roman"/>
          <w:kern w:val="2"/>
          <w:sz w:val="24"/>
          <w:szCs w:val="24"/>
          <w14:ligatures w14:val="standardContextual"/>
        </w:rPr>
        <w:t xml:space="preserve">The </w:t>
      </w:r>
      <w:r>
        <w:rPr>
          <w:rFonts w:ascii="Times New Roman" w:eastAsia="Calibri" w:hAnsi="Times New Roman"/>
          <w:kern w:val="2"/>
          <w:sz w:val="24"/>
          <w:szCs w:val="24"/>
          <w14:ligatures w14:val="standardContextual"/>
        </w:rPr>
        <w:t>lack of significant changes in RBC, Hb, and PCV suggests that repeated KPE administration did not substantially alter measured erythrocyte parameters or cause</w:t>
      </w:r>
      <w:r w:rsidRPr="005B2AAB">
        <w:rPr>
          <w:rFonts w:ascii="Times New Roman" w:eastAsia="Calibri" w:hAnsi="Times New Roman"/>
          <w:kern w:val="2"/>
          <w:sz w:val="24"/>
          <w:szCs w:val="24"/>
          <w14:ligatures w14:val="standardContextual"/>
        </w:rPr>
        <w:t xml:space="preserve"> appreciable anaemia during the 28-day treatment period. RBC count, haemoglobin concentration</w:t>
      </w:r>
      <w:r>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packed cell volume are important components of the complete blood count used to assess erythrocyte mass, oxygen-carrying capacity</w:t>
      </w:r>
      <w:r>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overall red-cell status (Marin et al., 2024; Gibbons et al., 2024). Anaemia may result from reduced erythrocyte or haemoglobin production, increased erythrocyte destruction, or blood loss, while erythropoiesis is regulated by complex processes involving erythropoietin, iron metabolism</w:t>
      </w:r>
      <w:r w:rsidR="00923180">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erythroid-cell differentiation (Garcia-Casal </w:t>
      </w:r>
      <w:r w:rsidR="005F3AF3">
        <w:rPr>
          <w:rFonts w:ascii="Times New Roman" w:eastAsia="Calibri" w:hAnsi="Times New Roman"/>
          <w:kern w:val="2"/>
          <w:sz w:val="24"/>
          <w:szCs w:val="24"/>
          <w14:ligatures w14:val="standardContextual"/>
        </w:rPr>
        <w:t>et al., 2023</w:t>
      </w:r>
      <w:r w:rsidRPr="005B2AAB">
        <w:rPr>
          <w:rFonts w:ascii="Times New Roman" w:eastAsia="Calibri" w:hAnsi="Times New Roman"/>
          <w:kern w:val="2"/>
          <w:sz w:val="24"/>
          <w:szCs w:val="24"/>
          <w14:ligatures w14:val="standardContextual"/>
        </w:rPr>
        <w:t>). Therefore, the absence of significant reductions in RBC, Hb</w:t>
      </w:r>
      <w:r w:rsidR="000C5A33">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PCV in the KPE-treated groups suggests that the extract did not cause substantial alteration of the measured erythroid indices under the conditions of the present study. However, because definitive assessment of erythrocyte injury or </w:t>
      </w:r>
      <w:proofErr w:type="spellStart"/>
      <w:r w:rsidRPr="005B2AAB">
        <w:rPr>
          <w:rFonts w:ascii="Times New Roman" w:eastAsia="Calibri" w:hAnsi="Times New Roman"/>
          <w:kern w:val="2"/>
          <w:sz w:val="24"/>
          <w:szCs w:val="24"/>
          <w14:ligatures w14:val="standardContextual"/>
        </w:rPr>
        <w:t>haemolysis</w:t>
      </w:r>
      <w:proofErr w:type="spellEnd"/>
      <w:r w:rsidRPr="005B2AAB">
        <w:rPr>
          <w:rFonts w:ascii="Times New Roman" w:eastAsia="Calibri" w:hAnsi="Times New Roman"/>
          <w:kern w:val="2"/>
          <w:sz w:val="24"/>
          <w:szCs w:val="24"/>
          <w14:ligatures w14:val="standardContextual"/>
        </w:rPr>
        <w:t xml:space="preserve"> may require additional parameters such as reticulocyte count, erythrocyte morphology, bilirubin and other </w:t>
      </w:r>
      <w:proofErr w:type="spellStart"/>
      <w:r w:rsidRPr="005B2AAB">
        <w:rPr>
          <w:rFonts w:ascii="Times New Roman" w:eastAsia="Calibri" w:hAnsi="Times New Roman"/>
          <w:kern w:val="2"/>
          <w:sz w:val="24"/>
          <w:szCs w:val="24"/>
          <w14:ligatures w14:val="standardContextual"/>
        </w:rPr>
        <w:t>haemolysis</w:t>
      </w:r>
      <w:proofErr w:type="spellEnd"/>
      <w:r w:rsidRPr="005B2AAB">
        <w:rPr>
          <w:rFonts w:ascii="Times New Roman" w:eastAsia="Calibri" w:hAnsi="Times New Roman"/>
          <w:kern w:val="2"/>
          <w:sz w:val="24"/>
          <w:szCs w:val="24"/>
          <w14:ligatures w14:val="standardContextual"/>
        </w:rPr>
        <w:t xml:space="preserve">-related markers, the present findings should be interpreted as evidence of preserved haematological indices rather than definitive proof that erythropoiesis or </w:t>
      </w:r>
      <w:proofErr w:type="spellStart"/>
      <w:r w:rsidRPr="005B2AAB">
        <w:rPr>
          <w:rFonts w:ascii="Times New Roman" w:eastAsia="Calibri" w:hAnsi="Times New Roman"/>
          <w:kern w:val="2"/>
          <w:sz w:val="24"/>
          <w:szCs w:val="24"/>
          <w14:ligatures w14:val="standardContextual"/>
        </w:rPr>
        <w:t>haemolysis</w:t>
      </w:r>
      <w:proofErr w:type="spellEnd"/>
      <w:r w:rsidRPr="005B2AAB">
        <w:rPr>
          <w:rFonts w:ascii="Times New Roman" w:eastAsia="Calibri" w:hAnsi="Times New Roman"/>
          <w:kern w:val="2"/>
          <w:sz w:val="24"/>
          <w:szCs w:val="24"/>
          <w14:ligatures w14:val="standardContextual"/>
        </w:rPr>
        <w:t xml:space="preserve"> was completely unaffected (Behling-Kelly, 2022).</w:t>
      </w:r>
    </w:p>
    <w:p w14:paraId="6CA3CA17"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 xml:space="preserve">The WBC and differential leucocyte findings also showed no significant treatment-related changes. Total WBC increased slightly from 9.2 × 10⁹/L in the control group to 10.5 × 10⁹/L at 800 mg/kg, but this increase was not statistically significant. Likewise, lymphocyte and neutrophil percentages remained comparable among the groups. This suggests that KPE did not induce marked </w:t>
      </w:r>
      <w:proofErr w:type="spellStart"/>
      <w:r w:rsidRPr="005651BD">
        <w:rPr>
          <w:rFonts w:ascii="Times New Roman" w:eastAsia="Calibri" w:hAnsi="Times New Roman"/>
          <w:kern w:val="2"/>
          <w:sz w:val="24"/>
          <w:szCs w:val="24"/>
          <w14:ligatures w14:val="standardContextual"/>
        </w:rPr>
        <w:t>leucocytosis</w:t>
      </w:r>
      <w:proofErr w:type="spellEnd"/>
      <w:r w:rsidRPr="005651BD">
        <w:rPr>
          <w:rFonts w:ascii="Times New Roman" w:eastAsia="Calibri" w:hAnsi="Times New Roman"/>
          <w:kern w:val="2"/>
          <w:sz w:val="24"/>
          <w:szCs w:val="24"/>
          <w14:ligatures w14:val="standardContextual"/>
        </w:rPr>
        <w:t>, leucopenia or significant alteration of the cellular components of the immune system during the experimental period.</w:t>
      </w:r>
    </w:p>
    <w:p w14:paraId="628CB34A"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These findings are important because haematological parameters are sensitive indicators of systemic toxicity and can reflect alterations in bone marrow function, immune response and blood cell integrity. The results are consistent with the toxicological assessment in the study, which reported that KPE did not cause significant haematological toxicity despite the hepatic changes observed at higher doses. Thus, the haematopoietic system appeared to be relatively resistant to the effects of KPE within the 28-day exposure period.</w:t>
      </w:r>
    </w:p>
    <w:p w14:paraId="4AC6FD1E"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However, the slight downward trend in RBC, Hb and PCV with increasing dose should not be completely disregarded. Although these changes were not statistically significant, RBC decreased from 7.85 × 10¹²/L in the control to 7.41 × 10¹²/L at 800 mg/kg, while Hb decreased from 14.8 to 14.2 g/dL and PCV from 44.2 to 42.9%. These observations may represent minor biological variations rather than treatment-related toxicity. Longer exposure periods and larger sample sizes would be required to determine whether this tendency could become biologically important with chronic administration.</w:t>
      </w:r>
    </w:p>
    <w:p w14:paraId="4EE93C91"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In contrast to the relatively stable haematological profile, the serum liver enzyme results demonstrated a clear dose-related effect of KPE on hepatic integrity. Administration of KPE at 100 and 200 mg/kg did not produce statistically significant changes in ALT, AST or ALP compared with the control group (p &gt; 0.05). However, significant elevations (p &lt; 0.05) occurred at 400 mg/kg, while highly significant elevations (p &lt; 0.01) were observed at 800 mg/kg.</w:t>
      </w:r>
    </w:p>
    <w:p w14:paraId="64C56A41"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ALT increased from 32.5 ± 1.8 U/L in the control group to 35.2 ± 2.1 U/L at 100 mg/kg, 38.9 ± 2.4 U/L at 200 mg/kg, 52.7 ± 3.5 U/L at 400 mg/kg</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89.4 ± 5.2 U/L at 800 mg/kg. AST similarly increased from 48.3 ± 2.2 U/L in the control group to 52.7 ± 3.0, 58.4 ± 3.5, 78.9 ± 4.8</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124.6 ± 7.1 U/L, respectively. ALP increased </w:t>
      </w:r>
      <w:r w:rsidRPr="005651BD">
        <w:rPr>
          <w:rFonts w:ascii="Times New Roman" w:eastAsia="Calibri" w:hAnsi="Times New Roman"/>
          <w:kern w:val="2"/>
          <w:sz w:val="24"/>
          <w:szCs w:val="24"/>
          <w14:ligatures w14:val="standardContextual"/>
        </w:rPr>
        <w:lastRenderedPageBreak/>
        <w:t>from 118.6 ± 6.5 U/L in the control to 124.3 ± 7.8, 133.5 ± 8.2, 167.2 ± 10.4</w:t>
      </w:r>
      <w:r w:rsidR="005B2AAB">
        <w:rPr>
          <w:rFonts w:ascii="Times New Roman" w:eastAsia="Calibri" w:hAnsi="Times New Roman"/>
          <w:kern w:val="2"/>
          <w:sz w:val="24"/>
          <w:szCs w:val="24"/>
          <w14:ligatures w14:val="standardContextual"/>
        </w:rPr>
        <w:t>,</w:t>
      </w:r>
      <w:r w:rsidRPr="005651BD">
        <w:rPr>
          <w:rFonts w:ascii="Times New Roman" w:eastAsia="Calibri" w:hAnsi="Times New Roman"/>
          <w:kern w:val="2"/>
          <w:sz w:val="24"/>
          <w:szCs w:val="24"/>
          <w14:ligatures w14:val="standardContextual"/>
        </w:rPr>
        <w:t xml:space="preserve"> and 245.8 ± 15.7 U/L across the treatment groups.</w:t>
      </w:r>
    </w:p>
    <w:p w14:paraId="048A28D1"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rsidRPr="005B2AAB">
        <w:rPr>
          <w:rFonts w:ascii="Times New Roman" w:eastAsia="Calibri" w:hAnsi="Times New Roman"/>
          <w:kern w:val="2"/>
          <w:sz w:val="24"/>
          <w:szCs w:val="24"/>
          <w14:ligatures w14:val="standardContextual"/>
        </w:rPr>
        <w:t xml:space="preserve">The elevation of ALT is particularly significant in interpreting the hepatic effects of KPE because ALT is predominantly localized in hepatocytes and is released into the circulation following hepatocellular injury and disruption of cellular integrity. Consequently, increased serum ALT is widely used as a biochemical indicator of hepatocellular injury (Thakur </w:t>
      </w:r>
      <w:r w:rsidRPr="005F3AF3">
        <w:rPr>
          <w:rFonts w:ascii="Times New Roman" w:eastAsia="Calibri" w:hAnsi="Times New Roman"/>
          <w:i/>
          <w:kern w:val="2"/>
          <w:sz w:val="24"/>
          <w:szCs w:val="24"/>
          <w14:ligatures w14:val="standardContextual"/>
        </w:rPr>
        <w:t>et</w:t>
      </w:r>
      <w:r w:rsidRPr="005B2AAB">
        <w:rPr>
          <w:rFonts w:ascii="Times New Roman" w:eastAsia="Calibri" w:hAnsi="Times New Roman"/>
          <w:kern w:val="2"/>
          <w:sz w:val="24"/>
          <w:szCs w:val="24"/>
          <w14:ligatures w14:val="standardContextual"/>
        </w:rPr>
        <w:t xml:space="preserve"> </w:t>
      </w:r>
      <w:r w:rsidRPr="005F3AF3">
        <w:rPr>
          <w:rFonts w:ascii="Times New Roman" w:eastAsia="Calibri" w:hAnsi="Times New Roman"/>
          <w:i/>
          <w:kern w:val="2"/>
          <w:sz w:val="24"/>
          <w:szCs w:val="24"/>
          <w14:ligatures w14:val="standardContextual"/>
        </w:rPr>
        <w:t>al</w:t>
      </w:r>
      <w:r w:rsidRPr="005B2AAB">
        <w:rPr>
          <w:rFonts w:ascii="Times New Roman" w:eastAsia="Calibri" w:hAnsi="Times New Roman"/>
          <w:kern w:val="2"/>
          <w:sz w:val="24"/>
          <w:szCs w:val="24"/>
          <w14:ligatures w14:val="standardContextual"/>
        </w:rPr>
        <w:t xml:space="preserve">., 2024). The marked increase in ALT observed at 400 and 800 mg/kg in the present study is therefore consistent with increased hepatocellular injury or membrane disruption at these higher doses. The progressive increase in ALT activity with increasing KPE dose further suggests a </w:t>
      </w:r>
      <w:r w:rsidRPr="005B2AAB">
        <w:rPr>
          <w:rFonts w:ascii="Times New Roman" w:eastAsia="Calibri" w:hAnsi="Times New Roman"/>
          <w:bCs/>
          <w:kern w:val="2"/>
          <w:sz w:val="24"/>
          <w:szCs w:val="24"/>
          <w14:ligatures w14:val="standardContextual"/>
        </w:rPr>
        <w:t>dose-dependent hepatic response</w:t>
      </w:r>
      <w:r w:rsidRPr="005B2AAB">
        <w:rPr>
          <w:rFonts w:ascii="Times New Roman" w:eastAsia="Calibri" w:hAnsi="Times New Roman"/>
          <w:kern w:val="2"/>
          <w:sz w:val="24"/>
          <w:szCs w:val="24"/>
          <w14:ligatures w14:val="standardContextual"/>
        </w:rPr>
        <w:t xml:space="preserve">, particularly when considered alongside the concurrent elevations in AST and the reported hepatic histological alterations. However, ALT elevation alone does not establish the precise mechanism or severity of hepatic injury and is best interpreted together with other biochemical and histopathological findings (McGill </w:t>
      </w:r>
      <w:r w:rsidRPr="005F3AF3">
        <w:rPr>
          <w:rFonts w:ascii="Times New Roman" w:eastAsia="Calibri" w:hAnsi="Times New Roman"/>
          <w:i/>
          <w:kern w:val="2"/>
          <w:sz w:val="24"/>
          <w:szCs w:val="24"/>
          <w14:ligatures w14:val="standardContextual"/>
        </w:rPr>
        <w:t>et</w:t>
      </w:r>
      <w:r w:rsidRPr="005B2AAB">
        <w:rPr>
          <w:rFonts w:ascii="Times New Roman" w:eastAsia="Calibri" w:hAnsi="Times New Roman"/>
          <w:kern w:val="2"/>
          <w:sz w:val="24"/>
          <w:szCs w:val="24"/>
          <w14:ligatures w14:val="standardContextual"/>
        </w:rPr>
        <w:t xml:space="preserve"> </w:t>
      </w:r>
      <w:r w:rsidRPr="005F3AF3">
        <w:rPr>
          <w:rFonts w:ascii="Times New Roman" w:eastAsia="Calibri" w:hAnsi="Times New Roman"/>
          <w:i/>
          <w:kern w:val="2"/>
          <w:sz w:val="24"/>
          <w:szCs w:val="24"/>
          <w14:ligatures w14:val="standardContextual"/>
        </w:rPr>
        <w:t>al</w:t>
      </w:r>
      <w:r w:rsidRPr="005B2AAB">
        <w:rPr>
          <w:rFonts w:ascii="Times New Roman" w:eastAsia="Calibri" w:hAnsi="Times New Roman"/>
          <w:kern w:val="2"/>
          <w:sz w:val="24"/>
          <w:szCs w:val="24"/>
          <w14:ligatures w14:val="standardContextual"/>
        </w:rPr>
        <w:t xml:space="preserve">., 2023; Thakur </w:t>
      </w:r>
      <w:r w:rsidRPr="005F3AF3">
        <w:rPr>
          <w:rFonts w:ascii="Times New Roman" w:eastAsia="Calibri" w:hAnsi="Times New Roman"/>
          <w:i/>
          <w:kern w:val="2"/>
          <w:sz w:val="24"/>
          <w:szCs w:val="24"/>
          <w14:ligatures w14:val="standardContextual"/>
        </w:rPr>
        <w:t>et</w:t>
      </w:r>
      <w:r w:rsidRPr="005B2AAB">
        <w:rPr>
          <w:rFonts w:ascii="Times New Roman" w:eastAsia="Calibri" w:hAnsi="Times New Roman"/>
          <w:kern w:val="2"/>
          <w:sz w:val="24"/>
          <w:szCs w:val="24"/>
          <w14:ligatures w14:val="standardContextual"/>
        </w:rPr>
        <w:t xml:space="preserve"> </w:t>
      </w:r>
      <w:r w:rsidRPr="005F3AF3">
        <w:rPr>
          <w:rFonts w:ascii="Times New Roman" w:eastAsia="Calibri" w:hAnsi="Times New Roman"/>
          <w:i/>
          <w:kern w:val="2"/>
          <w:sz w:val="24"/>
          <w:szCs w:val="24"/>
          <w14:ligatures w14:val="standardContextual"/>
        </w:rPr>
        <w:t>al</w:t>
      </w:r>
      <w:r w:rsidRPr="005B2AAB">
        <w:rPr>
          <w:rFonts w:ascii="Times New Roman" w:eastAsia="Calibri" w:hAnsi="Times New Roman"/>
          <w:kern w:val="2"/>
          <w:sz w:val="24"/>
          <w:szCs w:val="24"/>
          <w14:ligatures w14:val="standardContextual"/>
        </w:rPr>
        <w:t>., 2024).</w:t>
      </w:r>
    </w:p>
    <w:p w14:paraId="434C8E4D"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AST also demonstrated a substantial increase at the higher doses. Although AST is less liver-specific than ALT because it is also present in tissues such as skeletal and cardiac muscle, its concurrent elevation with ALT strengthens the evidence of hepatic injury. The simultaneous increase in ALT and AST at 400 and 800 mg/kg therefore suggests that the observed enzyme elevations were not merely isolated biochemical fluctuations but were indicative of hepatocellular damage. The literature review in the study identifies ALT and AST as important markers of hepatocellular membrane integrity, with increases reflecting enzyme leakage following cellular injury.</w:t>
      </w:r>
    </w:p>
    <w:p w14:paraId="6AFBF889"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significant increase in ALP provides additional evidence of hepatic involvement. ALP is associated particularly with the biliary canalicular system, and increased serum activity may occur when there is cholestasis or impairment of bile flow. In the present study, ALP increased significantly at 400 and 800 mg/kg, suggesting that the hepatic effects of high-dose KPE may not be limited to hepatocellular injury but could also involve biliary or cholestatic processes.</w:t>
      </w:r>
    </w:p>
    <w:p w14:paraId="5F7A946E"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pattern observed in this study demonstrates an important dose-dependent toxicity profile. At 100 and 200 mg/kg, the enzyme activities remained statistically comparable with the control, indicating that these doses did not produce measurable biochemical evidence of significant hepatic injury. At 400 mg/kg, however, ALT, AST and ALP were significantly elevated, while the effect became much more pronounced at 800 mg/kg. This dose-response relationship supports the identification of 200 mg/kg as the No-Observed-Adverse-Effect Level (NOAEL) and 400 mg/kg as the Lowest-Observed-Adverse-Effect Level (LOAEL) under the conditions of the present study.</w:t>
      </w:r>
    </w:p>
    <w:p w14:paraId="7C9D391E" w14:textId="77777777" w:rsidR="005B2AAB" w:rsidRDefault="005B2AAB" w:rsidP="005651BD">
      <w:pPr>
        <w:spacing w:after="160" w:line="276" w:lineRule="auto"/>
        <w:jc w:val="both"/>
        <w:rPr>
          <w:rFonts w:ascii="Times New Roman" w:eastAsia="Calibri" w:hAnsi="Times New Roman"/>
          <w:kern w:val="2"/>
          <w:sz w:val="24"/>
          <w:szCs w:val="24"/>
          <w14:ligatures w14:val="standardContextual"/>
        </w:rPr>
      </w:pPr>
      <w:r w:rsidRPr="005B2AAB">
        <w:rPr>
          <w:rFonts w:ascii="Times New Roman" w:eastAsia="Calibri" w:hAnsi="Times New Roman"/>
          <w:kern w:val="2"/>
          <w:sz w:val="24"/>
          <w:szCs w:val="24"/>
          <w14:ligatures w14:val="standardContextual"/>
        </w:rPr>
        <w:t xml:space="preserve">The findings are particularly noteworthy because </w:t>
      </w:r>
      <w:r w:rsidRPr="005B2AAB">
        <w:rPr>
          <w:rFonts w:ascii="Times New Roman" w:eastAsia="Calibri" w:hAnsi="Times New Roman"/>
          <w:i/>
          <w:iCs/>
          <w:kern w:val="2"/>
          <w:sz w:val="24"/>
          <w:szCs w:val="24"/>
          <w14:ligatures w14:val="standardContextual"/>
        </w:rPr>
        <w:t>Kalanchoe pinnata</w:t>
      </w:r>
      <w:r w:rsidRPr="005B2AAB">
        <w:rPr>
          <w:rFonts w:ascii="Times New Roman" w:eastAsia="Calibri" w:hAnsi="Times New Roman"/>
          <w:kern w:val="2"/>
          <w:sz w:val="24"/>
          <w:szCs w:val="24"/>
          <w14:ligatures w14:val="standardContextual"/>
        </w:rPr>
        <w:t xml:space="preserve"> has traditionally been used for various medicinal purposes and has demonstrated potential hepatoprotective activity in experimental models. Recent experimental evidence showed that a </w:t>
      </w:r>
      <w:r w:rsidRPr="005B2AAB">
        <w:rPr>
          <w:rFonts w:ascii="Times New Roman" w:eastAsia="Calibri" w:hAnsi="Times New Roman"/>
          <w:i/>
          <w:iCs/>
          <w:kern w:val="2"/>
          <w:sz w:val="24"/>
          <w:szCs w:val="24"/>
          <w14:ligatures w14:val="standardContextual"/>
        </w:rPr>
        <w:t>K. pinnata</w:t>
      </w:r>
      <w:r w:rsidRPr="005B2AAB">
        <w:rPr>
          <w:rFonts w:ascii="Times New Roman" w:eastAsia="Calibri" w:hAnsi="Times New Roman"/>
          <w:kern w:val="2"/>
          <w:sz w:val="24"/>
          <w:szCs w:val="24"/>
          <w14:ligatures w14:val="standardContextual"/>
        </w:rPr>
        <w:t>-based beverage reduced serum ALT, AST, ALP</w:t>
      </w:r>
      <w:r w:rsidR="0068119F">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bilirubin levels in Wistar rats subjected to carbon tetrachloride- and gentamicin-induced hepatotoxicity, supporting the potential hepatoprotective properties of the plant (Saeed et al., 2025). Similarly, recent reviews have documented antioxidant and organ-protective activities associated with </w:t>
      </w:r>
      <w:r w:rsidRPr="005B2AAB">
        <w:rPr>
          <w:rFonts w:ascii="Times New Roman" w:eastAsia="Calibri" w:hAnsi="Times New Roman"/>
          <w:i/>
          <w:iCs/>
          <w:kern w:val="2"/>
          <w:sz w:val="24"/>
          <w:szCs w:val="24"/>
          <w14:ligatures w14:val="standardContextual"/>
        </w:rPr>
        <w:t>K. pinnata</w:t>
      </w:r>
      <w:r w:rsidRPr="005B2AAB">
        <w:rPr>
          <w:rFonts w:ascii="Times New Roman" w:eastAsia="Calibri" w:hAnsi="Times New Roman"/>
          <w:kern w:val="2"/>
          <w:sz w:val="24"/>
          <w:szCs w:val="24"/>
          <w14:ligatures w14:val="standardContextual"/>
        </w:rPr>
        <w:t xml:space="preserve"> extracts, while also emphasizing the need to consider their phytochemical composition and safety profile (Kolodziejczyk-</w:t>
      </w:r>
      <w:proofErr w:type="spellStart"/>
      <w:r w:rsidRPr="005B2AAB">
        <w:rPr>
          <w:rFonts w:ascii="Times New Roman" w:eastAsia="Calibri" w:hAnsi="Times New Roman"/>
          <w:kern w:val="2"/>
          <w:sz w:val="24"/>
          <w:szCs w:val="24"/>
          <w14:ligatures w14:val="standardContextual"/>
        </w:rPr>
        <w:t>Czepas</w:t>
      </w:r>
      <w:proofErr w:type="spellEnd"/>
      <w:r w:rsidRPr="005B2AAB">
        <w:rPr>
          <w:rFonts w:ascii="Times New Roman" w:eastAsia="Calibri" w:hAnsi="Times New Roman"/>
          <w:kern w:val="2"/>
          <w:sz w:val="24"/>
          <w:szCs w:val="24"/>
          <w14:ligatures w14:val="standardContextual"/>
        </w:rPr>
        <w:t xml:space="preserve"> et al., 2023). However, the present findings demonstrate that the biological effects of plant extracts may depend strongly on dose, duration of exposure, extraction method</w:t>
      </w:r>
      <w:r w:rsidR="0068119F">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experimental context. Thus, an extract with protective effects at a particular dose or under chemically induced injury may produce adverse effects when administered repeatedly at higher doses to otherwise healthy animals. This apparent dose-dependent duality is consistent with the broader </w:t>
      </w:r>
      <w:r w:rsidRPr="005B2AAB">
        <w:rPr>
          <w:rFonts w:ascii="Times New Roman" w:eastAsia="Calibri" w:hAnsi="Times New Roman"/>
          <w:kern w:val="2"/>
          <w:sz w:val="24"/>
          <w:szCs w:val="24"/>
          <w14:ligatures w14:val="standardContextual"/>
        </w:rPr>
        <w:lastRenderedPageBreak/>
        <w:t>toxicological principle that the biological effects of natural products are influenced by exposure level, preparation</w:t>
      </w:r>
      <w:r w:rsidR="0068119F">
        <w:rPr>
          <w:rFonts w:ascii="Times New Roman" w:eastAsia="Calibri" w:hAnsi="Times New Roman"/>
          <w:kern w:val="2"/>
          <w:sz w:val="24"/>
          <w:szCs w:val="24"/>
          <w14:ligatures w14:val="standardContextual"/>
        </w:rPr>
        <w:t>,</w:t>
      </w:r>
      <w:r w:rsidRPr="005B2AAB">
        <w:rPr>
          <w:rFonts w:ascii="Times New Roman" w:eastAsia="Calibri" w:hAnsi="Times New Roman"/>
          <w:kern w:val="2"/>
          <w:sz w:val="24"/>
          <w:szCs w:val="24"/>
          <w14:ligatures w14:val="standardContextual"/>
        </w:rPr>
        <w:t xml:space="preserve"> and experimental conditions. Recent safety studies of </w:t>
      </w:r>
      <w:r w:rsidRPr="005B2AAB">
        <w:rPr>
          <w:rFonts w:ascii="Times New Roman" w:eastAsia="Calibri" w:hAnsi="Times New Roman"/>
          <w:i/>
          <w:iCs/>
          <w:kern w:val="2"/>
          <w:sz w:val="24"/>
          <w:szCs w:val="24"/>
          <w14:ligatures w14:val="standardContextual"/>
        </w:rPr>
        <w:t>K. pinnata</w:t>
      </w:r>
      <w:r w:rsidRPr="005B2AAB">
        <w:rPr>
          <w:rFonts w:ascii="Times New Roman" w:eastAsia="Calibri" w:hAnsi="Times New Roman"/>
          <w:kern w:val="2"/>
          <w:sz w:val="24"/>
          <w:szCs w:val="24"/>
          <w14:ligatures w14:val="standardContextual"/>
        </w:rPr>
        <w:t xml:space="preserve"> have similarly emphasized that although the plant may exhibit a relatively </w:t>
      </w:r>
      <w:proofErr w:type="spellStart"/>
      <w:r w:rsidRPr="005B2AAB">
        <w:rPr>
          <w:rFonts w:ascii="Times New Roman" w:eastAsia="Calibri" w:hAnsi="Times New Roman"/>
          <w:kern w:val="2"/>
          <w:sz w:val="24"/>
          <w:szCs w:val="24"/>
          <w14:ligatures w14:val="standardContextual"/>
        </w:rPr>
        <w:t>favourable</w:t>
      </w:r>
      <w:proofErr w:type="spellEnd"/>
      <w:r w:rsidRPr="005B2AAB">
        <w:rPr>
          <w:rFonts w:ascii="Times New Roman" w:eastAsia="Calibri" w:hAnsi="Times New Roman"/>
          <w:kern w:val="2"/>
          <w:sz w:val="24"/>
          <w:szCs w:val="24"/>
          <w14:ligatures w14:val="standardContextual"/>
        </w:rPr>
        <w:t xml:space="preserve"> toxicity profile at certain doses, toxicological evaluation remains necessary when higher or prolonged exposures are considered (Pavani </w:t>
      </w:r>
      <w:r w:rsidRPr="0068119F">
        <w:rPr>
          <w:rFonts w:ascii="Times New Roman" w:eastAsia="Calibri" w:hAnsi="Times New Roman"/>
          <w:i/>
          <w:kern w:val="2"/>
          <w:sz w:val="24"/>
          <w:szCs w:val="24"/>
          <w14:ligatures w14:val="standardContextual"/>
        </w:rPr>
        <w:t>et</w:t>
      </w:r>
      <w:r w:rsidRPr="005B2AAB">
        <w:rPr>
          <w:rFonts w:ascii="Times New Roman" w:eastAsia="Calibri" w:hAnsi="Times New Roman"/>
          <w:kern w:val="2"/>
          <w:sz w:val="24"/>
          <w:szCs w:val="24"/>
          <w14:ligatures w14:val="standardContextual"/>
        </w:rPr>
        <w:t xml:space="preserve"> </w:t>
      </w:r>
      <w:r w:rsidRPr="0068119F">
        <w:rPr>
          <w:rFonts w:ascii="Times New Roman" w:eastAsia="Calibri" w:hAnsi="Times New Roman"/>
          <w:i/>
          <w:kern w:val="2"/>
          <w:sz w:val="24"/>
          <w:szCs w:val="24"/>
          <w14:ligatures w14:val="standardContextual"/>
        </w:rPr>
        <w:t>al</w:t>
      </w:r>
      <w:r w:rsidRPr="005B2AAB">
        <w:rPr>
          <w:rFonts w:ascii="Times New Roman" w:eastAsia="Calibri" w:hAnsi="Times New Roman"/>
          <w:kern w:val="2"/>
          <w:sz w:val="24"/>
          <w:szCs w:val="24"/>
          <w14:ligatures w14:val="standardContextual"/>
        </w:rPr>
        <w:t xml:space="preserve">., 2023; Saravanan </w:t>
      </w:r>
      <w:r w:rsidRPr="0068119F">
        <w:rPr>
          <w:rFonts w:ascii="Times New Roman" w:eastAsia="Calibri" w:hAnsi="Times New Roman"/>
          <w:i/>
          <w:kern w:val="2"/>
          <w:sz w:val="24"/>
          <w:szCs w:val="24"/>
          <w14:ligatures w14:val="standardContextual"/>
        </w:rPr>
        <w:t>et</w:t>
      </w:r>
      <w:r w:rsidRPr="005B2AAB">
        <w:rPr>
          <w:rFonts w:ascii="Times New Roman" w:eastAsia="Calibri" w:hAnsi="Times New Roman"/>
          <w:kern w:val="2"/>
          <w:sz w:val="24"/>
          <w:szCs w:val="24"/>
          <w14:ligatures w14:val="standardContextual"/>
        </w:rPr>
        <w:t xml:space="preserve"> </w:t>
      </w:r>
      <w:r w:rsidRPr="0068119F">
        <w:rPr>
          <w:rFonts w:ascii="Times New Roman" w:eastAsia="Calibri" w:hAnsi="Times New Roman"/>
          <w:i/>
          <w:kern w:val="2"/>
          <w:sz w:val="24"/>
          <w:szCs w:val="24"/>
          <w14:ligatures w14:val="standardContextual"/>
        </w:rPr>
        <w:t>al</w:t>
      </w:r>
      <w:r w:rsidRPr="005B2AAB">
        <w:rPr>
          <w:rFonts w:ascii="Times New Roman" w:eastAsia="Calibri" w:hAnsi="Times New Roman"/>
          <w:kern w:val="2"/>
          <w:sz w:val="24"/>
          <w:szCs w:val="24"/>
          <w14:ligatures w14:val="standardContextual"/>
        </w:rPr>
        <w:t>., 2021).</w:t>
      </w:r>
    </w:p>
    <w:p w14:paraId="36A52916" w14:textId="77777777" w:rsidR="005651BD" w:rsidRPr="005651BD" w:rsidRDefault="005651BD" w:rsidP="005651BD">
      <w:pPr>
        <w:spacing w:after="160" w:line="276" w:lineRule="auto"/>
        <w:jc w:val="both"/>
        <w:rPr>
          <w:rFonts w:ascii="Times New Roman" w:eastAsia="Calibri" w:hAnsi="Times New Roman"/>
          <w:kern w:val="2"/>
          <w:sz w:val="24"/>
          <w:szCs w:val="24"/>
          <w14:ligatures w14:val="standardContextual"/>
        </w:rPr>
      </w:pPr>
      <w:r w:rsidRPr="005651BD">
        <w:rPr>
          <w:rFonts w:ascii="Times New Roman" w:eastAsia="Calibri" w:hAnsi="Times New Roman"/>
          <w:kern w:val="2"/>
          <w:sz w:val="24"/>
          <w:szCs w:val="24"/>
          <w14:ligatures w14:val="standardContextual"/>
        </w:rPr>
        <w:t>The hepatic enzyme findings are also consistent with the broader evidence in the study. Although the haematological parameters remained stable, the higher doses were associated with biochemical and histological evidence of hepatic injury. The study reported moderate hepatic injury at 400 mg/kg and more severe hepatic alterations at 800 mg/kg, supporting the interpretation that the elevations in ALT, AST and ALP reflect genuine hepatic injury rather than isolated biochemical abnormalities.</w:t>
      </w:r>
    </w:p>
    <w:p w14:paraId="79260E20" w14:textId="77777777" w:rsidR="005651BD" w:rsidRDefault="005651BD" w:rsidP="005651BD">
      <w:pPr>
        <w:pStyle w:val="ConcHead"/>
        <w:spacing w:after="0"/>
        <w:jc w:val="both"/>
        <w:rPr>
          <w:rFonts w:ascii="Times New Roman" w:eastAsia="Calibri" w:hAnsi="Times New Roman"/>
          <w:b w:val="0"/>
          <w:caps w:val="0"/>
          <w:sz w:val="24"/>
          <w:szCs w:val="24"/>
        </w:rPr>
      </w:pPr>
      <w:r w:rsidRPr="005651BD">
        <w:rPr>
          <w:rFonts w:ascii="Times New Roman" w:eastAsia="Calibri" w:hAnsi="Times New Roman"/>
          <w:b w:val="0"/>
          <w:caps w:val="0"/>
          <w:sz w:val="24"/>
          <w:szCs w:val="24"/>
        </w:rPr>
        <w:t xml:space="preserve">Overall, the results indicate that the liver was a more sensitive target of repeated KPE exposure than the haematopoietic system during the 28-day treatment period. The absence of significant haematological alterations alongside significant liver enzyme elevations at higher doses suggests that KPE-induced toxicity under these experimental conditions was predominantly hepatic rather than systemic </w:t>
      </w:r>
      <w:proofErr w:type="spellStart"/>
      <w:r w:rsidRPr="005651BD">
        <w:rPr>
          <w:rFonts w:ascii="Times New Roman" w:eastAsia="Calibri" w:hAnsi="Times New Roman"/>
          <w:b w:val="0"/>
          <w:caps w:val="0"/>
          <w:sz w:val="24"/>
          <w:szCs w:val="24"/>
        </w:rPr>
        <w:t>haematological</w:t>
      </w:r>
      <w:proofErr w:type="spellEnd"/>
      <w:r w:rsidRPr="005651BD">
        <w:rPr>
          <w:rFonts w:ascii="Times New Roman" w:eastAsia="Calibri" w:hAnsi="Times New Roman"/>
          <w:b w:val="0"/>
          <w:caps w:val="0"/>
          <w:sz w:val="24"/>
          <w:szCs w:val="24"/>
        </w:rPr>
        <w:t xml:space="preserve"> toxicity.</w:t>
      </w:r>
    </w:p>
    <w:p w14:paraId="5D64EBEB" w14:textId="77777777" w:rsidR="000C368A" w:rsidRDefault="000C368A" w:rsidP="005651BD">
      <w:pPr>
        <w:pStyle w:val="ConcHead"/>
        <w:spacing w:after="0"/>
        <w:jc w:val="both"/>
        <w:rPr>
          <w:rFonts w:ascii="Arial" w:hAnsi="Arial" w:cs="Arial"/>
        </w:rPr>
      </w:pPr>
    </w:p>
    <w:p w14:paraId="43F8D95C" w14:textId="77777777" w:rsidR="00790ADA" w:rsidRDefault="00B01FCD" w:rsidP="00441B6F">
      <w:pPr>
        <w:pStyle w:val="ConcHead"/>
        <w:spacing w:after="0"/>
        <w:jc w:val="both"/>
        <w:rPr>
          <w:rFonts w:ascii="Arial" w:hAnsi="Arial" w:cs="Arial"/>
        </w:rPr>
      </w:pPr>
      <w:r w:rsidRPr="00FB3A86">
        <w:rPr>
          <w:rFonts w:ascii="Arial" w:hAnsi="Arial" w:cs="Arial"/>
        </w:rPr>
        <w:t>Conclusion</w:t>
      </w:r>
    </w:p>
    <w:p w14:paraId="4BB237EC" w14:textId="77777777" w:rsidR="000C368A" w:rsidRPr="00FB3A86" w:rsidRDefault="000C368A" w:rsidP="00441B6F">
      <w:pPr>
        <w:pStyle w:val="ConcHead"/>
        <w:spacing w:after="0"/>
        <w:jc w:val="both"/>
        <w:rPr>
          <w:rFonts w:ascii="Arial" w:hAnsi="Arial" w:cs="Arial"/>
        </w:rPr>
      </w:pPr>
    </w:p>
    <w:p w14:paraId="3CB78274" w14:textId="77777777" w:rsidR="00790ADA" w:rsidRDefault="0068119F" w:rsidP="00441B6F">
      <w:pPr>
        <w:pStyle w:val="Body"/>
        <w:spacing w:after="0"/>
        <w:rPr>
          <w:rFonts w:ascii="Times New Roman" w:hAnsi="Times New Roman"/>
        </w:rPr>
      </w:pPr>
      <w:r>
        <w:rPr>
          <w:rFonts w:ascii="Times New Roman" w:hAnsi="Times New Roman"/>
        </w:rPr>
        <w:t xml:space="preserve">Based on the haematological and serum liver enzyme findings of this study, 28-day oral administration of aqueous </w:t>
      </w:r>
      <w:r>
        <w:rPr>
          <w:rFonts w:ascii="Times New Roman" w:hAnsi="Times New Roman"/>
          <w:i/>
          <w:iCs/>
        </w:rPr>
        <w:t>Kalanchoe pinnata</w:t>
      </w:r>
      <w:r>
        <w:rPr>
          <w:rFonts w:ascii="Times New Roman" w:hAnsi="Times New Roman"/>
        </w:rPr>
        <w:t xml:space="preserve"> leaf extract produced no significant adverse effects on the major haematological parameters examined. RBC count, haemoglobin concentration, PCV, total WBC count, lymphocyte percentage and neutrophil percentage remained statistically comparable with the control group across the dose range of 100-800 mg/kg. These findings indicate that repeated administration of the extract did not produce significant </w:t>
      </w:r>
      <w:proofErr w:type="spellStart"/>
      <w:r>
        <w:rPr>
          <w:rFonts w:ascii="Times New Roman" w:hAnsi="Times New Roman"/>
        </w:rPr>
        <w:t>anaemia</w:t>
      </w:r>
      <w:proofErr w:type="spellEnd"/>
      <w:r>
        <w:rPr>
          <w:rFonts w:ascii="Times New Roman" w:hAnsi="Times New Roman"/>
        </w:rPr>
        <w:t xml:space="preserve">, </w:t>
      </w:r>
      <w:proofErr w:type="spellStart"/>
      <w:r>
        <w:rPr>
          <w:rFonts w:ascii="Times New Roman" w:hAnsi="Times New Roman"/>
        </w:rPr>
        <w:t>haemolytic</w:t>
      </w:r>
      <w:proofErr w:type="spellEnd"/>
      <w:r>
        <w:rPr>
          <w:rFonts w:ascii="Times New Roman" w:hAnsi="Times New Roman"/>
        </w:rPr>
        <w:t xml:space="preserve"> effects, leucopenia, </w:t>
      </w:r>
      <w:proofErr w:type="spellStart"/>
      <w:r>
        <w:rPr>
          <w:rFonts w:ascii="Times New Roman" w:hAnsi="Times New Roman"/>
        </w:rPr>
        <w:t>leucocytosis</w:t>
      </w:r>
      <w:proofErr w:type="spellEnd"/>
      <w:r>
        <w:rPr>
          <w:rFonts w:ascii="Times New Roman" w:hAnsi="Times New Roman"/>
        </w:rPr>
        <w:t>, or marked alteration of the leucocyte profile during the experimental period. In contrast, the serum liver marker enzymes demonstrated a clear dose-dependent response. ALT, AST and ALP were not significantly altered at 100 and 200 mg/kg but were significantly elevated at 400 mg/kg and further increased at 800 mg/kg. The findings indicate that repeated administration of higher doses of KPE adversely affected hepatic integrity. Therefore, within the conditions of this study, the haematopoietic system appeared relatively tolerant to aqueous KPE, whereas the liver was more susceptible to repeated high-dose exposure. The results support 200 mg/kg as the No-Observed-Adverse-Effect Level (NOAEL) and 400 mg/kg as the Lowest-Observed-Adverse-Effect Level (LOAEL). Consequently, although the extract did not demonstrate significant haematological toxicity over 28 days, prolonged administration of high doses should be approached with caution because of the observed elevations in ALT, AST and ALP, which indicate potential hepatotoxicity.</w:t>
      </w:r>
    </w:p>
    <w:p w14:paraId="6714626C" w14:textId="77777777" w:rsidR="0068119F" w:rsidRPr="00FB3A86" w:rsidRDefault="0068119F" w:rsidP="00441B6F">
      <w:pPr>
        <w:pStyle w:val="Body"/>
        <w:spacing w:after="0"/>
        <w:rPr>
          <w:rFonts w:ascii="Arial" w:hAnsi="Arial" w:cs="Arial"/>
        </w:rPr>
      </w:pPr>
    </w:p>
    <w:p w14:paraId="7AD2DC94" w14:textId="77777777" w:rsidR="0068119F" w:rsidRDefault="0068119F" w:rsidP="0068119F">
      <w:pPr>
        <w:keepNext/>
        <w:spacing w:before="100" w:beforeAutospacing="1"/>
        <w:jc w:val="both"/>
        <w:rPr>
          <w:rFonts w:ascii="Arial" w:hAnsi="Arial" w:cs="Arial"/>
          <w:b/>
          <w:bCs/>
          <w:caps/>
          <w:sz w:val="22"/>
          <w:szCs w:val="22"/>
        </w:rPr>
      </w:pPr>
      <w:r>
        <w:rPr>
          <w:rFonts w:ascii="Arial" w:hAnsi="Arial" w:cs="Arial"/>
          <w:b/>
          <w:bCs/>
          <w:caps/>
          <w:sz w:val="22"/>
          <w:szCs w:val="22"/>
        </w:rPr>
        <w:t>Competing interests</w:t>
      </w:r>
    </w:p>
    <w:p w14:paraId="06650A50" w14:textId="77777777" w:rsidR="0068119F" w:rsidRDefault="0068119F" w:rsidP="0068119F">
      <w:pPr>
        <w:keepNext/>
        <w:spacing w:before="100" w:beforeAutospacing="1"/>
        <w:jc w:val="both"/>
        <w:rPr>
          <w:rFonts w:ascii="Arial" w:hAnsi="Arial" w:cs="Arial"/>
        </w:rPr>
      </w:pPr>
      <w:r>
        <w:rPr>
          <w:rFonts w:ascii="Arial" w:hAnsi="Arial" w:cs="Arial"/>
        </w:rPr>
        <w:t>The authors have declared that no competing interests exist.</w:t>
      </w:r>
    </w:p>
    <w:p w14:paraId="591205D2" w14:textId="77777777" w:rsidR="00725AAD" w:rsidRDefault="00725AAD" w:rsidP="0068119F">
      <w:pPr>
        <w:keepNext/>
        <w:spacing w:before="100" w:beforeAutospacing="1"/>
        <w:jc w:val="both"/>
        <w:rPr>
          <w:rFonts w:ascii="Arial" w:hAnsi="Arial" w:cs="Arial"/>
        </w:rPr>
      </w:pPr>
    </w:p>
    <w:p w14:paraId="3A3BF980" w14:textId="77777777" w:rsidR="00661244" w:rsidRDefault="00661244" w:rsidP="00661244">
      <w:pPr>
        <w:rPr>
          <w:rFonts w:ascii="Times New Roman" w:hAnsi="Times New Roman"/>
          <w:b/>
        </w:rPr>
      </w:pPr>
      <w:r w:rsidRPr="000839CE">
        <w:rPr>
          <w:rFonts w:ascii="Times New Roman" w:hAnsi="Times New Roman"/>
          <w:b/>
        </w:rPr>
        <w:t>Declaration of AI Use</w:t>
      </w:r>
    </w:p>
    <w:p w14:paraId="3B4219E0" w14:textId="77777777" w:rsidR="00661244" w:rsidRDefault="00661244" w:rsidP="00661244">
      <w:pPr>
        <w:rPr>
          <w:rFonts w:ascii="Times New Roman" w:hAnsi="Times New Roman"/>
          <w:b/>
        </w:rPr>
      </w:pPr>
    </w:p>
    <w:p w14:paraId="71E782C2" w14:textId="77777777" w:rsidR="00661244" w:rsidRPr="002D08AC" w:rsidRDefault="00661244" w:rsidP="0066124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8C28A2E" w14:textId="77777777" w:rsidR="00661244" w:rsidRDefault="00661244" w:rsidP="0068119F">
      <w:pPr>
        <w:keepNext/>
        <w:spacing w:before="100" w:beforeAutospacing="1"/>
        <w:jc w:val="both"/>
        <w:rPr>
          <w:rFonts w:ascii="Arial" w:hAnsi="Arial" w:cs="Arial"/>
          <w:sz w:val="24"/>
          <w:szCs w:val="24"/>
        </w:rPr>
      </w:pPr>
    </w:p>
    <w:p w14:paraId="13D59D4F" w14:textId="77777777" w:rsidR="00790ADA" w:rsidRPr="00FB3A86" w:rsidRDefault="00B01FCD" w:rsidP="00441B6F">
      <w:pPr>
        <w:pStyle w:val="ReferHead"/>
        <w:spacing w:after="0"/>
        <w:jc w:val="both"/>
        <w:rPr>
          <w:rFonts w:ascii="Arial" w:hAnsi="Arial" w:cs="Arial"/>
        </w:rPr>
      </w:pPr>
      <w:r w:rsidRPr="00FB3A86">
        <w:rPr>
          <w:rFonts w:ascii="Arial" w:hAnsi="Arial" w:cs="Arial"/>
        </w:rPr>
        <w:t>References</w:t>
      </w:r>
    </w:p>
    <w:p w14:paraId="05009F52" w14:textId="77777777" w:rsidR="0024369B" w:rsidRPr="0024369B" w:rsidRDefault="0024369B" w:rsidP="004850C9">
      <w:pPr>
        <w:pStyle w:val="isselectedend"/>
      </w:pPr>
      <w:bookmarkStart w:id="5" w:name="_Hlk240091852"/>
      <w:proofErr w:type="spellStart"/>
      <w:r w:rsidRPr="0024369B">
        <w:t>Achika</w:t>
      </w:r>
      <w:bookmarkEnd w:id="5"/>
      <w:proofErr w:type="spellEnd"/>
      <w:r w:rsidRPr="0024369B">
        <w:t xml:space="preserve">, J. I., Yusuf, A. J., Ayo, R. G., &amp; Liman, D. U. (2023). Flavonoids from Nigerian indigenous medicinal plants and their bioactivities: A review. </w:t>
      </w:r>
      <w:r w:rsidRPr="0024369B">
        <w:rPr>
          <w:i/>
          <w:iCs/>
        </w:rPr>
        <w:t>Phytomedicine Plus, 3</w:t>
      </w:r>
      <w:r w:rsidRPr="0024369B">
        <w:t xml:space="preserve">(2), 100405. </w:t>
      </w:r>
      <w:hyperlink r:id="rId14" w:tgtFrame="_new" w:history="1">
        <w:r w:rsidRPr="0024369B">
          <w:rPr>
            <w:rStyle w:val="Hyperlink"/>
          </w:rPr>
          <w:t>https://doi.org/10.1016/j.phyplu.2023.100405</w:t>
        </w:r>
      </w:hyperlink>
    </w:p>
    <w:p w14:paraId="03ECB913" w14:textId="77777777" w:rsidR="004850C9" w:rsidRDefault="004850C9" w:rsidP="004850C9">
      <w:pPr>
        <w:pStyle w:val="isselectedend"/>
      </w:pPr>
      <w:r>
        <w:lastRenderedPageBreak/>
        <w:t xml:space="preserve">Behling-Kelly, E. (2022). Identifying erythrocyte injury in toxicology studies. </w:t>
      </w:r>
      <w:r>
        <w:rPr>
          <w:rStyle w:val="Emphasis"/>
        </w:rPr>
        <w:t>Toxicologic Pathology, 50</w:t>
      </w:r>
      <w:r>
        <w:t xml:space="preserve">(7), 883–885. </w:t>
      </w:r>
      <w:hyperlink r:id="rId15" w:history="1">
        <w:r>
          <w:rPr>
            <w:rStyle w:val="Hyperlink"/>
          </w:rPr>
          <w:t>https://doi.org/10.1177/01926233221127942</w:t>
        </w:r>
      </w:hyperlink>
    </w:p>
    <w:p w14:paraId="2B84CECB" w14:textId="77777777" w:rsidR="004850C9" w:rsidRDefault="004850C9" w:rsidP="004850C9">
      <w:pPr>
        <w:pStyle w:val="isselectedend"/>
      </w:pPr>
      <w:r>
        <w:t xml:space="preserve">Garcia-Casal, M. N., Dary, O., Jefferds, M. E., &amp; Pasricha, S.-R. (2023). Diagnosing anemia: Challenges selecting methods, addressing underlying causes, and implementing actions at the public health level. </w:t>
      </w:r>
      <w:r>
        <w:rPr>
          <w:rStyle w:val="Emphasis"/>
        </w:rPr>
        <w:t>Annals of the New York Academy of Sciences, 1524</w:t>
      </w:r>
      <w:r>
        <w:t xml:space="preserve">(1), 37–50. </w:t>
      </w:r>
      <w:hyperlink r:id="rId16" w:history="1">
        <w:r>
          <w:rPr>
            <w:rStyle w:val="Hyperlink"/>
          </w:rPr>
          <w:t>https://doi.org/10.1111/nyas.14996</w:t>
        </w:r>
      </w:hyperlink>
    </w:p>
    <w:p w14:paraId="20FE00C3" w14:textId="77777777" w:rsidR="004850C9" w:rsidRDefault="004850C9" w:rsidP="004850C9">
      <w:pPr>
        <w:pStyle w:val="isselectedend"/>
      </w:pPr>
      <w:r>
        <w:t xml:space="preserve">Gibbons, C. F., Sasso, A. F., Angrish, M. M., Arzuaga, X., Bateson, T. F., Yorita Christensen, K., Congleton, J., Glenn, B., Kopylev, L., Lehmann, D., Mezencev, R. F., Nachman, R. M., Newhouse, K., Radke, E. G., Reinhart, P., Rieth, S., Schlosser, P. M., Shaffer, R. M., Weaver, A., Wilkins, A., Yost, E. E., Berner, T., Blessinger, T., Cai, C., Cooper, G., Dean, J., Garcia, K., Gigot, C., Greenhalgh, A., Hussain, S., Kaupas, G., Kodavanti, U., Larsen, A., Lin, C.-K., Pardo, L., Salazar, K., Smith-Roe, S., Tariq, S., &amp; Zurlinden, T. (2024). </w:t>
      </w:r>
      <w:r>
        <w:rPr>
          <w:rStyle w:val="Emphasis"/>
        </w:rPr>
        <w:t xml:space="preserve">IRIS toxicological review of hexavalent chromium </w:t>
      </w:r>
      <w:r>
        <w:rPr>
          <w:rStyle w:val="text-token-text-primary"/>
          <w:i/>
          <w:iCs/>
        </w:rPr>
        <w:t>[</w:t>
      </w:r>
      <w:proofErr w:type="gramStart"/>
      <w:r>
        <w:rPr>
          <w:rStyle w:val="text-token-text-primary"/>
          <w:i/>
          <w:iCs/>
        </w:rPr>
        <w:t>Cr(</w:t>
      </w:r>
      <w:proofErr w:type="gramEnd"/>
      <w:r>
        <w:rPr>
          <w:rStyle w:val="text-token-text-primary"/>
          <w:i/>
          <w:iCs/>
        </w:rPr>
        <w:t>VI)]</w:t>
      </w:r>
      <w:r>
        <w:rPr>
          <w:rStyle w:val="Emphasis"/>
        </w:rPr>
        <w:t xml:space="preserve"> (CASRN 18540-29-9)</w:t>
      </w:r>
      <w:r>
        <w:t xml:space="preserve"> (EPA/635/R-24/164Fa). U.S. Environmental Protection Agency. </w:t>
      </w:r>
      <w:hyperlink r:id="rId17" w:history="1">
        <w:r>
          <w:rPr>
            <w:rStyle w:val="Hyperlink"/>
          </w:rPr>
          <w:t>https://www.epa.gov/iris/iris-toxicity-assessments/iris-toxicological-review-hexavalent-chromium-final-report-2024</w:t>
        </w:r>
      </w:hyperlink>
    </w:p>
    <w:p w14:paraId="4B700976" w14:textId="77777777" w:rsidR="005F3AF3" w:rsidRDefault="005F3AF3" w:rsidP="004850C9">
      <w:pPr>
        <w:pStyle w:val="isselectedend"/>
      </w:pPr>
      <w:r>
        <w:t xml:space="preserve">Kolodziejczyk-Czepas, J., &amp; Czepas, J. (2023). Plant-derived compounds and extracts as modulators of plasmin activity—A review. </w:t>
      </w:r>
      <w:r>
        <w:rPr>
          <w:rStyle w:val="Emphasis"/>
        </w:rPr>
        <w:t>Molecules, 28</w:t>
      </w:r>
      <w:r>
        <w:t>(4), 1677. https://doi.org/10.3390/molecules28041677</w:t>
      </w:r>
    </w:p>
    <w:p w14:paraId="2427DECB" w14:textId="77777777" w:rsidR="004850C9" w:rsidRDefault="004850C9" w:rsidP="004850C9">
      <w:pPr>
        <w:pStyle w:val="isselectedend"/>
      </w:pPr>
      <w:r>
        <w:t xml:space="preserve">Marin, M. J., van Wijk, X. M. R., Boothe, P. D., Harris, N. S., &amp; Winter, W. E. (2024). An introduction to the complete blood count for clinical chemists: Red blood cells. </w:t>
      </w:r>
      <w:r>
        <w:rPr>
          <w:rStyle w:val="Emphasis"/>
        </w:rPr>
        <w:t>The Journal of Applied Laboratory Medicine, 9</w:t>
      </w:r>
      <w:r>
        <w:t xml:space="preserve">(5), 1025–1039. </w:t>
      </w:r>
      <w:hyperlink r:id="rId18" w:history="1">
        <w:r>
          <w:rPr>
            <w:rStyle w:val="Hyperlink"/>
          </w:rPr>
          <w:t>https://doi.org/10.1093/jalm/jfae031</w:t>
        </w:r>
      </w:hyperlink>
    </w:p>
    <w:p w14:paraId="289ACCF1" w14:textId="77777777" w:rsidR="004850C9" w:rsidRDefault="004850C9" w:rsidP="004850C9">
      <w:pPr>
        <w:pStyle w:val="isselectedend"/>
      </w:pPr>
      <w:r>
        <w:t xml:space="preserve">McGill, M. R., &amp; Curry, S. C. (2023). The evolution of circulating biomarkers for use in acetaminophen/paracetamol-induced liver injury in humans: A scoping review. </w:t>
      </w:r>
      <w:r>
        <w:rPr>
          <w:rStyle w:val="Emphasis"/>
        </w:rPr>
        <w:t>Livers, 3</w:t>
      </w:r>
      <w:r>
        <w:t>(4), 569</w:t>
      </w:r>
      <w:r w:rsidR="0024369B">
        <w:t>-</w:t>
      </w:r>
      <w:r>
        <w:t xml:space="preserve">596. </w:t>
      </w:r>
      <w:hyperlink r:id="rId19" w:history="1">
        <w:r>
          <w:rPr>
            <w:rStyle w:val="Hyperlink"/>
          </w:rPr>
          <w:t>https://doi.org/10.3390/livers3040039</w:t>
        </w:r>
      </w:hyperlink>
    </w:p>
    <w:p w14:paraId="55B5000F" w14:textId="77777777" w:rsidR="004850C9" w:rsidRDefault="004850C9" w:rsidP="004850C9">
      <w:pPr>
        <w:pStyle w:val="isselectedend"/>
      </w:pPr>
      <w:r>
        <w:t xml:space="preserve">Omoruyi, F., Tatina, L., Rios, L., Stennett, D., &amp; Sparks, J. (2025). Insights into the therapeutic use of </w:t>
      </w:r>
      <w:r>
        <w:rPr>
          <w:rStyle w:val="Emphasis"/>
        </w:rPr>
        <w:t>Kalanchoe pinnata</w:t>
      </w:r>
      <w:r>
        <w:t xml:space="preserve"> supplement in diabetes mellitus. </w:t>
      </w:r>
      <w:r>
        <w:rPr>
          <w:rStyle w:val="Emphasis"/>
        </w:rPr>
        <w:t>Pharmaceuticals, 18</w:t>
      </w:r>
      <w:r>
        <w:t>(10), 1518.</w:t>
      </w:r>
    </w:p>
    <w:p w14:paraId="1BD0165E" w14:textId="77777777" w:rsidR="0024369B" w:rsidRPr="0024369B" w:rsidRDefault="0024369B" w:rsidP="004850C9">
      <w:pPr>
        <w:pStyle w:val="isselectedend"/>
      </w:pPr>
      <w:proofErr w:type="spellStart"/>
      <w:r w:rsidRPr="0024369B">
        <w:t>Organisation</w:t>
      </w:r>
      <w:proofErr w:type="spellEnd"/>
      <w:r w:rsidRPr="0024369B">
        <w:t xml:space="preserve"> for Economic Co-operation and Development. (2025). </w:t>
      </w:r>
      <w:r w:rsidRPr="0024369B">
        <w:rPr>
          <w:i/>
          <w:iCs/>
        </w:rPr>
        <w:t>Test No. 408: Repeated dose 90-day oral toxicity study in rodents</w:t>
      </w:r>
      <w:r w:rsidRPr="0024369B">
        <w:t xml:space="preserve">. </w:t>
      </w:r>
      <w:bookmarkStart w:id="6" w:name="_Hlk240092018"/>
      <w:r w:rsidRPr="0024369B">
        <w:t xml:space="preserve">OECD </w:t>
      </w:r>
      <w:bookmarkEnd w:id="6"/>
      <w:r w:rsidRPr="0024369B">
        <w:t xml:space="preserve">Publishing. </w:t>
      </w:r>
      <w:hyperlink r:id="rId20" w:tgtFrame="_new" w:history="1">
        <w:r w:rsidRPr="0024369B">
          <w:rPr>
            <w:rStyle w:val="Hyperlink"/>
          </w:rPr>
          <w:t>https://doi.org/10.1787/9789264070707-en</w:t>
        </w:r>
      </w:hyperlink>
    </w:p>
    <w:p w14:paraId="18F6E29A" w14:textId="77777777" w:rsidR="004850C9" w:rsidRDefault="004850C9" w:rsidP="004850C9">
      <w:pPr>
        <w:pStyle w:val="isselectedend"/>
      </w:pPr>
      <w:r>
        <w:t xml:space="preserve">Pavani, A. N. T., Sheela, D., Ramesh, L., &amp; Goli, S. (2023). Toxicity studies and phytochemical screening of </w:t>
      </w:r>
      <w:r>
        <w:rPr>
          <w:rStyle w:val="Emphasis"/>
        </w:rPr>
        <w:t>Ficus racemosa</w:t>
      </w:r>
      <w:r>
        <w:t xml:space="preserve"> and </w:t>
      </w:r>
      <w:r>
        <w:rPr>
          <w:rStyle w:val="Emphasis"/>
        </w:rPr>
        <w:t>Kalanchoe pinnata</w:t>
      </w:r>
      <w:r>
        <w:t xml:space="preserve">. </w:t>
      </w:r>
      <w:r>
        <w:rPr>
          <w:rStyle w:val="Emphasis"/>
        </w:rPr>
        <w:t>International Journal of Life Science and Pharma Research, 13</w:t>
      </w:r>
      <w:r>
        <w:t xml:space="preserve">(4), P52–P60. </w:t>
      </w:r>
      <w:hyperlink r:id="rId21" w:history="1">
        <w:r>
          <w:rPr>
            <w:rStyle w:val="Hyperlink"/>
          </w:rPr>
          <w:t>https://doi.org/10.22376/ijlpr.2023.13.4.P52-P60</w:t>
        </w:r>
      </w:hyperlink>
    </w:p>
    <w:p w14:paraId="525FE83D" w14:textId="77777777" w:rsidR="004850C9" w:rsidRDefault="004850C9" w:rsidP="004850C9">
      <w:pPr>
        <w:pStyle w:val="isselectedend"/>
      </w:pPr>
      <w:r>
        <w:t xml:space="preserve">Pereira, K. M. F., Carvalho, A. C. de, Fernandes, B. H. V., Grecco, S. dos S., Rodrigues, E., Fernandes, M. J. da S., Carvalho, L. R. S. de, Nakamura, M. U., Guo, S., &amp; Hernández, R. B. (2025). Systems toxicology studies reveal important insights about chronic exposure of zebrafish to </w:t>
      </w:r>
      <w:r>
        <w:rPr>
          <w:rStyle w:val="Emphasis"/>
        </w:rPr>
        <w:t>Kalanchoe pinnata</w:t>
      </w:r>
      <w:r>
        <w:t xml:space="preserve"> (Lam.) Pers. </w:t>
      </w:r>
      <w:r w:rsidR="0024369B">
        <w:t>L</w:t>
      </w:r>
      <w:r>
        <w:t>eaf</w:t>
      </w:r>
      <w:r w:rsidR="0024369B">
        <w:t>-</w:t>
      </w:r>
      <w:r>
        <w:t xml:space="preserve">KPL: Implications for medicinal use. </w:t>
      </w:r>
      <w:r>
        <w:rPr>
          <w:rStyle w:val="Emphasis"/>
        </w:rPr>
        <w:t>Journal of Ethnopharmacology, 338</w:t>
      </w:r>
      <w:r>
        <w:t>, 119044.</w:t>
      </w:r>
    </w:p>
    <w:p w14:paraId="445D5223" w14:textId="77777777" w:rsidR="004850C9" w:rsidRDefault="004850C9" w:rsidP="004850C9">
      <w:pPr>
        <w:pStyle w:val="isselectedend"/>
      </w:pPr>
      <w:r>
        <w:t xml:space="preserve">Saeed, K., Chughtai, M. F. J., Ahsan, S., Mehmood, T., Khalid, M. Z., Khaliq, A., Zuhair, M., Khalid, W., Alsulami, T., Law, D., &amp; Mukonzo, E. L. (2025). Hepatoprotective effect of a </w:t>
      </w:r>
      <w:r>
        <w:rPr>
          <w:rStyle w:val="Emphasis"/>
        </w:rPr>
        <w:t>Kalanchoe pinnata</w:t>
      </w:r>
      <w:r>
        <w:t xml:space="preserve">-based beverage against carbon tetrachloride- and gentamicin-induced hepatotoxicity in Wistar rats. </w:t>
      </w:r>
      <w:r>
        <w:rPr>
          <w:rStyle w:val="Emphasis"/>
        </w:rPr>
        <w:t>Journal of the American Nutrition Association, 44</w:t>
      </w:r>
      <w:r>
        <w:t xml:space="preserve">(5), 405–421. </w:t>
      </w:r>
      <w:hyperlink r:id="rId22" w:history="1">
        <w:r>
          <w:rPr>
            <w:rStyle w:val="Hyperlink"/>
          </w:rPr>
          <w:t>https://doi.org/10.1080/27697061.2024.2442615</w:t>
        </w:r>
      </w:hyperlink>
    </w:p>
    <w:p w14:paraId="4B24EAB8" w14:textId="77777777" w:rsidR="004850C9" w:rsidRDefault="004850C9" w:rsidP="004850C9">
      <w:pPr>
        <w:pStyle w:val="isselectedend"/>
      </w:pPr>
      <w:r>
        <w:t xml:space="preserve">Saravanan, V., Murugan, S. S., Navaneetha Krishnan, K. R., Mohana, N., Sakthivel, K., &amp; Sathya, T. N. (2021). Toxicological assessment of ethanolic leaf extract of </w:t>
      </w:r>
      <w:r>
        <w:rPr>
          <w:rStyle w:val="Emphasis"/>
        </w:rPr>
        <w:t>Kalanchoe pinnata</w:t>
      </w:r>
      <w:r>
        <w:t xml:space="preserve"> in rats. </w:t>
      </w:r>
      <w:r>
        <w:rPr>
          <w:rStyle w:val="Emphasis"/>
        </w:rPr>
        <w:t>Indian Journal of Forensic Medicine &amp; Toxicology, 15</w:t>
      </w:r>
      <w:r>
        <w:t xml:space="preserve">(2), 1148–1155. </w:t>
      </w:r>
      <w:hyperlink r:id="rId23" w:history="1">
        <w:r>
          <w:rPr>
            <w:rStyle w:val="Hyperlink"/>
          </w:rPr>
          <w:t>https://doi.org/10.37506/ijfmt.v15i2.14476</w:t>
        </w:r>
      </w:hyperlink>
    </w:p>
    <w:p w14:paraId="624D8529" w14:textId="77777777" w:rsidR="004850C9" w:rsidRDefault="004850C9" w:rsidP="004850C9">
      <w:pPr>
        <w:pStyle w:val="isselectedend"/>
      </w:pPr>
      <w:r>
        <w:lastRenderedPageBreak/>
        <w:t xml:space="preserve">Thakur, S., Kumar, V., Das, R., Sharma, V., &amp; Mehta, D. K. (2024). Biomarkers of hepatic toxicity: An overview. </w:t>
      </w:r>
      <w:r>
        <w:rPr>
          <w:rStyle w:val="Emphasis"/>
        </w:rPr>
        <w:t>Current Therapeutic Research, Clinical and Experimental, 100</w:t>
      </w:r>
      <w:r>
        <w:t xml:space="preserve">, 100737. </w:t>
      </w:r>
      <w:hyperlink r:id="rId24" w:history="1">
        <w:r>
          <w:rPr>
            <w:rStyle w:val="Hyperlink"/>
          </w:rPr>
          <w:t>https://doi.org/10.1016/j.curtheres.2024.100737</w:t>
        </w:r>
      </w:hyperlink>
    </w:p>
    <w:p w14:paraId="2450E7B2" w14:textId="0F183D11" w:rsidR="00B01FCD" w:rsidRPr="000C368A" w:rsidRDefault="004850C9" w:rsidP="000C368A">
      <w:pPr>
        <w:pStyle w:val="NormalWeb"/>
      </w:pPr>
      <w:r>
        <w:t xml:space="preserve">Yadav, N. P., &amp; Dixit, V. K. (2008). Hepatoprotective activity of leaves of </w:t>
      </w:r>
      <w:r>
        <w:rPr>
          <w:rStyle w:val="Emphasis"/>
        </w:rPr>
        <w:t>Kalanchoe pinnata</w:t>
      </w:r>
      <w:r>
        <w:t xml:space="preserve"> Pers. </w:t>
      </w:r>
      <w:r>
        <w:rPr>
          <w:rStyle w:val="Emphasis"/>
        </w:rPr>
        <w:t>Journal of Ethnopharmacology, 119</w:t>
      </w:r>
      <w:r w:rsidR="0024369B">
        <w:t>(2), 318-</w:t>
      </w:r>
      <w:r>
        <w:t>322.</w:t>
      </w:r>
    </w:p>
    <w:sectPr w:rsidR="00B01FCD" w:rsidRPr="000C368A" w:rsidSect="00661244">
      <w:headerReference w:type="even" r:id="rId25"/>
      <w:headerReference w:type="default" r:id="rId26"/>
      <w:footerReference w:type="default" r:id="rId27"/>
      <w:headerReference w:type="first" r:id="rId2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FD877" w14:textId="77777777" w:rsidR="00E35649" w:rsidRDefault="00E35649" w:rsidP="00C37E61">
      <w:r>
        <w:separator/>
      </w:r>
    </w:p>
  </w:endnote>
  <w:endnote w:type="continuationSeparator" w:id="0">
    <w:p w14:paraId="4D71AF27" w14:textId="77777777" w:rsidR="00E35649" w:rsidRDefault="00E3564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DAB10" w14:textId="77777777" w:rsidR="000843F0" w:rsidRDefault="00084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2DFC" w14:textId="77777777" w:rsidR="000843F0" w:rsidRDefault="000843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1BD0" w14:textId="77777777" w:rsidR="009E048A" w:rsidRDefault="009E048A">
    <w:pPr>
      <w:pStyle w:val="Footer"/>
      <w:rPr>
        <w:rFonts w:ascii="Arial" w:hAnsi="Arial" w:cs="Arial"/>
        <w:sz w:val="16"/>
      </w:rPr>
    </w:pPr>
  </w:p>
  <w:p w14:paraId="2960C651"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00A4DD68" w14:textId="77777777" w:rsidR="009E048A" w:rsidRDefault="009E048A">
    <w:pPr>
      <w:pStyle w:val="Footer"/>
      <w:rPr>
        <w:rFonts w:ascii="Arial" w:hAnsi="Arial" w:cs="Arial"/>
        <w:sz w:val="16"/>
      </w:rPr>
    </w:pPr>
  </w:p>
  <w:p w14:paraId="4FCE994D"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909E1"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F0ABF" w14:textId="77777777" w:rsidR="00E35649" w:rsidRDefault="00E35649" w:rsidP="00C37E61">
      <w:r>
        <w:separator/>
      </w:r>
    </w:p>
  </w:footnote>
  <w:footnote w:type="continuationSeparator" w:id="0">
    <w:p w14:paraId="166517E2" w14:textId="77777777" w:rsidR="00E35649" w:rsidRDefault="00E3564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84F3" w14:textId="6542A852" w:rsidR="000843F0" w:rsidRDefault="000843F0">
    <w:pPr>
      <w:pStyle w:val="Header"/>
    </w:pPr>
    <w:r>
      <w:rPr>
        <w:noProof/>
      </w:rPr>
      <w:pict w14:anchorId="7C29A8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8"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4E63" w14:textId="1AD9D373" w:rsidR="000843F0" w:rsidRDefault="000843F0">
    <w:pPr>
      <w:pStyle w:val="Header"/>
    </w:pPr>
    <w:r>
      <w:rPr>
        <w:noProof/>
      </w:rPr>
      <w:pict w14:anchorId="6FD008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9"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CB30" w14:textId="2C36E4BC" w:rsidR="00296529" w:rsidRPr="00296529" w:rsidRDefault="000843F0" w:rsidP="00296529">
    <w:pPr>
      <w:ind w:left="2160"/>
      <w:jc w:val="center"/>
      <w:rPr>
        <w:rFonts w:ascii="Times New Roman" w:eastAsia="Calibri" w:hAnsi="Times New Roman"/>
        <w:i/>
        <w:sz w:val="18"/>
        <w:szCs w:val="22"/>
      </w:rPr>
    </w:pPr>
    <w:r>
      <w:rPr>
        <w:noProof/>
      </w:rPr>
      <w:pict w14:anchorId="1635E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37"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DCAC4BC"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6EA210A"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F022DB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1A077F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427C25C"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45805B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0EDE3" w14:textId="6A573EA7" w:rsidR="000843F0" w:rsidRDefault="000843F0">
    <w:pPr>
      <w:pStyle w:val="Header"/>
    </w:pPr>
    <w:r>
      <w:rPr>
        <w:noProof/>
      </w:rPr>
      <w:pict w14:anchorId="409D37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1"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5FF4E70">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CAF6" w14:textId="0E3E3A70" w:rsidR="000843F0" w:rsidRDefault="000843F0">
    <w:pPr>
      <w:pStyle w:val="Header"/>
    </w:pPr>
    <w:r>
      <w:rPr>
        <w:noProof/>
      </w:rPr>
      <w:pict w14:anchorId="5C24E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2"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ADAA474">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5A337" w14:textId="0E0EFA09" w:rsidR="000843F0" w:rsidRPr="00296529" w:rsidRDefault="000843F0" w:rsidP="00296529">
    <w:pPr>
      <w:ind w:left="2160"/>
      <w:jc w:val="center"/>
      <w:rPr>
        <w:rFonts w:ascii="Times New Roman" w:eastAsia="Calibri" w:hAnsi="Times New Roman"/>
        <w:i/>
        <w:sz w:val="18"/>
        <w:szCs w:val="22"/>
      </w:rPr>
    </w:pPr>
    <w:r>
      <w:rPr>
        <w:noProof/>
      </w:rPr>
      <w:pict w14:anchorId="3AACB0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857440"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1805FBD">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8B32862" w14:textId="77777777" w:rsidR="000843F0" w:rsidRPr="00296529" w:rsidRDefault="000843F0"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C21024E" w14:textId="77777777" w:rsidR="000843F0" w:rsidRPr="00296529" w:rsidRDefault="000843F0"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96247DA" w14:textId="77777777" w:rsidR="000843F0" w:rsidRPr="00296529" w:rsidRDefault="000843F0"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A6B1DAF" w14:textId="77777777" w:rsidR="000843F0" w:rsidRDefault="000843F0"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A5E91DA" w14:textId="77777777" w:rsidR="000843F0" w:rsidRDefault="000843F0"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90E126A" w14:textId="77777777" w:rsidR="000843F0" w:rsidRDefault="000843F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6366854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45458886">
    <w:abstractNumId w:val="15"/>
  </w:num>
  <w:num w:numId="3" w16cid:durableId="1547183911">
    <w:abstractNumId w:val="23"/>
  </w:num>
  <w:num w:numId="4" w16cid:durableId="166940145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42735517">
    <w:abstractNumId w:val="7"/>
  </w:num>
  <w:num w:numId="6" w16cid:durableId="1301379497">
    <w:abstractNumId w:val="6"/>
  </w:num>
  <w:num w:numId="7" w16cid:durableId="70782525">
    <w:abstractNumId w:val="1"/>
  </w:num>
  <w:num w:numId="8" w16cid:durableId="1955794807">
    <w:abstractNumId w:val="12"/>
  </w:num>
  <w:num w:numId="9" w16cid:durableId="1384135530">
    <w:abstractNumId w:val="25"/>
  </w:num>
  <w:num w:numId="10" w16cid:durableId="1904751753">
    <w:abstractNumId w:val="2"/>
  </w:num>
  <w:num w:numId="11" w16cid:durableId="242221527">
    <w:abstractNumId w:val="18"/>
  </w:num>
  <w:num w:numId="12" w16cid:durableId="1677536152">
    <w:abstractNumId w:val="3"/>
  </w:num>
  <w:num w:numId="13" w16cid:durableId="134685111">
    <w:abstractNumId w:val="17"/>
  </w:num>
  <w:num w:numId="14" w16cid:durableId="1593005626">
    <w:abstractNumId w:val="8"/>
  </w:num>
  <w:num w:numId="15" w16cid:durableId="765348960">
    <w:abstractNumId w:val="21"/>
  </w:num>
  <w:num w:numId="16" w16cid:durableId="299118137">
    <w:abstractNumId w:val="5"/>
  </w:num>
  <w:num w:numId="17" w16cid:durableId="1607544233">
    <w:abstractNumId w:val="22"/>
  </w:num>
  <w:num w:numId="18" w16cid:durableId="137576942">
    <w:abstractNumId w:val="14"/>
  </w:num>
  <w:num w:numId="19" w16cid:durableId="787773362">
    <w:abstractNumId w:val="28"/>
  </w:num>
  <w:num w:numId="20" w16cid:durableId="1993749536">
    <w:abstractNumId w:val="11"/>
  </w:num>
  <w:num w:numId="21" w16cid:durableId="1155955596">
    <w:abstractNumId w:val="9"/>
  </w:num>
  <w:num w:numId="22" w16cid:durableId="785386801">
    <w:abstractNumId w:val="13"/>
  </w:num>
  <w:num w:numId="23" w16cid:durableId="1792043692">
    <w:abstractNumId w:val="19"/>
  </w:num>
  <w:num w:numId="24" w16cid:durableId="1650472694">
    <w:abstractNumId w:val="26"/>
  </w:num>
  <w:num w:numId="25" w16cid:durableId="1225947783">
    <w:abstractNumId w:val="4"/>
  </w:num>
  <w:num w:numId="26" w16cid:durableId="2146659853">
    <w:abstractNumId w:val="16"/>
  </w:num>
  <w:num w:numId="27" w16cid:durableId="1327980462">
    <w:abstractNumId w:val="20"/>
  </w:num>
  <w:num w:numId="28" w16cid:durableId="1068570940">
    <w:abstractNumId w:val="27"/>
  </w:num>
  <w:num w:numId="29" w16cid:durableId="2137289027">
    <w:abstractNumId w:val="24"/>
  </w:num>
  <w:num w:numId="30" w16cid:durableId="10151142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80837"/>
    <w:rsid w:val="000843F0"/>
    <w:rsid w:val="000A47FA"/>
    <w:rsid w:val="000A65D3"/>
    <w:rsid w:val="000B1E33"/>
    <w:rsid w:val="000C1DC4"/>
    <w:rsid w:val="000C368A"/>
    <w:rsid w:val="000C5A33"/>
    <w:rsid w:val="000D689F"/>
    <w:rsid w:val="000E7B7B"/>
    <w:rsid w:val="000E7D62"/>
    <w:rsid w:val="00103357"/>
    <w:rsid w:val="00123C9F"/>
    <w:rsid w:val="00126190"/>
    <w:rsid w:val="00130F17"/>
    <w:rsid w:val="001320BF"/>
    <w:rsid w:val="00163BC4"/>
    <w:rsid w:val="001761A0"/>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369B"/>
    <w:rsid w:val="00245CDD"/>
    <w:rsid w:val="002460DC"/>
    <w:rsid w:val="00250985"/>
    <w:rsid w:val="002556F6"/>
    <w:rsid w:val="00283105"/>
    <w:rsid w:val="00284C4C"/>
    <w:rsid w:val="00287E68"/>
    <w:rsid w:val="00296529"/>
    <w:rsid w:val="002B27FB"/>
    <w:rsid w:val="002B685A"/>
    <w:rsid w:val="002C4F58"/>
    <w:rsid w:val="002C57D2"/>
    <w:rsid w:val="002E0D56"/>
    <w:rsid w:val="002F6CD9"/>
    <w:rsid w:val="00315186"/>
    <w:rsid w:val="0033343E"/>
    <w:rsid w:val="003512C2"/>
    <w:rsid w:val="00371FB6"/>
    <w:rsid w:val="003763C1"/>
    <w:rsid w:val="00376BBE"/>
    <w:rsid w:val="0039224F"/>
    <w:rsid w:val="003948BF"/>
    <w:rsid w:val="003A43A4"/>
    <w:rsid w:val="003A7E18"/>
    <w:rsid w:val="003B210F"/>
    <w:rsid w:val="003C4C86"/>
    <w:rsid w:val="003C6258"/>
    <w:rsid w:val="003E2904"/>
    <w:rsid w:val="00401927"/>
    <w:rsid w:val="0041027F"/>
    <w:rsid w:val="00412475"/>
    <w:rsid w:val="00423789"/>
    <w:rsid w:val="00440F43"/>
    <w:rsid w:val="00441B6F"/>
    <w:rsid w:val="00446221"/>
    <w:rsid w:val="00450E62"/>
    <w:rsid w:val="004539DB"/>
    <w:rsid w:val="00460483"/>
    <w:rsid w:val="00471A80"/>
    <w:rsid w:val="004850C9"/>
    <w:rsid w:val="004C71AE"/>
    <w:rsid w:val="004D305E"/>
    <w:rsid w:val="004D4277"/>
    <w:rsid w:val="00502516"/>
    <w:rsid w:val="00505F06"/>
    <w:rsid w:val="00506828"/>
    <w:rsid w:val="005112BB"/>
    <w:rsid w:val="0053056E"/>
    <w:rsid w:val="0054602B"/>
    <w:rsid w:val="00554FDA"/>
    <w:rsid w:val="005651BD"/>
    <w:rsid w:val="005B2AAB"/>
    <w:rsid w:val="005C784C"/>
    <w:rsid w:val="005D17F6"/>
    <w:rsid w:val="005E5539"/>
    <w:rsid w:val="005F3AF3"/>
    <w:rsid w:val="00602BF5"/>
    <w:rsid w:val="00617FDD"/>
    <w:rsid w:val="00633614"/>
    <w:rsid w:val="00633F68"/>
    <w:rsid w:val="00636EB2"/>
    <w:rsid w:val="006375B8"/>
    <w:rsid w:val="00661244"/>
    <w:rsid w:val="0066510A"/>
    <w:rsid w:val="00673F9F"/>
    <w:rsid w:val="0068119F"/>
    <w:rsid w:val="00686953"/>
    <w:rsid w:val="00687DEA"/>
    <w:rsid w:val="00687E67"/>
    <w:rsid w:val="006967F7"/>
    <w:rsid w:val="006A250C"/>
    <w:rsid w:val="006B21D3"/>
    <w:rsid w:val="006B57D0"/>
    <w:rsid w:val="006D30FF"/>
    <w:rsid w:val="006D6940"/>
    <w:rsid w:val="006F11EC"/>
    <w:rsid w:val="0070082C"/>
    <w:rsid w:val="00725AAD"/>
    <w:rsid w:val="007369E6"/>
    <w:rsid w:val="00746E59"/>
    <w:rsid w:val="00754C9A"/>
    <w:rsid w:val="0075599A"/>
    <w:rsid w:val="00761D52"/>
    <w:rsid w:val="0077749E"/>
    <w:rsid w:val="00790ADA"/>
    <w:rsid w:val="007A1929"/>
    <w:rsid w:val="007D0A2D"/>
    <w:rsid w:val="007D1261"/>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3180"/>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777FD"/>
    <w:rsid w:val="00D8295D"/>
    <w:rsid w:val="00DC2A65"/>
    <w:rsid w:val="00DE15F0"/>
    <w:rsid w:val="00DE5663"/>
    <w:rsid w:val="00DE78AA"/>
    <w:rsid w:val="00E053D0"/>
    <w:rsid w:val="00E13FC3"/>
    <w:rsid w:val="00E15994"/>
    <w:rsid w:val="00E3114E"/>
    <w:rsid w:val="00E31A70"/>
    <w:rsid w:val="00E35649"/>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261E4"/>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1A88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w6asjqtextbase">
    <w:name w:val="w6asjq_textbase"/>
    <w:basedOn w:val="Normal"/>
    <w:rsid w:val="003B210F"/>
    <w:pPr>
      <w:spacing w:before="100" w:beforeAutospacing="1" w:after="100" w:afterAutospacing="1"/>
    </w:pPr>
    <w:rPr>
      <w:rFonts w:ascii="Times New Roman" w:hAnsi="Times New Roman"/>
      <w:sz w:val="24"/>
      <w:szCs w:val="24"/>
    </w:rPr>
  </w:style>
  <w:style w:type="character" w:customStyle="1" w:styleId="w6asjqtextbase1">
    <w:name w:val="w6asjq_textbase1"/>
    <w:basedOn w:val="DefaultParagraphFont"/>
    <w:rsid w:val="003B210F"/>
  </w:style>
  <w:style w:type="table" w:styleId="TableGridLight">
    <w:name w:val="Grid Table Light"/>
    <w:basedOn w:val="TableNormal"/>
    <w:uiPriority w:val="40"/>
    <w:rsid w:val="00F261E4"/>
    <w:rPr>
      <w:rFonts w:asciiTheme="minorHAnsi" w:eastAsiaTheme="minorHAnsi" w:hAnsiTheme="minorHAnsi" w:cstheme="minorBidi"/>
      <w:kern w:val="2"/>
      <w:sz w:val="24"/>
      <w:szCs w:val="24"/>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dq2pgselectionanchorcontainer">
    <w:name w:val="pdq2pg_selectionanchorcontainer"/>
    <w:basedOn w:val="Normal"/>
    <w:rsid w:val="0068119F"/>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68119F"/>
    <w:pPr>
      <w:spacing w:before="100" w:beforeAutospacing="1" w:after="100" w:afterAutospacing="1"/>
    </w:pPr>
    <w:rPr>
      <w:rFonts w:ascii="Times New Roman" w:hAnsi="Times New Roman"/>
      <w:sz w:val="24"/>
      <w:szCs w:val="24"/>
    </w:rPr>
  </w:style>
  <w:style w:type="paragraph" w:customStyle="1" w:styleId="isselectedend">
    <w:name w:val="isselectedend"/>
    <w:basedOn w:val="Normal"/>
    <w:rsid w:val="004850C9"/>
    <w:pPr>
      <w:spacing w:before="100" w:beforeAutospacing="1" w:after="100" w:afterAutospacing="1"/>
    </w:pPr>
    <w:rPr>
      <w:rFonts w:ascii="Times New Roman" w:hAnsi="Times New Roman"/>
      <w:sz w:val="24"/>
      <w:szCs w:val="24"/>
    </w:rPr>
  </w:style>
  <w:style w:type="character" w:customStyle="1" w:styleId="text-token-text-primary">
    <w:name w:val="text-token-text-primary"/>
    <w:basedOn w:val="DefaultParagraphFont"/>
    <w:rsid w:val="00485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80032788">
      <w:bodyDiv w:val="1"/>
      <w:marLeft w:val="0"/>
      <w:marRight w:val="0"/>
      <w:marTop w:val="0"/>
      <w:marBottom w:val="0"/>
      <w:divBdr>
        <w:top w:val="none" w:sz="0" w:space="0" w:color="auto"/>
        <w:left w:val="none" w:sz="0" w:space="0" w:color="auto"/>
        <w:bottom w:val="none" w:sz="0" w:space="0" w:color="auto"/>
        <w:right w:val="none" w:sz="0" w:space="0" w:color="auto"/>
      </w:divBdr>
    </w:div>
    <w:div w:id="798449333">
      <w:bodyDiv w:val="1"/>
      <w:marLeft w:val="0"/>
      <w:marRight w:val="0"/>
      <w:marTop w:val="0"/>
      <w:marBottom w:val="0"/>
      <w:divBdr>
        <w:top w:val="none" w:sz="0" w:space="0" w:color="auto"/>
        <w:left w:val="none" w:sz="0" w:space="0" w:color="auto"/>
        <w:bottom w:val="none" w:sz="0" w:space="0" w:color="auto"/>
        <w:right w:val="none" w:sz="0" w:space="0" w:color="auto"/>
      </w:divBdr>
    </w:div>
    <w:div w:id="79849886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74800633">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87977328">
      <w:bodyDiv w:val="1"/>
      <w:marLeft w:val="0"/>
      <w:marRight w:val="0"/>
      <w:marTop w:val="0"/>
      <w:marBottom w:val="0"/>
      <w:divBdr>
        <w:top w:val="none" w:sz="0" w:space="0" w:color="auto"/>
        <w:left w:val="none" w:sz="0" w:space="0" w:color="auto"/>
        <w:bottom w:val="none" w:sz="0" w:space="0" w:color="auto"/>
        <w:right w:val="none" w:sz="0" w:space="0" w:color="auto"/>
      </w:divBdr>
    </w:div>
    <w:div w:id="2015717343">
      <w:bodyDiv w:val="1"/>
      <w:marLeft w:val="0"/>
      <w:marRight w:val="0"/>
      <w:marTop w:val="0"/>
      <w:marBottom w:val="0"/>
      <w:divBdr>
        <w:top w:val="none" w:sz="0" w:space="0" w:color="auto"/>
        <w:left w:val="none" w:sz="0" w:space="0" w:color="auto"/>
        <w:bottom w:val="none" w:sz="0" w:space="0" w:color="auto"/>
        <w:right w:val="none" w:sz="0" w:space="0" w:color="auto"/>
      </w:divBdr>
    </w:div>
    <w:div w:id="2080975337">
      <w:bodyDiv w:val="1"/>
      <w:marLeft w:val="0"/>
      <w:marRight w:val="0"/>
      <w:marTop w:val="0"/>
      <w:marBottom w:val="0"/>
      <w:divBdr>
        <w:top w:val="none" w:sz="0" w:space="0" w:color="auto"/>
        <w:left w:val="none" w:sz="0" w:space="0" w:color="auto"/>
        <w:bottom w:val="none" w:sz="0" w:space="0" w:color="auto"/>
        <w:right w:val="none" w:sz="0" w:space="0" w:color="auto"/>
      </w:divBdr>
      <w:divsChild>
        <w:div w:id="783156496">
          <w:marLeft w:val="0"/>
          <w:marRight w:val="0"/>
          <w:marTop w:val="0"/>
          <w:marBottom w:val="0"/>
          <w:divBdr>
            <w:top w:val="none" w:sz="0" w:space="0" w:color="auto"/>
            <w:left w:val="none" w:sz="0" w:space="0" w:color="auto"/>
            <w:bottom w:val="none" w:sz="0" w:space="0" w:color="auto"/>
            <w:right w:val="none" w:sz="0" w:space="0" w:color="auto"/>
          </w:divBdr>
          <w:divsChild>
            <w:div w:id="1805271526">
              <w:marLeft w:val="0"/>
              <w:marRight w:val="0"/>
              <w:marTop w:val="0"/>
              <w:marBottom w:val="0"/>
              <w:divBdr>
                <w:top w:val="none" w:sz="0" w:space="0" w:color="auto"/>
                <w:left w:val="none" w:sz="0" w:space="0" w:color="auto"/>
                <w:bottom w:val="none" w:sz="0" w:space="0" w:color="auto"/>
                <w:right w:val="none" w:sz="0" w:space="0" w:color="auto"/>
              </w:divBdr>
              <w:divsChild>
                <w:div w:id="1148285706">
                  <w:marLeft w:val="0"/>
                  <w:marRight w:val="0"/>
                  <w:marTop w:val="0"/>
                  <w:marBottom w:val="0"/>
                  <w:divBdr>
                    <w:top w:val="none" w:sz="0" w:space="0" w:color="auto"/>
                    <w:left w:val="none" w:sz="0" w:space="0" w:color="auto"/>
                    <w:bottom w:val="none" w:sz="0" w:space="0" w:color="auto"/>
                    <w:right w:val="none" w:sz="0" w:space="0" w:color="auto"/>
                  </w:divBdr>
                  <w:divsChild>
                    <w:div w:id="1947032090">
                      <w:marLeft w:val="0"/>
                      <w:marRight w:val="0"/>
                      <w:marTop w:val="0"/>
                      <w:marBottom w:val="0"/>
                      <w:divBdr>
                        <w:top w:val="none" w:sz="0" w:space="0" w:color="auto"/>
                        <w:left w:val="none" w:sz="0" w:space="0" w:color="auto"/>
                        <w:bottom w:val="none" w:sz="0" w:space="0" w:color="auto"/>
                        <w:right w:val="none" w:sz="0" w:space="0" w:color="auto"/>
                      </w:divBdr>
                      <w:divsChild>
                        <w:div w:id="16143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348184">
          <w:marLeft w:val="0"/>
          <w:marRight w:val="0"/>
          <w:marTop w:val="0"/>
          <w:marBottom w:val="0"/>
          <w:divBdr>
            <w:top w:val="none" w:sz="0" w:space="0" w:color="auto"/>
            <w:left w:val="none" w:sz="0" w:space="0" w:color="auto"/>
            <w:bottom w:val="none" w:sz="0" w:space="0" w:color="auto"/>
            <w:right w:val="none" w:sz="0" w:space="0" w:color="auto"/>
          </w:divBdr>
        </w:div>
      </w:divsChild>
    </w:div>
    <w:div w:id="211053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93/jalm/jfae031"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doi.org/10.22376/ijlpr.2023.13.4.P52-P6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epa.gov/iris/iris-toxicity-assessments/iris-toxicological-review-hexavalent-chromium-final-report-2024"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doi.org/10.1111/nyas.14996" TargetMode="External"/><Relationship Id="rId20" Type="http://schemas.openxmlformats.org/officeDocument/2006/relationships/hyperlink" Target="https://doi.org/10.1787/9789264070707-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curtheres.2024.100737" TargetMode="External"/><Relationship Id="rId5" Type="http://schemas.openxmlformats.org/officeDocument/2006/relationships/webSettings" Target="webSettings.xml"/><Relationship Id="rId15" Type="http://schemas.openxmlformats.org/officeDocument/2006/relationships/hyperlink" Target="https://doi.org/10.1177/01926233221127942" TargetMode="External"/><Relationship Id="rId23" Type="http://schemas.openxmlformats.org/officeDocument/2006/relationships/hyperlink" Target="https://doi.org/10.37506/ijfmt.v15i2.14476" TargetMode="External"/><Relationship Id="rId28"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3390/livers304003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phyplu.2023.100405" TargetMode="External"/><Relationship Id="rId22" Type="http://schemas.openxmlformats.org/officeDocument/2006/relationships/hyperlink" Target="https://doi.org/10.1080/27697061.2024.2442615" TargetMode="External"/><Relationship Id="rId27" Type="http://schemas.openxmlformats.org/officeDocument/2006/relationships/footer" Target="foot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6CE49-9B3C-49DC-9E88-D6DD5C86E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111</TotalTime>
  <Pages>11</Pages>
  <Words>5624</Words>
  <Characters>32057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37606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16</cp:revision>
  <cp:lastPrinted>1999-07-06T11:00:00Z</cp:lastPrinted>
  <dcterms:created xsi:type="dcterms:W3CDTF">2026-09-12T06:01:00Z</dcterms:created>
  <dcterms:modified xsi:type="dcterms:W3CDTF">2026-09-12T12:47:00Z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a8601827-b323-475c-a8d7-be68486d9bc5</vt:lpwstr>
  </property>
</Properties>
</file>