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8083A" w14:textId="77777777" w:rsidR="00A258C3" w:rsidRPr="00790ADA" w:rsidRDefault="001C47BA" w:rsidP="00441B6F">
      <w:pPr>
        <w:pStyle w:val="Author"/>
        <w:spacing w:line="240" w:lineRule="auto"/>
        <w:jc w:val="both"/>
        <w:rPr>
          <w:rFonts w:ascii="Arial" w:hAnsi="Arial" w:cs="Arial"/>
          <w:sz w:val="36"/>
        </w:rPr>
      </w:pPr>
      <w:r w:rsidRPr="001C47BA">
        <w:rPr>
          <w:rFonts w:ascii="Arial" w:hAnsi="Arial" w:cs="Arial"/>
          <w:bCs/>
          <w:iCs/>
          <w:kern w:val="28"/>
          <w:sz w:val="36"/>
        </w:rPr>
        <w:t>Enhancing the Feed Value of Eichhornia crassipes Through Processing: Nutritional Composition, Anti-Nutritional Factors and In Vitro Protein Digestibility</w:t>
      </w:r>
    </w:p>
    <w:p w14:paraId="31ED47FB" w14:textId="77777777" w:rsidR="00A34D14" w:rsidRDefault="00A34D14" w:rsidP="00441B6F">
      <w:pPr>
        <w:pStyle w:val="Copyright"/>
        <w:spacing w:after="0" w:line="240" w:lineRule="auto"/>
        <w:jc w:val="both"/>
        <w:rPr>
          <w:rFonts w:ascii="Arial" w:hAnsi="Arial" w:cs="Arial"/>
        </w:rPr>
      </w:pPr>
    </w:p>
    <w:p w14:paraId="4FC28005" w14:textId="77777777" w:rsidR="00A34D14" w:rsidRDefault="00A34D14" w:rsidP="00441B6F">
      <w:pPr>
        <w:pStyle w:val="Copyright"/>
        <w:spacing w:after="0" w:line="240" w:lineRule="auto"/>
        <w:jc w:val="both"/>
        <w:rPr>
          <w:rFonts w:ascii="Arial" w:hAnsi="Arial" w:cs="Arial"/>
        </w:rPr>
      </w:pPr>
    </w:p>
    <w:p w14:paraId="65CE3C82" w14:textId="76EF2745" w:rsidR="00B01FCD" w:rsidRPr="00FB3A86" w:rsidRDefault="00F90D3C" w:rsidP="00441B6F">
      <w:pPr>
        <w:pStyle w:val="Copyright"/>
        <w:spacing w:after="0" w:line="240" w:lineRule="auto"/>
        <w:jc w:val="both"/>
        <w:rPr>
          <w:rFonts w:ascii="Arial" w:hAnsi="Arial" w:cs="Arial"/>
        </w:rPr>
        <w:sectPr w:rsidR="00B01FCD" w:rsidRPr="00FB3A86" w:rsidSect="0086141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953DEAC" wp14:editId="6192420D">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E38FE7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33F44329"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F90D3C">
        <w:rPr>
          <w:rFonts w:ascii="Arial" w:hAnsi="Arial" w:cs="Arial"/>
        </w:rPr>
        <w:t xml:space="preserve"> </w:t>
      </w:r>
    </w:p>
    <w:p w14:paraId="3CC14001" w14:textId="77777777" w:rsidR="0024282C" w:rsidRDefault="00F90D3C" w:rsidP="00441B6F">
      <w:pPr>
        <w:pStyle w:val="Body"/>
        <w:spacing w:after="0"/>
        <w:rPr>
          <w:rFonts w:ascii="Arial" w:hAnsi="Arial" w:cs="Arial"/>
          <w:i/>
          <w:sz w:val="18"/>
        </w:rPr>
      </w:pPr>
      <w:r>
        <w:t>Water hyacinth (</w:t>
      </w:r>
      <w:r>
        <w:rPr>
          <w:rStyle w:val="Emphasis"/>
        </w:rPr>
        <w:t>Eichhornia crassipes</w:t>
      </w:r>
      <w:r>
        <w:t xml:space="preserve">) is an aquatic plant with potential as livestock feed, but its utilization is constrained by </w:t>
      </w:r>
      <w:proofErr w:type="spellStart"/>
      <w:r>
        <w:t>fibre</w:t>
      </w:r>
      <w:proofErr w:type="spellEnd"/>
      <w:r>
        <w:t xml:space="preserve"> content and anti-nutritional factors. This study evaluated the effect of fermentation, boiling</w:t>
      </w:r>
      <w:r w:rsidR="00BE51F6">
        <w:t>,</w:t>
      </w:r>
      <w:r>
        <w:t xml:space="preserve"> and oven drying on the feed value of </w:t>
      </w:r>
      <w:r>
        <w:rPr>
          <w:rStyle w:val="Emphasis"/>
        </w:rPr>
        <w:t>Eichhornia crassipes</w:t>
      </w:r>
      <w:r>
        <w:t xml:space="preserve"> based on the nutritional composition, anti-nutritional factors</w:t>
      </w:r>
      <w:r w:rsidR="00BE51F6">
        <w:t>,</w:t>
      </w:r>
      <w:r>
        <w:t xml:space="preserve"> and in-vitro protein digestibility following sequential pepsin-pancreatin digestion. The data were analyzed using one-way Analysis of Variance (ANOVA), and significant differences were separated using Tukey’s HSD test at (</w:t>
      </w:r>
      <w:r>
        <w:rPr>
          <w:rStyle w:val="Emphasis"/>
        </w:rPr>
        <w:t>p</w:t>
      </w:r>
      <w:r>
        <w:t xml:space="preserve"> &lt; 0.05). Processing significantly altered the nutritional and anti-nutritional characteristics of the plant, except oxalate. Oven drying preserved protein (46.93 ± 0.58%) and nitrogen (7.51 ± 0.09%) contents among the processed samples, while fermentation produced </w:t>
      </w:r>
      <w:r w:rsidR="00BE51F6">
        <w:t>a</w:t>
      </w:r>
      <w:r>
        <w:t xml:space="preserve"> reduction in crude </w:t>
      </w:r>
      <w:proofErr w:type="spellStart"/>
      <w:r>
        <w:t>fibre</w:t>
      </w:r>
      <w:proofErr w:type="spellEnd"/>
      <w:r>
        <w:t xml:space="preserve"> (31.70 ± 0.26%) and phytate (7.91 ± 0.08 µg/mL) and retained the highest free amino acid content among the processed samples (270.62 ± 0.35 mg/L). Boiling was most effective in reducing tannins (24.58 ± 0.32 mg/mL) and cyanogenic glycosides (36.34 ± 0.33 mg/100g). Importantly, fermentation produced the highest in-vitro protein digestibility after sequential pepsin-pancreatin digestion (74.63 ± 0.82%) compared with the control (57.26 ± 0.73%). Oxalate was not detected in the processed samples. The correlation demonstrated negative associations between the anti-nutritional factors and final pepsin-pancreatin protein digestion across the treatment groups</w:t>
      </w:r>
      <w:r w:rsidR="00BE51F6">
        <w:t>,</w:t>
      </w:r>
      <w:r>
        <w:t xml:space="preserve"> which </w:t>
      </w:r>
      <w:r w:rsidR="00BE51F6">
        <w:t>suggests</w:t>
      </w:r>
      <w:r>
        <w:t xml:space="preserve"> that reductions in anti-nutritional factors following processing may be associated with improved protein accessibility and susceptibility to enzymatic digestion. The findings of this study demonstrate that processing improves different components of the feed value of </w:t>
      </w:r>
      <w:r>
        <w:rPr>
          <w:rStyle w:val="Emphasis"/>
        </w:rPr>
        <w:t>Eichhornia crassipes</w:t>
      </w:r>
      <w:r>
        <w:t xml:space="preserve">, although no single treatment was optimal for all parameters. Oven drying was most suitable for preserving protein and nitrogen, fermentation for improving </w:t>
      </w:r>
      <w:proofErr w:type="spellStart"/>
      <w:r>
        <w:t>fibre</w:t>
      </w:r>
      <w:proofErr w:type="spellEnd"/>
      <w:r>
        <w:t xml:space="preserve"> characteristics, retaining free amino acids, phytate reduction</w:t>
      </w:r>
      <w:r w:rsidR="00BE51F6">
        <w:t>,</w:t>
      </w:r>
      <w:r>
        <w:t xml:space="preserve"> and protein digestibility, and boiling for reducing tannins and cyanogenic </w:t>
      </w:r>
      <w:r w:rsidR="00BE51F6">
        <w:t>glycoside</w:t>
      </w:r>
      <w:r>
        <w:t xml:space="preserve"> levels.</w:t>
      </w:r>
    </w:p>
    <w:p w14:paraId="5CC14479" w14:textId="77777777"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7D6CB530" w14:textId="77777777" w:rsidR="0040444D" w:rsidRDefault="0040444D" w:rsidP="0040444D">
      <w:pPr>
        <w:spacing w:line="480" w:lineRule="auto"/>
        <w:jc w:val="both"/>
        <w:rPr>
          <w:rFonts w:ascii="Times New Roman" w:hAnsi="Times New Roman"/>
        </w:rPr>
      </w:pPr>
      <w:r>
        <w:rPr>
          <w:rFonts w:ascii="Times New Roman" w:hAnsi="Times New Roman"/>
        </w:rPr>
        <w:t xml:space="preserve">The rapid growth of the global human population, increasing competition for conventional feed resources, and the rising cost of livestock production have intensified the search for alternative feed ingredients that are inexpensive, readily available, nutritionally valuable, and environmentally sustainable (Yan </w:t>
      </w:r>
      <w:r>
        <w:rPr>
          <w:rFonts w:ascii="Times New Roman" w:hAnsi="Times New Roman"/>
          <w:i/>
        </w:rPr>
        <w:t>et al.,</w:t>
      </w:r>
      <w:r>
        <w:rPr>
          <w:rFonts w:ascii="Times New Roman" w:hAnsi="Times New Roman"/>
        </w:rPr>
        <w:t xml:space="preserve"> 2017). Feed accounts for a substantial proportion of the total cost of livestock production, and the dependence on conventional feedstuffs such as maize, soybean meal, and other cereal grains has continued to place pressure on the livestock industry. Also, researchers have increasingly focused on unconventional plant resources that can supplement or partially replace conventional feed ingredients without compromising animal performance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w:t>
      </w:r>
    </w:p>
    <w:p w14:paraId="4E6FED78" w14:textId="77777777" w:rsidR="0040444D" w:rsidRDefault="0040444D" w:rsidP="0040444D">
      <w:pPr>
        <w:spacing w:line="480" w:lineRule="auto"/>
        <w:jc w:val="both"/>
        <w:rPr>
          <w:rFonts w:ascii="Times New Roman" w:hAnsi="Times New Roman"/>
        </w:rPr>
      </w:pPr>
      <w:r>
        <w:rPr>
          <w:rFonts w:ascii="Times New Roman" w:hAnsi="Times New Roman"/>
        </w:rPr>
        <w:t xml:space="preserve">Among the unconventional feed resources receiving considerable attention is </w:t>
      </w:r>
      <w:r>
        <w:rPr>
          <w:rFonts w:ascii="Times New Roman" w:hAnsi="Times New Roman"/>
          <w:i/>
        </w:rPr>
        <w:t>Eichhornia crassipes</w:t>
      </w:r>
      <w:r>
        <w:rPr>
          <w:rFonts w:ascii="Times New Roman" w:hAnsi="Times New Roman"/>
        </w:rPr>
        <w:t xml:space="preserve">, commonly known as water hyacinth. Water hyacinth is a free-floating perennial aquatic macrophyte belonging to the family </w:t>
      </w:r>
      <w:proofErr w:type="spellStart"/>
      <w:r>
        <w:rPr>
          <w:rFonts w:ascii="Times New Roman" w:hAnsi="Times New Roman"/>
          <w:i/>
        </w:rPr>
        <w:t>Pontederiaceae</w:t>
      </w:r>
      <w:proofErr w:type="spellEnd"/>
      <w:r>
        <w:rPr>
          <w:rFonts w:ascii="Times New Roman" w:hAnsi="Times New Roman"/>
          <w:i/>
        </w:rPr>
        <w:t xml:space="preserve"> </w:t>
      </w:r>
      <w:r>
        <w:rPr>
          <w:rFonts w:ascii="Times New Roman" w:hAnsi="Times New Roman"/>
        </w:rPr>
        <w:t>(Al-</w:t>
      </w:r>
      <w:proofErr w:type="spellStart"/>
      <w:r>
        <w:rPr>
          <w:rFonts w:ascii="Times New Roman" w:hAnsi="Times New Roman"/>
        </w:rPr>
        <w:t>Snafi</w:t>
      </w:r>
      <w:proofErr w:type="spellEnd"/>
      <w:r>
        <w:rPr>
          <w:rFonts w:ascii="Times New Roman" w:hAnsi="Times New Roman"/>
        </w:rPr>
        <w:t xml:space="preserve">, 2022).  Native to the Amazon Basin of South America, the plant has spread rapidly throughout tropical and subtropical regions of the world, including many African countries such as Nigeria, Ghana, Kenya, Uganda, Ethiopia, Zimbabwe, and South Africa. Owing to its remarkable adaptability and extremely rapid vegetative reproduction, water hyacinth has been recognized as one of the world’s most invasive aquatic plant (Zhang </w:t>
      </w:r>
      <w:r>
        <w:rPr>
          <w:rFonts w:ascii="Times New Roman" w:hAnsi="Times New Roman"/>
          <w:i/>
        </w:rPr>
        <w:t>et al.,</w:t>
      </w:r>
      <w:r>
        <w:rPr>
          <w:rFonts w:ascii="Times New Roman" w:hAnsi="Times New Roman"/>
        </w:rPr>
        <w:t xml:space="preserve"> 2022). The uncontrolled proliferation of water hyacinth poses serious ecological, economic, and social challenges as dense </w:t>
      </w:r>
      <w:r>
        <w:rPr>
          <w:rFonts w:ascii="Times New Roman" w:hAnsi="Times New Roman"/>
        </w:rPr>
        <w:lastRenderedPageBreak/>
        <w:t xml:space="preserve">mats formed by the plant obstruct waterways, interfere with navigation, reduce water quality, impede fishing activities, block irrigation canals, and decreases biodiversity by limiting light penetration and dissolved oxygen levels in aquatic ecosystems (Yan </w:t>
      </w:r>
      <w:r>
        <w:rPr>
          <w:rFonts w:ascii="Times New Roman" w:hAnsi="Times New Roman"/>
          <w:i/>
        </w:rPr>
        <w:t>et al.,</w:t>
      </w:r>
      <w:r>
        <w:rPr>
          <w:rFonts w:ascii="Times New Roman" w:hAnsi="Times New Roman"/>
        </w:rPr>
        <w:t xml:space="preserve"> 2017). Furthermore, the plant provides breeding habitats for disease vectors such as mosquitoes and snails, thereby contributing to public health concerns (Al-</w:t>
      </w:r>
      <w:proofErr w:type="spellStart"/>
      <w:r>
        <w:rPr>
          <w:rFonts w:ascii="Times New Roman" w:hAnsi="Times New Roman"/>
        </w:rPr>
        <w:t>Snafi</w:t>
      </w:r>
      <w:proofErr w:type="spellEnd"/>
      <w:r>
        <w:rPr>
          <w:rFonts w:ascii="Times New Roman" w:hAnsi="Times New Roman"/>
        </w:rPr>
        <w:t xml:space="preserve">, 2022). Rajan </w:t>
      </w:r>
      <w:r>
        <w:rPr>
          <w:rFonts w:ascii="Times New Roman" w:hAnsi="Times New Roman"/>
          <w:i/>
        </w:rPr>
        <w:t>et al.,</w:t>
      </w:r>
      <w:r>
        <w:rPr>
          <w:rFonts w:ascii="Times New Roman" w:hAnsi="Times New Roman"/>
        </w:rPr>
        <w:t xml:space="preserve"> (2023); </w:t>
      </w:r>
      <w:proofErr w:type="spellStart"/>
      <w:r>
        <w:rPr>
          <w:rFonts w:ascii="Times New Roman" w:hAnsi="Times New Roman"/>
        </w:rPr>
        <w:t>Nandiyanto</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(2024) also described the plant as a valuable agricultural resource when properly utilized, while </w:t>
      </w:r>
      <w:r w:rsidRPr="0040444D">
        <w:rPr>
          <w:rStyle w:val="Strong"/>
          <w:rFonts w:eastAsiaTheme="majorEastAsia"/>
          <w:b w:val="0"/>
        </w:rPr>
        <w:t>Patel (2012),</w:t>
      </w:r>
      <w:r>
        <w:rPr>
          <w:rFonts w:ascii="Times New Roman" w:hAnsi="Times New Roman"/>
        </w:rPr>
        <w:t xml:space="preserve"> emphasized that its abundant biomass can be converted into useful livestock feed rather than remaining an environmental nuisance.</w:t>
      </w:r>
    </w:p>
    <w:p w14:paraId="36F5F853" w14:textId="77777777" w:rsidR="0040444D" w:rsidRDefault="0040444D" w:rsidP="0040444D">
      <w:pPr>
        <w:spacing w:line="480" w:lineRule="auto"/>
        <w:jc w:val="both"/>
        <w:rPr>
          <w:rFonts w:ascii="Times New Roman" w:hAnsi="Times New Roman"/>
        </w:rPr>
      </w:pPr>
      <w:r>
        <w:rPr>
          <w:rFonts w:ascii="Times New Roman" w:hAnsi="Times New Roman"/>
        </w:rPr>
        <w:t xml:space="preserve">Despite its invasive nature, water hyacinth possesses several characteristics that make it attractive as a potential livestock feed resource. The plant produces enormous quantities of biomass within a short period and is available throughout most of the year in freshwater ecosystems (Zhang </w:t>
      </w:r>
      <w:r>
        <w:rPr>
          <w:rFonts w:ascii="Times New Roman" w:hAnsi="Times New Roman"/>
          <w:i/>
        </w:rPr>
        <w:t>et al.,</w:t>
      </w:r>
      <w:r>
        <w:rPr>
          <w:rFonts w:ascii="Times New Roman" w:hAnsi="Times New Roman"/>
        </w:rPr>
        <w:t xml:space="preserve"> 2022). The study of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 have shown that its dry matter contains appreciable amounts of crude protein, minerals, essential amino acids, and structural carbohydrates, indicating its potential nutritional value for ruminants and non-ruminant animals when properly processed and incorporated into balanced diets. However, the direct utilization of fresh water hyacinth as animal feed is limited by several factors as the plant contains high moisture content, relatively high </w:t>
      </w:r>
      <w:proofErr w:type="spellStart"/>
      <w:r>
        <w:rPr>
          <w:rFonts w:ascii="Times New Roman" w:hAnsi="Times New Roman"/>
        </w:rPr>
        <w:t>fibre</w:t>
      </w:r>
      <w:proofErr w:type="spellEnd"/>
      <w:r>
        <w:rPr>
          <w:rFonts w:ascii="Times New Roman" w:hAnsi="Times New Roman"/>
        </w:rPr>
        <w:t xml:space="preserve"> fractions, variable nitrogen concentration, and several anti-nutritional compounds that reduce nutrient digestibility, palatability, and voluntary feed intake (Al-</w:t>
      </w:r>
      <w:proofErr w:type="spellStart"/>
      <w:r>
        <w:rPr>
          <w:rFonts w:ascii="Times New Roman" w:hAnsi="Times New Roman"/>
        </w:rPr>
        <w:t>Snafi</w:t>
      </w:r>
      <w:proofErr w:type="spellEnd"/>
      <w:r>
        <w:rPr>
          <w:rFonts w:ascii="Times New Roman" w:hAnsi="Times New Roman"/>
        </w:rPr>
        <w:t>, 2022). In addition, because water hyacinth readily absorbs minerals, heavy metals, and other contaminants from polluted water bodies, the safety and nutritional quality of harvested plants depend largely on their source and subsequent processing methods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w:t>
      </w:r>
    </w:p>
    <w:p w14:paraId="154458EE" w14:textId="77777777" w:rsidR="0040444D" w:rsidRDefault="0040444D" w:rsidP="0040444D">
      <w:pPr>
        <w:spacing w:line="480" w:lineRule="auto"/>
        <w:jc w:val="both"/>
        <w:rPr>
          <w:rFonts w:ascii="Times New Roman" w:hAnsi="Times New Roman"/>
        </w:rPr>
      </w:pPr>
      <w:r>
        <w:rPr>
          <w:rFonts w:ascii="Times New Roman" w:hAnsi="Times New Roman"/>
        </w:rPr>
        <w:t xml:space="preserve">Processing has therefore become an important strategy for improving the feeding value of water hyacinth. Various processing techniques including sun-drying, oven-drying, ensiling, fermentation, chopping, grinding, and chemical or biological treatments have been investigated to improve nutrient availability while reducing moisture content, </w:t>
      </w:r>
      <w:proofErr w:type="spellStart"/>
      <w:r>
        <w:rPr>
          <w:rFonts w:ascii="Times New Roman" w:hAnsi="Times New Roman"/>
        </w:rPr>
        <w:t>fibre</w:t>
      </w:r>
      <w:proofErr w:type="spellEnd"/>
      <w:r>
        <w:rPr>
          <w:rFonts w:ascii="Times New Roman" w:hAnsi="Times New Roman"/>
        </w:rPr>
        <w:t xml:space="preserve"> fractions, and anti-nutritional factors. Thus, proper processing enhances storage stability, improves digestibility, increases palatability, and facilitates the incorporation of water hyacinth into formulated livestock feeds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w:t>
      </w:r>
    </w:p>
    <w:p w14:paraId="7A144E97" w14:textId="77777777" w:rsidR="0040444D" w:rsidRDefault="0040444D" w:rsidP="0040444D">
      <w:pPr>
        <w:spacing w:line="480" w:lineRule="auto"/>
        <w:jc w:val="both"/>
        <w:rPr>
          <w:rFonts w:ascii="Times New Roman" w:hAnsi="Times New Roman"/>
        </w:rPr>
      </w:pPr>
      <w:r>
        <w:rPr>
          <w:rFonts w:ascii="Times New Roman" w:hAnsi="Times New Roman"/>
        </w:rPr>
        <w:t>Nitrogen content is an important indicator of the protein value of feed materials because nitrogen serves as the principal component of amino acids and proteins required for growth, tissue development, enzyme synthesis, and numerous metabolic processes in animals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 Also, nitrogen concentration is commonly used to estimate crude protein using the conversion factor (6.25). However, total nitrogen does not necessarily represent true protein because nitrogen may occur as proteins, peptides, free amino acids, and other non-protein nitrogenous compounds. Consequently, determination of total nitrogen alone may provide an incomplete assessment of the protein value of water hyacinth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w:t>
      </w:r>
    </w:p>
    <w:p w14:paraId="7817F688" w14:textId="77777777" w:rsidR="0040444D" w:rsidRDefault="0040444D" w:rsidP="0040444D">
      <w:pPr>
        <w:spacing w:line="480" w:lineRule="auto"/>
        <w:jc w:val="both"/>
        <w:rPr>
          <w:rFonts w:ascii="Times New Roman" w:hAnsi="Times New Roman"/>
        </w:rPr>
      </w:pPr>
      <w:r>
        <w:rPr>
          <w:rFonts w:ascii="Times New Roman" w:hAnsi="Times New Roman"/>
        </w:rPr>
        <w:t>Similarly, free amino acids influence protein quality and determine the biological value of feed ingredients by supplying readily available building blocks for protein synthesis. Also, Amino acids are required for tissue synthesis, enzyme production, immune functions, and other physiological processes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2025).</w:t>
      </w:r>
    </w:p>
    <w:p w14:paraId="4A59AD07" w14:textId="77777777" w:rsidR="0040444D" w:rsidRDefault="0040444D" w:rsidP="0040444D">
      <w:pPr>
        <w:spacing w:line="480" w:lineRule="auto"/>
        <w:jc w:val="both"/>
        <w:rPr>
          <w:rFonts w:ascii="Times New Roman" w:hAnsi="Times New Roman"/>
        </w:rPr>
      </w:pPr>
      <w:proofErr w:type="spellStart"/>
      <w:r>
        <w:rPr>
          <w:rFonts w:ascii="Times New Roman" w:hAnsi="Times New Roman"/>
        </w:rPr>
        <w:lastRenderedPageBreak/>
        <w:t>Fibre</w:t>
      </w:r>
      <w:proofErr w:type="spellEnd"/>
      <w:r>
        <w:rPr>
          <w:rFonts w:ascii="Times New Roman" w:hAnsi="Times New Roman"/>
        </w:rPr>
        <w:t xml:space="preserve"> content also plays a critical role in determining the nutritional quality of feed resources. Although structural carbohydrates such as cellulose and hemicellulose are beneficial to ruminants in moderate quantities, excessive </w:t>
      </w:r>
      <w:proofErr w:type="spellStart"/>
      <w:r>
        <w:rPr>
          <w:rFonts w:ascii="Times New Roman" w:hAnsi="Times New Roman"/>
        </w:rPr>
        <w:t>fibre</w:t>
      </w:r>
      <w:proofErr w:type="spellEnd"/>
      <w:r>
        <w:rPr>
          <w:rFonts w:ascii="Times New Roman" w:hAnsi="Times New Roman"/>
        </w:rPr>
        <w:t xml:space="preserve"> reduces feed digestibility, nutrient utilization, and energy availability (Yan </w:t>
      </w:r>
      <w:r>
        <w:rPr>
          <w:rFonts w:ascii="Times New Roman" w:hAnsi="Times New Roman"/>
          <w:i/>
        </w:rPr>
        <w:t>et al.,</w:t>
      </w:r>
      <w:r>
        <w:rPr>
          <w:rFonts w:ascii="Times New Roman" w:hAnsi="Times New Roman"/>
        </w:rPr>
        <w:t xml:space="preserve"> 2017). Also, Plant cell-wall components, particularly neutral detergent </w:t>
      </w:r>
      <w:proofErr w:type="spellStart"/>
      <w:r>
        <w:rPr>
          <w:rFonts w:ascii="Times New Roman" w:hAnsi="Times New Roman"/>
        </w:rPr>
        <w:t>fibre</w:t>
      </w:r>
      <w:proofErr w:type="spellEnd"/>
      <w:r>
        <w:rPr>
          <w:rFonts w:ascii="Times New Roman" w:hAnsi="Times New Roman"/>
        </w:rPr>
        <w:t xml:space="preserve"> (NDF), acid detergent </w:t>
      </w:r>
      <w:proofErr w:type="spellStart"/>
      <w:r>
        <w:rPr>
          <w:rFonts w:ascii="Times New Roman" w:hAnsi="Times New Roman"/>
        </w:rPr>
        <w:t>fibre</w:t>
      </w:r>
      <w:proofErr w:type="spellEnd"/>
      <w:r>
        <w:rPr>
          <w:rFonts w:ascii="Times New Roman" w:hAnsi="Times New Roman"/>
        </w:rPr>
        <w:t xml:space="preserve"> (ADF) and acid detergent lignin (ADL), can influence feed intake and nutrient digestibility. Lignin is particularly resistant to enzymatic degradation and can restrict the accessibility of other nutrients within plant tissues (Yan </w:t>
      </w:r>
      <w:r>
        <w:rPr>
          <w:rFonts w:ascii="Times New Roman" w:hAnsi="Times New Roman"/>
          <w:i/>
        </w:rPr>
        <w:t>et al.,</w:t>
      </w:r>
      <w:r>
        <w:rPr>
          <w:rFonts w:ascii="Times New Roman" w:hAnsi="Times New Roman"/>
        </w:rPr>
        <w:t xml:space="preserve"> 2017).</w:t>
      </w:r>
    </w:p>
    <w:p w14:paraId="6D4FB57D" w14:textId="77777777" w:rsidR="0040444D" w:rsidRDefault="0040444D" w:rsidP="0040444D">
      <w:pPr>
        <w:spacing w:line="480" w:lineRule="auto"/>
        <w:jc w:val="both"/>
        <w:rPr>
          <w:rFonts w:ascii="Times New Roman" w:hAnsi="Times New Roman"/>
        </w:rPr>
      </w:pPr>
      <w:r>
        <w:rPr>
          <w:rFonts w:ascii="Times New Roman" w:hAnsi="Times New Roman"/>
        </w:rPr>
        <w:t xml:space="preserve"> Another major limitation to the utilization of water hyacinth is the presence of anti-nutritional factors such as tannins, oxalates, phytates, saponins, and alkaloids. These compounds interfere with nutrient digestion and mineral bioavailability and may adversely affect animal health when consumed in excessive quantities. Appropriate processing techniques have been shown to reduce the concentration of these anti-nutritional constituents, thereby improving the nutritional quality and safety of the plant for livestock feeding (Al-Snafi, 2022). However, crude protein concentration and conventional chemical composition do not provide complete information about the availability of protein to Livestock. A feed ingredient may contain substantial protein but have relatively poor protein digestibility because of </w:t>
      </w:r>
      <w:proofErr w:type="spellStart"/>
      <w:r>
        <w:rPr>
          <w:rFonts w:ascii="Times New Roman" w:hAnsi="Times New Roman"/>
        </w:rPr>
        <w:t>fibre</w:t>
      </w:r>
      <w:proofErr w:type="spellEnd"/>
      <w:r>
        <w:rPr>
          <w:rFonts w:ascii="Times New Roman" w:hAnsi="Times New Roman"/>
        </w:rPr>
        <w:t>-protein interactions, protein structure or anti-nutritional compounds (Al-</w:t>
      </w:r>
      <w:proofErr w:type="spellStart"/>
      <w:r>
        <w:rPr>
          <w:rFonts w:ascii="Times New Roman" w:hAnsi="Times New Roman"/>
        </w:rPr>
        <w:t>Snafi</w:t>
      </w:r>
      <w:proofErr w:type="spellEnd"/>
      <w:r>
        <w:rPr>
          <w:rFonts w:ascii="Times New Roman" w:hAnsi="Times New Roman"/>
        </w:rPr>
        <w:t>, 2022).</w:t>
      </w:r>
    </w:p>
    <w:p w14:paraId="25F27559" w14:textId="77777777" w:rsidR="00790ADA" w:rsidRPr="00FB3A86" w:rsidRDefault="0040444D" w:rsidP="0040444D">
      <w:pPr>
        <w:pStyle w:val="Body"/>
        <w:spacing w:after="0"/>
        <w:rPr>
          <w:rFonts w:ascii="Arial" w:hAnsi="Arial" w:cs="Arial"/>
        </w:rPr>
      </w:pPr>
      <w:r>
        <w:rPr>
          <w:rFonts w:ascii="Times New Roman" w:hAnsi="Times New Roman"/>
        </w:rPr>
        <w:t xml:space="preserve">In-vitro digestion techniques provide a useful method for evaluating the susceptibility of food or feed proteins to gastrointestinal enzymes. Thus, a sequential </w:t>
      </w:r>
      <w:r>
        <w:rPr>
          <w:rFonts w:ascii="Times New Roman" w:hAnsi="Times New Roman"/>
          <w:bCs/>
        </w:rPr>
        <w:t>pepsin-pancreatin digestion</w:t>
      </w:r>
      <w:r>
        <w:rPr>
          <w:rFonts w:ascii="Times New Roman" w:hAnsi="Times New Roman"/>
          <w:b/>
          <w:bCs/>
        </w:rPr>
        <w:t xml:space="preserve"> </w:t>
      </w:r>
      <w:r>
        <w:rPr>
          <w:rFonts w:ascii="Times New Roman" w:hAnsi="Times New Roman"/>
          <w:bCs/>
        </w:rPr>
        <w:t>system</w:t>
      </w:r>
      <w:r>
        <w:rPr>
          <w:rFonts w:ascii="Times New Roman" w:hAnsi="Times New Roman"/>
        </w:rPr>
        <w:t xml:space="preserve"> can simulate the major stages of gastrointestinal protein digestion. Pepsin is used under acidic conditions to represent gastric digestion, while pancreatin is subsequently used under near-neutral or mildly alkaline conditions to represent intestinal digestion. Such sequential digestion systems have been used in studies of plant protein digestibility (</w:t>
      </w:r>
      <w:proofErr w:type="spellStart"/>
      <w:r>
        <w:rPr>
          <w:rFonts w:ascii="Times New Roman" w:hAnsi="Times New Roman"/>
        </w:rPr>
        <w:t>Opazo</w:t>
      </w:r>
      <w:proofErr w:type="spellEnd"/>
      <w:r>
        <w:rPr>
          <w:rFonts w:ascii="Times New Roman" w:hAnsi="Times New Roman"/>
        </w:rPr>
        <w:t xml:space="preserve">-Navarrete </w:t>
      </w:r>
      <w:r>
        <w:rPr>
          <w:rFonts w:ascii="Times New Roman" w:hAnsi="Times New Roman"/>
          <w:i/>
        </w:rPr>
        <w:t xml:space="preserve">et al., </w:t>
      </w:r>
      <w:r>
        <w:rPr>
          <w:rFonts w:ascii="Times New Roman" w:hAnsi="Times New Roman"/>
        </w:rPr>
        <w:t>2025). The inclusion of in-vitro digestibility in this study therefore provides an important improvement, as it allows the investigation to determine not only whether processing changes the amount of protein present but also whether the protein becomes more accessible to digestive enzymes. This study will consequently evaluate the effects of selected processing methods on the feed value of water hyacinth by determining changes in the nutritional composition, anti-nutritional factors, and in-vitro protein digestibility following sequential pepsin-pancreatin digestion.</w:t>
      </w:r>
    </w:p>
    <w:p w14:paraId="618C9166" w14:textId="55367FE1"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68B2ED7D" w14:textId="77777777" w:rsidR="0040444D" w:rsidRPr="002B75CF" w:rsidRDefault="0040444D" w:rsidP="0040444D">
      <w:pPr>
        <w:jc w:val="both"/>
        <w:rPr>
          <w:rFonts w:ascii="Times New Roman" w:hAnsi="Times New Roman"/>
          <w:bCs/>
        </w:rPr>
      </w:pPr>
      <w:r w:rsidRPr="002B75CF">
        <w:rPr>
          <w:rFonts w:ascii="Times New Roman" w:hAnsi="Times New Roman"/>
          <w:bCs/>
        </w:rPr>
        <w:t>Materials</w:t>
      </w:r>
    </w:p>
    <w:p w14:paraId="334DC2C8" w14:textId="77777777" w:rsidR="0040444D" w:rsidRPr="002B75CF" w:rsidRDefault="0040444D" w:rsidP="0040444D">
      <w:pPr>
        <w:jc w:val="both"/>
        <w:rPr>
          <w:rFonts w:ascii="Times New Roman" w:hAnsi="Times New Roman"/>
          <w:bCs/>
        </w:rPr>
      </w:pPr>
      <w:r w:rsidRPr="002B75CF">
        <w:rPr>
          <w:rFonts w:ascii="Times New Roman" w:hAnsi="Times New Roman"/>
          <w:bCs/>
        </w:rPr>
        <w:t>Chemicals and Reagents</w:t>
      </w:r>
    </w:p>
    <w:p w14:paraId="49363B7C" w14:textId="77777777" w:rsidR="0040444D" w:rsidRDefault="0040444D" w:rsidP="0040444D">
      <w:pPr>
        <w:pStyle w:val="NormalWeb"/>
        <w:spacing w:before="0" w:beforeAutospacing="0" w:line="480" w:lineRule="auto"/>
        <w:jc w:val="both"/>
      </w:pPr>
      <w:r>
        <w:t>All chemicals and reagents used in this study were of analytical grade and were used without further purification. The reagents used include Concentrated sulfuric acid (H</w:t>
      </w:r>
      <w:r>
        <w:rPr>
          <w:vertAlign w:val="subscript"/>
        </w:rPr>
        <w:t>2</w:t>
      </w:r>
      <w:r>
        <w:t>SO</w:t>
      </w:r>
      <w:r>
        <w:rPr>
          <w:vertAlign w:val="subscript"/>
        </w:rPr>
        <w:t>4</w:t>
      </w:r>
      <w:r>
        <w:t>), Sodium hydroxide (NaOH), Boric acid solution, Hydrochloric acid (HCl), Potassium permanganate (KMnO</w:t>
      </w:r>
      <w:r>
        <w:rPr>
          <w:vertAlign w:val="subscript"/>
        </w:rPr>
        <w:t>4</w:t>
      </w:r>
      <w:r>
        <w:t>), Ethanol, Silver nitrate (AgNo</w:t>
      </w:r>
      <w:r>
        <w:rPr>
          <w:vertAlign w:val="subscript"/>
        </w:rPr>
        <w:t>3</w:t>
      </w:r>
      <w:r>
        <w:t>), Acetone, Sodium carbonate (Na</w:t>
      </w:r>
      <w:r>
        <w:rPr>
          <w:vertAlign w:val="subscript"/>
        </w:rPr>
        <w:t>2</w:t>
      </w:r>
      <w:r>
        <w:t>Co</w:t>
      </w:r>
      <w:r>
        <w:rPr>
          <w:vertAlign w:val="subscript"/>
        </w:rPr>
        <w:t>3</w:t>
      </w:r>
      <w:r>
        <w:t>), Ammonium hydroxide, Folin-Denis reagent, Ninhydrin reagent, Phenolphthalein indicator, Mixed indicator (bromocresol green and methyl red), Glacial acetic acid, Calcium chloride (CaCl</w:t>
      </w:r>
      <w:r>
        <w:rPr>
          <w:vertAlign w:val="subscript"/>
        </w:rPr>
        <w:t>2</w:t>
      </w:r>
      <w:r>
        <w:t>), Potassium iodide (KI), Catalyst mixtures (Na</w:t>
      </w:r>
      <w:r>
        <w:rPr>
          <w:vertAlign w:val="subscript"/>
        </w:rPr>
        <w:t>2</w:t>
      </w:r>
      <w:r>
        <w:t>SO</w:t>
      </w:r>
      <w:r>
        <w:rPr>
          <w:vertAlign w:val="subscript"/>
        </w:rPr>
        <w:t>4</w:t>
      </w:r>
      <w:r>
        <w:t xml:space="preserve"> and CuSO</w:t>
      </w:r>
      <w:r>
        <w:rPr>
          <w:vertAlign w:val="subscript"/>
        </w:rPr>
        <w:t>4</w:t>
      </w:r>
      <w:r>
        <w:t xml:space="preserve">), Buffer solution (sodium citrate and citric acid), Distilled water, </w:t>
      </w:r>
      <w:r>
        <w:rPr>
          <w:rFonts w:eastAsia="Calibri"/>
        </w:rPr>
        <w:t>De-ionized water</w:t>
      </w:r>
      <w:r>
        <w:t>, Tannic acid, Leucine, N-butanol, Wade Reagent, N-propanol, Acid detergent solution, Neutral detergent solution, sodium-</w:t>
      </w:r>
      <w:proofErr w:type="spellStart"/>
      <w:r>
        <w:t>sulphite</w:t>
      </w:r>
      <w:proofErr w:type="spellEnd"/>
      <w:r>
        <w:t>, heat-stable α-amylase, Pepsin, Pancreatin.</w:t>
      </w:r>
    </w:p>
    <w:p w14:paraId="4094F32A" w14:textId="77777777" w:rsidR="0040444D" w:rsidRPr="002B75CF" w:rsidRDefault="0040444D" w:rsidP="0040444D">
      <w:pPr>
        <w:pStyle w:val="NormalWeb"/>
        <w:spacing w:before="240" w:beforeAutospacing="0"/>
        <w:jc w:val="both"/>
      </w:pPr>
      <w:proofErr w:type="spellStart"/>
      <w:r w:rsidRPr="002B75CF">
        <w:rPr>
          <w:bCs/>
        </w:rPr>
        <w:t>Equipments</w:t>
      </w:r>
      <w:proofErr w:type="spellEnd"/>
      <w:r w:rsidRPr="002B75CF">
        <w:rPr>
          <w:bCs/>
        </w:rPr>
        <w:t xml:space="preserve"> and Apparatus</w:t>
      </w:r>
    </w:p>
    <w:p w14:paraId="2D417A69" w14:textId="77777777" w:rsidR="0040444D" w:rsidRDefault="0040444D" w:rsidP="0040444D">
      <w:pPr>
        <w:pStyle w:val="NormalWeb"/>
        <w:spacing w:before="0" w:beforeAutospacing="0" w:after="0" w:afterAutospacing="0" w:line="480" w:lineRule="auto"/>
        <w:jc w:val="both"/>
      </w:pPr>
      <w:r>
        <w:lastRenderedPageBreak/>
        <w:t xml:space="preserve">Cutlasses, Gloves, Polythene bags, Buckets, Analytical balance, Washing containers, Drying trays, Hot air oven (DHG-9053A Electric Thermostatic Drying Oven, Shanghai Yiheng Scientific Instrument Co., China), Electrical blender (BLG-450 Blender, </w:t>
      </w:r>
      <w:proofErr w:type="spellStart"/>
      <w:r>
        <w:t>Binatone</w:t>
      </w:r>
      <w:proofErr w:type="spellEnd"/>
      <w:r>
        <w:t xml:space="preserve"> Electronics International Ltd.), Sieve, Stainless steel pots, Hot plates, Gas burners, Thermometer, Fume cupboard, Fermentation containers (plastic buckets), Kjeldahl digestion and distillation unit, UV-Visible Spectrophotometer (UV-1800, Shimadzu Corporation, Japan), Centrifuge (80-2B Centrifuge, Changsha Xiangyi Centrifuge Instrument Co., China), Water bath, pH meter, Muffle furnace, Desiccator, Crucibles, Litmus paper, Test tubes, Volumetric flasks, Measuring cylinder, Burettes, Conical flasks, Round bottom flask, Digestion flask, Reflux apparatus, Retort stand, Heating mantle, Beakers, Pipettes, Reflux apparatus, Filter papers, Funnels, Centrifuge tubes, Wash bottles, Spatula, Glass stirring rods. All equipment were properly calibrated and used according to standard laboratory procedures to ensure accuracy and reliability of results.</w:t>
      </w:r>
    </w:p>
    <w:p w14:paraId="4401D40D" w14:textId="77777777" w:rsidR="0040444D" w:rsidRPr="002B75CF" w:rsidRDefault="0040444D" w:rsidP="0040444D">
      <w:pPr>
        <w:pStyle w:val="NormalWeb"/>
        <w:spacing w:before="0" w:beforeAutospacing="0" w:after="240" w:afterAutospacing="0"/>
        <w:jc w:val="both"/>
      </w:pPr>
      <w:r w:rsidRPr="002B75CF">
        <w:t>Methodology</w:t>
      </w:r>
    </w:p>
    <w:p w14:paraId="1530E29F" w14:textId="77777777" w:rsidR="0040444D" w:rsidRPr="002B75CF" w:rsidRDefault="0040444D" w:rsidP="0040444D">
      <w:pPr>
        <w:pStyle w:val="NormalWeb"/>
        <w:spacing w:before="0" w:beforeAutospacing="0" w:after="240" w:afterAutospacing="0"/>
        <w:jc w:val="both"/>
      </w:pPr>
      <w:r w:rsidRPr="002B75CF">
        <w:rPr>
          <w:bCs/>
        </w:rPr>
        <w:t>Experimental Design</w:t>
      </w:r>
    </w:p>
    <w:p w14:paraId="0F72B6D2" w14:textId="77777777" w:rsidR="0040444D" w:rsidRDefault="0040444D" w:rsidP="0040444D">
      <w:pPr>
        <w:spacing w:line="480" w:lineRule="auto"/>
        <w:jc w:val="both"/>
        <w:rPr>
          <w:rFonts w:ascii="Times New Roman" w:hAnsi="Times New Roman"/>
        </w:rPr>
      </w:pPr>
      <w:r>
        <w:rPr>
          <w:rFonts w:ascii="Times New Roman" w:hAnsi="Times New Roman"/>
        </w:rPr>
        <w:t xml:space="preserve">Fresh </w:t>
      </w:r>
      <w:r>
        <w:rPr>
          <w:rFonts w:ascii="Times New Roman" w:hAnsi="Times New Roman"/>
          <w:i/>
        </w:rPr>
        <w:t>Eichhornia crassipes</w:t>
      </w:r>
      <w:r>
        <w:rPr>
          <w:rFonts w:ascii="Times New Roman" w:hAnsi="Times New Roman"/>
        </w:rPr>
        <w:t xml:space="preserve"> samples were subjected to three different processing methods (boiling, oven drying, and fermentation). Each treatment was replicated to ensure statistical validity and to minimize experimental error. The processed samples were subsequently analyzed for nitrogen content, free amino acids, crude </w:t>
      </w:r>
      <w:proofErr w:type="spellStart"/>
      <w:r>
        <w:rPr>
          <w:rFonts w:ascii="Times New Roman" w:hAnsi="Times New Roman"/>
        </w:rPr>
        <w:t>fibre</w:t>
      </w:r>
      <w:proofErr w:type="spellEnd"/>
      <w:r>
        <w:rPr>
          <w:rFonts w:ascii="Times New Roman" w:hAnsi="Times New Roman"/>
        </w:rPr>
        <w:t xml:space="preserve">, and anti-nutritional factors. The data obtained </w:t>
      </w:r>
      <w:r w:rsidR="002B75CF">
        <w:rPr>
          <w:rFonts w:ascii="Times New Roman" w:hAnsi="Times New Roman"/>
        </w:rPr>
        <w:t>were</w:t>
      </w:r>
      <w:r>
        <w:rPr>
          <w:rFonts w:ascii="Times New Roman" w:hAnsi="Times New Roman"/>
        </w:rPr>
        <w:t xml:space="preserve"> used to compare the effects of the different processing methods on the nutritional quality of </w:t>
      </w:r>
      <w:r>
        <w:rPr>
          <w:rFonts w:ascii="Times New Roman" w:hAnsi="Times New Roman"/>
          <w:i/>
        </w:rPr>
        <w:t>Eichhornia crassipes</w:t>
      </w:r>
      <w:r>
        <w:rPr>
          <w:rFonts w:ascii="Times New Roman" w:hAnsi="Times New Roman"/>
        </w:rPr>
        <w:t>.</w:t>
      </w:r>
    </w:p>
    <w:p w14:paraId="3EDC4D96" w14:textId="77777777" w:rsidR="0040444D" w:rsidRPr="002B75CF" w:rsidRDefault="0040444D" w:rsidP="0040444D">
      <w:pPr>
        <w:spacing w:line="480" w:lineRule="auto"/>
        <w:jc w:val="both"/>
        <w:rPr>
          <w:rFonts w:ascii="Times New Roman" w:hAnsi="Times New Roman"/>
          <w:bCs/>
        </w:rPr>
      </w:pPr>
      <w:r w:rsidRPr="002B75CF">
        <w:rPr>
          <w:rFonts w:ascii="Times New Roman" w:hAnsi="Times New Roman"/>
          <w:bCs/>
        </w:rPr>
        <w:t>Collection and Preparation of Sample</w:t>
      </w:r>
    </w:p>
    <w:p w14:paraId="24994F48" w14:textId="77777777" w:rsidR="0040444D" w:rsidRDefault="0040444D" w:rsidP="0040444D">
      <w:pPr>
        <w:spacing w:line="480" w:lineRule="auto"/>
        <w:jc w:val="both"/>
        <w:rPr>
          <w:rFonts w:ascii="Times New Roman" w:hAnsi="Times New Roman"/>
        </w:rPr>
      </w:pPr>
      <w:r>
        <w:rPr>
          <w:rFonts w:ascii="Times New Roman" w:hAnsi="Times New Roman"/>
        </w:rPr>
        <w:t xml:space="preserve">Fresh samples of </w:t>
      </w:r>
      <w:r>
        <w:rPr>
          <w:rFonts w:ascii="Times New Roman" w:hAnsi="Times New Roman"/>
          <w:i/>
        </w:rPr>
        <w:t>Eichhornia crassipes</w:t>
      </w:r>
      <w:r>
        <w:rPr>
          <w:rFonts w:ascii="Times New Roman" w:hAnsi="Times New Roman"/>
        </w:rPr>
        <w:t xml:space="preserve"> were collected from freshwater bodies at </w:t>
      </w:r>
      <w:proofErr w:type="spellStart"/>
      <w:r>
        <w:rPr>
          <w:rFonts w:ascii="Times New Roman" w:hAnsi="Times New Roman"/>
        </w:rPr>
        <w:t>Anantigha</w:t>
      </w:r>
      <w:proofErr w:type="spellEnd"/>
      <w:r>
        <w:rPr>
          <w:rFonts w:ascii="Times New Roman" w:hAnsi="Times New Roman"/>
        </w:rPr>
        <w:t xml:space="preserve"> LGA in Cross River State, Nigeria, </w:t>
      </w:r>
      <w:r>
        <w:rPr>
          <w:rFonts w:ascii="Times New Roman" w:hAnsi="Times New Roman"/>
          <w:color w:val="000000" w:themeColor="text1"/>
        </w:rPr>
        <w:t>and authenticated by a plant taxonomist at the Department of Plant Science and Biotechnology, UNICROSS, Calabar</w:t>
      </w:r>
      <w:r>
        <w:rPr>
          <w:color w:val="000000" w:themeColor="text1"/>
        </w:rPr>
        <w:t>.</w:t>
      </w:r>
      <w:r>
        <w:rPr>
          <w:rFonts w:ascii="Times New Roman" w:hAnsi="Times New Roman"/>
        </w:rPr>
        <w:t xml:space="preserve"> The plants were carefully uprooted to ensure intact leaf, root</w:t>
      </w:r>
      <w:r w:rsidR="002B75CF">
        <w:rPr>
          <w:rFonts w:ascii="Times New Roman" w:hAnsi="Times New Roman"/>
        </w:rPr>
        <w:t>,</w:t>
      </w:r>
      <w:r>
        <w:rPr>
          <w:rFonts w:ascii="Times New Roman" w:hAnsi="Times New Roman"/>
        </w:rPr>
        <w:t xml:space="preserve"> and stem portions. Collected samples were washed thoroughly with clean water to remove dirt, debris, and attached foreign materials. After washing, the samples were drained and sorted to remove damaged or decayed portions. The fresh biomass was then divided into equal portions for different processing treatments. A portion of the fresh sample was retained for baseline analysis, while the remaining portions were subjected to boiling, oven drying, and fermentation, respectively.</w:t>
      </w:r>
    </w:p>
    <w:p w14:paraId="28834431" w14:textId="77777777" w:rsidR="0040444D" w:rsidRPr="002B75CF" w:rsidRDefault="0040444D" w:rsidP="0040444D">
      <w:pPr>
        <w:jc w:val="both"/>
        <w:rPr>
          <w:rFonts w:ascii="Times New Roman" w:hAnsi="Times New Roman"/>
          <w:bCs/>
        </w:rPr>
      </w:pPr>
      <w:r w:rsidRPr="002B75CF">
        <w:rPr>
          <w:rFonts w:ascii="Times New Roman" w:hAnsi="Times New Roman"/>
          <w:bCs/>
        </w:rPr>
        <w:t>Processing Methods</w:t>
      </w:r>
    </w:p>
    <w:p w14:paraId="4EDBC6C5" w14:textId="77777777" w:rsidR="0040444D" w:rsidRPr="002B75CF" w:rsidRDefault="0040444D" w:rsidP="0040444D">
      <w:pPr>
        <w:jc w:val="both"/>
        <w:rPr>
          <w:rFonts w:ascii="Times New Roman" w:hAnsi="Times New Roman"/>
          <w:bCs/>
        </w:rPr>
      </w:pPr>
      <w:r w:rsidRPr="002B75CF">
        <w:rPr>
          <w:rFonts w:ascii="Times New Roman" w:hAnsi="Times New Roman"/>
          <w:bCs/>
        </w:rPr>
        <w:t>Boiling</w:t>
      </w:r>
    </w:p>
    <w:p w14:paraId="60654B88" w14:textId="77777777" w:rsidR="0040444D" w:rsidRPr="0040444D" w:rsidRDefault="0040444D" w:rsidP="0040444D">
      <w:pPr>
        <w:spacing w:line="480" w:lineRule="auto"/>
        <w:jc w:val="both"/>
        <w:rPr>
          <w:rFonts w:ascii="Times New Roman" w:hAnsi="Times New Roman"/>
        </w:rPr>
      </w:pPr>
      <w:r>
        <w:rPr>
          <w:rFonts w:ascii="Times New Roman" w:hAnsi="Times New Roman"/>
        </w:rPr>
        <w:t xml:space="preserve">A portion of fresh </w:t>
      </w:r>
      <w:r>
        <w:rPr>
          <w:rFonts w:ascii="Times New Roman" w:hAnsi="Times New Roman"/>
          <w:i/>
        </w:rPr>
        <w:t>Eichhornia crassipes</w:t>
      </w:r>
      <w:r>
        <w:rPr>
          <w:rFonts w:ascii="Times New Roman" w:hAnsi="Times New Roman"/>
        </w:rPr>
        <w:t xml:space="preserve"> was boiled in water at 100°C for 2hours. The boiling process was carried out to soften the plant tissues. After boiling, the samples were drained and allowed to cool before further analysis.</w:t>
      </w:r>
    </w:p>
    <w:p w14:paraId="290F83B0" w14:textId="77777777" w:rsidR="0040444D" w:rsidRPr="002B75CF" w:rsidRDefault="0040444D" w:rsidP="0040444D">
      <w:pPr>
        <w:jc w:val="both"/>
        <w:rPr>
          <w:rFonts w:ascii="Times New Roman" w:hAnsi="Times New Roman"/>
          <w:bCs/>
        </w:rPr>
      </w:pPr>
      <w:r w:rsidRPr="002B75CF">
        <w:rPr>
          <w:rFonts w:ascii="Times New Roman" w:hAnsi="Times New Roman"/>
          <w:bCs/>
        </w:rPr>
        <w:t>Oven Drying</w:t>
      </w:r>
    </w:p>
    <w:p w14:paraId="533BC443" w14:textId="77777777" w:rsidR="0040444D" w:rsidRDefault="0040444D" w:rsidP="0040444D">
      <w:pPr>
        <w:spacing w:line="480" w:lineRule="auto"/>
        <w:jc w:val="both"/>
        <w:rPr>
          <w:rFonts w:ascii="Times New Roman" w:hAnsi="Times New Roman"/>
        </w:rPr>
      </w:pPr>
      <w:r>
        <w:rPr>
          <w:rFonts w:ascii="Times New Roman" w:hAnsi="Times New Roman"/>
        </w:rPr>
        <w:lastRenderedPageBreak/>
        <w:t xml:space="preserve">A portion of fresh </w:t>
      </w:r>
      <w:r>
        <w:rPr>
          <w:rFonts w:ascii="Times New Roman" w:hAnsi="Times New Roman"/>
          <w:i/>
        </w:rPr>
        <w:t>Eichhornia crassipes</w:t>
      </w:r>
      <w:r>
        <w:rPr>
          <w:rFonts w:ascii="Times New Roman" w:hAnsi="Times New Roman"/>
        </w:rPr>
        <w:t xml:space="preserve"> was dried in a hot air oven at 100°C for 2hours. This process was used to reduce moisture content and to preserve the sample for subsequent analysis. After drying, the sample was cooled in a desiccator to prevent moisture absorption before being ground into fine powder for analysis.</w:t>
      </w:r>
    </w:p>
    <w:p w14:paraId="36E52990" w14:textId="77777777" w:rsidR="0040444D" w:rsidRPr="002B75CF" w:rsidRDefault="0040444D" w:rsidP="0040444D">
      <w:pPr>
        <w:jc w:val="both"/>
        <w:rPr>
          <w:rFonts w:ascii="Times New Roman" w:hAnsi="Times New Roman"/>
          <w:bCs/>
        </w:rPr>
      </w:pPr>
      <w:r w:rsidRPr="002B75CF">
        <w:rPr>
          <w:rFonts w:ascii="Times New Roman" w:hAnsi="Times New Roman"/>
          <w:bCs/>
        </w:rPr>
        <w:t>Fermentation</w:t>
      </w:r>
    </w:p>
    <w:p w14:paraId="10785062" w14:textId="77777777" w:rsidR="0040444D" w:rsidRDefault="0040444D" w:rsidP="0040444D">
      <w:pPr>
        <w:spacing w:line="480" w:lineRule="auto"/>
        <w:jc w:val="both"/>
        <w:rPr>
          <w:rFonts w:ascii="Times New Roman" w:hAnsi="Times New Roman"/>
        </w:rPr>
      </w:pPr>
      <w:r>
        <w:rPr>
          <w:rFonts w:ascii="Times New Roman" w:hAnsi="Times New Roman"/>
        </w:rPr>
        <w:t xml:space="preserve">A portion of fresh </w:t>
      </w:r>
      <w:r>
        <w:rPr>
          <w:rFonts w:ascii="Times New Roman" w:hAnsi="Times New Roman"/>
          <w:i/>
        </w:rPr>
        <w:t>Eichhornia crassipes</w:t>
      </w:r>
      <w:r>
        <w:rPr>
          <w:rFonts w:ascii="Times New Roman" w:hAnsi="Times New Roman"/>
        </w:rPr>
        <w:t xml:space="preserve"> was subjected to solid-state fermentation. The sample was placed in a clean fermentation container and allowed to ferment for 48hours under ambient temperature. At the end of the fermentation period, the sample was removed, dried, and prepared for further laboratory analysis.</w:t>
      </w:r>
    </w:p>
    <w:p w14:paraId="72B0759F"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Nitrogen and Protein Content (</w:t>
      </w:r>
      <w:r w:rsidRPr="002B75CF">
        <w:rPr>
          <w:rFonts w:ascii="Times New Roman" w:hAnsi="Times New Roman"/>
        </w:rPr>
        <w:t xml:space="preserve">AOAC, 2019) </w:t>
      </w:r>
    </w:p>
    <w:p w14:paraId="769D538A" w14:textId="77777777" w:rsidR="0040444D" w:rsidRDefault="0040444D" w:rsidP="0040444D">
      <w:pPr>
        <w:spacing w:line="480" w:lineRule="auto"/>
        <w:jc w:val="both"/>
        <w:rPr>
          <w:rFonts w:ascii="Times New Roman" w:eastAsia="Calibri" w:hAnsi="Times New Roman" w:cstheme="minorBidi"/>
        </w:rPr>
      </w:pPr>
      <w:r w:rsidRPr="002B75CF">
        <w:rPr>
          <w:rFonts w:ascii="Times New Roman" w:eastAsia="Calibri" w:hAnsi="Times New Roman"/>
          <w:bCs/>
        </w:rPr>
        <w:t>Digestion:</w:t>
      </w:r>
      <w:r>
        <w:rPr>
          <w:rFonts w:ascii="Times New Roman" w:eastAsia="Calibri" w:hAnsi="Times New Roman"/>
        </w:rPr>
        <w:t xml:space="preserve">  </w:t>
      </w:r>
      <w:r>
        <w:rPr>
          <w:rFonts w:ascii="Times New Roman" w:hAnsi="Times New Roman"/>
        </w:rPr>
        <w:t xml:space="preserve">0.5g of each processed sample was put </w:t>
      </w:r>
      <w:r>
        <w:rPr>
          <w:rFonts w:ascii="Times New Roman" w:eastAsia="Calibri" w:hAnsi="Times New Roman"/>
        </w:rPr>
        <w:t xml:space="preserve">into a clean and dry digestion flask, taking care to see that no sample/particles adhered to the sides of the flask. 20ml of concentrated </w:t>
      </w:r>
      <w:proofErr w:type="spellStart"/>
      <w:r>
        <w:rPr>
          <w:rFonts w:ascii="Times New Roman" w:eastAsia="Calibri" w:hAnsi="Times New Roman"/>
        </w:rPr>
        <w:t>sulphuric</w:t>
      </w:r>
      <w:proofErr w:type="spellEnd"/>
      <w:r>
        <w:rPr>
          <w:rFonts w:ascii="Times New Roman" w:eastAsia="Calibri" w:hAnsi="Times New Roman"/>
        </w:rPr>
        <w:t xml:space="preserve"> acid was added and mixed gently. 10g of </w:t>
      </w:r>
      <w:r>
        <w:rPr>
          <w:rFonts w:ascii="Times New Roman" w:hAnsi="Times New Roman"/>
        </w:rPr>
        <w:t>Na</w:t>
      </w:r>
      <w:r>
        <w:rPr>
          <w:rFonts w:ascii="Times New Roman" w:hAnsi="Times New Roman"/>
          <w:vertAlign w:val="subscript"/>
        </w:rPr>
        <w:t>2</w:t>
      </w:r>
      <w:r>
        <w:rPr>
          <w:rFonts w:ascii="Times New Roman" w:hAnsi="Times New Roman"/>
        </w:rPr>
        <w:t>SO</w:t>
      </w:r>
      <w:r>
        <w:rPr>
          <w:rFonts w:ascii="Times New Roman" w:hAnsi="Times New Roman"/>
          <w:vertAlign w:val="subscript"/>
        </w:rPr>
        <w:t>4</w:t>
      </w:r>
      <w:r>
        <w:rPr>
          <w:rFonts w:ascii="Times New Roman" w:hAnsi="Times New Roman"/>
        </w:rPr>
        <w:t xml:space="preserve"> </w:t>
      </w:r>
      <w:r>
        <w:rPr>
          <w:rFonts w:ascii="Times New Roman" w:eastAsia="Calibri" w:hAnsi="Times New Roman"/>
        </w:rPr>
        <w:t xml:space="preserve">and 1g of </w:t>
      </w:r>
      <w:r>
        <w:rPr>
          <w:rFonts w:ascii="Times New Roman" w:hAnsi="Times New Roman"/>
        </w:rPr>
        <w:t>CuSO</w:t>
      </w:r>
      <w:r>
        <w:rPr>
          <w:rFonts w:ascii="Times New Roman" w:hAnsi="Times New Roman"/>
          <w:vertAlign w:val="subscript"/>
        </w:rPr>
        <w:t xml:space="preserve">4 </w:t>
      </w:r>
      <w:r>
        <w:rPr>
          <w:rFonts w:ascii="Times New Roman" w:eastAsia="Calibri" w:hAnsi="Times New Roman"/>
        </w:rPr>
        <w:t xml:space="preserve">were mixed together, and 3g of the mixture was added into the flask. Also, a few anti-bumping chips were added to the mixture. The </w:t>
      </w:r>
      <w:r>
        <w:rPr>
          <w:rFonts w:ascii="Times New Roman" w:hAnsi="Times New Roman"/>
        </w:rPr>
        <w:t>Na</w:t>
      </w:r>
      <w:r>
        <w:rPr>
          <w:rFonts w:ascii="Times New Roman" w:hAnsi="Times New Roman"/>
          <w:vertAlign w:val="subscript"/>
        </w:rPr>
        <w:t>2</w:t>
      </w:r>
      <w:r>
        <w:rPr>
          <w:rFonts w:ascii="Times New Roman" w:hAnsi="Times New Roman"/>
        </w:rPr>
        <w:t>SO</w:t>
      </w:r>
      <w:r>
        <w:rPr>
          <w:rFonts w:ascii="Times New Roman" w:hAnsi="Times New Roman"/>
          <w:vertAlign w:val="subscript"/>
        </w:rPr>
        <w:t xml:space="preserve">4 </w:t>
      </w:r>
      <w:r>
        <w:rPr>
          <w:rFonts w:ascii="Times New Roman" w:eastAsia="Calibri" w:hAnsi="Times New Roman"/>
        </w:rPr>
        <w:t xml:space="preserve">and </w:t>
      </w:r>
      <w:r>
        <w:rPr>
          <w:rFonts w:ascii="Times New Roman" w:hAnsi="Times New Roman"/>
        </w:rPr>
        <w:t>CuSO</w:t>
      </w:r>
      <w:r>
        <w:rPr>
          <w:rFonts w:ascii="Times New Roman" w:hAnsi="Times New Roman"/>
          <w:vertAlign w:val="subscript"/>
        </w:rPr>
        <w:t xml:space="preserve">4 </w:t>
      </w:r>
      <w:r>
        <w:rPr>
          <w:rFonts w:ascii="Times New Roman" w:eastAsia="Calibri" w:hAnsi="Times New Roman"/>
        </w:rPr>
        <w:t>mixture is the Kjeldahl catalyst. The entire mixture was boiled gently in the Kjeldahl flask in a fume cupboard until charred particles disappeared and a clear green solution was obtained. The digest was allowed to cool and then added to distilled water. The digest was shaken carefully since the reaction was exothermic</w:t>
      </w:r>
      <w:r w:rsidR="002B75CF">
        <w:rPr>
          <w:rFonts w:ascii="Times New Roman" w:eastAsia="Calibri" w:hAnsi="Times New Roman"/>
        </w:rPr>
        <w:t>,</w:t>
      </w:r>
      <w:r>
        <w:rPr>
          <w:rFonts w:ascii="Times New Roman" w:eastAsia="Calibri" w:hAnsi="Times New Roman"/>
        </w:rPr>
        <w:t xml:space="preserve"> and after attaining room temperature, it was carefully transferred into a 50-100ml conical flask. The digestion flask was washed several times with </w:t>
      </w:r>
      <w:r w:rsidR="002B75CF">
        <w:rPr>
          <w:rFonts w:ascii="Times New Roman" w:eastAsia="Calibri" w:hAnsi="Times New Roman"/>
        </w:rPr>
        <w:t xml:space="preserve">a </w:t>
      </w:r>
      <w:r>
        <w:rPr>
          <w:rFonts w:ascii="Times New Roman" w:eastAsia="Calibri" w:hAnsi="Times New Roman"/>
        </w:rPr>
        <w:t>small portion of distilled water</w:t>
      </w:r>
      <w:r w:rsidR="002B75CF">
        <w:rPr>
          <w:rFonts w:ascii="Times New Roman" w:eastAsia="Calibri" w:hAnsi="Times New Roman"/>
        </w:rPr>
        <w:t>,</w:t>
      </w:r>
      <w:r>
        <w:rPr>
          <w:rFonts w:ascii="Times New Roman" w:eastAsia="Calibri" w:hAnsi="Times New Roman"/>
        </w:rPr>
        <w:t xml:space="preserve"> and the washings were transferred into the same conical flask. It was shaken carefully, the volume was made up</w:t>
      </w:r>
      <w:r w:rsidR="002B75CF">
        <w:rPr>
          <w:rFonts w:ascii="Times New Roman" w:eastAsia="Calibri" w:hAnsi="Times New Roman"/>
        </w:rPr>
        <w:t>,</w:t>
      </w:r>
      <w:r>
        <w:rPr>
          <w:rFonts w:ascii="Times New Roman" w:eastAsia="Calibri" w:hAnsi="Times New Roman"/>
        </w:rPr>
        <w:t xml:space="preserve"> and </w:t>
      </w:r>
      <w:r w:rsidR="002B75CF">
        <w:rPr>
          <w:rFonts w:ascii="Times New Roman" w:eastAsia="Calibri" w:hAnsi="Times New Roman"/>
        </w:rPr>
        <w:t>it was shaken</w:t>
      </w:r>
      <w:r>
        <w:rPr>
          <w:rFonts w:ascii="Times New Roman" w:eastAsia="Calibri" w:hAnsi="Times New Roman"/>
        </w:rPr>
        <w:t xml:space="preserve"> again for uniform concentration.</w:t>
      </w:r>
    </w:p>
    <w:p w14:paraId="0C9ABBDD" w14:textId="77777777" w:rsidR="0040444D" w:rsidRDefault="0040444D" w:rsidP="0040444D">
      <w:pPr>
        <w:spacing w:line="480" w:lineRule="auto"/>
        <w:jc w:val="both"/>
        <w:rPr>
          <w:rFonts w:ascii="Times New Roman" w:eastAsia="Calibri" w:hAnsi="Times New Roman"/>
        </w:rPr>
      </w:pPr>
      <w:r w:rsidRPr="002B75CF">
        <w:rPr>
          <w:rFonts w:ascii="Times New Roman" w:eastAsia="Calibri" w:hAnsi="Times New Roman"/>
          <w:bCs/>
        </w:rPr>
        <w:t>Distillation and titration</w:t>
      </w:r>
      <w:r>
        <w:rPr>
          <w:rFonts w:ascii="Times New Roman" w:eastAsia="Calibri" w:hAnsi="Times New Roman"/>
          <w:b/>
          <w:bCs/>
        </w:rPr>
        <w:t xml:space="preserve">: </w:t>
      </w:r>
      <w:r>
        <w:rPr>
          <w:rFonts w:ascii="Times New Roman" w:eastAsia="Calibri" w:hAnsi="Times New Roman"/>
        </w:rPr>
        <w:t>10ml of 2% boric acid was measured into a 500ml beaker</w:t>
      </w:r>
      <w:r w:rsidR="002B75CF">
        <w:rPr>
          <w:rFonts w:ascii="Times New Roman" w:eastAsia="Calibri" w:hAnsi="Times New Roman"/>
        </w:rPr>
        <w:t>,</w:t>
      </w:r>
      <w:r>
        <w:rPr>
          <w:rFonts w:ascii="Times New Roman" w:eastAsia="Calibri" w:hAnsi="Times New Roman"/>
        </w:rPr>
        <w:t xml:space="preserve"> and 2-3 drops of the mixed indicator (Bromocresol green and Methyl red) </w:t>
      </w:r>
      <w:r w:rsidR="002B75CF">
        <w:rPr>
          <w:rFonts w:ascii="Times New Roman" w:eastAsia="Calibri" w:hAnsi="Times New Roman"/>
        </w:rPr>
        <w:t>were</w:t>
      </w:r>
      <w:r>
        <w:rPr>
          <w:rFonts w:ascii="Times New Roman" w:eastAsia="Calibri" w:hAnsi="Times New Roman"/>
        </w:rPr>
        <w:t xml:space="preserve"> added</w:t>
      </w:r>
      <w:r w:rsidR="002B75CF">
        <w:rPr>
          <w:rFonts w:ascii="Times New Roman" w:eastAsia="Calibri" w:hAnsi="Times New Roman"/>
        </w:rPr>
        <w:t>. The</w:t>
      </w:r>
      <w:r>
        <w:rPr>
          <w:rFonts w:ascii="Times New Roman" w:eastAsia="Calibri" w:hAnsi="Times New Roman"/>
        </w:rPr>
        <w:t xml:space="preserve"> beaker was placed under the condenser</w:t>
      </w:r>
      <w:r w:rsidR="002B75CF">
        <w:rPr>
          <w:rFonts w:ascii="Times New Roman" w:eastAsia="Calibri" w:hAnsi="Times New Roman"/>
        </w:rPr>
        <w:t>,</w:t>
      </w:r>
      <w:r>
        <w:rPr>
          <w:rFonts w:ascii="Times New Roman" w:eastAsia="Calibri" w:hAnsi="Times New Roman"/>
        </w:rPr>
        <w:t xml:space="preserve"> taking care to </w:t>
      </w:r>
      <w:r w:rsidR="002B75CF">
        <w:rPr>
          <w:rFonts w:ascii="Times New Roman" w:eastAsia="Calibri" w:hAnsi="Times New Roman"/>
        </w:rPr>
        <w:t>ensure</w:t>
      </w:r>
      <w:r>
        <w:rPr>
          <w:rFonts w:ascii="Times New Roman" w:eastAsia="Calibri" w:hAnsi="Times New Roman"/>
        </w:rPr>
        <w:t xml:space="preserve"> that the end of the condenser is dipping into the boric acid solution. 10ml of the digest was added to 30ml of 40% NaOH in the distilling portion. The heating system was switched on for 30minutes. After the distillation was complete, the receiving beaker was removed</w:t>
      </w:r>
      <w:r w:rsidR="002B75CF">
        <w:rPr>
          <w:rFonts w:ascii="Times New Roman" w:eastAsia="Calibri" w:hAnsi="Times New Roman"/>
        </w:rPr>
        <w:t>,</w:t>
      </w:r>
      <w:r>
        <w:rPr>
          <w:rFonts w:ascii="Times New Roman" w:eastAsia="Calibri" w:hAnsi="Times New Roman"/>
        </w:rPr>
        <w:t xml:space="preserve"> and the distillate was titrated with 0.1 N HCl until the end point (light pink coloration) was achieved. Run a blank preparation which has been identically prepared except that it does not contain the sample. (Where DF is the dilution factor - 100/10).</w:t>
      </w:r>
    </w:p>
    <w:p w14:paraId="2725C1F6" w14:textId="77777777" w:rsidR="0040444D" w:rsidRPr="002B75CF" w:rsidRDefault="0040444D" w:rsidP="0040444D">
      <w:pPr>
        <w:spacing w:line="480" w:lineRule="auto"/>
        <w:jc w:val="center"/>
        <w:rPr>
          <w:rFonts w:ascii="Times New Roman" w:eastAsiaTheme="minorEastAsia" w:hAnsi="Times New Roman"/>
        </w:rPr>
      </w:pPr>
      <w:r w:rsidRPr="002B75CF">
        <w:rPr>
          <w:rFonts w:ascii="Times New Roman" w:hAnsi="Times New Roman"/>
        </w:rPr>
        <w:t xml:space="preserve">Calculation: </w:t>
      </w:r>
      <w:r w:rsidRPr="002B75CF">
        <w:rPr>
          <w:rFonts w:ascii="Times New Roman" w:hAnsi="Times New Roman"/>
          <w:bCs/>
        </w:rPr>
        <w:t xml:space="preserve">%Nitrogen = </w:t>
      </w:r>
      <m:oMath>
        <m:f>
          <m:fPr>
            <m:ctrlPr>
              <w:rPr>
                <w:rFonts w:ascii="Cambria Math" w:hAnsi="Cambria Math"/>
                <w:bCs/>
                <w:kern w:val="2"/>
                <w:sz w:val="28"/>
                <w:szCs w:val="28"/>
                <w14:ligatures w14:val="standardContextual"/>
              </w:rPr>
            </m:ctrlPr>
          </m:fPr>
          <m:num>
            <m:r>
              <m:rPr>
                <m:sty m:val="p"/>
              </m:rPr>
              <w:rPr>
                <w:rFonts w:ascii="Cambria Math" w:hAnsi="Cambria Math"/>
                <w:sz w:val="28"/>
              </w:rPr>
              <m:t>1.4 × TV × D.F</m:t>
            </m:r>
          </m:num>
          <m:den>
            <m:r>
              <m:rPr>
                <m:sty m:val="p"/>
              </m:rPr>
              <w:rPr>
                <w:rFonts w:ascii="Cambria Math" w:hAnsi="Cambria Math"/>
                <w:sz w:val="28"/>
              </w:rPr>
              <m:t>Original weight of sample</m:t>
            </m:r>
          </m:den>
        </m:f>
      </m:oMath>
      <w:r w:rsidRPr="002B75CF">
        <w:rPr>
          <w:rFonts w:ascii="Times New Roman" w:hAnsi="Times New Roman"/>
          <w:bCs/>
          <w:sz w:val="28"/>
        </w:rPr>
        <w:t xml:space="preserve"> </w:t>
      </w:r>
      <w:r w:rsidRPr="002B75CF">
        <w:rPr>
          <w:rFonts w:ascii="Times New Roman" w:hAnsi="Times New Roman"/>
          <w:bCs/>
        </w:rPr>
        <w:t>× 100</w:t>
      </w:r>
    </w:p>
    <w:p w14:paraId="6E8EC871" w14:textId="77777777" w:rsidR="0040444D" w:rsidRPr="002B75CF" w:rsidRDefault="0040444D" w:rsidP="0040444D">
      <w:pPr>
        <w:tabs>
          <w:tab w:val="left" w:pos="6439"/>
        </w:tabs>
        <w:jc w:val="center"/>
        <w:rPr>
          <w:rFonts w:ascii="Times New Roman" w:hAnsi="Times New Roman"/>
        </w:rPr>
      </w:pPr>
      <w:r w:rsidRPr="002B75CF">
        <w:rPr>
          <w:rFonts w:ascii="Times New Roman" w:hAnsi="Times New Roman"/>
        </w:rPr>
        <w:t>% Protein = % nitrogen × 6.25</w:t>
      </w:r>
    </w:p>
    <w:p w14:paraId="76AC7B3A"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Free Amino Acids (</w:t>
      </w:r>
      <w:proofErr w:type="spellStart"/>
      <w:r w:rsidRPr="002B75CF">
        <w:rPr>
          <w:rFonts w:ascii="Times New Roman" w:hAnsi="Times New Roman"/>
          <w:color w:val="1B1B1B"/>
          <w:shd w:val="clear" w:color="auto" w:fill="FFFFFF"/>
        </w:rPr>
        <w:t>Stauß</w:t>
      </w:r>
      <w:proofErr w:type="spellEnd"/>
      <w:r w:rsidRPr="002B75CF">
        <w:rPr>
          <w:rFonts w:ascii="Times New Roman" w:hAnsi="Times New Roman"/>
          <w:color w:val="1B1B1B"/>
          <w:shd w:val="clear" w:color="auto" w:fill="FFFFFF"/>
        </w:rPr>
        <w:t xml:space="preserve"> </w:t>
      </w:r>
      <w:r w:rsidRPr="002B75CF">
        <w:rPr>
          <w:rFonts w:ascii="Times New Roman" w:hAnsi="Times New Roman"/>
          <w:i/>
          <w:color w:val="1B1B1B"/>
          <w:shd w:val="clear" w:color="auto" w:fill="FFFFFF"/>
        </w:rPr>
        <w:t xml:space="preserve">et al., </w:t>
      </w:r>
      <w:r w:rsidRPr="002B75CF">
        <w:rPr>
          <w:rFonts w:ascii="Times New Roman" w:hAnsi="Times New Roman"/>
          <w:color w:val="1B1B1B"/>
          <w:shd w:val="clear" w:color="auto" w:fill="FFFFFF"/>
        </w:rPr>
        <w:t>2024</w:t>
      </w:r>
      <w:r w:rsidRPr="002B75CF">
        <w:rPr>
          <w:rFonts w:ascii="Times New Roman" w:hAnsi="Times New Roman"/>
          <w:bCs/>
        </w:rPr>
        <w:t>)</w:t>
      </w:r>
    </w:p>
    <w:p w14:paraId="52005ABA" w14:textId="77777777" w:rsidR="0040444D" w:rsidRDefault="0040444D" w:rsidP="0040444D">
      <w:pPr>
        <w:spacing w:before="240" w:line="480" w:lineRule="auto"/>
        <w:jc w:val="both"/>
        <w:rPr>
          <w:rFonts w:ascii="Times New Roman" w:hAnsi="Times New Roman"/>
        </w:rPr>
      </w:pPr>
      <w:r>
        <w:rPr>
          <w:rFonts w:ascii="Times New Roman" w:hAnsi="Times New Roman"/>
        </w:rPr>
        <w:t xml:space="preserve">0.2, 0.4, 0.6, 0.8, and 1ml of the standard amino acid solution were pipetted into their respective labelled test tubes. Distilled water was added to all the test tubes to make up the volume to 1ml.   For the test tube labelled ‘Blank’, 1ml of distilled water was added to it. Then 1ml of ninhydrin reagent was added to all the test tubes, including those labelled ‘blank’ and ‘unknown’. The contents of each tube were mixed thoroughly by shaking. All the test tubes were covered with paper and placed in a boiling water bath for 15 min. After heating, the test tubes were cooled in cold water, and then 5ml of the diluent solvent was added to each test tube and mixed well. The absorbance </w:t>
      </w:r>
      <w:r>
        <w:rPr>
          <w:rFonts w:ascii="Times New Roman" w:hAnsi="Times New Roman"/>
        </w:rPr>
        <w:lastRenderedPageBreak/>
        <w:t>was measured and recorded for each solution at 570nm using a UV-Vis spectrophotometer.  A standard curve was plotted with concentration on the X-axis and absorbance at 570nm on the Y-axis.</w:t>
      </w:r>
    </w:p>
    <w:p w14:paraId="72A578BE" w14:textId="77777777" w:rsidR="0040444D" w:rsidRPr="002B75CF" w:rsidRDefault="0040444D" w:rsidP="0040444D">
      <w:pPr>
        <w:jc w:val="both"/>
        <w:rPr>
          <w:rFonts w:ascii="Times New Roman" w:hAnsi="Times New Roman"/>
          <w:bCs/>
        </w:rPr>
      </w:pPr>
      <w:r w:rsidRPr="002B75CF">
        <w:rPr>
          <w:rFonts w:ascii="Times New Roman" w:hAnsi="Times New Roman"/>
          <w:bCs/>
        </w:rPr>
        <w:t xml:space="preserve">Determination of Crude </w:t>
      </w:r>
      <w:proofErr w:type="spellStart"/>
      <w:r w:rsidRPr="002B75CF">
        <w:rPr>
          <w:rFonts w:ascii="Times New Roman" w:hAnsi="Times New Roman"/>
          <w:bCs/>
        </w:rPr>
        <w:t>Fibre</w:t>
      </w:r>
      <w:proofErr w:type="spellEnd"/>
      <w:r w:rsidRPr="002B75CF">
        <w:rPr>
          <w:rFonts w:ascii="Times New Roman" w:hAnsi="Times New Roman"/>
          <w:bCs/>
        </w:rPr>
        <w:t xml:space="preserve"> (</w:t>
      </w:r>
      <w:r w:rsidRPr="002B75CF">
        <w:rPr>
          <w:rFonts w:ascii="Times New Roman" w:hAnsi="Times New Roman"/>
        </w:rPr>
        <w:t>AOAC, 2019)</w:t>
      </w:r>
    </w:p>
    <w:p w14:paraId="511615CC" w14:textId="77777777" w:rsidR="0040444D" w:rsidRDefault="0040444D" w:rsidP="0040444D">
      <w:pPr>
        <w:spacing w:line="480" w:lineRule="auto"/>
        <w:jc w:val="both"/>
        <w:rPr>
          <w:rFonts w:ascii="Times New Roman" w:eastAsia="Calibri" w:hAnsi="Times New Roman" w:cstheme="minorBidi"/>
        </w:rPr>
      </w:pPr>
      <w:r>
        <w:rPr>
          <w:rFonts w:ascii="Times New Roman" w:eastAsia="Calibri" w:hAnsi="Times New Roman"/>
        </w:rPr>
        <w:t xml:space="preserve">2g </w:t>
      </w:r>
      <w:r>
        <w:rPr>
          <w:rFonts w:ascii="Times New Roman" w:hAnsi="Times New Roman"/>
        </w:rPr>
        <w:t xml:space="preserve">of each processed sample was put into </w:t>
      </w:r>
      <w:r>
        <w:rPr>
          <w:rFonts w:ascii="Times New Roman" w:eastAsia="Calibri" w:hAnsi="Times New Roman"/>
        </w:rPr>
        <w:t>different beakers, 150ml of 2.50% H</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 xml:space="preserve">4 </w:t>
      </w:r>
      <w:r>
        <w:rPr>
          <w:rFonts w:ascii="Times New Roman" w:eastAsia="Calibri" w:hAnsi="Times New Roman"/>
        </w:rPr>
        <w:t>was added, and 3-5 drops of N-butanol as an antifoam agent were added, and placed on a hot plate to boil for 30 min at 65</w:t>
      </w:r>
      <w:r>
        <w:rPr>
          <w:rFonts w:ascii="Times New Roman" w:eastAsia="Calibri" w:hAnsi="Times New Roman"/>
          <w:vertAlign w:val="superscript"/>
        </w:rPr>
        <w:t xml:space="preserve"> O</w:t>
      </w:r>
      <w:r>
        <w:rPr>
          <w:rFonts w:ascii="Times New Roman" w:eastAsia="Calibri" w:hAnsi="Times New Roman"/>
        </w:rPr>
        <w:t>C. It was then filtered to drain the H</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4</w:t>
      </w:r>
      <w:r>
        <w:rPr>
          <w:rFonts w:ascii="Times New Roman" w:eastAsia="Calibri" w:hAnsi="Times New Roman"/>
        </w:rPr>
        <w:t xml:space="preserve"> and washed 3-5 times with de-ionized water. After draining the last wash, 150ml of 2.50% NaOH was added, 3-5 </w:t>
      </w:r>
      <w:r w:rsidR="00EF132F">
        <w:rPr>
          <w:rFonts w:ascii="Times New Roman" w:eastAsia="Calibri" w:hAnsi="Times New Roman"/>
        </w:rPr>
        <w:t>drops</w:t>
      </w:r>
      <w:r>
        <w:rPr>
          <w:rFonts w:ascii="Times New Roman" w:eastAsia="Calibri" w:hAnsi="Times New Roman"/>
        </w:rPr>
        <w:t xml:space="preserve"> of </w:t>
      </w:r>
      <w:r w:rsidR="00EF132F">
        <w:rPr>
          <w:rFonts w:ascii="Times New Roman" w:eastAsia="Calibri" w:hAnsi="Times New Roman"/>
        </w:rPr>
        <w:t>n-butanol were</w:t>
      </w:r>
      <w:r>
        <w:rPr>
          <w:rFonts w:ascii="Times New Roman" w:eastAsia="Calibri" w:hAnsi="Times New Roman"/>
        </w:rPr>
        <w:t xml:space="preserve"> added as an antifoaming agent</w:t>
      </w:r>
      <w:r w:rsidR="00EF132F">
        <w:rPr>
          <w:rFonts w:ascii="Times New Roman" w:eastAsia="Calibri" w:hAnsi="Times New Roman"/>
        </w:rPr>
        <w:t>,</w:t>
      </w:r>
      <w:r>
        <w:rPr>
          <w:rFonts w:ascii="Times New Roman" w:eastAsia="Calibri" w:hAnsi="Times New Roman"/>
        </w:rPr>
        <w:t xml:space="preserve"> and boiled for </w:t>
      </w:r>
      <w:r w:rsidR="00EF132F">
        <w:rPr>
          <w:rFonts w:ascii="Times New Roman" w:eastAsia="Calibri" w:hAnsi="Times New Roman"/>
        </w:rPr>
        <w:t>30 min</w:t>
      </w:r>
      <w:r>
        <w:rPr>
          <w:rFonts w:ascii="Times New Roman" w:eastAsia="Calibri" w:hAnsi="Times New Roman"/>
        </w:rPr>
        <w:t xml:space="preserve"> at 65</w:t>
      </w:r>
      <w:r>
        <w:rPr>
          <w:rFonts w:ascii="Times New Roman" w:eastAsia="Calibri" w:hAnsi="Times New Roman"/>
          <w:vertAlign w:val="superscript"/>
        </w:rPr>
        <w:t xml:space="preserve"> O</w:t>
      </w:r>
      <w:r>
        <w:rPr>
          <w:rFonts w:ascii="Times New Roman" w:eastAsia="Calibri" w:hAnsi="Times New Roman"/>
        </w:rPr>
        <w:t>C. It was then filtered and washed as described above to drain the NaOH. The last washing was performed with cold de-ionized water to cool the crucible</w:t>
      </w:r>
      <w:r w:rsidR="00EF132F">
        <w:rPr>
          <w:rFonts w:ascii="Times New Roman" w:eastAsia="Calibri" w:hAnsi="Times New Roman"/>
        </w:rPr>
        <w:t>,</w:t>
      </w:r>
      <w:r>
        <w:rPr>
          <w:rFonts w:ascii="Times New Roman" w:eastAsia="Calibri" w:hAnsi="Times New Roman"/>
        </w:rPr>
        <w:t xml:space="preserve"> and then washed 3 times with 25ml of acetone. The content was put in the crucible and transferred to an oven to dry at a temperature of 105</w:t>
      </w:r>
      <w:r>
        <w:rPr>
          <w:rFonts w:ascii="Times New Roman" w:eastAsia="Calibri" w:hAnsi="Times New Roman"/>
          <w:vertAlign w:val="superscript"/>
        </w:rPr>
        <w:t>O</w:t>
      </w:r>
      <w:r>
        <w:rPr>
          <w:rFonts w:ascii="Times New Roman" w:eastAsia="Calibri" w:hAnsi="Times New Roman"/>
        </w:rPr>
        <w:t>C to constant weight (W</w:t>
      </w:r>
      <w:r>
        <w:rPr>
          <w:rFonts w:ascii="Times New Roman" w:eastAsia="Calibri" w:hAnsi="Times New Roman"/>
          <w:vertAlign w:val="subscript"/>
        </w:rPr>
        <w:t>1</w:t>
      </w:r>
      <w:r>
        <w:rPr>
          <w:rFonts w:ascii="Times New Roman" w:eastAsia="Calibri" w:hAnsi="Times New Roman"/>
        </w:rPr>
        <w:t>) for 1hour. Afterwards, the crucible was transferred to the muffle furnace for 4hours to ash, cooled in a desiccator</w:t>
      </w:r>
      <w:r w:rsidR="00EF132F">
        <w:rPr>
          <w:rFonts w:ascii="Times New Roman" w:eastAsia="Calibri" w:hAnsi="Times New Roman"/>
        </w:rPr>
        <w:t>,</w:t>
      </w:r>
      <w:r>
        <w:rPr>
          <w:rFonts w:ascii="Times New Roman" w:eastAsia="Calibri" w:hAnsi="Times New Roman"/>
        </w:rPr>
        <w:t xml:space="preserve"> and weighed to determine (W</w:t>
      </w:r>
      <w:r>
        <w:rPr>
          <w:rFonts w:ascii="Times New Roman" w:eastAsia="Calibri" w:hAnsi="Times New Roman"/>
          <w:vertAlign w:val="subscript"/>
        </w:rPr>
        <w:t>2</w:t>
      </w:r>
      <w:r>
        <w:rPr>
          <w:rFonts w:ascii="Times New Roman" w:eastAsia="Calibri" w:hAnsi="Times New Roman"/>
        </w:rPr>
        <w:t xml:space="preserve">). The formula is for calculating percentage crude </w:t>
      </w:r>
      <w:proofErr w:type="spellStart"/>
      <w:r>
        <w:rPr>
          <w:rFonts w:ascii="Times New Roman" w:eastAsia="Calibri" w:hAnsi="Times New Roman"/>
        </w:rPr>
        <w:t>fibre</w:t>
      </w:r>
      <w:proofErr w:type="spellEnd"/>
      <w:r>
        <w:rPr>
          <w:rFonts w:ascii="Times New Roman" w:eastAsia="Calibri" w:hAnsi="Times New Roman"/>
        </w:rPr>
        <w:t xml:space="preserve"> is:</w:t>
      </w:r>
    </w:p>
    <w:p w14:paraId="574F07DA"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 Crude </w:t>
      </w:r>
      <w:proofErr w:type="spellStart"/>
      <w:proofErr w:type="gramStart"/>
      <w:r w:rsidRPr="002B75CF">
        <w:rPr>
          <w:rFonts w:ascii="Times New Roman" w:hAnsi="Times New Roman"/>
        </w:rPr>
        <w:t>fibre</w:t>
      </w:r>
      <w:proofErr w:type="spellEnd"/>
      <w:r w:rsidRPr="002B75CF">
        <w:rPr>
          <w:rFonts w:ascii="Times New Roman" w:hAnsi="Times New Roman"/>
        </w:rPr>
        <w:t xml:space="preserve">  =</w:t>
      </w:r>
      <w:proofErr w:type="gramEnd"/>
      <m:oMath>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W1-W2</m:t>
            </m:r>
          </m:num>
          <m:den>
            <m:r>
              <m:rPr>
                <m:sty m:val="p"/>
              </m:rPr>
              <w:rPr>
                <w:rFonts w:ascii="Cambria Math" w:hAnsi="Cambria Math"/>
              </w:rPr>
              <m:t>Weight of sample</m:t>
            </m:r>
          </m:den>
        </m:f>
        <m:r>
          <m:rPr>
            <m:sty m:val="p"/>
          </m:rPr>
          <w:rPr>
            <w:rFonts w:ascii="Cambria Math" w:hAnsi="Cambria Math"/>
          </w:rPr>
          <m:t xml:space="preserve"> X 10</m:t>
        </m:r>
        <m:r>
          <w:rPr>
            <w:rFonts w:ascii="Cambria Math" w:hAnsi="Cambria Math"/>
          </w:rPr>
          <m:t>0</m:t>
        </m:r>
      </m:oMath>
    </w:p>
    <w:p w14:paraId="0DED20BF" w14:textId="77777777" w:rsidR="0040444D" w:rsidRPr="002B75CF" w:rsidRDefault="0040444D" w:rsidP="0040444D">
      <w:pPr>
        <w:pStyle w:val="Heading2"/>
        <w:spacing w:before="0"/>
        <w:jc w:val="both"/>
        <w:rPr>
          <w:rFonts w:ascii="Times New Roman" w:hAnsi="Times New Roman" w:cs="Times New Roman"/>
          <w:color w:val="auto"/>
          <w:sz w:val="24"/>
          <w:szCs w:val="24"/>
        </w:rPr>
      </w:pPr>
      <w:r w:rsidRPr="002B75CF">
        <w:rPr>
          <w:rFonts w:ascii="Times New Roman" w:hAnsi="Times New Roman" w:cs="Times New Roman"/>
          <w:color w:val="000000" w:themeColor="text1"/>
          <w:sz w:val="24"/>
          <w:szCs w:val="24"/>
        </w:rPr>
        <w:t xml:space="preserve">Determination of Neutral Detergent </w:t>
      </w:r>
      <w:proofErr w:type="spellStart"/>
      <w:r w:rsidRPr="002B75CF">
        <w:rPr>
          <w:rFonts w:ascii="Times New Roman" w:hAnsi="Times New Roman" w:cs="Times New Roman"/>
          <w:color w:val="000000" w:themeColor="text1"/>
          <w:sz w:val="24"/>
          <w:szCs w:val="24"/>
        </w:rPr>
        <w:t>Fibre</w:t>
      </w:r>
      <w:proofErr w:type="spellEnd"/>
      <w:r w:rsidRPr="002B75CF">
        <w:rPr>
          <w:rFonts w:ascii="Times New Roman" w:hAnsi="Times New Roman" w:cs="Times New Roman"/>
          <w:color w:val="000000" w:themeColor="text1"/>
          <w:sz w:val="24"/>
          <w:szCs w:val="24"/>
        </w:rPr>
        <w:t xml:space="preserve"> (NDF) </w:t>
      </w:r>
      <w:r w:rsidRPr="002B75CF">
        <w:rPr>
          <w:rFonts w:ascii="Times New Roman" w:hAnsi="Times New Roman" w:cs="Times New Roman"/>
          <w:color w:val="auto"/>
          <w:sz w:val="24"/>
          <w:szCs w:val="24"/>
        </w:rPr>
        <w:t xml:space="preserve">(Van-Soest </w:t>
      </w:r>
      <w:r w:rsidRPr="002B75CF">
        <w:rPr>
          <w:rFonts w:ascii="Times New Roman" w:hAnsi="Times New Roman" w:cs="Times New Roman"/>
          <w:i/>
          <w:color w:val="auto"/>
          <w:sz w:val="24"/>
          <w:szCs w:val="24"/>
        </w:rPr>
        <w:t xml:space="preserve">et al., </w:t>
      </w:r>
      <w:r w:rsidRPr="002B75CF">
        <w:rPr>
          <w:rFonts w:ascii="Times New Roman" w:hAnsi="Times New Roman" w:cs="Times New Roman"/>
          <w:color w:val="auto"/>
          <w:sz w:val="24"/>
          <w:szCs w:val="24"/>
        </w:rPr>
        <w:t>1991)</w:t>
      </w:r>
    </w:p>
    <w:p w14:paraId="5D0DFE1A" w14:textId="77777777" w:rsidR="0040444D" w:rsidRDefault="0040444D" w:rsidP="0040444D">
      <w:pPr>
        <w:spacing w:line="480" w:lineRule="auto"/>
        <w:jc w:val="both"/>
        <w:rPr>
          <w:rStyle w:val="mord"/>
        </w:rPr>
      </w:pPr>
      <w:r>
        <w:rPr>
          <w:rFonts w:ascii="Times New Roman" w:hAnsi="Times New Roman"/>
        </w:rPr>
        <w:t>NDF represents the major cell-wall components</w:t>
      </w:r>
      <w:r w:rsidR="00EF132F">
        <w:rPr>
          <w:rFonts w:ascii="Times New Roman" w:hAnsi="Times New Roman"/>
        </w:rPr>
        <w:t>,</w:t>
      </w:r>
      <w:r>
        <w:rPr>
          <w:rFonts w:ascii="Times New Roman" w:hAnsi="Times New Roman"/>
        </w:rPr>
        <w:t xml:space="preserve"> including </w:t>
      </w:r>
      <w:r w:rsidRPr="00EF132F">
        <w:rPr>
          <w:rStyle w:val="Strong"/>
          <w:rFonts w:ascii="Times New Roman" w:hAnsi="Times New Roman"/>
          <w:b w:val="0"/>
        </w:rPr>
        <w:t>hemicellulose</w:t>
      </w:r>
      <w:r>
        <w:rPr>
          <w:rStyle w:val="Strong"/>
          <w:rFonts w:ascii="Times New Roman" w:hAnsi="Times New Roman"/>
        </w:rPr>
        <w:t xml:space="preserve">, </w:t>
      </w:r>
      <w:r w:rsidRPr="00EF132F">
        <w:rPr>
          <w:rStyle w:val="Strong"/>
          <w:rFonts w:ascii="Times New Roman" w:hAnsi="Times New Roman"/>
          <w:b w:val="0"/>
        </w:rPr>
        <w:t>cellulose</w:t>
      </w:r>
      <w:r w:rsidR="00EF132F">
        <w:rPr>
          <w:rStyle w:val="Strong"/>
          <w:rFonts w:ascii="Times New Roman" w:hAnsi="Times New Roman"/>
        </w:rPr>
        <w:t>,</w:t>
      </w:r>
      <w:r>
        <w:rPr>
          <w:rStyle w:val="Strong"/>
          <w:rFonts w:ascii="Times New Roman" w:hAnsi="Times New Roman"/>
        </w:rPr>
        <w:t xml:space="preserve"> </w:t>
      </w:r>
      <w:r w:rsidRPr="00EF132F">
        <w:rPr>
          <w:rStyle w:val="Strong"/>
          <w:rFonts w:ascii="Times New Roman" w:hAnsi="Times New Roman"/>
          <w:b w:val="0"/>
        </w:rPr>
        <w:t>and</w:t>
      </w:r>
      <w:r>
        <w:rPr>
          <w:rStyle w:val="Strong"/>
          <w:rFonts w:ascii="Times New Roman" w:hAnsi="Times New Roman"/>
        </w:rPr>
        <w:t xml:space="preserve"> </w:t>
      </w:r>
      <w:r w:rsidRPr="00EF132F">
        <w:rPr>
          <w:rStyle w:val="Strong"/>
          <w:rFonts w:ascii="Times New Roman" w:hAnsi="Times New Roman"/>
          <w:b w:val="0"/>
        </w:rPr>
        <w:t>lignin</w:t>
      </w:r>
      <w:r>
        <w:rPr>
          <w:rFonts w:ascii="Times New Roman" w:hAnsi="Times New Roman"/>
          <w:b/>
        </w:rPr>
        <w:t xml:space="preserve">. </w:t>
      </w:r>
      <w:r>
        <w:rPr>
          <w:rFonts w:ascii="Times New Roman" w:hAnsi="Times New Roman"/>
        </w:rPr>
        <w:t xml:space="preserve">It was determined using the neutral detergent solution. </w:t>
      </w:r>
      <w:r w:rsidRPr="00EF132F">
        <w:rPr>
          <w:rStyle w:val="Strong"/>
          <w:rFonts w:eastAsiaTheme="majorEastAsia"/>
          <w:b w:val="0"/>
        </w:rPr>
        <w:t>2g</w:t>
      </w:r>
      <w:r>
        <w:rPr>
          <w:rStyle w:val="Strong"/>
          <w:rFonts w:eastAsiaTheme="majorEastAsia"/>
        </w:rPr>
        <w:t xml:space="preserve"> </w:t>
      </w:r>
      <w:r>
        <w:rPr>
          <w:rFonts w:ascii="Times New Roman" w:hAnsi="Times New Roman"/>
        </w:rPr>
        <w:t xml:space="preserve">of each processed sample was accurately weighed into a digestion flask. </w:t>
      </w:r>
      <w:r w:rsidRPr="00EF132F">
        <w:rPr>
          <w:rStyle w:val="Strong"/>
          <w:rFonts w:eastAsiaTheme="majorEastAsia"/>
          <w:b w:val="0"/>
        </w:rPr>
        <w:t>100mil</w:t>
      </w:r>
      <w:r>
        <w:rPr>
          <w:rStyle w:val="Strong"/>
          <w:rFonts w:eastAsiaTheme="majorEastAsia"/>
        </w:rPr>
        <w:t xml:space="preserve"> </w:t>
      </w:r>
      <w:r w:rsidRPr="00EF132F">
        <w:rPr>
          <w:rStyle w:val="Strong"/>
          <w:rFonts w:eastAsiaTheme="majorEastAsia"/>
          <w:b w:val="0"/>
        </w:rPr>
        <w:t>of neutral detergent solution</w:t>
      </w:r>
      <w:r>
        <w:rPr>
          <w:rFonts w:ascii="Times New Roman" w:hAnsi="Times New Roman"/>
        </w:rPr>
        <w:t xml:space="preserve"> was added to the sample. (A heat-stable α-amylase was added to facilitate the removal of starch, while sodium </w:t>
      </w:r>
      <w:proofErr w:type="spellStart"/>
      <w:r>
        <w:rPr>
          <w:rFonts w:ascii="Times New Roman" w:hAnsi="Times New Roman"/>
        </w:rPr>
        <w:t>sulphite</w:t>
      </w:r>
      <w:proofErr w:type="spellEnd"/>
      <w:r>
        <w:rPr>
          <w:rFonts w:ascii="Times New Roman" w:hAnsi="Times New Roman"/>
        </w:rPr>
        <w:t xml:space="preserve"> was included to assist in removing protein contamination from the residue). The mixture was heated to boiling and refluxed for approximately </w:t>
      </w:r>
      <w:r w:rsidR="00EF132F">
        <w:rPr>
          <w:rStyle w:val="Strong"/>
          <w:rFonts w:eastAsiaTheme="majorEastAsia"/>
          <w:b w:val="0"/>
        </w:rPr>
        <w:t>60 minutes</w:t>
      </w:r>
      <w:r>
        <w:rPr>
          <w:rFonts w:ascii="Times New Roman" w:hAnsi="Times New Roman"/>
        </w:rPr>
        <w:t xml:space="preserve">. At the end of digestion, the contents were filtered through a pre-weighed filter crucible. The residue was washed thoroughly with hot distilled water until detergent residues were removed, followed by washing with acetone. The crucible containing the residue was dried in an oven at </w:t>
      </w:r>
      <w:r w:rsidRPr="00EF132F">
        <w:rPr>
          <w:rStyle w:val="Strong"/>
          <w:rFonts w:eastAsiaTheme="majorEastAsia"/>
          <w:b w:val="0"/>
        </w:rPr>
        <w:t>105°C to constant weight</w:t>
      </w:r>
      <w:r>
        <w:rPr>
          <w:rFonts w:ascii="Times New Roman" w:hAnsi="Times New Roman"/>
        </w:rPr>
        <w:t xml:space="preserve">, cooled in a desiccator, and weighed. The neutral detergent </w:t>
      </w:r>
      <w:proofErr w:type="spellStart"/>
      <w:r>
        <w:rPr>
          <w:rFonts w:ascii="Times New Roman" w:hAnsi="Times New Roman"/>
        </w:rPr>
        <w:t>fibre</w:t>
      </w:r>
      <w:proofErr w:type="spellEnd"/>
      <w:r>
        <w:rPr>
          <w:rFonts w:ascii="Times New Roman" w:hAnsi="Times New Roman"/>
        </w:rPr>
        <w:t xml:space="preserve"> content was calculated as:</w:t>
      </w:r>
    </w:p>
    <w:p w14:paraId="7CDA068E" w14:textId="77777777" w:rsidR="0040444D" w:rsidRPr="002B75CF" w:rsidRDefault="0040444D" w:rsidP="0040444D">
      <w:pPr>
        <w:spacing w:line="480" w:lineRule="auto"/>
        <w:ind w:firstLine="720"/>
        <w:jc w:val="center"/>
        <w:rPr>
          <w:rFonts w:cstheme="minorBidi"/>
        </w:rPr>
      </w:pPr>
      <w:r w:rsidRPr="002B75CF">
        <w:rPr>
          <w:rStyle w:val="mord"/>
        </w:rPr>
        <w:t>%</w:t>
      </w:r>
      <w:r w:rsidRPr="002B75CF">
        <w:rPr>
          <w:rStyle w:val="mord"/>
          <w:rFonts w:ascii="Times New Roman" w:hAnsi="Times New Roman"/>
        </w:rPr>
        <w:t>NDF</w:t>
      </w:r>
      <m:oMath>
        <m:r>
          <m:rPr>
            <m:sty m:val="p"/>
          </m:rPr>
          <w:rPr>
            <w:rFonts w:ascii="Cambria Math" w:hAnsi="Cambria Math"/>
          </w:rPr>
          <m:t xml:space="preserve">  =</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Weight of dried NDF residue</m:t>
            </m:r>
          </m:num>
          <m:den>
            <m:r>
              <m:rPr>
                <m:sty m:val="p"/>
              </m:rPr>
              <w:rPr>
                <w:rFonts w:ascii="Cambria Math" w:hAnsi="Cambria Math"/>
              </w:rPr>
              <m:t>Weight of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533A70FE" w14:textId="77777777" w:rsidR="0040444D" w:rsidRPr="002B75CF" w:rsidRDefault="0040444D" w:rsidP="0040444D">
      <w:pPr>
        <w:pStyle w:val="Heading2"/>
        <w:rPr>
          <w:rFonts w:ascii="Times New Roman" w:hAnsi="Times New Roman" w:cs="Times New Roman"/>
          <w:color w:val="000000" w:themeColor="text1"/>
          <w:sz w:val="24"/>
          <w:szCs w:val="24"/>
        </w:rPr>
      </w:pPr>
      <w:r w:rsidRPr="002B75CF">
        <w:rPr>
          <w:rFonts w:ascii="Times New Roman" w:hAnsi="Times New Roman" w:cs="Times New Roman"/>
          <w:color w:val="000000" w:themeColor="text1"/>
          <w:sz w:val="24"/>
          <w:szCs w:val="24"/>
        </w:rPr>
        <w:t xml:space="preserve">Determination of Acid Detergent </w:t>
      </w:r>
      <w:proofErr w:type="spellStart"/>
      <w:r w:rsidRPr="002B75CF">
        <w:rPr>
          <w:rFonts w:ascii="Times New Roman" w:hAnsi="Times New Roman" w:cs="Times New Roman"/>
          <w:color w:val="000000" w:themeColor="text1"/>
          <w:sz w:val="24"/>
          <w:szCs w:val="24"/>
        </w:rPr>
        <w:t>Fibre</w:t>
      </w:r>
      <w:proofErr w:type="spellEnd"/>
      <w:r w:rsidRPr="002B75CF">
        <w:rPr>
          <w:rFonts w:ascii="Times New Roman" w:hAnsi="Times New Roman" w:cs="Times New Roman"/>
          <w:color w:val="000000" w:themeColor="text1"/>
          <w:sz w:val="24"/>
          <w:szCs w:val="24"/>
        </w:rPr>
        <w:t xml:space="preserve"> (ADF) </w:t>
      </w:r>
      <w:r w:rsidRPr="002B75CF">
        <w:rPr>
          <w:rFonts w:ascii="Times New Roman" w:hAnsi="Times New Roman" w:cs="Times New Roman"/>
          <w:color w:val="auto"/>
          <w:sz w:val="24"/>
          <w:szCs w:val="24"/>
        </w:rPr>
        <w:t xml:space="preserve">(Van-Soest </w:t>
      </w:r>
      <w:r w:rsidRPr="002B75CF">
        <w:rPr>
          <w:rFonts w:ascii="Times New Roman" w:hAnsi="Times New Roman" w:cs="Times New Roman"/>
          <w:i/>
          <w:color w:val="auto"/>
          <w:sz w:val="24"/>
          <w:szCs w:val="24"/>
        </w:rPr>
        <w:t xml:space="preserve">et al., </w:t>
      </w:r>
      <w:r w:rsidRPr="002B75CF">
        <w:rPr>
          <w:rFonts w:ascii="Times New Roman" w:hAnsi="Times New Roman" w:cs="Times New Roman"/>
          <w:color w:val="auto"/>
          <w:sz w:val="24"/>
          <w:szCs w:val="24"/>
        </w:rPr>
        <w:t>1991)</w:t>
      </w:r>
    </w:p>
    <w:p w14:paraId="040DA069" w14:textId="77777777" w:rsidR="0040444D" w:rsidRDefault="0040444D" w:rsidP="0040444D">
      <w:pPr>
        <w:spacing w:line="480" w:lineRule="auto"/>
        <w:jc w:val="both"/>
        <w:rPr>
          <w:rFonts w:ascii="Times New Roman" w:hAnsi="Times New Roman"/>
          <w:b/>
          <w:sz w:val="24"/>
          <w:szCs w:val="24"/>
        </w:rPr>
      </w:pPr>
      <w:r w:rsidRPr="002B75CF">
        <w:rPr>
          <w:rFonts w:ascii="Times New Roman" w:hAnsi="Times New Roman"/>
        </w:rPr>
        <w:t xml:space="preserve">Acid detergent </w:t>
      </w:r>
      <w:proofErr w:type="spellStart"/>
      <w:r w:rsidRPr="002B75CF">
        <w:rPr>
          <w:rFonts w:ascii="Times New Roman" w:hAnsi="Times New Roman"/>
        </w:rPr>
        <w:t>fibre</w:t>
      </w:r>
      <w:proofErr w:type="spellEnd"/>
      <w:r w:rsidRPr="002B75CF">
        <w:rPr>
          <w:rFonts w:ascii="Times New Roman" w:hAnsi="Times New Roman"/>
        </w:rPr>
        <w:t xml:space="preserve"> represents the </w:t>
      </w:r>
      <w:r w:rsidRPr="002B75CF">
        <w:rPr>
          <w:rStyle w:val="Strong"/>
          <w:rFonts w:ascii="Times New Roman" w:hAnsi="Times New Roman"/>
          <w:b w:val="0"/>
        </w:rPr>
        <w:t>cellulose and lignin fractions</w:t>
      </w:r>
      <w:r>
        <w:rPr>
          <w:rFonts w:ascii="Times New Roman" w:hAnsi="Times New Roman"/>
        </w:rPr>
        <w:t xml:space="preserve"> of the plant material. The acid detergent </w:t>
      </w:r>
      <w:proofErr w:type="spellStart"/>
      <w:r>
        <w:rPr>
          <w:rFonts w:ascii="Times New Roman" w:hAnsi="Times New Roman"/>
        </w:rPr>
        <w:t>fibre</w:t>
      </w:r>
      <w:proofErr w:type="spellEnd"/>
      <w:r>
        <w:rPr>
          <w:rFonts w:ascii="Times New Roman" w:hAnsi="Times New Roman"/>
        </w:rPr>
        <w:t xml:space="preserve"> content was determined using acid detergent solution. </w:t>
      </w:r>
      <w:r w:rsidRPr="00EF132F">
        <w:rPr>
          <w:rStyle w:val="Strong"/>
          <w:rFonts w:eastAsiaTheme="majorEastAsia"/>
          <w:b w:val="0"/>
        </w:rPr>
        <w:t>2g</w:t>
      </w:r>
      <w:r>
        <w:rPr>
          <w:rStyle w:val="Strong"/>
          <w:rFonts w:eastAsiaTheme="majorEastAsia"/>
        </w:rPr>
        <w:t xml:space="preserve"> </w:t>
      </w:r>
      <w:r>
        <w:rPr>
          <w:rFonts w:ascii="Times New Roman" w:hAnsi="Times New Roman"/>
        </w:rPr>
        <w:t xml:space="preserve">of each processed sample was weighed into a digestion flask, after which </w:t>
      </w:r>
      <w:r w:rsidRPr="00EF132F">
        <w:rPr>
          <w:rStyle w:val="Strong"/>
          <w:rFonts w:eastAsiaTheme="majorEastAsia"/>
          <w:b w:val="0"/>
        </w:rPr>
        <w:t>100mil of acid detergent solution</w:t>
      </w:r>
      <w:r>
        <w:rPr>
          <w:rFonts w:ascii="Times New Roman" w:hAnsi="Times New Roman"/>
        </w:rPr>
        <w:t xml:space="preserve"> was added. The mixture was heated and refluxed for approximately </w:t>
      </w:r>
      <w:r w:rsidRPr="00EF132F">
        <w:rPr>
          <w:rStyle w:val="Strong"/>
          <w:rFonts w:eastAsiaTheme="majorEastAsia"/>
          <w:b w:val="0"/>
        </w:rPr>
        <w:t>1hour</w:t>
      </w:r>
      <w:r>
        <w:rPr>
          <w:rFonts w:ascii="Times New Roman" w:hAnsi="Times New Roman"/>
        </w:rPr>
        <w:t xml:space="preserve">. After digestion, the contents were filtered through a pre-weighed crucible. The residue was washed repeatedly with hot distilled water until acid residues were removed and subsequently washed with acetone. The residue was oven-dried at </w:t>
      </w:r>
      <w:r w:rsidRPr="00EF132F">
        <w:rPr>
          <w:rStyle w:val="Strong"/>
          <w:rFonts w:eastAsiaTheme="majorEastAsia"/>
          <w:b w:val="0"/>
        </w:rPr>
        <w:t>105°C to constant weight</w:t>
      </w:r>
      <w:r>
        <w:rPr>
          <w:rFonts w:ascii="Times New Roman" w:hAnsi="Times New Roman"/>
        </w:rPr>
        <w:t>, cooled in a desiccator and weighed. The percentage ADF was calculated as:</w:t>
      </w:r>
    </w:p>
    <w:p w14:paraId="19CF9159" w14:textId="77777777" w:rsidR="0040444D" w:rsidRPr="002B75CF" w:rsidRDefault="0040444D" w:rsidP="0040444D">
      <w:pPr>
        <w:spacing w:line="480" w:lineRule="auto"/>
        <w:ind w:firstLine="720"/>
        <w:jc w:val="center"/>
        <w:rPr>
          <w:rFonts w:ascii="Times New Roman" w:hAnsi="Times New Roman"/>
        </w:rPr>
      </w:pPr>
      <w:r w:rsidRPr="002B75CF">
        <w:rPr>
          <w:rStyle w:val="mord"/>
        </w:rPr>
        <w:t>%</w:t>
      </w:r>
      <w:r w:rsidRPr="002B75CF">
        <w:rPr>
          <w:rStyle w:val="mord"/>
          <w:rFonts w:ascii="Times New Roman" w:hAnsi="Times New Roman"/>
        </w:rPr>
        <w:t>NDF</w:t>
      </w:r>
      <m:oMath>
        <m:r>
          <m:rPr>
            <m:sty m:val="p"/>
          </m:rPr>
          <w:rPr>
            <w:rFonts w:ascii="Cambria Math" w:hAnsi="Cambria Math"/>
          </w:rPr>
          <m:t xml:space="preserve">  =</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Weight of dried ADF residue</m:t>
            </m:r>
          </m:num>
          <m:den>
            <m:r>
              <m:rPr>
                <m:sty m:val="p"/>
              </m:rPr>
              <w:rPr>
                <w:rFonts w:ascii="Cambria Math" w:hAnsi="Cambria Math"/>
              </w:rPr>
              <m:t>Weight of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4B07B575"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Anti-Nutritional Factors</w:t>
      </w:r>
    </w:p>
    <w:p w14:paraId="01C93734" w14:textId="77777777" w:rsidR="0040444D" w:rsidRPr="002B75CF" w:rsidRDefault="0040444D" w:rsidP="0040444D">
      <w:pPr>
        <w:spacing w:line="480" w:lineRule="auto"/>
        <w:jc w:val="both"/>
        <w:rPr>
          <w:rFonts w:ascii="Times New Roman" w:hAnsi="Times New Roman" w:cstheme="minorBidi"/>
        </w:rPr>
      </w:pPr>
      <w:r w:rsidRPr="002B75CF">
        <w:rPr>
          <w:rFonts w:ascii="Times New Roman" w:hAnsi="Times New Roman"/>
        </w:rPr>
        <w:lastRenderedPageBreak/>
        <w:t xml:space="preserve">Determination of </w:t>
      </w:r>
      <w:r w:rsidRPr="002B75CF">
        <w:rPr>
          <w:rFonts w:ascii="Times New Roman" w:hAnsi="Times New Roman"/>
          <w:bCs/>
        </w:rPr>
        <w:t xml:space="preserve">Tannin </w:t>
      </w:r>
      <w:r w:rsidRPr="002B75CF">
        <w:rPr>
          <w:rFonts w:ascii="Times New Roman" w:hAnsi="Times New Roman"/>
          <w:color w:val="1B1B1B"/>
          <w:shd w:val="clear" w:color="auto" w:fill="FFFFFF"/>
        </w:rPr>
        <w:t>(Chandran &amp; Kavitha-Chandran, 2016)</w:t>
      </w:r>
    </w:p>
    <w:p w14:paraId="1F57765F" w14:textId="77777777" w:rsidR="0040444D" w:rsidRDefault="00EF132F" w:rsidP="0040444D">
      <w:pPr>
        <w:spacing w:line="480" w:lineRule="auto"/>
        <w:jc w:val="both"/>
        <w:rPr>
          <w:rFonts w:ascii="Times New Roman" w:eastAsia="Calibri" w:hAnsi="Times New Roman"/>
          <w:b/>
        </w:rPr>
      </w:pPr>
      <w:r>
        <w:rPr>
          <w:rFonts w:ascii="Times New Roman" w:hAnsi="Times New Roman"/>
        </w:rPr>
        <w:t>The analytical</w:t>
      </w:r>
      <w:r w:rsidR="0040444D">
        <w:rPr>
          <w:rFonts w:ascii="Times New Roman" w:hAnsi="Times New Roman"/>
        </w:rPr>
        <w:t xml:space="preserve"> method for quantitative determination of tannin was determined by dissolving 50g of sodium tungstate (Na</w:t>
      </w:r>
      <w:r w:rsidR="0040444D">
        <w:rPr>
          <w:rFonts w:ascii="Times New Roman" w:hAnsi="Times New Roman"/>
          <w:vertAlign w:val="subscript"/>
        </w:rPr>
        <w:t>2</w:t>
      </w:r>
      <w:r w:rsidR="0040444D">
        <w:rPr>
          <w:rFonts w:ascii="Times New Roman" w:hAnsi="Times New Roman"/>
        </w:rPr>
        <w:t>WO</w:t>
      </w:r>
      <w:r w:rsidR="0040444D">
        <w:rPr>
          <w:rFonts w:ascii="Times New Roman" w:hAnsi="Times New Roman"/>
          <w:vertAlign w:val="subscript"/>
        </w:rPr>
        <w:t>4</w:t>
      </w:r>
      <w:r w:rsidR="0040444D">
        <w:rPr>
          <w:rFonts w:ascii="Times New Roman" w:hAnsi="Times New Roman"/>
        </w:rPr>
        <w:t>) in 37cm3 of distilled water</w:t>
      </w:r>
      <w:r>
        <w:rPr>
          <w:rFonts w:ascii="Times New Roman" w:hAnsi="Times New Roman"/>
        </w:rPr>
        <w:t>;</w:t>
      </w:r>
      <w:r w:rsidR="0040444D">
        <w:rPr>
          <w:rFonts w:ascii="Times New Roman" w:hAnsi="Times New Roman"/>
        </w:rPr>
        <w:t xml:space="preserve"> Folin-Denis reagent was made. To the reagent prepared above, 10g of phosphomolybdic acid (H</w:t>
      </w:r>
      <w:r w:rsidR="0040444D">
        <w:rPr>
          <w:rFonts w:ascii="Times New Roman" w:hAnsi="Times New Roman"/>
          <w:vertAlign w:val="subscript"/>
        </w:rPr>
        <w:t>3</w:t>
      </w:r>
      <w:r w:rsidR="0040444D">
        <w:rPr>
          <w:rFonts w:ascii="Times New Roman" w:hAnsi="Times New Roman"/>
        </w:rPr>
        <w:t>PMO</w:t>
      </w:r>
      <w:r w:rsidR="0040444D">
        <w:rPr>
          <w:rFonts w:ascii="Times New Roman" w:hAnsi="Times New Roman"/>
          <w:vertAlign w:val="subscript"/>
        </w:rPr>
        <w:t>12</w:t>
      </w:r>
      <w:r w:rsidR="0040444D">
        <w:rPr>
          <w:rFonts w:ascii="Times New Roman" w:hAnsi="Times New Roman"/>
        </w:rPr>
        <w:t>O</w:t>
      </w:r>
      <w:r w:rsidR="0040444D">
        <w:rPr>
          <w:rFonts w:ascii="Times New Roman" w:hAnsi="Times New Roman"/>
          <w:vertAlign w:val="subscript"/>
        </w:rPr>
        <w:t>40</w:t>
      </w:r>
      <w:r w:rsidR="0040444D">
        <w:rPr>
          <w:rFonts w:ascii="Times New Roman" w:hAnsi="Times New Roman"/>
        </w:rPr>
        <w:t>) and 25cm3 of orthophosphoric acid (H</w:t>
      </w:r>
      <w:r w:rsidR="0040444D">
        <w:rPr>
          <w:rFonts w:ascii="Times New Roman" w:hAnsi="Times New Roman"/>
          <w:vertAlign w:val="subscript"/>
        </w:rPr>
        <w:t>3</w:t>
      </w:r>
      <w:r w:rsidR="0040444D">
        <w:rPr>
          <w:rFonts w:ascii="Times New Roman" w:hAnsi="Times New Roman"/>
        </w:rPr>
        <w:t>PO</w:t>
      </w:r>
      <w:r w:rsidR="0040444D">
        <w:rPr>
          <w:rFonts w:ascii="Times New Roman" w:hAnsi="Times New Roman"/>
          <w:vertAlign w:val="subscript"/>
        </w:rPr>
        <w:t>4</w:t>
      </w:r>
      <w:r w:rsidR="0040444D">
        <w:rPr>
          <w:rFonts w:ascii="Times New Roman" w:hAnsi="Times New Roman"/>
        </w:rPr>
        <w:t xml:space="preserve">) were added. </w:t>
      </w:r>
      <w:r w:rsidR="002B75CF">
        <w:rPr>
          <w:rFonts w:ascii="Times New Roman" w:hAnsi="Times New Roman"/>
        </w:rPr>
        <w:t>A two-hour</w:t>
      </w:r>
      <w:r w:rsidR="0040444D">
        <w:rPr>
          <w:rFonts w:ascii="Times New Roman" w:hAnsi="Times New Roman"/>
        </w:rPr>
        <w:t xml:space="preserve"> reflux of the mixture was carried out, cooled, and diluted to 500cm3 with distilled water. 1g of each processed sample was put in </w:t>
      </w:r>
      <w:r>
        <w:rPr>
          <w:rFonts w:ascii="Times New Roman" w:hAnsi="Times New Roman"/>
        </w:rPr>
        <w:t xml:space="preserve">a </w:t>
      </w:r>
      <w:r w:rsidR="0040444D">
        <w:rPr>
          <w:rFonts w:ascii="Times New Roman" w:hAnsi="Times New Roman"/>
        </w:rPr>
        <w:t>different conical flask</w:t>
      </w:r>
      <w:r>
        <w:rPr>
          <w:rFonts w:ascii="Times New Roman" w:hAnsi="Times New Roman"/>
        </w:rPr>
        <w:t>,</w:t>
      </w:r>
      <w:r w:rsidR="0040444D">
        <w:rPr>
          <w:rFonts w:ascii="Times New Roman" w:hAnsi="Times New Roman"/>
        </w:rPr>
        <w:t xml:space="preserve"> and 100cm3 of distilled water was added to it. This was boiled gently for 1hour on an electric hot plate and filtered using No.42 (125mm) Whatman filter paper </w:t>
      </w:r>
      <w:r>
        <w:rPr>
          <w:rFonts w:ascii="Times New Roman" w:hAnsi="Times New Roman"/>
        </w:rPr>
        <w:t>into</w:t>
      </w:r>
      <w:r w:rsidR="0040444D">
        <w:rPr>
          <w:rFonts w:ascii="Times New Roman" w:hAnsi="Times New Roman"/>
        </w:rPr>
        <w:t xml:space="preserve"> a 100cm3 conical flask. The addition of 5cm3 Folin-Denis reagent and 10cm3 of saturated Na</w:t>
      </w:r>
      <w:r w:rsidR="0040444D">
        <w:rPr>
          <w:rFonts w:ascii="Times New Roman" w:hAnsi="Times New Roman"/>
          <w:vertAlign w:val="subscript"/>
        </w:rPr>
        <w:t>2</w:t>
      </w:r>
      <w:r w:rsidR="0040444D">
        <w:rPr>
          <w:rFonts w:ascii="Times New Roman" w:hAnsi="Times New Roman"/>
        </w:rPr>
        <w:t>CO</w:t>
      </w:r>
      <w:r w:rsidR="0040444D">
        <w:rPr>
          <w:rFonts w:ascii="Times New Roman" w:hAnsi="Times New Roman"/>
          <w:vertAlign w:val="subscript"/>
        </w:rPr>
        <w:t>3</w:t>
      </w:r>
      <w:r w:rsidR="0040444D">
        <w:rPr>
          <w:rFonts w:ascii="Times New Roman" w:hAnsi="Times New Roman"/>
        </w:rPr>
        <w:t xml:space="preserve"> solution into 50cm3 of distilled water and 10cm3 of diluted extract (aliquot volume) was carried out after being pipetted into a 100cm3 conical flask for color development. The solution was allowed to stand for </w:t>
      </w:r>
      <w:r>
        <w:rPr>
          <w:rFonts w:ascii="Times New Roman" w:hAnsi="Times New Roman"/>
        </w:rPr>
        <w:t>30 min</w:t>
      </w:r>
      <w:r w:rsidR="0040444D">
        <w:rPr>
          <w:rFonts w:ascii="Times New Roman" w:hAnsi="Times New Roman"/>
        </w:rPr>
        <w:t xml:space="preserve"> in a water bath at a temperature of 25</w:t>
      </w:r>
      <w:r w:rsidR="0040444D">
        <w:rPr>
          <w:rFonts w:ascii="Cambria Math" w:hAnsi="Cambria Math" w:cs="Cambria Math"/>
          <w:vertAlign w:val="superscript"/>
        </w:rPr>
        <w:t>°</w:t>
      </w:r>
      <w:r w:rsidR="0040444D">
        <w:rPr>
          <w:rFonts w:ascii="Times New Roman" w:hAnsi="Times New Roman"/>
        </w:rPr>
        <w:t xml:space="preserve">C after thorough agitation. With the aid of a spectrophotometer, optical density was measured at 700nm and compared </w:t>
      </w:r>
      <w:r>
        <w:rPr>
          <w:rFonts w:ascii="Times New Roman" w:hAnsi="Times New Roman"/>
        </w:rPr>
        <w:t>with</w:t>
      </w:r>
      <w:r w:rsidR="0040444D">
        <w:rPr>
          <w:rFonts w:ascii="Times New Roman" w:hAnsi="Times New Roman"/>
        </w:rPr>
        <w:t xml:space="preserve"> a standard tannic acid curve. Dissolution of 0.2g of tannic acid in distilled water and dilution to 200cm3 mark (1mg/cm3) were used to obtain </w:t>
      </w:r>
      <w:r>
        <w:rPr>
          <w:rFonts w:ascii="Times New Roman" w:hAnsi="Times New Roman"/>
        </w:rPr>
        <w:t xml:space="preserve">the </w:t>
      </w:r>
      <w:r w:rsidR="0040444D">
        <w:rPr>
          <w:rFonts w:ascii="Times New Roman" w:hAnsi="Times New Roman"/>
        </w:rPr>
        <w:t>tannic standard curve. Varying concentrations (0.2-1mg/cm3) of the standard tannic acid solution were pipetted into five different test tubes</w:t>
      </w:r>
      <w:r>
        <w:rPr>
          <w:rFonts w:ascii="Times New Roman" w:hAnsi="Times New Roman"/>
        </w:rPr>
        <w:t>,</w:t>
      </w:r>
      <w:r w:rsidR="0040444D">
        <w:rPr>
          <w:rFonts w:ascii="Times New Roman" w:hAnsi="Times New Roman"/>
        </w:rPr>
        <w:t xml:space="preserve"> to which Folin-Denis reagent (5cm3) and saturated Na2CO3 (10cm3) solution were added and made up to the 100cm3 mark with distilled water. The solution was left to stand for </w:t>
      </w:r>
      <w:r>
        <w:rPr>
          <w:rFonts w:ascii="Times New Roman" w:hAnsi="Times New Roman"/>
        </w:rPr>
        <w:t>30 min</w:t>
      </w:r>
      <w:r w:rsidR="0040444D">
        <w:rPr>
          <w:rFonts w:ascii="Times New Roman" w:hAnsi="Times New Roman"/>
        </w:rPr>
        <w:t xml:space="preserve"> in a water bath at 25</w:t>
      </w:r>
      <w:r w:rsidR="0040444D">
        <w:rPr>
          <w:rFonts w:ascii="Cambria Math" w:hAnsi="Cambria Math" w:cs="Cambria Math"/>
          <w:vertAlign w:val="superscript"/>
        </w:rPr>
        <w:t>°</w:t>
      </w:r>
      <w:r w:rsidR="0040444D">
        <w:rPr>
          <w:rFonts w:ascii="Times New Roman" w:hAnsi="Times New Roman"/>
        </w:rPr>
        <w:t xml:space="preserve">C. Optical Density was ascertained at 700nm with the aid of a spectrophotometer. Optical density (absorbance) versus tannic acid concentration was plotted. </w:t>
      </w:r>
      <w:r w:rsidR="0040444D">
        <w:rPr>
          <w:rFonts w:ascii="Times New Roman" w:eastAsia="Calibri" w:hAnsi="Times New Roman"/>
          <w:b/>
        </w:rPr>
        <w:t xml:space="preserve"> </w:t>
      </w:r>
      <w:r w:rsidR="0040444D">
        <w:rPr>
          <w:rFonts w:ascii="Times New Roman" w:hAnsi="Times New Roman"/>
        </w:rPr>
        <w:t>The following formula was used in the calculation;</w:t>
      </w:r>
    </w:p>
    <w:p w14:paraId="7964E1FE" w14:textId="77777777" w:rsidR="0040444D" w:rsidRPr="00EF132F" w:rsidRDefault="0040444D" w:rsidP="0040444D">
      <w:pPr>
        <w:pStyle w:val="ListParagraph"/>
        <w:spacing w:line="480" w:lineRule="auto"/>
        <w:jc w:val="both"/>
        <w:rPr>
          <w:rFonts w:ascii="Times New Roman" w:hAnsi="Times New Roman"/>
          <w:bCs/>
        </w:rPr>
      </w:pPr>
      <w:r w:rsidRPr="00EF132F">
        <w:rPr>
          <w:rFonts w:ascii="Times New Roman" w:hAnsi="Times New Roman"/>
          <w:bCs/>
        </w:rPr>
        <w:t>Tannic acid</w:t>
      </w:r>
      <m:oMath>
        <m:r>
          <w:rPr>
            <w:rFonts w:ascii="Cambria Math" w:hAnsi="Cambria Math" w:cs="Times New Roman"/>
          </w:rPr>
          <m:t xml:space="preserve"> </m:t>
        </m:r>
        <m:r>
          <m:rPr>
            <m:sty m:val="p"/>
          </m:rPr>
          <w:rPr>
            <w:rFonts w:ascii="Cambria Math" w:hAnsi="Cambria Math" w:cs="Times New Roman"/>
          </w:rPr>
          <m:t xml:space="preserve">(  </m:t>
        </m:r>
        <m:f>
          <m:fPr>
            <m:ctrlPr>
              <w:rPr>
                <w:rFonts w:ascii="Cambria Math" w:hAnsi="Cambria Math" w:cs="Times New Roman"/>
                <w:bCs/>
              </w:rPr>
            </m:ctrlPr>
          </m:fPr>
          <m:num>
            <m:r>
              <m:rPr>
                <m:sty m:val="p"/>
              </m:rPr>
              <w:rPr>
                <w:rFonts w:ascii="Cambria Math" w:hAnsi="Cambria Math" w:cs="Times New Roman"/>
              </w:rPr>
              <m:t>mg</m:t>
            </m:r>
          </m:num>
          <m:den>
            <m:r>
              <m:rPr>
                <m:sty m:val="p"/>
              </m:rPr>
              <w:rPr>
                <w:rFonts w:ascii="Cambria Math" w:hAnsi="Cambria Math" w:cs="Times New Roman"/>
              </w:rPr>
              <m:t>100g</m:t>
            </m:r>
          </m:den>
        </m:f>
        <m:r>
          <m:rPr>
            <m:sty m:val="p"/>
          </m:rPr>
          <w:rPr>
            <w:rFonts w:ascii="Cambria Math" w:hAnsi="Cambria Math" w:cs="Times New Roman"/>
          </w:rPr>
          <m:t xml:space="preserve"> </m:t>
        </m:r>
      </m:oMath>
      <w:r w:rsidRPr="00EF132F">
        <w:rPr>
          <w:rFonts w:ascii="Times New Roman" w:hAnsi="Times New Roman" w:cs="Times New Roman"/>
          <w:bCs/>
        </w:rPr>
        <w:t>)  =</w:t>
      </w:r>
      <m:oMath>
        <m:r>
          <m:rPr>
            <m:sty m:val="p"/>
          </m:rPr>
          <w:rPr>
            <w:rFonts w:ascii="Cambria Math" w:hAnsi="Cambria Math" w:cs="Times New Roman"/>
          </w:rPr>
          <m:t xml:space="preserve">       </m:t>
        </m:r>
        <m:f>
          <m:fPr>
            <m:ctrlPr>
              <w:rPr>
                <w:rFonts w:ascii="Cambria Math" w:hAnsi="Cambria Math" w:cs="Times New Roman"/>
                <w:bCs/>
              </w:rPr>
            </m:ctrlPr>
          </m:fPr>
          <m:num>
            <m:r>
              <m:rPr>
                <m:sty m:val="p"/>
              </m:rPr>
              <w:rPr>
                <w:rFonts w:ascii="Cambria Math" w:hAnsi="Cambria Math" w:cs="Times New Roman"/>
              </w:rPr>
              <m:t>C X extract volume X 100</m:t>
            </m:r>
          </m:num>
          <m:den>
            <m:r>
              <m:rPr>
                <m:sty m:val="p"/>
              </m:rPr>
              <w:rPr>
                <w:rFonts w:ascii="Cambria Math" w:hAnsi="Cambria Math" w:cs="Times New Roman"/>
              </w:rPr>
              <m:t>Aliquot volume X Weight of sample</m:t>
            </m:r>
          </m:den>
        </m:f>
      </m:oMath>
      <w:r w:rsidRPr="00EF132F">
        <w:rPr>
          <w:rFonts w:ascii="Times New Roman" w:hAnsi="Times New Roman"/>
          <w:bCs/>
        </w:rPr>
        <w:t xml:space="preserve">   </w:t>
      </w:r>
    </w:p>
    <w:p w14:paraId="2E3EC90E" w14:textId="77777777" w:rsidR="0040444D" w:rsidRDefault="0040444D" w:rsidP="0040444D">
      <w:pPr>
        <w:pStyle w:val="ListParagraph"/>
        <w:spacing w:line="480" w:lineRule="auto"/>
        <w:jc w:val="both"/>
        <w:rPr>
          <w:rFonts w:ascii="Times New Roman" w:hAnsi="Times New Roman"/>
        </w:rPr>
      </w:pPr>
      <w:r>
        <w:rPr>
          <w:rFonts w:ascii="Times New Roman" w:hAnsi="Times New Roman" w:cs="Times New Roman"/>
        </w:rPr>
        <w:t xml:space="preserve">Where, </w:t>
      </w:r>
      <w:r>
        <w:rPr>
          <w:rFonts w:ascii="Cambria Math" w:hAnsi="Cambria Math" w:cs="Cambria Math"/>
        </w:rPr>
        <w:t>𝐶</w:t>
      </w:r>
      <w:r>
        <w:rPr>
          <w:rFonts w:ascii="Times New Roman" w:hAnsi="Times New Roman" w:cs="Times New Roman"/>
        </w:rPr>
        <w:t xml:space="preserve"> is </w:t>
      </w:r>
      <w:r w:rsidR="00EF132F">
        <w:rPr>
          <w:rFonts w:ascii="Times New Roman" w:hAnsi="Times New Roman" w:cs="Times New Roman"/>
        </w:rPr>
        <w:t xml:space="preserve">the </w:t>
      </w:r>
      <w:r>
        <w:rPr>
          <w:rFonts w:ascii="Times New Roman" w:hAnsi="Times New Roman" w:cs="Times New Roman"/>
        </w:rPr>
        <w:t>concentration of tannic acid read off the graph</w:t>
      </w:r>
      <w:r>
        <w:rPr>
          <w:rFonts w:ascii="Times New Roman" w:hAnsi="Times New Roman"/>
        </w:rPr>
        <w:t>.</w:t>
      </w:r>
    </w:p>
    <w:p w14:paraId="39B3FAA0" w14:textId="77777777" w:rsidR="0040444D" w:rsidRPr="00EF132F" w:rsidRDefault="0040444D" w:rsidP="0040444D">
      <w:pPr>
        <w:rPr>
          <w:rFonts w:ascii="Times New Roman" w:hAnsi="Times New Roman"/>
          <w:bCs/>
        </w:rPr>
      </w:pPr>
      <w:r w:rsidRPr="00EF132F">
        <w:rPr>
          <w:rFonts w:ascii="Times New Roman" w:hAnsi="Times New Roman"/>
          <w:bCs/>
        </w:rPr>
        <w:t xml:space="preserve">Determination of Cyanogenic Glycoside </w:t>
      </w:r>
      <w:r w:rsidRPr="00EF132F">
        <w:rPr>
          <w:rFonts w:ascii="Times New Roman" w:hAnsi="Times New Roman"/>
          <w:color w:val="1B1B1B"/>
          <w:sz w:val="26"/>
          <w:szCs w:val="26"/>
          <w:shd w:val="clear" w:color="auto" w:fill="FFFFFF"/>
        </w:rPr>
        <w:t xml:space="preserve">(Lucas </w:t>
      </w:r>
      <w:r w:rsidRPr="00EF132F">
        <w:rPr>
          <w:rFonts w:ascii="Times New Roman" w:hAnsi="Times New Roman"/>
          <w:i/>
          <w:color w:val="1B1B1B"/>
          <w:sz w:val="26"/>
          <w:szCs w:val="26"/>
          <w:shd w:val="clear" w:color="auto" w:fill="FFFFFF"/>
        </w:rPr>
        <w:t>et al.,</w:t>
      </w:r>
      <w:r w:rsidRPr="00EF132F">
        <w:rPr>
          <w:rFonts w:ascii="Times New Roman" w:hAnsi="Times New Roman"/>
          <w:color w:val="1B1B1B"/>
          <w:sz w:val="26"/>
          <w:szCs w:val="26"/>
          <w:shd w:val="clear" w:color="auto" w:fill="FFFFFF"/>
        </w:rPr>
        <w:t xml:space="preserve"> 2014)</w:t>
      </w:r>
    </w:p>
    <w:p w14:paraId="48A28C1D" w14:textId="77777777" w:rsidR="0040444D" w:rsidRDefault="0040444D" w:rsidP="0040444D">
      <w:pPr>
        <w:spacing w:line="480" w:lineRule="auto"/>
        <w:jc w:val="both"/>
        <w:rPr>
          <w:rFonts w:ascii="Times New Roman" w:hAnsi="Times New Roman"/>
          <w:b/>
        </w:rPr>
      </w:pPr>
      <w:r>
        <w:rPr>
          <w:rFonts w:ascii="Times New Roman" w:hAnsi="Times New Roman"/>
        </w:rPr>
        <w:t xml:space="preserve">In </w:t>
      </w:r>
      <w:r w:rsidR="00EF132F">
        <w:rPr>
          <w:rFonts w:ascii="Times New Roman" w:hAnsi="Times New Roman"/>
        </w:rPr>
        <w:t>the cyanogenic</w:t>
      </w:r>
      <w:r>
        <w:rPr>
          <w:rFonts w:ascii="Times New Roman" w:hAnsi="Times New Roman"/>
        </w:rPr>
        <w:t xml:space="preserve"> glycoside quantitative determination methodology, the processed sample (1g) was weighed into a 250cm3 round bottom flask</w:t>
      </w:r>
      <w:r w:rsidR="00EF132F">
        <w:rPr>
          <w:rFonts w:ascii="Times New Roman" w:hAnsi="Times New Roman"/>
        </w:rPr>
        <w:t>,</w:t>
      </w:r>
      <w:r>
        <w:rPr>
          <w:rFonts w:ascii="Times New Roman" w:hAnsi="Times New Roman"/>
        </w:rPr>
        <w:t xml:space="preserve"> and about 200cm3 of distilled water was added to it and allowed to stand for 2hours for autolysis to occur. Full distillation was carried out in a distillation flask containing 20cm3 of 2.5% NaOH (sodium hydroxide) in the sample after adding an antifoaming agent (tannic acid). Cyanogenic glycoside (100cm3), 8cm3 of 6M NH</w:t>
      </w:r>
      <w:r>
        <w:rPr>
          <w:rFonts w:ascii="Times New Roman" w:hAnsi="Times New Roman"/>
          <w:vertAlign w:val="subscript"/>
        </w:rPr>
        <w:t>4</w:t>
      </w:r>
      <w:r>
        <w:rPr>
          <w:rFonts w:ascii="Times New Roman" w:hAnsi="Times New Roman"/>
        </w:rPr>
        <w:t xml:space="preserve">OH (ammonium hydroxide), and 2cm3 of 5% KI (potassium iodide) </w:t>
      </w:r>
      <w:r w:rsidR="00EF132F">
        <w:rPr>
          <w:rFonts w:ascii="Times New Roman" w:hAnsi="Times New Roman"/>
        </w:rPr>
        <w:t>were</w:t>
      </w:r>
      <w:r>
        <w:rPr>
          <w:rFonts w:ascii="Times New Roman" w:hAnsi="Times New Roman"/>
        </w:rPr>
        <w:t xml:space="preserve"> added to the distillate(s), mixed, and titrated with </w:t>
      </w:r>
      <w:r w:rsidR="00EF132F">
        <w:rPr>
          <w:rFonts w:ascii="Times New Roman" w:hAnsi="Times New Roman"/>
        </w:rPr>
        <w:t>0.02 M</w:t>
      </w:r>
      <w:r>
        <w:rPr>
          <w:rFonts w:ascii="Times New Roman" w:hAnsi="Times New Roman"/>
        </w:rPr>
        <w:t xml:space="preserve"> AgNO</w:t>
      </w:r>
      <w:r>
        <w:rPr>
          <w:rFonts w:ascii="Times New Roman" w:hAnsi="Times New Roman"/>
          <w:vertAlign w:val="subscript"/>
        </w:rPr>
        <w:t>3</w:t>
      </w:r>
      <w:r>
        <w:rPr>
          <w:rFonts w:ascii="Times New Roman" w:hAnsi="Times New Roman"/>
        </w:rPr>
        <w:t xml:space="preserve"> (silver nitrate) using a </w:t>
      </w:r>
      <w:proofErr w:type="spellStart"/>
      <w:r w:rsidR="00EF132F">
        <w:rPr>
          <w:rFonts w:ascii="Times New Roman" w:hAnsi="Times New Roman"/>
        </w:rPr>
        <w:t>microburette</w:t>
      </w:r>
      <w:proofErr w:type="spellEnd"/>
      <w:r>
        <w:rPr>
          <w:rFonts w:ascii="Times New Roman" w:hAnsi="Times New Roman"/>
        </w:rPr>
        <w:t xml:space="preserve"> against a black background. Turbidity</w:t>
      </w:r>
      <w:r w:rsidR="00EF132F">
        <w:rPr>
          <w:rFonts w:ascii="Times New Roman" w:hAnsi="Times New Roman"/>
        </w:rPr>
        <w:t>,</w:t>
      </w:r>
      <w:r>
        <w:rPr>
          <w:rFonts w:ascii="Times New Roman" w:hAnsi="Times New Roman"/>
        </w:rPr>
        <w:t xml:space="preserve"> which was continuous</w:t>
      </w:r>
      <w:r w:rsidR="00EF132F">
        <w:rPr>
          <w:rFonts w:ascii="Times New Roman" w:hAnsi="Times New Roman"/>
        </w:rPr>
        <w:t>, indicated</w:t>
      </w:r>
      <w:r>
        <w:rPr>
          <w:rFonts w:ascii="Times New Roman" w:hAnsi="Times New Roman"/>
        </w:rPr>
        <w:t xml:space="preserve"> the </w:t>
      </w:r>
      <w:r w:rsidR="00EF132F">
        <w:rPr>
          <w:rFonts w:ascii="Times New Roman" w:hAnsi="Times New Roman"/>
        </w:rPr>
        <w:t>endpoint</w:t>
      </w:r>
      <w:r>
        <w:rPr>
          <w:rFonts w:ascii="Times New Roman" w:hAnsi="Times New Roman"/>
        </w:rPr>
        <w:t>.</w:t>
      </w:r>
      <w:r>
        <w:rPr>
          <w:rFonts w:ascii="Times New Roman" w:hAnsi="Times New Roman"/>
          <w:b/>
        </w:rPr>
        <w:t xml:space="preserve"> </w:t>
      </w:r>
      <w:r>
        <w:rPr>
          <w:rFonts w:ascii="Times New Roman" w:hAnsi="Times New Roman"/>
        </w:rPr>
        <w:t xml:space="preserve">Content of cyanogenic glycoside in the sample was calculated as </w:t>
      </w:r>
    </w:p>
    <w:p w14:paraId="1EE61306" w14:textId="77777777" w:rsidR="0040444D" w:rsidRPr="00EF132F" w:rsidRDefault="0040444D" w:rsidP="0040444D">
      <w:pPr>
        <w:pStyle w:val="ListParagraph"/>
        <w:spacing w:line="480" w:lineRule="auto"/>
        <w:jc w:val="both"/>
        <w:rPr>
          <w:rFonts w:ascii="Times New Roman" w:hAnsi="Times New Roman"/>
        </w:rPr>
      </w:pPr>
      <w:r w:rsidRPr="00EF132F">
        <w:rPr>
          <w:rFonts w:ascii="Times New Roman" w:hAnsi="Times New Roman"/>
          <w:bCs/>
        </w:rPr>
        <w:t>Cyanogenic glycoside</w:t>
      </w:r>
      <m:oMath>
        <m:r>
          <w:rPr>
            <w:rFonts w:ascii="Cambria Math" w:hAnsi="Cambria Math" w:cs="Times New Roman"/>
          </w:rPr>
          <m:t xml:space="preserve"> </m:t>
        </m:r>
        <m:d>
          <m:dPr>
            <m:ctrlPr>
              <w:rPr>
                <w:rFonts w:ascii="Cambria Math" w:hAnsi="Cambria Math" w:cs="Times New Roman"/>
                <w:bCs/>
              </w:rPr>
            </m:ctrlPr>
          </m:dPr>
          <m:e>
            <m:f>
              <m:fPr>
                <m:ctrlPr>
                  <w:rPr>
                    <w:rFonts w:ascii="Cambria Math" w:hAnsi="Cambria Math" w:cs="Times New Roman"/>
                    <w:bCs/>
                  </w:rPr>
                </m:ctrlPr>
              </m:fPr>
              <m:num>
                <m:r>
                  <m:rPr>
                    <m:sty m:val="p"/>
                  </m:rPr>
                  <w:rPr>
                    <w:rFonts w:ascii="Cambria Math" w:hAnsi="Cambria Math" w:cs="Times New Roman"/>
                  </w:rPr>
                  <m:t>Mg</m:t>
                </m:r>
              </m:num>
              <m:den>
                <m:r>
                  <m:rPr>
                    <m:sty m:val="p"/>
                  </m:rPr>
                  <w:rPr>
                    <w:rFonts w:ascii="Cambria Math" w:hAnsi="Cambria Math" w:cs="Times New Roman"/>
                  </w:rPr>
                  <m:t>100g</m:t>
                </m:r>
              </m:den>
            </m:f>
          </m:e>
        </m:d>
      </m:oMath>
      <w:r w:rsidRPr="00EF132F">
        <w:rPr>
          <w:rFonts w:ascii="Times New Roman" w:hAnsi="Times New Roman" w:cs="Times New Roman"/>
        </w:rPr>
        <w:t>=</w:t>
      </w:r>
      <m:oMath>
        <m:r>
          <m:rPr>
            <m:sty m:val="p"/>
          </m:rPr>
          <w:rPr>
            <w:rFonts w:ascii="Cambria Math" w:hAnsi="Cambria Math" w:cs="Times New Roman"/>
          </w:rPr>
          <m:t xml:space="preserve">    </m:t>
        </m:r>
        <m:f>
          <m:fPr>
            <m:ctrlPr>
              <w:rPr>
                <w:rFonts w:ascii="Cambria Math" w:hAnsi="Cambria Math" w:cs="Times New Roman"/>
              </w:rPr>
            </m:ctrlPr>
          </m:fPr>
          <m:num>
            <m:r>
              <m:rPr>
                <m:sty m:val="p"/>
              </m:rPr>
              <w:rPr>
                <w:rFonts w:ascii="Cambria Math" w:hAnsi="Cambria Math" w:cs="Times New Roman"/>
              </w:rPr>
              <m:t xml:space="preserve">Titre value </m:t>
            </m:r>
            <m:d>
              <m:dPr>
                <m:ctrlPr>
                  <w:rPr>
                    <w:rFonts w:ascii="Cambria Math" w:hAnsi="Cambria Math" w:cs="Times New Roman"/>
                  </w:rPr>
                </m:ctrlPr>
              </m:dPr>
              <m:e>
                <m:r>
                  <m:rPr>
                    <m:sty m:val="p"/>
                  </m:rPr>
                  <w:rPr>
                    <w:rFonts w:ascii="Cambria Math" w:hAnsi="Cambria Math" w:cs="Times New Roman"/>
                  </w:rPr>
                  <m:t>cm3</m:t>
                </m:r>
              </m:e>
            </m:d>
            <m:r>
              <m:rPr>
                <m:sty m:val="p"/>
              </m:rPr>
              <w:rPr>
                <w:rFonts w:ascii="Cambria Math" w:hAnsi="Cambria Math" w:cs="Times New Roman"/>
              </w:rPr>
              <m:t>X 1.08 X extract volume</m:t>
            </m:r>
          </m:num>
          <m:den>
            <m:r>
              <m:rPr>
                <m:sty m:val="p"/>
              </m:rPr>
              <w:rPr>
                <w:rFonts w:ascii="Cambria Math" w:hAnsi="Cambria Math" w:cs="Times New Roman"/>
              </w:rPr>
              <m:t xml:space="preserve">Aliquot volume </m:t>
            </m:r>
            <m:d>
              <m:dPr>
                <m:ctrlPr>
                  <w:rPr>
                    <w:rFonts w:ascii="Cambria Math" w:hAnsi="Cambria Math" w:cs="Times New Roman"/>
                  </w:rPr>
                </m:ctrlPr>
              </m:dPr>
              <m:e>
                <m:r>
                  <m:rPr>
                    <m:sty m:val="p"/>
                  </m:rPr>
                  <w:rPr>
                    <w:rFonts w:ascii="Cambria Math" w:hAnsi="Cambria Math" w:cs="Times New Roman"/>
                  </w:rPr>
                  <m:t>cm3</m:t>
                </m:r>
              </m:e>
            </m:d>
            <m:r>
              <m:rPr>
                <m:sty m:val="p"/>
              </m:rPr>
              <w:rPr>
                <w:rFonts w:ascii="Cambria Math" w:hAnsi="Cambria Math" w:cs="Times New Roman"/>
              </w:rPr>
              <m:t xml:space="preserve"> X Sample weight (g)</m:t>
            </m:r>
          </m:den>
        </m:f>
        <m:r>
          <m:rPr>
            <m:sty m:val="p"/>
          </m:rPr>
          <w:rPr>
            <w:rFonts w:ascii="Cambria Math" w:hAnsi="Cambria Math" w:cs="Times New Roman"/>
          </w:rPr>
          <m:t xml:space="preserve"> X 100</m:t>
        </m:r>
      </m:oMath>
      <w:r w:rsidRPr="00EF132F">
        <w:rPr>
          <w:rFonts w:ascii="Times New Roman" w:hAnsi="Times New Roman" w:cs="Times New Roman"/>
        </w:rPr>
        <w:t xml:space="preserve"> </w:t>
      </w:r>
    </w:p>
    <w:p w14:paraId="7B748286" w14:textId="77777777" w:rsidR="0040444D" w:rsidRPr="00EF132F" w:rsidRDefault="0040444D" w:rsidP="0040444D">
      <w:pPr>
        <w:spacing w:line="480" w:lineRule="auto"/>
        <w:jc w:val="both"/>
        <w:rPr>
          <w:rFonts w:ascii="Times New Roman" w:hAnsi="Times New Roman"/>
        </w:rPr>
      </w:pPr>
      <w:r w:rsidRPr="00EF132F">
        <w:rPr>
          <w:rFonts w:ascii="Times New Roman" w:hAnsi="Times New Roman"/>
          <w:bCs/>
        </w:rPr>
        <w:t>Determination of Phytate (</w:t>
      </w:r>
      <w:r w:rsidRPr="00EF132F">
        <w:rPr>
          <w:rStyle w:val="author0"/>
          <w:rFonts w:ascii="Times New Roman" w:hAnsi="Times New Roman"/>
        </w:rPr>
        <w:t>Rousta</w:t>
      </w:r>
      <w:r w:rsidRPr="00EF132F">
        <w:rPr>
          <w:rFonts w:ascii="Times New Roman" w:hAnsi="Times New Roman"/>
        </w:rPr>
        <w:t xml:space="preserve"> &amp; </w:t>
      </w:r>
      <w:proofErr w:type="spellStart"/>
      <w:r w:rsidRPr="00EF132F">
        <w:rPr>
          <w:rStyle w:val="author0"/>
          <w:rFonts w:ascii="Times New Roman" w:hAnsi="Times New Roman"/>
        </w:rPr>
        <w:t>Taherzadeh</w:t>
      </w:r>
      <w:proofErr w:type="spellEnd"/>
      <w:r w:rsidRPr="00EF132F">
        <w:rPr>
          <w:rStyle w:val="author0"/>
          <w:rFonts w:ascii="Times New Roman" w:hAnsi="Times New Roman"/>
        </w:rPr>
        <w:t xml:space="preserve">, </w:t>
      </w:r>
      <w:r w:rsidRPr="00EF132F">
        <w:rPr>
          <w:rStyle w:val="pubyear"/>
          <w:rFonts w:ascii="Times New Roman" w:hAnsi="Times New Roman"/>
        </w:rPr>
        <w:t>2026</w:t>
      </w:r>
      <w:r w:rsidRPr="00EF132F">
        <w:rPr>
          <w:rFonts w:ascii="Times New Roman" w:hAnsi="Times New Roman"/>
        </w:rPr>
        <w:t xml:space="preserve">) </w:t>
      </w:r>
    </w:p>
    <w:p w14:paraId="3FC05B78" w14:textId="77777777" w:rsidR="0040444D" w:rsidRDefault="0040444D" w:rsidP="0040444D">
      <w:pPr>
        <w:spacing w:line="480" w:lineRule="auto"/>
        <w:jc w:val="both"/>
        <w:rPr>
          <w:rFonts w:ascii="Times New Roman" w:hAnsi="Times New Roman"/>
        </w:rPr>
      </w:pPr>
      <w:r>
        <w:rPr>
          <w:rFonts w:ascii="Times New Roman" w:hAnsi="Times New Roman"/>
        </w:rPr>
        <w:t>This method is based on the reaction between ferric iron and sulfosalicylic acid to form a colored complex. Phytate in the sample chelates the iron and reduces the color intensity, which is then measured spectrophotometrically.</w:t>
      </w:r>
      <w:r>
        <w:rPr>
          <w:rFonts w:ascii="Times New Roman" w:hAnsi="Times New Roman"/>
          <w:b/>
        </w:rPr>
        <w:t xml:space="preserve"> </w:t>
      </w:r>
      <w:r>
        <w:rPr>
          <w:rFonts w:ascii="Times New Roman" w:hAnsi="Times New Roman"/>
        </w:rPr>
        <w:t xml:space="preserve">A series of phytate standard solutions was </w:t>
      </w:r>
      <w:r>
        <w:rPr>
          <w:rFonts w:ascii="Times New Roman" w:hAnsi="Times New Roman"/>
        </w:rPr>
        <w:lastRenderedPageBreak/>
        <w:t>prepared using sodium phytate dissolved in deionized water.</w:t>
      </w:r>
      <w:r>
        <w:rPr>
          <w:rFonts w:ascii="Times New Roman" w:hAnsi="Times New Roman"/>
          <w:b/>
        </w:rPr>
        <w:t xml:space="preserve"> </w:t>
      </w:r>
      <w:r>
        <w:rPr>
          <w:rFonts w:ascii="Times New Roman" w:hAnsi="Times New Roman"/>
        </w:rPr>
        <w:t>0.5g of each processed sample was extracted using 5% trichloroacetic acid (TCA). It was agitated constantly for 2hours. The mixture was filtered and centrifuged afterward and the supernatant was collected for analysis. To an aliquot volume of the sample extract and standard solution, the Wade reagent was added. The color was allowed to develop for about 15mins. The absorbance was measured for each solution at 500nm using a UV-Vis spectrophotometer. A standard curve was constructed by plotting the absorbance of the standard solutions against their concentrations. The phytate concentration was determined in the sample by interpolating its absorbance value on the standard curve.</w:t>
      </w:r>
    </w:p>
    <w:p w14:paraId="5181F01F" w14:textId="77777777" w:rsidR="0040444D" w:rsidRPr="00EF132F" w:rsidRDefault="0040444D" w:rsidP="0040444D">
      <w:pPr>
        <w:spacing w:line="480" w:lineRule="auto"/>
        <w:contextualSpacing/>
        <w:jc w:val="both"/>
        <w:rPr>
          <w:rFonts w:ascii="Times New Roman" w:hAnsi="Times New Roman" w:cstheme="minorBidi"/>
          <w:bCs/>
        </w:rPr>
      </w:pPr>
      <w:r w:rsidRPr="00EF132F">
        <w:rPr>
          <w:rFonts w:ascii="Times New Roman" w:hAnsi="Times New Roman"/>
          <w:bCs/>
        </w:rPr>
        <w:t xml:space="preserve">Determination of Oxalate </w:t>
      </w:r>
      <w:r w:rsidRPr="00EF132F">
        <w:rPr>
          <w:rFonts w:ascii="Times New Roman" w:hAnsi="Times New Roman"/>
          <w:color w:val="1B1B1B"/>
          <w:shd w:val="clear" w:color="auto" w:fill="FFFFFF"/>
        </w:rPr>
        <w:t>(</w:t>
      </w:r>
      <w:proofErr w:type="spellStart"/>
      <w:r w:rsidRPr="00EF132F">
        <w:rPr>
          <w:rFonts w:ascii="Times New Roman" w:hAnsi="Times New Roman"/>
          <w:color w:val="1B1B1B"/>
          <w:shd w:val="clear" w:color="auto" w:fill="FFFFFF"/>
        </w:rPr>
        <w:t>Agbaire</w:t>
      </w:r>
      <w:proofErr w:type="spellEnd"/>
      <w:r w:rsidRPr="00EF132F">
        <w:rPr>
          <w:rFonts w:ascii="Times New Roman" w:hAnsi="Times New Roman"/>
          <w:color w:val="1B1B1B"/>
          <w:shd w:val="clear" w:color="auto" w:fill="FFFFFF"/>
        </w:rPr>
        <w:t>, 2011)</w:t>
      </w:r>
    </w:p>
    <w:p w14:paraId="00E5B3D3" w14:textId="77777777" w:rsidR="0040444D" w:rsidRDefault="0040444D" w:rsidP="0040444D">
      <w:pPr>
        <w:spacing w:line="480" w:lineRule="auto"/>
        <w:contextualSpacing/>
        <w:jc w:val="both"/>
        <w:rPr>
          <w:rFonts w:ascii="Times New Roman" w:hAnsi="Times New Roman"/>
          <w:b/>
        </w:rPr>
      </w:pPr>
      <w:r>
        <w:rPr>
          <w:rFonts w:ascii="Times New Roman" w:hAnsi="Times New Roman"/>
        </w:rPr>
        <w:t xml:space="preserve">Oxalate quantitative determination was carried out by dissolving exactly 20cm3 of </w:t>
      </w:r>
      <w:r w:rsidR="00EF132F">
        <w:rPr>
          <w:rFonts w:ascii="Times New Roman" w:hAnsi="Times New Roman"/>
        </w:rPr>
        <w:t>0.3 M HCl</w:t>
      </w:r>
      <w:r>
        <w:rPr>
          <w:rFonts w:ascii="Times New Roman" w:hAnsi="Times New Roman"/>
        </w:rPr>
        <w:t xml:space="preserve"> in each of the processed </w:t>
      </w:r>
      <w:r w:rsidR="00EF132F">
        <w:rPr>
          <w:rFonts w:ascii="Times New Roman" w:hAnsi="Times New Roman"/>
        </w:rPr>
        <w:t>samples</w:t>
      </w:r>
      <w:r>
        <w:rPr>
          <w:rFonts w:ascii="Times New Roman" w:hAnsi="Times New Roman"/>
        </w:rPr>
        <w:t xml:space="preserve"> (1g) and was extracted 3 times by warming at a temperature of 50</w:t>
      </w:r>
      <w:r>
        <w:rPr>
          <w:rFonts w:ascii="Cambria Math" w:hAnsi="Cambria Math" w:cs="Cambria Math"/>
          <w:vertAlign w:val="superscript"/>
        </w:rPr>
        <w:t>°</w:t>
      </w:r>
      <w:r>
        <w:rPr>
          <w:rFonts w:ascii="Times New Roman" w:hAnsi="Times New Roman"/>
        </w:rPr>
        <w:t>C for 1hour with constant stirring using a magnetic stirrer. For oxalate estimation, 1cm3 of 5M ammonium hydroxide was added to 5cm3 of the extract to ensure alkalinity. Addition of 2 drops of phenolphthalein indicator, 3 drops of glacial acetic acid</w:t>
      </w:r>
      <w:r w:rsidR="00EF132F">
        <w:rPr>
          <w:rFonts w:ascii="Times New Roman" w:hAnsi="Times New Roman"/>
        </w:rPr>
        <w:t>,</w:t>
      </w:r>
      <w:r>
        <w:rPr>
          <w:rFonts w:ascii="Times New Roman" w:hAnsi="Times New Roman"/>
        </w:rPr>
        <w:t xml:space="preserve"> and 1cm3 of 5% calcium chloride to make the mixture acidic before standing for 3hours was</w:t>
      </w:r>
      <w:r w:rsidR="00EF132F">
        <w:rPr>
          <w:rFonts w:ascii="Times New Roman" w:hAnsi="Times New Roman"/>
        </w:rPr>
        <w:t>,</w:t>
      </w:r>
      <w:r>
        <w:rPr>
          <w:rFonts w:ascii="Times New Roman" w:hAnsi="Times New Roman"/>
        </w:rPr>
        <w:t xml:space="preserve"> followed by centrifugation at 3000rpm for </w:t>
      </w:r>
      <w:r w:rsidR="00EF132F">
        <w:rPr>
          <w:rFonts w:ascii="Times New Roman" w:hAnsi="Times New Roman"/>
        </w:rPr>
        <w:t>15 min</w:t>
      </w:r>
      <w:r>
        <w:rPr>
          <w:rFonts w:ascii="Times New Roman" w:hAnsi="Times New Roman"/>
        </w:rPr>
        <w:t xml:space="preserve">. After discarding the supernatant, the precipitate was washed three times using hot water by mixing </w:t>
      </w:r>
      <w:r w:rsidR="00EF132F">
        <w:rPr>
          <w:rFonts w:ascii="Times New Roman" w:hAnsi="Times New Roman"/>
        </w:rPr>
        <w:t>each time after centrifugation thoroughly</w:t>
      </w:r>
      <w:r>
        <w:rPr>
          <w:rFonts w:ascii="Times New Roman" w:hAnsi="Times New Roman"/>
        </w:rPr>
        <w:t xml:space="preserve">. Then, to each test tube, 2cm3 of 3M </w:t>
      </w:r>
      <w:proofErr w:type="spellStart"/>
      <w:r>
        <w:rPr>
          <w:rFonts w:ascii="Times New Roman" w:hAnsi="Times New Roman"/>
        </w:rPr>
        <w:t>tetraoxosulphate</w:t>
      </w:r>
      <w:proofErr w:type="spellEnd"/>
      <w:r>
        <w:rPr>
          <w:rFonts w:ascii="Times New Roman" w:hAnsi="Times New Roman"/>
        </w:rPr>
        <w:t xml:space="preserve"> (VI) acid was added and the precipitate </w:t>
      </w:r>
      <w:r w:rsidR="00EF132F">
        <w:rPr>
          <w:rFonts w:ascii="Times New Roman" w:hAnsi="Times New Roman"/>
        </w:rPr>
        <w:t xml:space="preserve">was </w:t>
      </w:r>
      <w:r>
        <w:rPr>
          <w:rFonts w:ascii="Times New Roman" w:hAnsi="Times New Roman"/>
        </w:rPr>
        <w:t>dissolved by warming in a water bath at 70</w:t>
      </w:r>
      <w:r>
        <w:rPr>
          <w:rFonts w:ascii="Cambria Math" w:hAnsi="Cambria Math" w:cs="Cambria Math"/>
          <w:vertAlign w:val="superscript"/>
        </w:rPr>
        <w:t>°</w:t>
      </w:r>
      <w:r>
        <w:rPr>
          <w:rFonts w:ascii="Times New Roman" w:hAnsi="Times New Roman"/>
        </w:rPr>
        <w:t xml:space="preserve">C. Freshly prepared 0.01M potassium permanganate (KMnO4) was titrated against the </w:t>
      </w:r>
      <w:r w:rsidR="00EF132F">
        <w:rPr>
          <w:rFonts w:ascii="Times New Roman" w:hAnsi="Times New Roman"/>
        </w:rPr>
        <w:t>contents</w:t>
      </w:r>
      <w:r>
        <w:rPr>
          <w:rFonts w:ascii="Times New Roman" w:hAnsi="Times New Roman"/>
        </w:rPr>
        <w:t xml:space="preserve"> of each tube at room temperature until the first pink color </w:t>
      </w:r>
      <w:r w:rsidR="00EF132F">
        <w:rPr>
          <w:rFonts w:ascii="Times New Roman" w:hAnsi="Times New Roman"/>
        </w:rPr>
        <w:t>appeared</w:t>
      </w:r>
      <w:r>
        <w:rPr>
          <w:rFonts w:ascii="Times New Roman" w:hAnsi="Times New Roman"/>
        </w:rPr>
        <w:t xml:space="preserve"> throughout the solution. The solution was allowed to stand until it returned </w:t>
      </w:r>
      <w:r w:rsidR="00EF132F">
        <w:rPr>
          <w:rFonts w:ascii="Times New Roman" w:hAnsi="Times New Roman"/>
        </w:rPr>
        <w:t xml:space="preserve">to </w:t>
      </w:r>
      <w:r>
        <w:rPr>
          <w:rFonts w:ascii="Times New Roman" w:hAnsi="Times New Roman"/>
        </w:rPr>
        <w:t>colorless, after which it was warmed on an electric hot plate at 70</w:t>
      </w:r>
      <w:r>
        <w:rPr>
          <w:rFonts w:ascii="Cambria Math" w:hAnsi="Cambria Math" w:cs="Cambria Math"/>
          <w:vertAlign w:val="superscript"/>
        </w:rPr>
        <w:t>°</w:t>
      </w:r>
      <w:r>
        <w:rPr>
          <w:rFonts w:ascii="Times New Roman" w:hAnsi="Times New Roman"/>
        </w:rPr>
        <w:t xml:space="preserve">C for </w:t>
      </w:r>
      <w:r w:rsidR="00EF132F">
        <w:rPr>
          <w:rFonts w:ascii="Times New Roman" w:hAnsi="Times New Roman"/>
        </w:rPr>
        <w:t>3 min</w:t>
      </w:r>
      <w:r>
        <w:rPr>
          <w:rFonts w:ascii="Times New Roman" w:hAnsi="Times New Roman"/>
        </w:rPr>
        <w:t xml:space="preserve"> and re-titrated again until a pink color appears and </w:t>
      </w:r>
      <w:r w:rsidR="00EF132F">
        <w:rPr>
          <w:rFonts w:ascii="Times New Roman" w:hAnsi="Times New Roman"/>
        </w:rPr>
        <w:t>persisted</w:t>
      </w:r>
      <w:r>
        <w:rPr>
          <w:rFonts w:ascii="Times New Roman" w:hAnsi="Times New Roman"/>
        </w:rPr>
        <w:t xml:space="preserve"> for at least 30secs. </w:t>
      </w:r>
      <w:r w:rsidR="00EF132F">
        <w:rPr>
          <w:rFonts w:ascii="Times New Roman" w:hAnsi="Times New Roman"/>
        </w:rPr>
        <w:t>The titration</w:t>
      </w:r>
      <w:r>
        <w:rPr>
          <w:rFonts w:ascii="Times New Roman" w:hAnsi="Times New Roman"/>
        </w:rPr>
        <w:t xml:space="preserve"> reaction of oxalate in </w:t>
      </w:r>
      <w:r w:rsidR="00EF132F">
        <w:rPr>
          <w:rFonts w:ascii="Times New Roman" w:hAnsi="Times New Roman"/>
        </w:rPr>
        <w:t xml:space="preserve">the </w:t>
      </w:r>
      <w:r>
        <w:rPr>
          <w:rFonts w:ascii="Times New Roman" w:hAnsi="Times New Roman"/>
        </w:rPr>
        <w:t>sample was calculated as;</w:t>
      </w:r>
    </w:p>
    <w:p w14:paraId="073061F9" w14:textId="77777777" w:rsidR="0040444D" w:rsidRPr="00EF132F" w:rsidRDefault="0040444D" w:rsidP="0040444D">
      <w:pPr>
        <w:spacing w:line="480" w:lineRule="auto"/>
        <w:jc w:val="center"/>
        <w:rPr>
          <w:rFonts w:ascii="Times New Roman" w:hAnsi="Times New Roman"/>
          <w:bCs/>
        </w:rPr>
      </w:pPr>
      <w:r w:rsidRPr="00EF132F">
        <w:rPr>
          <w:rFonts w:ascii="Times New Roman" w:hAnsi="Times New Roman"/>
          <w:bCs/>
        </w:rPr>
        <w:t xml:space="preserve">% oxalate composition g/100 g </w:t>
      </w:r>
      <w:r w:rsidRPr="00EF132F">
        <w:rPr>
          <w:rFonts w:ascii="Times New Roman" w:hAnsi="Times New Roman"/>
          <w:bCs/>
          <w:i/>
        </w:rPr>
        <w:t xml:space="preserve">= </w:t>
      </w:r>
      <m:oMath>
        <m:f>
          <m:fPr>
            <m:ctrlPr>
              <w:rPr>
                <w:rFonts w:ascii="Cambria Math" w:hAnsi="Cambria Math"/>
                <w:bCs/>
                <w:kern w:val="2"/>
                <w:sz w:val="24"/>
                <w:szCs w:val="24"/>
                <w14:ligatures w14:val="standardContextual"/>
              </w:rPr>
            </m:ctrlPr>
          </m:fPr>
          <m:num>
            <m:r>
              <m:rPr>
                <m:sty m:val="p"/>
              </m:rPr>
              <w:rPr>
                <w:rFonts w:ascii="Cambria Math" w:hAnsi="Cambria Math"/>
              </w:rPr>
              <m:t>W</m:t>
            </m:r>
          </m:num>
          <m:den>
            <m:r>
              <m:rPr>
                <m:sty m:val="p"/>
              </m:rPr>
              <w:rPr>
                <w:rFonts w:ascii="Cambria Math" w:hAnsi="Cambria Math"/>
              </w:rPr>
              <m:t>2.5</m:t>
            </m:r>
          </m:den>
        </m:f>
        <m:r>
          <m:rPr>
            <m:sty m:val="p"/>
          </m:rPr>
          <w:rPr>
            <w:rFonts w:ascii="Cambria Math" w:hAnsi="Cambria Math"/>
          </w:rPr>
          <m:t xml:space="preserve"> X   </m:t>
        </m:r>
        <m:f>
          <m:fPr>
            <m:ctrlPr>
              <w:rPr>
                <w:rFonts w:ascii="Cambria Math" w:hAnsi="Cambria Math"/>
                <w:bCs/>
                <w:kern w:val="2"/>
                <w:sz w:val="24"/>
                <w:szCs w:val="24"/>
                <w14:ligatures w14:val="standardContextual"/>
              </w:rPr>
            </m:ctrlPr>
          </m:fPr>
          <m:num>
            <m:r>
              <m:rPr>
                <m:sty m:val="p"/>
              </m:rPr>
              <w:rPr>
                <w:rFonts w:ascii="Cambria Math" w:hAnsi="Cambria Math"/>
              </w:rPr>
              <m:t>100</m:t>
            </m:r>
          </m:num>
          <m:den>
            <m:r>
              <m:rPr>
                <m:sty m:val="p"/>
              </m:rPr>
              <w:rPr>
                <w:rFonts w:ascii="Cambria Math" w:hAnsi="Cambria Math"/>
              </w:rPr>
              <m:t>1</m:t>
            </m:r>
          </m:den>
        </m:f>
      </m:oMath>
    </w:p>
    <w:p w14:paraId="662B4966" w14:textId="77777777" w:rsidR="0040444D" w:rsidRPr="00EF132F" w:rsidRDefault="0040444D" w:rsidP="0040444D">
      <w:pPr>
        <w:jc w:val="both"/>
        <w:rPr>
          <w:rFonts w:ascii="Times New Roman" w:hAnsi="Times New Roman"/>
          <w:bCs/>
          <w:kern w:val="36"/>
        </w:rPr>
      </w:pPr>
      <w:r w:rsidRPr="00EF132F">
        <w:rPr>
          <w:rFonts w:ascii="Times New Roman" w:hAnsi="Times New Roman"/>
        </w:rPr>
        <w:t xml:space="preserve">Determination of In-Vitro Protein Digestibility by Sequential Pepsin-Pancreatin </w:t>
      </w:r>
      <w:r w:rsidRPr="00EF132F">
        <w:rPr>
          <w:rFonts w:ascii="Times New Roman" w:hAnsi="Times New Roman"/>
        </w:rPr>
        <w:tab/>
        <w:t>Digestion</w:t>
      </w:r>
      <w:r w:rsidRPr="00EF132F">
        <w:rPr>
          <w:rFonts w:ascii="Times New Roman" w:hAnsi="Times New Roman"/>
          <w:bCs/>
          <w:kern w:val="36"/>
        </w:rPr>
        <w:t xml:space="preserve"> </w:t>
      </w:r>
      <w:r w:rsidRPr="00EF132F">
        <w:rPr>
          <w:rFonts w:ascii="Times New Roman" w:hAnsi="Times New Roman"/>
        </w:rPr>
        <w:t xml:space="preserve">(Song </w:t>
      </w:r>
      <w:r w:rsidRPr="00EF132F">
        <w:rPr>
          <w:rFonts w:ascii="Times New Roman" w:hAnsi="Times New Roman"/>
          <w:i/>
        </w:rPr>
        <w:t>et al.,</w:t>
      </w:r>
      <w:r w:rsidRPr="00EF132F">
        <w:rPr>
          <w:rFonts w:ascii="Times New Roman" w:hAnsi="Times New Roman"/>
        </w:rPr>
        <w:t xml:space="preserve"> 2024)</w:t>
      </w:r>
    </w:p>
    <w:p w14:paraId="25ABBF63" w14:textId="77777777" w:rsidR="0040444D" w:rsidRDefault="0040444D" w:rsidP="0040444D">
      <w:pPr>
        <w:pStyle w:val="NormalWeb"/>
        <w:spacing w:before="0" w:beforeAutospacing="0" w:after="0" w:afterAutospacing="0" w:line="480" w:lineRule="auto"/>
        <w:jc w:val="both"/>
      </w:pPr>
      <w:r>
        <w:t xml:space="preserve">In-vitro protein digestibility (IVPD) of </w:t>
      </w:r>
      <w:r>
        <w:rPr>
          <w:rStyle w:val="Emphasis"/>
          <w:rFonts w:eastAsiaTheme="majorEastAsia"/>
        </w:rPr>
        <w:t>Eichhornia crassipes</w:t>
      </w:r>
      <w:r>
        <w:t xml:space="preserve"> samples was determined using a two-stage sequential enzymatic digestion procedure involving simulated gastric digestion with pepsin followed by simulated intestinal digestion with pancreatin. The procedure was carried out at 37°C to simulate physiological gastrointestinal conditions.  The in-vitro protein digestibility method is based on the sequential enzymatic hydrolysis of proteins under simulated gastrointestinal conditions. The sample is first subjected to digestion with pepsin under acidic conditions to simulate gastric protein digestion. Following adjustment of the pH to conditions suitable for pancreatic enzymes, the digest is subsequently treated with pancreatin to simulate intestinal digestion. At the completion of the sequential digestion process, the undigested residue is recovered and its residual nitrogen or protein content is determined. The difference between the initial nitrogen or protein content of the sample and the </w:t>
      </w:r>
      <w:r>
        <w:lastRenderedPageBreak/>
        <w:t xml:space="preserve">residual nitrogen or protein remaining after digestion is used to estimate the proportion of protein that was </w:t>
      </w:r>
      <w:proofErr w:type="spellStart"/>
      <w:r>
        <w:t>hydrolysed</w:t>
      </w:r>
      <w:proofErr w:type="spellEnd"/>
      <w:r>
        <w:t xml:space="preserve"> and is expressed as in-vitro protein digestibility (IVPD).</w:t>
      </w:r>
    </w:p>
    <w:p w14:paraId="48D9F55B" w14:textId="77777777" w:rsidR="0040444D" w:rsidRPr="00EF132F" w:rsidRDefault="0040444D" w:rsidP="0040444D">
      <w:pPr>
        <w:pStyle w:val="NormalWeb"/>
        <w:spacing w:before="0" w:beforeAutospacing="0"/>
        <w:jc w:val="both"/>
      </w:pPr>
      <w:r w:rsidRPr="00EF132F">
        <w:t>Stage I: Gastric Digestion with Pepsin</w:t>
      </w:r>
    </w:p>
    <w:p w14:paraId="6CA68D55" w14:textId="77777777" w:rsidR="0040444D" w:rsidRDefault="0040444D" w:rsidP="0040444D">
      <w:pPr>
        <w:pStyle w:val="NormalWeb"/>
        <w:spacing w:before="240" w:beforeAutospacing="0" w:after="0" w:afterAutospacing="0" w:line="480" w:lineRule="auto"/>
        <w:jc w:val="both"/>
      </w:pPr>
      <w:r w:rsidRPr="00EF132F">
        <w:rPr>
          <w:rStyle w:val="Strong"/>
          <w:rFonts w:eastAsiaTheme="majorEastAsia"/>
          <w:b w:val="0"/>
        </w:rPr>
        <w:t>0.5g</w:t>
      </w:r>
      <w:r>
        <w:rPr>
          <w:rStyle w:val="Strong"/>
          <w:rFonts w:eastAsiaTheme="majorEastAsia"/>
        </w:rPr>
        <w:t xml:space="preserve"> </w:t>
      </w:r>
      <w:r>
        <w:t xml:space="preserve">of each processed water hyacinth sample was accurately weighed into labelled digestion tubes. </w:t>
      </w:r>
      <w:r w:rsidRPr="002B75CF">
        <w:rPr>
          <w:rStyle w:val="Strong"/>
          <w:rFonts w:eastAsiaTheme="majorEastAsia"/>
          <w:b w:val="0"/>
        </w:rPr>
        <w:t>10mil of 0.1M hydrochloric acid (HCl)</w:t>
      </w:r>
      <w:r>
        <w:t xml:space="preserve"> was added to each tube</w:t>
      </w:r>
      <w:r w:rsidR="002B75CF">
        <w:t>,</w:t>
      </w:r>
      <w:r>
        <w:t xml:space="preserve"> and the contents were mixed thoroughly. The pH of the suspension was adjusted to approximately </w:t>
      </w:r>
      <w:r w:rsidRPr="002B75CF">
        <w:rPr>
          <w:rStyle w:val="Strong"/>
          <w:rFonts w:eastAsiaTheme="majorEastAsia"/>
          <w:b w:val="0"/>
        </w:rPr>
        <w:t>2.0</w:t>
      </w:r>
      <w:r>
        <w:t xml:space="preserve"> using sodium hydroxide solution.</w:t>
      </w:r>
      <w:r>
        <w:rPr>
          <w:b/>
        </w:rPr>
        <w:t xml:space="preserve"> </w:t>
      </w:r>
      <w:r>
        <w:t xml:space="preserve">A freshly prepared pepsin solution was then added to each sample at the required enzyme-to-substrate ratio. The tubes were tightly covered and incubated at </w:t>
      </w:r>
      <w:r w:rsidRPr="002B75CF">
        <w:rPr>
          <w:rStyle w:val="Strong"/>
          <w:rFonts w:eastAsiaTheme="majorEastAsia"/>
          <w:b w:val="0"/>
        </w:rPr>
        <w:t>37°C for 2hours</w:t>
      </w:r>
      <w:r>
        <w:rPr>
          <w:b/>
        </w:rPr>
        <w:t xml:space="preserve"> </w:t>
      </w:r>
      <w:r>
        <w:t>in a water bath with gentle agitation to ensure adequate contact between the enzyme and the sample. At the end of the incubation period, the samples were removed and immediately prepared for the intestinal digestion stage. The pepsin activity will subsequently be stopped by raising the pH using sodium hydroxide as a neutralizing solution.</w:t>
      </w:r>
    </w:p>
    <w:p w14:paraId="4C88D796" w14:textId="77777777" w:rsidR="0040444D" w:rsidRPr="002B75CF" w:rsidRDefault="0040444D" w:rsidP="0040444D">
      <w:pPr>
        <w:pStyle w:val="NormalWeb"/>
        <w:spacing w:before="0" w:beforeAutospacing="0" w:after="0" w:afterAutospacing="0"/>
        <w:jc w:val="both"/>
      </w:pPr>
      <w:r w:rsidRPr="002B75CF">
        <w:t>Stage II: Intestinal Digestion with Pancreatin</w:t>
      </w:r>
    </w:p>
    <w:p w14:paraId="38C369F0" w14:textId="77777777" w:rsidR="0040444D" w:rsidRDefault="0040444D" w:rsidP="0040444D">
      <w:pPr>
        <w:pStyle w:val="isselectedend"/>
        <w:spacing w:before="240" w:beforeAutospacing="0" w:after="240" w:afterAutospacing="0" w:line="480" w:lineRule="auto"/>
        <w:jc w:val="both"/>
      </w:pPr>
      <w:r>
        <w:t xml:space="preserve">Following the gastric digestion, the acidic digest was gradually neutralized using </w:t>
      </w:r>
      <w:r w:rsidRPr="002B75CF">
        <w:rPr>
          <w:rStyle w:val="Strong"/>
          <w:rFonts w:eastAsiaTheme="majorEastAsia"/>
          <w:b w:val="0"/>
        </w:rPr>
        <w:t>sodium hydroxide (NaOH) solution</w:t>
      </w:r>
      <w:r>
        <w:t xml:space="preserve"> until a pH of approximately </w:t>
      </w:r>
      <w:r w:rsidRPr="002B75CF">
        <w:rPr>
          <w:rStyle w:val="Strong"/>
          <w:rFonts w:eastAsiaTheme="majorEastAsia"/>
          <w:b w:val="0"/>
        </w:rPr>
        <w:t>7.0-7.5</w:t>
      </w:r>
      <w:r>
        <w:t xml:space="preserve"> was attained. This neutralization step was necessary to provide a suitable pH for pancreatin activity. Pancreatin solution was subsequently added to each neutralized digest at the required enzyme-to-substrate ratio. The mixtures were incubated at </w:t>
      </w:r>
      <w:r w:rsidRPr="002B75CF">
        <w:rPr>
          <w:rStyle w:val="Strong"/>
          <w:rFonts w:eastAsiaTheme="majorEastAsia"/>
          <w:b w:val="0"/>
        </w:rPr>
        <w:t>37°C for 4hours</w:t>
      </w:r>
      <w:r>
        <w:t xml:space="preserve"> in a water bath with continuous gentle agitation to simulate intestinal digestion. </w:t>
      </w:r>
      <w:r w:rsidR="002B75CF">
        <w:t>After</w:t>
      </w:r>
      <w:r>
        <w:t xml:space="preserve"> the digestion period, enzymatic activity was terminated by heating the digest at </w:t>
      </w:r>
      <w:r w:rsidRPr="002B75CF">
        <w:rPr>
          <w:rStyle w:val="Strong"/>
          <w:rFonts w:eastAsiaTheme="majorEastAsia"/>
          <w:b w:val="0"/>
        </w:rPr>
        <w:t>95°C for 10min</w:t>
      </w:r>
      <w:r w:rsidRPr="002B75CF">
        <w:rPr>
          <w:b/>
        </w:rPr>
        <w:t>.</w:t>
      </w:r>
      <w:r>
        <w:t xml:space="preserve"> The digested samples were allowed to cool and were centrifuged at an appropriate speed to separate the soluble digested fraction from the undigested residue. The resulting residue was recovered and washed to remove soluble digestion products. The washed residue was subsequently dried to constant weight and analyzed for its residual nitrogen content using the same nitrogen determination procedure employed for the samples before digestion.</w:t>
      </w:r>
    </w:p>
    <w:p w14:paraId="3BC3EADD" w14:textId="77777777" w:rsidR="0040444D" w:rsidRDefault="0040444D" w:rsidP="0040444D">
      <w:pPr>
        <w:pStyle w:val="isselectedend"/>
        <w:spacing w:before="240" w:beforeAutospacing="0" w:after="240" w:afterAutospacing="0" w:line="480" w:lineRule="auto"/>
        <w:jc w:val="both"/>
      </w:pPr>
      <w:r w:rsidRPr="002B75CF">
        <w:rPr>
          <w:bCs/>
        </w:rPr>
        <w:t>Enzyme Blank</w:t>
      </w:r>
      <w:r>
        <w:rPr>
          <w:b/>
          <w:bCs/>
        </w:rPr>
        <w:t xml:space="preserve">: </w:t>
      </w:r>
      <w:r>
        <w:t>An enzyme blank containing the digestive enzymes without water-hyacinth sample was included</w:t>
      </w:r>
      <w:r w:rsidR="002B75CF">
        <w:t>,</w:t>
      </w:r>
      <w:r>
        <w:t xml:space="preserve"> which is necessary to correct for nitrogen or protein contributed by the enzyme preparation.</w:t>
      </w:r>
    </w:p>
    <w:p w14:paraId="6615EF7B" w14:textId="77777777" w:rsidR="0040444D" w:rsidRDefault="0040444D" w:rsidP="0040444D">
      <w:pPr>
        <w:spacing w:before="100" w:beforeAutospacing="1" w:after="100" w:afterAutospacing="1" w:line="480" w:lineRule="auto"/>
        <w:outlineLvl w:val="1"/>
        <w:rPr>
          <w:rFonts w:ascii="Times New Roman" w:hAnsi="Times New Roman"/>
          <w:b/>
          <w:bCs/>
        </w:rPr>
      </w:pPr>
      <w:r w:rsidRPr="002B75CF">
        <w:rPr>
          <w:rFonts w:ascii="Times New Roman" w:hAnsi="Times New Roman"/>
          <w:bCs/>
        </w:rPr>
        <w:lastRenderedPageBreak/>
        <w:t>Calculation</w:t>
      </w:r>
      <w:r>
        <w:rPr>
          <w:rFonts w:ascii="Times New Roman" w:hAnsi="Times New Roman"/>
          <w:b/>
          <w:bCs/>
        </w:rPr>
        <w:t xml:space="preserve">: </w:t>
      </w:r>
      <w:r>
        <w:rPr>
          <w:rFonts w:ascii="Times New Roman" w:hAnsi="Times New Roman"/>
        </w:rPr>
        <w:t>The general expression is;</w:t>
      </w:r>
    </w:p>
    <w:p w14:paraId="729141A9"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PD (%) =  </w:t>
      </w:r>
      <m:oMath>
        <m:f>
          <m:fPr>
            <m:ctrlPr>
              <w:rPr>
                <w:rFonts w:ascii="Cambria Math" w:hAnsi="Cambria Math"/>
                <w:kern w:val="2"/>
                <w:sz w:val="24"/>
                <w:szCs w:val="24"/>
                <w14:ligatures w14:val="standardContextual"/>
              </w:rPr>
            </m:ctrlPr>
          </m:fPr>
          <m:num>
            <m:r>
              <w:rPr>
                <w:rFonts w:ascii="Cambria Math" w:hAnsi="Cambria Math"/>
              </w:rPr>
              <m:t xml:space="preserve">Pi </m:t>
            </m:r>
            <m:r>
              <m:rPr>
                <m:sty m:val="p"/>
              </m:rPr>
              <w:rPr>
                <w:rFonts w:ascii="Cambria Math" w:hAnsi="Cambria Math"/>
              </w:rPr>
              <m:t xml:space="preserve">​- </m:t>
            </m:r>
            <m:r>
              <w:rPr>
                <w:rFonts w:ascii="Cambria Math" w:hAnsi="Cambria Math"/>
              </w:rPr>
              <m:t>Pr</m:t>
            </m:r>
            <m:r>
              <m:rPr>
                <m:sty m:val="p"/>
              </m:rPr>
              <w:rPr>
                <w:rFonts w:ascii="Cambria Math" w:hAnsi="Cambria Math"/>
              </w:rPr>
              <m:t xml:space="preserve">​ </m:t>
            </m:r>
          </m:num>
          <m:den>
            <m:r>
              <w:rPr>
                <w:rFonts w:ascii="Cambria Math" w:hAnsi="Cambria Math"/>
              </w:rPr>
              <m:t>Pi</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4990D386" w14:textId="77777777" w:rsidR="0040444D" w:rsidRDefault="0040444D" w:rsidP="0040444D">
      <w:pPr>
        <w:spacing w:before="100" w:beforeAutospacing="1" w:after="100" w:afterAutospacing="1" w:line="480" w:lineRule="auto"/>
        <w:rPr>
          <w:rFonts w:ascii="Times New Roman" w:hAnsi="Times New Roman"/>
        </w:rPr>
      </w:pPr>
      <w:r>
        <w:rPr>
          <w:rFonts w:ascii="Times New Roman" w:hAnsi="Times New Roman"/>
        </w:rPr>
        <w:t xml:space="preserve">Where: PD = protein digestibility, Pi​ = initial sample protein, </w:t>
      </w:r>
      <w:proofErr w:type="spellStart"/>
      <w:r>
        <w:rPr>
          <w:rFonts w:ascii="Times New Roman" w:hAnsi="Times New Roman"/>
        </w:rPr>
        <w:t>Pr</w:t>
      </w:r>
      <w:proofErr w:type="spellEnd"/>
      <w:r>
        <w:rPr>
          <w:rFonts w:ascii="Times New Roman" w:hAnsi="Times New Roman"/>
        </w:rPr>
        <w:t>​ = corrected residual protein after digestion. The residual protein was corrected using blank values.</w:t>
      </w:r>
    </w:p>
    <w:p w14:paraId="540FA182" w14:textId="77777777" w:rsidR="0040444D" w:rsidRDefault="0040444D" w:rsidP="0040444D">
      <w:pPr>
        <w:spacing w:before="100" w:beforeAutospacing="1" w:after="100" w:afterAutospacing="1" w:line="480" w:lineRule="auto"/>
        <w:outlineLvl w:val="1"/>
        <w:rPr>
          <w:rFonts w:ascii="Times New Roman" w:hAnsi="Times New Roman"/>
        </w:rPr>
      </w:pPr>
      <w:r w:rsidRPr="002B75CF">
        <w:rPr>
          <w:rFonts w:ascii="Times New Roman" w:hAnsi="Times New Roman"/>
          <w:bCs/>
        </w:rPr>
        <w:t>Gastric Digestibility</w:t>
      </w:r>
      <w:r>
        <w:rPr>
          <w:rFonts w:ascii="Times New Roman" w:hAnsi="Times New Roman"/>
          <w:b/>
          <w:bCs/>
        </w:rPr>
        <w:t xml:space="preserve">: </w:t>
      </w:r>
      <w:r>
        <w:rPr>
          <w:rFonts w:ascii="Times New Roman" w:hAnsi="Times New Roman"/>
        </w:rPr>
        <w:t>Gastric digestibility was calculated after the pepsin phase.</w:t>
      </w:r>
    </w:p>
    <w:p w14:paraId="76B3CC4B"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GD (%) =  </w:t>
      </w:r>
      <m:oMath>
        <m:f>
          <m:fPr>
            <m:ctrlPr>
              <w:rPr>
                <w:rFonts w:ascii="Cambria Math" w:hAnsi="Cambria Math"/>
                <w:kern w:val="2"/>
                <w:sz w:val="24"/>
                <w:szCs w:val="24"/>
                <w14:ligatures w14:val="standardContextual"/>
              </w:rPr>
            </m:ctrlPr>
          </m:fPr>
          <m:num>
            <m:r>
              <w:rPr>
                <w:rFonts w:ascii="Cambria Math" w:hAnsi="Cambria Math"/>
              </w:rPr>
              <m:t xml:space="preserve">Pi </m:t>
            </m:r>
            <m:r>
              <m:rPr>
                <m:sty m:val="p"/>
              </m:rPr>
              <w:rPr>
                <w:rFonts w:ascii="Cambria Math" w:hAnsi="Cambria Math"/>
              </w:rPr>
              <m:t xml:space="preserve">​- Ppepsin​ </m:t>
            </m:r>
          </m:num>
          <m:den>
            <m:r>
              <w:rPr>
                <w:rFonts w:ascii="Cambria Math" w:hAnsi="Cambria Math"/>
              </w:rPr>
              <m:t>Pi</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6AB151CE" w14:textId="77777777" w:rsidR="0040444D" w:rsidRPr="002B75CF" w:rsidRDefault="0040444D" w:rsidP="0040444D">
      <w:pPr>
        <w:pStyle w:val="NormalWeb"/>
        <w:spacing w:line="480" w:lineRule="auto"/>
        <w:jc w:val="both"/>
      </w:pPr>
      <w:r w:rsidRPr="002B75CF">
        <w:t>The percentage in-vitro protein digestibility was calculated as;</w:t>
      </w:r>
    </w:p>
    <w:p w14:paraId="2F9C2FB7" w14:textId="77777777" w:rsidR="002B75CF" w:rsidRDefault="0040444D" w:rsidP="002B75CF">
      <w:pPr>
        <w:spacing w:line="480" w:lineRule="auto"/>
        <w:ind w:firstLine="720"/>
        <w:jc w:val="center"/>
        <w:rPr>
          <w:rFonts w:ascii="Times New Roman" w:hAnsi="Times New Roman"/>
        </w:rPr>
      </w:pPr>
      <w:r w:rsidRPr="002B75CF">
        <w:rPr>
          <w:rFonts w:ascii="Times New Roman" w:hAnsi="Times New Roman"/>
        </w:rPr>
        <w:t>(%)</w:t>
      </w:r>
      <w:r w:rsidRPr="002B75CF">
        <w:rPr>
          <w:rStyle w:val="mord"/>
          <w:rFonts w:ascii="Times New Roman" w:hAnsi="Times New Roman"/>
        </w:rPr>
        <w:t xml:space="preserve"> IVPD</w:t>
      </w:r>
      <m:oMath>
        <m:r>
          <w:rPr>
            <w:rStyle w:val="mord"/>
            <w:rFonts w:ascii="Cambria Math" w:hAnsi="Cambria Math"/>
          </w:rPr>
          <m:t xml:space="preserve"> </m:t>
        </m:r>
        <m:r>
          <m:rPr>
            <m:sty m:val="p"/>
          </m:rPr>
          <w:rPr>
            <w:rFonts w:ascii="Cambria Math" w:hAnsi="Cambria Math"/>
          </w:rPr>
          <m:t>=</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Style w:val="mord"/>
                <w:rFonts w:ascii="Cambria Math" w:hAnsi="Cambria Math"/>
              </w:rPr>
              <m:t>Protein in sample</m:t>
            </m:r>
            <m:r>
              <w:rPr>
                <w:rStyle w:val="mbin"/>
                <w:rFonts w:ascii="Cambria Math" w:hAnsi="Cambria Math"/>
              </w:rPr>
              <m:t>-</m:t>
            </m:r>
            <m:r>
              <m:rPr>
                <m:sty m:val="p"/>
              </m:rPr>
              <w:rPr>
                <w:rStyle w:val="mord"/>
                <w:rFonts w:ascii="Cambria Math" w:hAnsi="Cambria Math"/>
              </w:rPr>
              <m:t>Undigested residual protein</m:t>
            </m:r>
          </m:num>
          <m:den>
            <m:r>
              <m:rPr>
                <m:sty m:val="p"/>
              </m:rPr>
              <w:rPr>
                <w:rFonts w:ascii="Cambria Math" w:hAnsi="Cambria Math"/>
              </w:rPr>
              <m:t>Protein in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15DF5E31" w14:textId="77777777" w:rsidR="0040444D" w:rsidRPr="002B75CF" w:rsidRDefault="0040444D" w:rsidP="002B75CF">
      <w:pPr>
        <w:spacing w:line="480" w:lineRule="auto"/>
        <w:ind w:firstLine="720"/>
        <w:rPr>
          <w:rFonts w:ascii="Times New Roman" w:hAnsi="Times New Roman"/>
        </w:rPr>
      </w:pPr>
      <w:r w:rsidRPr="002B75CF">
        <w:rPr>
          <w:rFonts w:ascii="Times New Roman" w:hAnsi="Times New Roman"/>
          <w:bCs/>
        </w:rPr>
        <w:t>Statistical Analysis</w:t>
      </w:r>
    </w:p>
    <w:p w14:paraId="352D480E" w14:textId="77777777" w:rsidR="0040444D" w:rsidRDefault="0040444D" w:rsidP="0040444D">
      <w:pPr>
        <w:spacing w:line="480" w:lineRule="auto"/>
        <w:jc w:val="both"/>
        <w:rPr>
          <w:rFonts w:ascii="Times New Roman" w:hAnsi="Times New Roman"/>
        </w:rPr>
      </w:pPr>
      <w:r>
        <w:rPr>
          <w:rFonts w:ascii="Times New Roman" w:hAnsi="Times New Roman"/>
        </w:rPr>
        <w:t>The data obtained from all analysis are expressed as mean ± standard deviation. Statistical analysis was performed using One-way analysis of variance (ANOVA) to determine the significant differences among processed means. Where significant differences were observed, means were separated using Tukey HSD post-hoc test at a significance level of (</w:t>
      </w:r>
      <w:r>
        <w:rPr>
          <w:rFonts w:ascii="Times New Roman" w:hAnsi="Times New Roman"/>
          <w:i/>
        </w:rPr>
        <w:t>p &lt;</w:t>
      </w:r>
      <w:r>
        <w:rPr>
          <w:rFonts w:ascii="Times New Roman" w:hAnsi="Times New Roman"/>
        </w:rPr>
        <w:t xml:space="preserve"> </w:t>
      </w:r>
      <w:r>
        <w:rPr>
          <w:rFonts w:ascii="Times New Roman" w:hAnsi="Times New Roman"/>
          <w:i/>
        </w:rPr>
        <w:t>0.05</w:t>
      </w:r>
      <w:r>
        <w:rPr>
          <w:rFonts w:ascii="Times New Roman" w:hAnsi="Times New Roman"/>
        </w:rPr>
        <w:t>).</w:t>
      </w:r>
      <w:r w:rsidR="002B75CF">
        <w:rPr>
          <w:rFonts w:ascii="Times New Roman" w:hAnsi="Times New Roman"/>
        </w:rPr>
        <w:t xml:space="preserve"> </w:t>
      </w:r>
    </w:p>
    <w:p w14:paraId="25321B27" w14:textId="77777777" w:rsidR="00902823" w:rsidRDefault="00000F8F" w:rsidP="00441B6F">
      <w:pPr>
        <w:pStyle w:val="Head1"/>
        <w:spacing w:after="0"/>
        <w:jc w:val="both"/>
        <w:rPr>
          <w:rFonts w:ascii="Arial" w:hAnsi="Arial" w:cs="Arial"/>
        </w:rPr>
      </w:pPr>
      <w:r>
        <w:rPr>
          <w:rFonts w:ascii="Arial" w:hAnsi="Arial" w:cs="Arial"/>
        </w:rPr>
        <w:t>results and discussion</w:t>
      </w:r>
    </w:p>
    <w:p w14:paraId="0E486763" w14:textId="77777777" w:rsidR="00C50FD8" w:rsidRPr="006578BB" w:rsidRDefault="00C50FD8" w:rsidP="00C50FD8">
      <w:pPr>
        <w:jc w:val="both"/>
        <w:rPr>
          <w:rFonts w:ascii="Times New Roman" w:hAnsi="Times New Roman"/>
        </w:rPr>
      </w:pPr>
      <w:r w:rsidRPr="006578BB">
        <w:rPr>
          <w:rFonts w:ascii="Times New Roman" w:hAnsi="Times New Roman"/>
        </w:rPr>
        <w:t xml:space="preserve">Effect of processing on Nitrogen and Protein contents in water hyacinth </w:t>
      </w:r>
      <w:r w:rsidRPr="006578BB">
        <w:rPr>
          <w:rFonts w:ascii="Times New Roman" w:hAnsi="Times New Roman"/>
        </w:rPr>
        <w:tab/>
        <w:t>(</w:t>
      </w:r>
      <w:r w:rsidRPr="006578BB">
        <w:rPr>
          <w:rFonts w:ascii="Times New Roman" w:hAnsi="Times New Roman"/>
          <w:i/>
        </w:rPr>
        <w:t>Eichhornia crassipes</w:t>
      </w:r>
      <w:r w:rsidRPr="006578BB">
        <w:rPr>
          <w:rFonts w:ascii="Times New Roman" w:hAnsi="Times New Roman"/>
        </w:rPr>
        <w:t>)</w:t>
      </w:r>
    </w:p>
    <w:p w14:paraId="0AB2E7A2" w14:textId="77777777" w:rsidR="00C50FD8" w:rsidRDefault="00C50FD8" w:rsidP="006578BB">
      <w:pPr>
        <w:spacing w:line="480" w:lineRule="auto"/>
        <w:jc w:val="both"/>
        <w:rPr>
          <w:rFonts w:ascii="Times New Roman" w:hAnsi="Times New Roman"/>
          <w:b/>
        </w:rPr>
      </w:pPr>
      <w:r>
        <w:rPr>
          <w:rFonts w:ascii="Times New Roman" w:hAnsi="Times New Roman"/>
        </w:rPr>
        <w:t xml:space="preserve">The nitrogen and protein contents of </w:t>
      </w:r>
      <w:r>
        <w:rPr>
          <w:rStyle w:val="Emphasis"/>
          <w:rFonts w:ascii="Times New Roman" w:hAnsi="Times New Roman"/>
        </w:rPr>
        <w:t>Eichhornia crassipes</w:t>
      </w:r>
      <w:r>
        <w:rPr>
          <w:rFonts w:ascii="Times New Roman" w:hAnsi="Times New Roman"/>
        </w:rPr>
        <w:t xml:space="preserve"> varied considerably across the different processing methods. The control sample recorded the highest protein and nitrogen contents </w:t>
      </w:r>
      <w:r w:rsidRPr="006578BB">
        <w:rPr>
          <w:rFonts w:ascii="Times New Roman" w:hAnsi="Times New Roman"/>
          <w:b/>
        </w:rPr>
        <w:t>(</w:t>
      </w:r>
      <w:r w:rsidRPr="006578BB">
        <w:rPr>
          <w:rStyle w:val="Strong"/>
          <w:rFonts w:ascii="Times New Roman" w:hAnsi="Times New Roman"/>
          <w:b w:val="0"/>
        </w:rPr>
        <w:t>48.47 ± 0.47%</w:t>
      </w:r>
      <w:r w:rsidRPr="006578BB">
        <w:rPr>
          <w:rFonts w:ascii="Times New Roman" w:hAnsi="Times New Roman"/>
          <w:b/>
        </w:rPr>
        <w:t xml:space="preserve"> </w:t>
      </w:r>
      <w:r w:rsidRPr="006578BB">
        <w:rPr>
          <w:rFonts w:ascii="Times New Roman" w:hAnsi="Times New Roman"/>
        </w:rPr>
        <w:t>and</w:t>
      </w:r>
      <w:r w:rsidRPr="006578BB">
        <w:rPr>
          <w:rFonts w:ascii="Times New Roman" w:hAnsi="Times New Roman"/>
          <w:b/>
        </w:rPr>
        <w:t xml:space="preserve"> </w:t>
      </w:r>
      <w:r w:rsidRPr="006578BB">
        <w:rPr>
          <w:rStyle w:val="Strong"/>
          <w:rFonts w:ascii="Times New Roman" w:hAnsi="Times New Roman"/>
          <w:b w:val="0"/>
        </w:rPr>
        <w:t>7.76 ± 0.08%</w:t>
      </w:r>
      <w:r w:rsidRPr="006578BB">
        <w:rPr>
          <w:rFonts w:ascii="Times New Roman" w:hAnsi="Times New Roman"/>
          <w:b/>
        </w:rPr>
        <w:t>,</w:t>
      </w:r>
      <w:r w:rsidRPr="006578BB">
        <w:rPr>
          <w:rFonts w:ascii="Times New Roman" w:hAnsi="Times New Roman"/>
        </w:rPr>
        <w:t xml:space="preserve"> respectively), followed by the oven-dried sample </w:t>
      </w:r>
      <w:r w:rsidRPr="006578BB">
        <w:rPr>
          <w:rFonts w:ascii="Times New Roman" w:hAnsi="Times New Roman"/>
          <w:b/>
        </w:rPr>
        <w:t>(</w:t>
      </w:r>
      <w:r w:rsidRPr="006578BB">
        <w:rPr>
          <w:rStyle w:val="Strong"/>
          <w:rFonts w:ascii="Times New Roman" w:hAnsi="Times New Roman"/>
          <w:b w:val="0"/>
        </w:rPr>
        <w:t>46.93 ± 0.58%</w:t>
      </w:r>
      <w:r w:rsidRPr="006578BB">
        <w:rPr>
          <w:rFonts w:ascii="Times New Roman" w:hAnsi="Times New Roman"/>
        </w:rPr>
        <w:t xml:space="preserve"> and </w:t>
      </w:r>
      <w:r w:rsidRPr="006578BB">
        <w:rPr>
          <w:rStyle w:val="Strong"/>
          <w:rFonts w:ascii="Times New Roman" w:hAnsi="Times New Roman"/>
        </w:rPr>
        <w:t>7</w:t>
      </w:r>
      <w:r w:rsidRPr="006578BB">
        <w:rPr>
          <w:rStyle w:val="Strong"/>
          <w:rFonts w:ascii="Times New Roman" w:hAnsi="Times New Roman"/>
          <w:b w:val="0"/>
        </w:rPr>
        <w:t>.51</w:t>
      </w:r>
      <w:r w:rsidRPr="006578BB">
        <w:rPr>
          <w:rStyle w:val="Strong"/>
          <w:rFonts w:ascii="Times New Roman" w:hAnsi="Times New Roman"/>
        </w:rPr>
        <w:t xml:space="preserve"> ± </w:t>
      </w:r>
      <w:r w:rsidRPr="006578BB">
        <w:rPr>
          <w:rStyle w:val="Strong"/>
          <w:rFonts w:ascii="Times New Roman" w:hAnsi="Times New Roman"/>
          <w:b w:val="0"/>
        </w:rPr>
        <w:t>0.09%</w:t>
      </w:r>
      <w:r w:rsidRPr="006578BB">
        <w:rPr>
          <w:rFonts w:ascii="Times New Roman" w:hAnsi="Times New Roman"/>
          <w:b/>
        </w:rPr>
        <w:t>,</w:t>
      </w:r>
      <w:r w:rsidRPr="006578BB">
        <w:rPr>
          <w:rFonts w:ascii="Times New Roman" w:hAnsi="Times New Roman"/>
        </w:rPr>
        <w:t xml:space="preserve"> respectively) and the boiled sample </w:t>
      </w:r>
      <w:r w:rsidRPr="006578BB">
        <w:rPr>
          <w:rFonts w:ascii="Times New Roman" w:hAnsi="Times New Roman"/>
          <w:b/>
        </w:rPr>
        <w:t>(</w:t>
      </w:r>
      <w:r w:rsidRPr="006578BB">
        <w:rPr>
          <w:rStyle w:val="Strong"/>
          <w:rFonts w:ascii="Times New Roman" w:hAnsi="Times New Roman"/>
          <w:b w:val="0"/>
        </w:rPr>
        <w:t>29.07 ± 0.31%</w:t>
      </w:r>
      <w:r w:rsidRPr="006578BB">
        <w:rPr>
          <w:rFonts w:ascii="Times New Roman" w:hAnsi="Times New Roman"/>
          <w:b/>
        </w:rPr>
        <w:t xml:space="preserve"> </w:t>
      </w:r>
      <w:r w:rsidRPr="006578BB">
        <w:rPr>
          <w:rFonts w:ascii="Times New Roman" w:hAnsi="Times New Roman"/>
        </w:rPr>
        <w:t>and</w:t>
      </w:r>
      <w:r w:rsidRPr="006578BB">
        <w:rPr>
          <w:rFonts w:ascii="Times New Roman" w:hAnsi="Times New Roman"/>
          <w:b/>
        </w:rPr>
        <w:t xml:space="preserve"> </w:t>
      </w:r>
      <w:r w:rsidRPr="006578BB">
        <w:rPr>
          <w:rStyle w:val="Strong"/>
          <w:rFonts w:ascii="Times New Roman" w:hAnsi="Times New Roman"/>
          <w:b w:val="0"/>
        </w:rPr>
        <w:t>4.65 ± 0.05%</w:t>
      </w:r>
      <w:r w:rsidRPr="006578BB">
        <w:rPr>
          <w:rFonts w:ascii="Times New Roman" w:hAnsi="Times New Roman"/>
          <w:b/>
        </w:rPr>
        <w:t>,</w:t>
      </w:r>
      <w:r w:rsidRPr="006578BB">
        <w:rPr>
          <w:rFonts w:ascii="Times New Roman" w:hAnsi="Times New Roman"/>
        </w:rPr>
        <w:t xml:space="preserve"> respectively), while the fermented sample had the lowest values </w:t>
      </w:r>
      <w:r w:rsidRPr="006578BB">
        <w:rPr>
          <w:rFonts w:ascii="Times New Roman" w:hAnsi="Times New Roman"/>
          <w:b/>
        </w:rPr>
        <w:t>(</w:t>
      </w:r>
      <w:r w:rsidRPr="006578BB">
        <w:rPr>
          <w:rStyle w:val="Strong"/>
          <w:rFonts w:ascii="Times New Roman" w:hAnsi="Times New Roman"/>
          <w:b w:val="0"/>
        </w:rPr>
        <w:t>16.72 ± 0.10%</w:t>
      </w:r>
      <w:r w:rsidRPr="006578BB">
        <w:rPr>
          <w:rFonts w:ascii="Times New Roman" w:hAnsi="Times New Roman"/>
          <w:b/>
        </w:rPr>
        <w:t xml:space="preserve"> </w:t>
      </w:r>
      <w:r w:rsidRPr="006578BB">
        <w:rPr>
          <w:rFonts w:ascii="Times New Roman" w:hAnsi="Times New Roman"/>
        </w:rPr>
        <w:t>protein and</w:t>
      </w:r>
      <w:r w:rsidRPr="006578BB">
        <w:rPr>
          <w:rFonts w:ascii="Times New Roman" w:hAnsi="Times New Roman"/>
          <w:b/>
        </w:rPr>
        <w:t xml:space="preserve"> </w:t>
      </w:r>
      <w:r w:rsidRPr="006578BB">
        <w:rPr>
          <w:rStyle w:val="Strong"/>
          <w:rFonts w:ascii="Times New Roman" w:hAnsi="Times New Roman"/>
          <w:b w:val="0"/>
        </w:rPr>
        <w:t>2.68 ± 0.02%</w:t>
      </w:r>
      <w:r>
        <w:rPr>
          <w:rFonts w:ascii="Times New Roman" w:hAnsi="Times New Roman"/>
        </w:rPr>
        <w:t xml:space="preserve"> nitrogen). The results indicate a progressive reduction in both protein and nitrogen contents from the control to the fermented sample. Oven drying resulted in only a slight reduction in protein and nitrogen contents relative to the control, whereas boiling caused a more pronounced decrease. Fermentation produced the greatest reduction in both parameters among all the processing methods evaluated. The close correspondence between the protein and nitrogen values suggests that the reduction in protein concentration was associated with a corresponding decline in nitrogen-containing constituents. The different superscripts </w:t>
      </w:r>
      <w:r w:rsidRPr="006578BB">
        <w:rPr>
          <w:rFonts w:ascii="Times New Roman" w:hAnsi="Times New Roman"/>
          <w:b/>
        </w:rPr>
        <w:t>(</w:t>
      </w:r>
      <w:r w:rsidRPr="006578BB">
        <w:rPr>
          <w:rStyle w:val="Strong"/>
          <w:rFonts w:ascii="Times New Roman" w:hAnsi="Times New Roman"/>
          <w:b w:val="0"/>
        </w:rPr>
        <w:t>a-d</w:t>
      </w:r>
      <w:r w:rsidRPr="006578BB">
        <w:rPr>
          <w:rFonts w:ascii="Times New Roman" w:hAnsi="Times New Roman"/>
          <w:b/>
        </w:rPr>
        <w:t>)</w:t>
      </w:r>
      <w:r>
        <w:rPr>
          <w:rFonts w:ascii="Times New Roman" w:hAnsi="Times New Roman"/>
        </w:rPr>
        <w:t xml:space="preserve"> indicate that the protein and nitrogen contents of all treatment groups were significantly different from one another (</w:t>
      </w:r>
      <w:r>
        <w:rPr>
          <w:rStyle w:val="Emphasis"/>
          <w:rFonts w:ascii="Times New Roman" w:hAnsi="Times New Roman"/>
        </w:rPr>
        <w:t>p</w:t>
      </w:r>
      <w:r>
        <w:rPr>
          <w:rFonts w:ascii="Times New Roman" w:hAnsi="Times New Roman"/>
        </w:rPr>
        <w:t xml:space="preserve"> &lt; 0.05), demonstrating that each processing method had a distinct effect on the protein and nitrogen composition of water hyacinth (</w:t>
      </w:r>
      <w:r>
        <w:rPr>
          <w:rStyle w:val="Emphasis"/>
          <w:rFonts w:ascii="Times New Roman" w:hAnsi="Times New Roman"/>
        </w:rPr>
        <w:t>Eichhornia crassipes</w:t>
      </w:r>
      <w:r>
        <w:rPr>
          <w:rFonts w:ascii="Times New Roman" w:hAnsi="Times New Roman"/>
        </w:rPr>
        <w:t>).</w:t>
      </w:r>
      <w:r>
        <w:rPr>
          <w:rFonts w:ascii="Times New Roman" w:hAnsi="Times New Roman"/>
          <w:b/>
        </w:rPr>
        <w:br w:type="page"/>
      </w:r>
    </w:p>
    <w:p w14:paraId="0C6CDAD7" w14:textId="77777777" w:rsidR="00C50FD8" w:rsidRDefault="00C50FD8" w:rsidP="00C50FD8">
      <w:pPr>
        <w:jc w:val="both"/>
        <w:rPr>
          <w:rFonts w:ascii="Times New Roman" w:hAnsi="Times New Roman"/>
          <w:b/>
        </w:rPr>
      </w:pPr>
      <w:r>
        <w:rPr>
          <w:rFonts w:ascii="Times New Roman" w:hAnsi="Times New Roman"/>
          <w:b/>
        </w:rPr>
        <w:lastRenderedPageBreak/>
        <w:t>Table 1: Effect of processing on Nitrogen and Protein contents in Water hyacinth (</w:t>
      </w:r>
      <w:r>
        <w:rPr>
          <w:rFonts w:ascii="Times New Roman" w:hAnsi="Times New Roman"/>
          <w:b/>
          <w:i/>
        </w:rPr>
        <w:t>Eichhornia crassipes</w:t>
      </w:r>
      <w:r>
        <w:rPr>
          <w:rFonts w:ascii="Times New Roman" w:hAnsi="Times New Roman"/>
          <w:b/>
        </w:rPr>
        <w:t>)</w:t>
      </w:r>
    </w:p>
    <w:tbl>
      <w:tblPr>
        <w:tblW w:w="8492" w:type="dxa"/>
        <w:jc w:val="center"/>
        <w:tblCellSpacing w:w="15" w:type="dxa"/>
        <w:tblBorders>
          <w:top w:val="single" w:sz="4" w:space="0" w:color="auto"/>
          <w:bottom w:val="single" w:sz="4" w:space="0" w:color="auto"/>
        </w:tblBorders>
        <w:tblLook w:val="04A0" w:firstRow="1" w:lastRow="0" w:firstColumn="1" w:lastColumn="0" w:noHBand="0" w:noVBand="1"/>
      </w:tblPr>
      <w:tblGrid>
        <w:gridCol w:w="2344"/>
        <w:gridCol w:w="3074"/>
        <w:gridCol w:w="3074"/>
      </w:tblGrid>
      <w:tr w:rsidR="00C50FD8" w14:paraId="2A0A8C9E" w14:textId="77777777" w:rsidTr="00C50FD8">
        <w:trPr>
          <w:trHeight w:val="318"/>
          <w:tblHeader/>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7142B4B" w14:textId="77777777" w:rsidR="00C50FD8" w:rsidRDefault="00C50FD8">
            <w:pPr>
              <w:jc w:val="center"/>
              <w:rPr>
                <w:rFonts w:ascii="Times New Roman" w:hAnsi="Times New Roman"/>
                <w:b/>
                <w:bCs/>
              </w:rPr>
            </w:pPr>
            <w:r>
              <w:rPr>
                <w:rFonts w:ascii="Times New Roman" w:hAnsi="Times New Roman"/>
                <w:b/>
                <w:bCs/>
              </w:rPr>
              <w:t>Treatment Group</w:t>
            </w:r>
          </w:p>
        </w:tc>
        <w:tc>
          <w:tcPr>
            <w:tcW w:w="3044" w:type="dxa"/>
            <w:tcBorders>
              <w:top w:val="nil"/>
              <w:left w:val="nil"/>
              <w:bottom w:val="single" w:sz="4" w:space="0" w:color="auto"/>
              <w:right w:val="nil"/>
            </w:tcBorders>
            <w:tcMar>
              <w:top w:w="15" w:type="dxa"/>
              <w:left w:w="15" w:type="dxa"/>
              <w:bottom w:w="15" w:type="dxa"/>
              <w:right w:w="15" w:type="dxa"/>
            </w:tcMar>
            <w:hideMark/>
          </w:tcPr>
          <w:p w14:paraId="6BCDB722" w14:textId="77777777" w:rsidR="00C50FD8" w:rsidRDefault="00C50FD8">
            <w:pPr>
              <w:jc w:val="center"/>
              <w:rPr>
                <w:rFonts w:ascii="Times New Roman" w:hAnsi="Times New Roman"/>
                <w:b/>
                <w:bCs/>
              </w:rPr>
            </w:pPr>
            <w:r>
              <w:rPr>
                <w:rFonts w:ascii="Times New Roman" w:hAnsi="Times New Roman"/>
                <w:b/>
                <w:bCs/>
              </w:rPr>
              <w:t xml:space="preserve">Nitrogen </w:t>
            </w:r>
            <w:r>
              <w:rPr>
                <w:rFonts w:ascii="Times New Roman" w:hAnsi="Times New Roman"/>
                <w:b/>
              </w:rPr>
              <w:t>(%)</w:t>
            </w:r>
          </w:p>
        </w:tc>
        <w:tc>
          <w:tcPr>
            <w:tcW w:w="3029" w:type="dxa"/>
            <w:tcBorders>
              <w:top w:val="nil"/>
              <w:left w:val="nil"/>
              <w:bottom w:val="single" w:sz="4" w:space="0" w:color="auto"/>
              <w:right w:val="nil"/>
            </w:tcBorders>
            <w:tcMar>
              <w:top w:w="15" w:type="dxa"/>
              <w:left w:w="15" w:type="dxa"/>
              <w:bottom w:w="15" w:type="dxa"/>
              <w:right w:w="15" w:type="dxa"/>
            </w:tcMar>
            <w:vAlign w:val="center"/>
            <w:hideMark/>
          </w:tcPr>
          <w:p w14:paraId="4DF779DA" w14:textId="77777777" w:rsidR="00C50FD8" w:rsidRDefault="00C50FD8">
            <w:pPr>
              <w:jc w:val="center"/>
              <w:rPr>
                <w:rFonts w:ascii="Times New Roman" w:hAnsi="Times New Roman"/>
                <w:b/>
                <w:bCs/>
              </w:rPr>
            </w:pPr>
            <w:r>
              <w:rPr>
                <w:rFonts w:ascii="Times New Roman" w:hAnsi="Times New Roman"/>
                <w:b/>
                <w:bCs/>
              </w:rPr>
              <w:t xml:space="preserve">Protein </w:t>
            </w:r>
            <w:r>
              <w:rPr>
                <w:rFonts w:ascii="Times New Roman" w:hAnsi="Times New Roman"/>
                <w:b/>
              </w:rPr>
              <w:t>(%)</w:t>
            </w:r>
          </w:p>
        </w:tc>
      </w:tr>
      <w:tr w:rsidR="00C50FD8" w14:paraId="336F126E" w14:textId="77777777" w:rsidTr="00C50FD8">
        <w:trPr>
          <w:trHeight w:val="691"/>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71C15CDE" w14:textId="77777777" w:rsidR="00C50FD8" w:rsidRDefault="00C50FD8">
            <w:pPr>
              <w:jc w:val="center"/>
              <w:rPr>
                <w:rFonts w:ascii="Times New Roman" w:hAnsi="Times New Roman"/>
              </w:rPr>
            </w:pPr>
            <w:r>
              <w:rPr>
                <w:rFonts w:ascii="Times New Roman" w:hAnsi="Times New Roman"/>
              </w:rPr>
              <w:t>Fermented</w:t>
            </w:r>
          </w:p>
        </w:tc>
        <w:tc>
          <w:tcPr>
            <w:tcW w:w="3044" w:type="dxa"/>
            <w:tcBorders>
              <w:top w:val="nil"/>
              <w:left w:val="nil"/>
              <w:bottom w:val="nil"/>
              <w:right w:val="nil"/>
            </w:tcBorders>
            <w:tcMar>
              <w:top w:w="15" w:type="dxa"/>
              <w:left w:w="15" w:type="dxa"/>
              <w:bottom w:w="15" w:type="dxa"/>
              <w:right w:w="15" w:type="dxa"/>
            </w:tcMar>
            <w:hideMark/>
          </w:tcPr>
          <w:p w14:paraId="221497D4" w14:textId="77777777" w:rsidR="00C50FD8" w:rsidRDefault="00C50FD8">
            <w:pPr>
              <w:jc w:val="center"/>
              <w:rPr>
                <w:rFonts w:ascii="Times New Roman" w:hAnsi="Times New Roman"/>
              </w:rPr>
            </w:pPr>
            <w:r>
              <w:rPr>
                <w:rFonts w:ascii="Times New Roman" w:hAnsi="Times New Roman"/>
              </w:rPr>
              <w:t>2.68 ± 0.02</w:t>
            </w:r>
            <w:r>
              <w:rPr>
                <w:rFonts w:ascii="Times New Roman" w:hAnsi="Times New Roman"/>
                <w:vertAlign w:val="subscript"/>
              </w:rPr>
              <w:t>a</w:t>
            </w:r>
          </w:p>
        </w:tc>
        <w:tc>
          <w:tcPr>
            <w:tcW w:w="3029" w:type="dxa"/>
            <w:tcBorders>
              <w:top w:val="nil"/>
              <w:left w:val="nil"/>
              <w:bottom w:val="nil"/>
              <w:right w:val="nil"/>
            </w:tcBorders>
            <w:tcMar>
              <w:top w:w="15" w:type="dxa"/>
              <w:left w:w="15" w:type="dxa"/>
              <w:bottom w:w="15" w:type="dxa"/>
              <w:right w:w="15" w:type="dxa"/>
            </w:tcMar>
            <w:vAlign w:val="center"/>
            <w:hideMark/>
          </w:tcPr>
          <w:p w14:paraId="0B115824" w14:textId="77777777" w:rsidR="00C50FD8" w:rsidRDefault="00C50FD8">
            <w:pPr>
              <w:jc w:val="center"/>
              <w:rPr>
                <w:rFonts w:ascii="Times New Roman" w:hAnsi="Times New Roman"/>
              </w:rPr>
            </w:pPr>
            <w:r>
              <w:rPr>
                <w:rFonts w:ascii="Times New Roman" w:hAnsi="Times New Roman"/>
              </w:rPr>
              <w:t>16.72 ± 0.10</w:t>
            </w:r>
            <w:r>
              <w:rPr>
                <w:rFonts w:ascii="Times New Roman" w:hAnsi="Times New Roman"/>
                <w:vertAlign w:val="subscript"/>
              </w:rPr>
              <w:t>a</w:t>
            </w:r>
          </w:p>
        </w:tc>
      </w:tr>
      <w:tr w:rsidR="00C50FD8" w14:paraId="1C1EFCDB" w14:textId="77777777" w:rsidTr="00C50FD8">
        <w:trPr>
          <w:trHeight w:val="573"/>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4722C606" w14:textId="77777777" w:rsidR="00C50FD8" w:rsidRDefault="00C50FD8">
            <w:pPr>
              <w:jc w:val="center"/>
              <w:rPr>
                <w:rFonts w:ascii="Times New Roman" w:hAnsi="Times New Roman"/>
              </w:rPr>
            </w:pPr>
            <w:r>
              <w:rPr>
                <w:rFonts w:ascii="Times New Roman" w:hAnsi="Times New Roman"/>
              </w:rPr>
              <w:t>Boiled</w:t>
            </w:r>
          </w:p>
        </w:tc>
        <w:tc>
          <w:tcPr>
            <w:tcW w:w="3044" w:type="dxa"/>
            <w:tcBorders>
              <w:top w:val="nil"/>
              <w:left w:val="nil"/>
              <w:bottom w:val="nil"/>
              <w:right w:val="nil"/>
            </w:tcBorders>
            <w:tcMar>
              <w:top w:w="15" w:type="dxa"/>
              <w:left w:w="15" w:type="dxa"/>
              <w:bottom w:w="15" w:type="dxa"/>
              <w:right w:w="15" w:type="dxa"/>
            </w:tcMar>
            <w:hideMark/>
          </w:tcPr>
          <w:p w14:paraId="1C13B9A3" w14:textId="77777777" w:rsidR="00C50FD8" w:rsidRDefault="00C50FD8">
            <w:pPr>
              <w:jc w:val="center"/>
              <w:rPr>
                <w:rFonts w:ascii="Times New Roman" w:hAnsi="Times New Roman"/>
              </w:rPr>
            </w:pPr>
            <w:r>
              <w:rPr>
                <w:rFonts w:ascii="Times New Roman" w:hAnsi="Times New Roman"/>
              </w:rPr>
              <w:t>4.65 ± 0.05</w:t>
            </w:r>
            <w:r>
              <w:rPr>
                <w:rFonts w:ascii="Times New Roman" w:hAnsi="Times New Roman"/>
                <w:vertAlign w:val="subscript"/>
              </w:rPr>
              <w:t>b</w:t>
            </w:r>
          </w:p>
        </w:tc>
        <w:tc>
          <w:tcPr>
            <w:tcW w:w="3029" w:type="dxa"/>
            <w:tcBorders>
              <w:top w:val="nil"/>
              <w:left w:val="nil"/>
              <w:bottom w:val="nil"/>
              <w:right w:val="nil"/>
            </w:tcBorders>
            <w:tcMar>
              <w:top w:w="15" w:type="dxa"/>
              <w:left w:w="15" w:type="dxa"/>
              <w:bottom w:w="15" w:type="dxa"/>
              <w:right w:w="15" w:type="dxa"/>
            </w:tcMar>
            <w:vAlign w:val="center"/>
            <w:hideMark/>
          </w:tcPr>
          <w:p w14:paraId="3BC55371" w14:textId="77777777" w:rsidR="00C50FD8" w:rsidRDefault="00C50FD8">
            <w:pPr>
              <w:jc w:val="center"/>
              <w:rPr>
                <w:rFonts w:ascii="Times New Roman" w:hAnsi="Times New Roman"/>
              </w:rPr>
            </w:pPr>
            <w:r>
              <w:rPr>
                <w:rFonts w:ascii="Times New Roman" w:hAnsi="Times New Roman"/>
              </w:rPr>
              <w:t>29.07 ± 0.31</w:t>
            </w:r>
            <w:r>
              <w:rPr>
                <w:rFonts w:ascii="Times New Roman" w:hAnsi="Times New Roman"/>
                <w:vertAlign w:val="subscript"/>
              </w:rPr>
              <w:t>b</w:t>
            </w:r>
          </w:p>
        </w:tc>
      </w:tr>
      <w:tr w:rsidR="00C50FD8" w14:paraId="51522E6A" w14:textId="77777777" w:rsidTr="00C50FD8">
        <w:trPr>
          <w:trHeight w:val="573"/>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6BD71920" w14:textId="77777777" w:rsidR="00C50FD8" w:rsidRDefault="00C50FD8">
            <w:pPr>
              <w:jc w:val="center"/>
              <w:rPr>
                <w:rFonts w:ascii="Times New Roman" w:hAnsi="Times New Roman"/>
              </w:rPr>
            </w:pPr>
            <w:r>
              <w:rPr>
                <w:rFonts w:ascii="Times New Roman" w:hAnsi="Times New Roman"/>
              </w:rPr>
              <w:t>Oven dried</w:t>
            </w:r>
          </w:p>
        </w:tc>
        <w:tc>
          <w:tcPr>
            <w:tcW w:w="3044" w:type="dxa"/>
            <w:tcBorders>
              <w:top w:val="nil"/>
              <w:left w:val="nil"/>
              <w:bottom w:val="nil"/>
              <w:right w:val="nil"/>
            </w:tcBorders>
            <w:tcMar>
              <w:top w:w="15" w:type="dxa"/>
              <w:left w:w="15" w:type="dxa"/>
              <w:bottom w:w="15" w:type="dxa"/>
              <w:right w:w="15" w:type="dxa"/>
            </w:tcMar>
            <w:hideMark/>
          </w:tcPr>
          <w:p w14:paraId="35EBC9FA" w14:textId="77777777" w:rsidR="00C50FD8" w:rsidRDefault="00C50FD8">
            <w:pPr>
              <w:jc w:val="center"/>
              <w:rPr>
                <w:rFonts w:ascii="Times New Roman" w:hAnsi="Times New Roman"/>
              </w:rPr>
            </w:pPr>
            <w:r>
              <w:rPr>
                <w:rFonts w:ascii="Times New Roman" w:hAnsi="Times New Roman"/>
              </w:rPr>
              <w:t>7.51 ± 0.09</w:t>
            </w:r>
            <w:r>
              <w:rPr>
                <w:rFonts w:ascii="Times New Roman" w:hAnsi="Times New Roman"/>
                <w:vertAlign w:val="subscript"/>
              </w:rPr>
              <w:t>c</w:t>
            </w:r>
          </w:p>
        </w:tc>
        <w:tc>
          <w:tcPr>
            <w:tcW w:w="3029" w:type="dxa"/>
            <w:tcBorders>
              <w:top w:val="nil"/>
              <w:left w:val="nil"/>
              <w:bottom w:val="nil"/>
              <w:right w:val="nil"/>
            </w:tcBorders>
            <w:tcMar>
              <w:top w:w="15" w:type="dxa"/>
              <w:left w:w="15" w:type="dxa"/>
              <w:bottom w:w="15" w:type="dxa"/>
              <w:right w:w="15" w:type="dxa"/>
            </w:tcMar>
            <w:vAlign w:val="center"/>
            <w:hideMark/>
          </w:tcPr>
          <w:p w14:paraId="31B03E48" w14:textId="77777777" w:rsidR="00C50FD8" w:rsidRDefault="00C50FD8">
            <w:pPr>
              <w:jc w:val="center"/>
              <w:rPr>
                <w:rFonts w:ascii="Times New Roman" w:hAnsi="Times New Roman"/>
              </w:rPr>
            </w:pPr>
            <w:r>
              <w:rPr>
                <w:rFonts w:ascii="Times New Roman" w:hAnsi="Times New Roman"/>
              </w:rPr>
              <w:t>46.93 ± 0.58</w:t>
            </w:r>
            <w:r>
              <w:rPr>
                <w:rFonts w:ascii="Times New Roman" w:hAnsi="Times New Roman"/>
                <w:vertAlign w:val="subscript"/>
              </w:rPr>
              <w:t>c</w:t>
            </w:r>
          </w:p>
        </w:tc>
      </w:tr>
      <w:tr w:rsidR="00C50FD8" w14:paraId="41BFD3A7" w14:textId="77777777" w:rsidTr="00C50FD8">
        <w:trPr>
          <w:trHeight w:val="429"/>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58CB85AD" w14:textId="77777777" w:rsidR="00C50FD8" w:rsidRDefault="00C50FD8">
            <w:pPr>
              <w:jc w:val="center"/>
              <w:rPr>
                <w:rFonts w:ascii="Times New Roman" w:hAnsi="Times New Roman"/>
              </w:rPr>
            </w:pPr>
            <w:r>
              <w:rPr>
                <w:rFonts w:ascii="Times New Roman" w:hAnsi="Times New Roman"/>
              </w:rPr>
              <w:t>Control</w:t>
            </w:r>
          </w:p>
        </w:tc>
        <w:tc>
          <w:tcPr>
            <w:tcW w:w="3044" w:type="dxa"/>
            <w:tcBorders>
              <w:top w:val="nil"/>
              <w:left w:val="nil"/>
              <w:bottom w:val="nil"/>
              <w:right w:val="nil"/>
            </w:tcBorders>
            <w:tcMar>
              <w:top w:w="15" w:type="dxa"/>
              <w:left w:w="15" w:type="dxa"/>
              <w:bottom w:w="15" w:type="dxa"/>
              <w:right w:w="15" w:type="dxa"/>
            </w:tcMar>
            <w:hideMark/>
          </w:tcPr>
          <w:p w14:paraId="12D430A4" w14:textId="77777777" w:rsidR="00C50FD8" w:rsidRDefault="00C50FD8">
            <w:pPr>
              <w:jc w:val="center"/>
              <w:rPr>
                <w:rFonts w:ascii="Times New Roman" w:hAnsi="Times New Roman"/>
              </w:rPr>
            </w:pPr>
            <w:r>
              <w:rPr>
                <w:rFonts w:ascii="Times New Roman" w:hAnsi="Times New Roman"/>
              </w:rPr>
              <w:t>7.76 ± 0.08</w:t>
            </w:r>
            <w:r>
              <w:rPr>
                <w:rFonts w:ascii="Times New Roman" w:hAnsi="Times New Roman"/>
                <w:vertAlign w:val="subscript"/>
              </w:rPr>
              <w:t>d</w:t>
            </w:r>
          </w:p>
        </w:tc>
        <w:tc>
          <w:tcPr>
            <w:tcW w:w="3029" w:type="dxa"/>
            <w:tcBorders>
              <w:top w:val="nil"/>
              <w:left w:val="nil"/>
              <w:bottom w:val="nil"/>
              <w:right w:val="nil"/>
            </w:tcBorders>
            <w:tcMar>
              <w:top w:w="15" w:type="dxa"/>
              <w:left w:w="15" w:type="dxa"/>
              <w:bottom w:w="15" w:type="dxa"/>
              <w:right w:w="15" w:type="dxa"/>
            </w:tcMar>
            <w:vAlign w:val="center"/>
            <w:hideMark/>
          </w:tcPr>
          <w:p w14:paraId="715AC18B" w14:textId="77777777" w:rsidR="00C50FD8" w:rsidRDefault="00C50FD8">
            <w:pPr>
              <w:jc w:val="center"/>
              <w:rPr>
                <w:rFonts w:ascii="Times New Roman" w:hAnsi="Times New Roman"/>
              </w:rPr>
            </w:pPr>
            <w:r>
              <w:rPr>
                <w:rFonts w:ascii="Times New Roman" w:hAnsi="Times New Roman"/>
              </w:rPr>
              <w:t>48.47 ± 0.47</w:t>
            </w:r>
            <w:r>
              <w:rPr>
                <w:rFonts w:ascii="Times New Roman" w:hAnsi="Times New Roman"/>
                <w:vertAlign w:val="subscript"/>
              </w:rPr>
              <w:t>d</w:t>
            </w:r>
          </w:p>
        </w:tc>
      </w:tr>
    </w:tbl>
    <w:p w14:paraId="772785B5" w14:textId="77777777" w:rsidR="00C50FD8" w:rsidRPr="006578BB" w:rsidRDefault="00C50FD8" w:rsidP="006578BB">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w:t>
      </w:r>
      <w:r>
        <w:rPr>
          <w:rStyle w:val="Emphasis"/>
          <w:rFonts w:ascii="Times New Roman" w:hAnsi="Times New Roman"/>
        </w:rPr>
        <w:t>p</w:t>
      </w:r>
      <w:r>
        <w:rPr>
          <w:rFonts w:ascii="Times New Roman" w:hAnsi="Times New Roman"/>
          <w:i/>
        </w:rPr>
        <w:t xml:space="preserve"> &lt; 0.05).</w:t>
      </w:r>
      <w:r>
        <w:rPr>
          <w:rFonts w:ascii="Times New Roman" w:hAnsi="Times New Roman"/>
          <w:b/>
        </w:rPr>
        <w:br w:type="page"/>
      </w:r>
    </w:p>
    <w:p w14:paraId="42415B01" w14:textId="77777777" w:rsidR="00C50FD8" w:rsidRPr="006578BB" w:rsidRDefault="00C50FD8" w:rsidP="00C50FD8">
      <w:pPr>
        <w:jc w:val="both"/>
        <w:rPr>
          <w:rFonts w:ascii="Times New Roman" w:hAnsi="Times New Roman"/>
          <w:bCs/>
        </w:rPr>
      </w:pPr>
      <w:r w:rsidRPr="006578BB">
        <w:rPr>
          <w:rFonts w:ascii="Times New Roman" w:hAnsi="Times New Roman"/>
        </w:rPr>
        <w:lastRenderedPageBreak/>
        <w:t>Effect of processing on Crude fiber fractions in Water hyacinth (</w:t>
      </w:r>
      <w:r w:rsidRPr="006578BB">
        <w:rPr>
          <w:rFonts w:ascii="Times New Roman" w:hAnsi="Times New Roman"/>
          <w:i/>
        </w:rPr>
        <w:t xml:space="preserve">Eichhornia </w:t>
      </w:r>
      <w:r w:rsidRPr="006578BB">
        <w:rPr>
          <w:rFonts w:ascii="Times New Roman" w:hAnsi="Times New Roman"/>
          <w:i/>
        </w:rPr>
        <w:tab/>
        <w:t>crassipes</w:t>
      </w:r>
      <w:r w:rsidRPr="006578BB">
        <w:rPr>
          <w:rFonts w:ascii="Times New Roman" w:hAnsi="Times New Roman"/>
        </w:rPr>
        <w:t>)</w:t>
      </w:r>
    </w:p>
    <w:p w14:paraId="604CFEB7" w14:textId="77777777" w:rsidR="00C50FD8" w:rsidRDefault="00C50FD8" w:rsidP="00C50FD8">
      <w:pPr>
        <w:spacing w:line="480" w:lineRule="auto"/>
        <w:jc w:val="both"/>
        <w:rPr>
          <w:rFonts w:ascii="Times New Roman" w:hAnsi="Times New Roman"/>
        </w:rPr>
      </w:pPr>
      <w:r>
        <w:rPr>
          <w:rFonts w:ascii="Times New Roman" w:hAnsi="Times New Roman"/>
        </w:rPr>
        <w:t xml:space="preserve">The crude </w:t>
      </w:r>
      <w:proofErr w:type="spellStart"/>
      <w:r>
        <w:rPr>
          <w:rFonts w:ascii="Times New Roman" w:hAnsi="Times New Roman"/>
        </w:rPr>
        <w:t>fibre</w:t>
      </w:r>
      <w:proofErr w:type="spellEnd"/>
      <w:r>
        <w:rPr>
          <w:rFonts w:ascii="Times New Roman" w:hAnsi="Times New Roman"/>
        </w:rPr>
        <w:t xml:space="preserve">, neutral detergent </w:t>
      </w:r>
      <w:proofErr w:type="spellStart"/>
      <w:r>
        <w:rPr>
          <w:rFonts w:ascii="Times New Roman" w:hAnsi="Times New Roman"/>
        </w:rPr>
        <w:t>fibre</w:t>
      </w:r>
      <w:proofErr w:type="spellEnd"/>
      <w:r>
        <w:rPr>
          <w:rFonts w:ascii="Times New Roman" w:hAnsi="Times New Roman"/>
        </w:rPr>
        <w:t xml:space="preserve"> (NDF), and acid detergent </w:t>
      </w:r>
      <w:proofErr w:type="spellStart"/>
      <w:r>
        <w:rPr>
          <w:rFonts w:ascii="Times New Roman" w:hAnsi="Times New Roman"/>
        </w:rPr>
        <w:t>fibre</w:t>
      </w:r>
      <w:proofErr w:type="spellEnd"/>
      <w:r>
        <w:rPr>
          <w:rFonts w:ascii="Times New Roman" w:hAnsi="Times New Roman"/>
        </w:rPr>
        <w:t xml:space="preserve"> (ADF) contents of water hyacinth (</w:t>
      </w:r>
      <w:r>
        <w:rPr>
          <w:rFonts w:ascii="Times New Roman" w:hAnsi="Times New Roman"/>
          <w:i/>
          <w:iCs/>
        </w:rPr>
        <w:t>Eichhornia crassipes</w:t>
      </w:r>
      <w:r>
        <w:rPr>
          <w:rFonts w:ascii="Times New Roman" w:hAnsi="Times New Roman"/>
        </w:rPr>
        <w:t xml:space="preserve">) varied significantly among the different processing treatments. Processing resulted in a general reduction in </w:t>
      </w:r>
      <w:proofErr w:type="spellStart"/>
      <w:r>
        <w:rPr>
          <w:rFonts w:ascii="Times New Roman" w:hAnsi="Times New Roman"/>
        </w:rPr>
        <w:t>fibre</w:t>
      </w:r>
      <w:proofErr w:type="spellEnd"/>
      <w:r>
        <w:rPr>
          <w:rFonts w:ascii="Times New Roman" w:hAnsi="Times New Roman"/>
        </w:rPr>
        <w:t xml:space="preserve"> fractions compared with the untreated control, indicating that the applied treatments influenced the structural carbohydrate composition of the plant material.</w:t>
      </w:r>
    </w:p>
    <w:p w14:paraId="04D4AC05" w14:textId="77777777" w:rsidR="00C50FD8" w:rsidRDefault="00C50FD8" w:rsidP="00C50FD8">
      <w:pPr>
        <w:spacing w:line="480" w:lineRule="auto"/>
        <w:jc w:val="both"/>
        <w:rPr>
          <w:rFonts w:ascii="Times New Roman" w:hAnsi="Times New Roman"/>
        </w:rPr>
      </w:pPr>
      <w:r>
        <w:rPr>
          <w:rFonts w:ascii="Times New Roman" w:hAnsi="Times New Roman"/>
        </w:rPr>
        <w:t xml:space="preserve">Fermentation recorded the lowest crude </w:t>
      </w:r>
      <w:proofErr w:type="spellStart"/>
      <w:r>
        <w:rPr>
          <w:rFonts w:ascii="Times New Roman" w:hAnsi="Times New Roman"/>
        </w:rPr>
        <w:t>fibre</w:t>
      </w:r>
      <w:proofErr w:type="spellEnd"/>
      <w:r>
        <w:rPr>
          <w:rFonts w:ascii="Times New Roman" w:hAnsi="Times New Roman"/>
        </w:rPr>
        <w:t>, NDF, and ADF values (</w:t>
      </w:r>
      <w:r>
        <w:rPr>
          <w:rFonts w:ascii="Times New Roman" w:hAnsi="Times New Roman"/>
          <w:bCs/>
        </w:rPr>
        <w:t>31.70 ± 0.26%, 46.83 ± 0.42%, and 36.47 ± 0.38%, respectively</w:t>
      </w:r>
      <w:r>
        <w:rPr>
          <w:rFonts w:ascii="Times New Roman" w:hAnsi="Times New Roman"/>
        </w:rPr>
        <w:t xml:space="preserve">) among all the treatments. The reduction observed in fermented samples suggests that microbial activity during fermentation enhanced the breakdown of structural components of the plant cell wall. The lower NDF content indicates a reduction in the overall cell wall fraction, including hemicellulose, cellulose, and lignin-associated components, while the decreased ADF value suggests partial degradation of the more resistant </w:t>
      </w:r>
      <w:proofErr w:type="spellStart"/>
      <w:r>
        <w:rPr>
          <w:rFonts w:ascii="Times New Roman" w:hAnsi="Times New Roman"/>
        </w:rPr>
        <w:t>fibre</w:t>
      </w:r>
      <w:proofErr w:type="spellEnd"/>
      <w:r>
        <w:rPr>
          <w:rFonts w:ascii="Times New Roman" w:hAnsi="Times New Roman"/>
        </w:rPr>
        <w:t xml:space="preserve"> components, particularly cellulose and lignin fractions. This reduction in </w:t>
      </w:r>
      <w:proofErr w:type="spellStart"/>
      <w:r>
        <w:rPr>
          <w:rFonts w:ascii="Times New Roman" w:hAnsi="Times New Roman"/>
        </w:rPr>
        <w:t>fibre</w:t>
      </w:r>
      <w:proofErr w:type="spellEnd"/>
      <w:r>
        <w:rPr>
          <w:rFonts w:ascii="Times New Roman" w:hAnsi="Times New Roman"/>
        </w:rPr>
        <w:t xml:space="preserve"> content may improve the accessibility of nutrients and enhance the potential utilization of water hyacinth as a feed ingredient.</w:t>
      </w:r>
    </w:p>
    <w:p w14:paraId="6DD7E0C1" w14:textId="77777777" w:rsidR="00C50FD8" w:rsidRDefault="00C50FD8" w:rsidP="00C50FD8">
      <w:pPr>
        <w:spacing w:line="480" w:lineRule="auto"/>
        <w:jc w:val="both"/>
        <w:rPr>
          <w:rFonts w:ascii="Times New Roman" w:hAnsi="Times New Roman"/>
        </w:rPr>
      </w:pPr>
      <w:r>
        <w:rPr>
          <w:rFonts w:ascii="Times New Roman" w:hAnsi="Times New Roman"/>
        </w:rPr>
        <w:t xml:space="preserve">Boiling also reduced the </w:t>
      </w:r>
      <w:proofErr w:type="spellStart"/>
      <w:r>
        <w:rPr>
          <w:rFonts w:ascii="Times New Roman" w:hAnsi="Times New Roman"/>
        </w:rPr>
        <w:t>fibre</w:t>
      </w:r>
      <w:proofErr w:type="spellEnd"/>
      <w:r>
        <w:rPr>
          <w:rFonts w:ascii="Times New Roman" w:hAnsi="Times New Roman"/>
        </w:rPr>
        <w:t xml:space="preserve"> fractions compared with the control, with values of </w:t>
      </w:r>
      <w:r>
        <w:rPr>
          <w:rFonts w:ascii="Times New Roman" w:hAnsi="Times New Roman"/>
          <w:bCs/>
        </w:rPr>
        <w:t xml:space="preserve">34.57 ± 0.45% crude </w:t>
      </w:r>
      <w:proofErr w:type="spellStart"/>
      <w:r>
        <w:rPr>
          <w:rFonts w:ascii="Times New Roman" w:hAnsi="Times New Roman"/>
          <w:bCs/>
        </w:rPr>
        <w:t>fibre</w:t>
      </w:r>
      <w:proofErr w:type="spellEnd"/>
      <w:r>
        <w:rPr>
          <w:rFonts w:ascii="Times New Roman" w:hAnsi="Times New Roman"/>
          <w:bCs/>
        </w:rPr>
        <w:t>, 50.27 ± 0.51% NDF, and 39.93 ± 0.44% ADF</w:t>
      </w:r>
      <w:r>
        <w:rPr>
          <w:rFonts w:ascii="Times New Roman" w:hAnsi="Times New Roman"/>
        </w:rPr>
        <w:t xml:space="preserve">. The reduction may be associated with the effect of heat treatment and water exposure, which can promote the solubilization of some soluble </w:t>
      </w:r>
      <w:proofErr w:type="spellStart"/>
      <w:r>
        <w:rPr>
          <w:rFonts w:ascii="Times New Roman" w:hAnsi="Times New Roman"/>
        </w:rPr>
        <w:t>fibre</w:t>
      </w:r>
      <w:proofErr w:type="spellEnd"/>
      <w:r>
        <w:rPr>
          <w:rFonts w:ascii="Times New Roman" w:hAnsi="Times New Roman"/>
        </w:rPr>
        <w:t xml:space="preserve">-associated components and weaken the plant cell wall structure. However, the reduction was less pronounced than that observed in fermented samples, indicating that boiling had a moderate effect on </w:t>
      </w:r>
      <w:proofErr w:type="spellStart"/>
      <w:r>
        <w:rPr>
          <w:rFonts w:ascii="Times New Roman" w:hAnsi="Times New Roman"/>
        </w:rPr>
        <w:t>fibre</w:t>
      </w:r>
      <w:proofErr w:type="spellEnd"/>
      <w:r>
        <w:rPr>
          <w:rFonts w:ascii="Times New Roman" w:hAnsi="Times New Roman"/>
        </w:rPr>
        <w:t xml:space="preserve"> modification.</w:t>
      </w:r>
    </w:p>
    <w:p w14:paraId="0DD63B03" w14:textId="77777777" w:rsidR="00C50FD8" w:rsidRDefault="00C50FD8" w:rsidP="00C50FD8">
      <w:pPr>
        <w:spacing w:line="480" w:lineRule="auto"/>
        <w:jc w:val="both"/>
        <w:rPr>
          <w:rFonts w:ascii="Times New Roman" w:hAnsi="Times New Roman"/>
        </w:rPr>
      </w:pPr>
      <w:r>
        <w:rPr>
          <w:rFonts w:ascii="Times New Roman" w:hAnsi="Times New Roman"/>
        </w:rPr>
        <w:t xml:space="preserve">Oven drying produced </w:t>
      </w:r>
      <w:proofErr w:type="spellStart"/>
      <w:r>
        <w:rPr>
          <w:rFonts w:ascii="Times New Roman" w:hAnsi="Times New Roman"/>
        </w:rPr>
        <w:t>fibre</w:t>
      </w:r>
      <w:proofErr w:type="spellEnd"/>
      <w:r>
        <w:rPr>
          <w:rFonts w:ascii="Times New Roman" w:hAnsi="Times New Roman"/>
        </w:rPr>
        <w:t xml:space="preserve"> values of </w:t>
      </w:r>
      <w:r>
        <w:rPr>
          <w:rFonts w:ascii="Times New Roman" w:hAnsi="Times New Roman"/>
          <w:bCs/>
        </w:rPr>
        <w:t xml:space="preserve">37.40 ± 0.56% crude </w:t>
      </w:r>
      <w:proofErr w:type="spellStart"/>
      <w:r>
        <w:rPr>
          <w:rFonts w:ascii="Times New Roman" w:hAnsi="Times New Roman"/>
          <w:bCs/>
        </w:rPr>
        <w:t>fibre</w:t>
      </w:r>
      <w:proofErr w:type="spellEnd"/>
      <w:r>
        <w:rPr>
          <w:rFonts w:ascii="Times New Roman" w:hAnsi="Times New Roman"/>
          <w:bCs/>
        </w:rPr>
        <w:t>, 54.60 ± 0.63% NDF, and 43.27 ± 0.49% ADF</w:t>
      </w:r>
      <w:r>
        <w:rPr>
          <w:rFonts w:ascii="Times New Roman" w:hAnsi="Times New Roman"/>
        </w:rPr>
        <w:t xml:space="preserve">, which were slightly higher than those observed in fermented and boiled samples but lower than the untreated control. The relatively higher </w:t>
      </w:r>
      <w:proofErr w:type="spellStart"/>
      <w:r>
        <w:rPr>
          <w:rFonts w:ascii="Times New Roman" w:hAnsi="Times New Roman"/>
        </w:rPr>
        <w:t>fibre</w:t>
      </w:r>
      <w:proofErr w:type="spellEnd"/>
      <w:r>
        <w:rPr>
          <w:rFonts w:ascii="Times New Roman" w:hAnsi="Times New Roman"/>
        </w:rPr>
        <w:t xml:space="preserve"> content after oven drying may be due to the absence of microbial degradation and limited removal of </w:t>
      </w:r>
      <w:proofErr w:type="spellStart"/>
      <w:r>
        <w:rPr>
          <w:rFonts w:ascii="Times New Roman" w:hAnsi="Times New Roman"/>
        </w:rPr>
        <w:t>fibre</w:t>
      </w:r>
      <w:proofErr w:type="spellEnd"/>
      <w:r>
        <w:rPr>
          <w:rFonts w:ascii="Times New Roman" w:hAnsi="Times New Roman"/>
        </w:rPr>
        <w:t xml:space="preserve"> components during the drying process, resulting in greater retention of structural carbohydrates.</w:t>
      </w:r>
    </w:p>
    <w:p w14:paraId="6EA28EF8" w14:textId="77777777" w:rsidR="00C50FD8" w:rsidRDefault="00C50FD8" w:rsidP="00C50FD8">
      <w:pPr>
        <w:spacing w:line="480" w:lineRule="auto"/>
        <w:jc w:val="both"/>
        <w:rPr>
          <w:rFonts w:ascii="Times New Roman" w:hAnsi="Times New Roman"/>
        </w:rPr>
      </w:pPr>
      <w:r>
        <w:rPr>
          <w:rFonts w:ascii="Times New Roman" w:hAnsi="Times New Roman"/>
        </w:rPr>
        <w:t xml:space="preserve">The untreated control sample exhibited the highest </w:t>
      </w:r>
      <w:proofErr w:type="spellStart"/>
      <w:r>
        <w:rPr>
          <w:rFonts w:ascii="Times New Roman" w:hAnsi="Times New Roman"/>
        </w:rPr>
        <w:t>fibre</w:t>
      </w:r>
      <w:proofErr w:type="spellEnd"/>
      <w:r>
        <w:rPr>
          <w:rFonts w:ascii="Times New Roman" w:hAnsi="Times New Roman"/>
        </w:rPr>
        <w:t xml:space="preserve"> levels (</w:t>
      </w:r>
      <w:r>
        <w:rPr>
          <w:rFonts w:ascii="Times New Roman" w:hAnsi="Times New Roman"/>
          <w:bCs/>
        </w:rPr>
        <w:t xml:space="preserve">39.47 ± 0.50% crude </w:t>
      </w:r>
      <w:proofErr w:type="spellStart"/>
      <w:r>
        <w:rPr>
          <w:rFonts w:ascii="Times New Roman" w:hAnsi="Times New Roman"/>
          <w:bCs/>
        </w:rPr>
        <w:t>fibre</w:t>
      </w:r>
      <w:proofErr w:type="spellEnd"/>
      <w:r>
        <w:rPr>
          <w:rFonts w:ascii="Times New Roman" w:hAnsi="Times New Roman"/>
          <w:bCs/>
        </w:rPr>
        <w:t>, 57.13 ± 0.58% NDF, and 45.63 ± 0.52% ADF</w:t>
      </w:r>
      <w:r>
        <w:rPr>
          <w:rFonts w:ascii="Times New Roman" w:hAnsi="Times New Roman"/>
        </w:rPr>
        <w:t>), indicating that unprocessed water hyacinth retained a greater proportion of its original cell wall constituents. The higher NDF and ADF values in the control reflect the presence of intact structural carbohydrates, which may limit nutrient availability and reduce digestibility when compared with processed samples. The consistent relationship observed across all treatments, where NDF values were higher than ADF values, indicates the presence of hemicellulose fractions within the cell wall structure.</w:t>
      </w:r>
    </w:p>
    <w:p w14:paraId="6D53B8BA" w14:textId="77777777" w:rsidR="00C50FD8" w:rsidRDefault="006578BB" w:rsidP="00C50FD8">
      <w:pPr>
        <w:spacing w:before="100" w:beforeAutospacing="1" w:after="100" w:afterAutospacing="1"/>
        <w:outlineLvl w:val="2"/>
        <w:rPr>
          <w:rFonts w:ascii="Times New Roman" w:hAnsi="Times New Roman"/>
          <w:i/>
        </w:rPr>
      </w:pPr>
      <w:r>
        <w:rPr>
          <w:rFonts w:ascii="Times New Roman" w:hAnsi="Times New Roman"/>
          <w:b/>
        </w:rPr>
        <w:t>T</w:t>
      </w:r>
      <w:r w:rsidR="00C50FD8">
        <w:rPr>
          <w:rFonts w:ascii="Times New Roman" w:hAnsi="Times New Roman"/>
          <w:b/>
        </w:rPr>
        <w:t>able 2: Effect of processing on Crude fiber fractions in water hyacinth (</w:t>
      </w:r>
      <w:r w:rsidR="00C50FD8">
        <w:rPr>
          <w:rFonts w:ascii="Times New Roman" w:hAnsi="Times New Roman"/>
          <w:b/>
          <w:i/>
        </w:rPr>
        <w:t>Eichhornia crassipes</w:t>
      </w:r>
      <w:r w:rsidR="00C50FD8">
        <w:rPr>
          <w:rFonts w:ascii="Times New Roman" w:hAnsi="Times New Roman"/>
          <w:b/>
        </w:rPr>
        <w:t>)</w:t>
      </w:r>
      <w:r w:rsidR="00C50FD8">
        <w:rPr>
          <w:rFonts w:ascii="Times New Roman" w:hAnsi="Times New Roman"/>
          <w:i/>
        </w:rPr>
        <w:t xml:space="preserve"> </w:t>
      </w:r>
    </w:p>
    <w:tbl>
      <w:tblPr>
        <w:tblW w:w="8747" w:type="dxa"/>
        <w:tblCellSpacing w:w="15" w:type="dxa"/>
        <w:tblBorders>
          <w:top w:val="single" w:sz="4" w:space="0" w:color="auto"/>
          <w:bottom w:val="single" w:sz="4" w:space="0" w:color="auto"/>
        </w:tblBorders>
        <w:tblLook w:val="04A0" w:firstRow="1" w:lastRow="0" w:firstColumn="1" w:lastColumn="0" w:noHBand="0" w:noVBand="1"/>
      </w:tblPr>
      <w:tblGrid>
        <w:gridCol w:w="1473"/>
        <w:gridCol w:w="2843"/>
        <w:gridCol w:w="2045"/>
        <w:gridCol w:w="2386"/>
      </w:tblGrid>
      <w:tr w:rsidR="00C50FD8" w14:paraId="15002480" w14:textId="77777777" w:rsidTr="00C50FD8">
        <w:trPr>
          <w:trHeight w:val="457"/>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FE2A27E" w14:textId="77777777" w:rsidR="00C50FD8" w:rsidRDefault="00C50FD8">
            <w:pPr>
              <w:jc w:val="center"/>
              <w:rPr>
                <w:rFonts w:ascii="Times New Roman" w:hAnsi="Times New Roman"/>
                <w:b/>
                <w:bCs/>
              </w:rPr>
            </w:pPr>
            <w:r>
              <w:rPr>
                <w:rFonts w:ascii="Times New Roman" w:hAnsi="Times New Roman"/>
                <w:b/>
                <w:bCs/>
              </w:rPr>
              <w:t>Treatment Group</w:t>
            </w:r>
          </w:p>
        </w:tc>
        <w:tc>
          <w:tcPr>
            <w:tcW w:w="2813" w:type="dxa"/>
            <w:tcBorders>
              <w:top w:val="nil"/>
              <w:left w:val="nil"/>
              <w:bottom w:val="single" w:sz="4" w:space="0" w:color="auto"/>
              <w:right w:val="nil"/>
            </w:tcBorders>
            <w:tcMar>
              <w:top w:w="15" w:type="dxa"/>
              <w:left w:w="15" w:type="dxa"/>
              <w:bottom w:w="15" w:type="dxa"/>
              <w:right w:w="15" w:type="dxa"/>
            </w:tcMar>
            <w:vAlign w:val="center"/>
            <w:hideMark/>
          </w:tcPr>
          <w:p w14:paraId="74809D67" w14:textId="77777777" w:rsidR="00C50FD8" w:rsidRDefault="00C50FD8">
            <w:pPr>
              <w:jc w:val="center"/>
              <w:rPr>
                <w:rFonts w:ascii="Times New Roman" w:hAnsi="Times New Roman"/>
                <w:b/>
                <w:bCs/>
              </w:rPr>
            </w:pPr>
            <w:r>
              <w:rPr>
                <w:rFonts w:ascii="Times New Roman" w:hAnsi="Times New Roman"/>
                <w:b/>
                <w:bCs/>
              </w:rPr>
              <w:t xml:space="preserve">Crude </w:t>
            </w:r>
            <w:proofErr w:type="spellStart"/>
            <w:r>
              <w:rPr>
                <w:rFonts w:ascii="Times New Roman" w:hAnsi="Times New Roman"/>
                <w:b/>
                <w:bCs/>
              </w:rPr>
              <w:t>Fibre</w:t>
            </w:r>
            <w:proofErr w:type="spellEnd"/>
            <w:r>
              <w:rPr>
                <w:rFonts w:ascii="Times New Roman" w:hAnsi="Times New Roman"/>
                <w:b/>
                <w:bCs/>
              </w:rPr>
              <w:t xml:space="preserve"> (%)</w:t>
            </w:r>
          </w:p>
        </w:tc>
        <w:tc>
          <w:tcPr>
            <w:tcW w:w="2015" w:type="dxa"/>
            <w:tcBorders>
              <w:top w:val="nil"/>
              <w:left w:val="nil"/>
              <w:bottom w:val="single" w:sz="4" w:space="0" w:color="auto"/>
              <w:right w:val="nil"/>
            </w:tcBorders>
            <w:tcMar>
              <w:top w:w="15" w:type="dxa"/>
              <w:left w:w="15" w:type="dxa"/>
              <w:bottom w:w="15" w:type="dxa"/>
              <w:right w:w="15" w:type="dxa"/>
            </w:tcMar>
            <w:vAlign w:val="center"/>
            <w:hideMark/>
          </w:tcPr>
          <w:p w14:paraId="05236C43" w14:textId="77777777" w:rsidR="00C50FD8" w:rsidRDefault="00C50FD8">
            <w:pPr>
              <w:jc w:val="center"/>
              <w:rPr>
                <w:rFonts w:ascii="Times New Roman" w:hAnsi="Times New Roman"/>
                <w:b/>
                <w:bCs/>
              </w:rPr>
            </w:pPr>
            <w:r>
              <w:rPr>
                <w:rFonts w:ascii="Times New Roman" w:hAnsi="Times New Roman"/>
                <w:b/>
                <w:bCs/>
              </w:rPr>
              <w:t>NDF (%)</w:t>
            </w:r>
          </w:p>
        </w:tc>
        <w:tc>
          <w:tcPr>
            <w:tcW w:w="2341" w:type="dxa"/>
            <w:tcBorders>
              <w:top w:val="nil"/>
              <w:left w:val="nil"/>
              <w:bottom w:val="single" w:sz="4" w:space="0" w:color="auto"/>
              <w:right w:val="nil"/>
            </w:tcBorders>
            <w:tcMar>
              <w:top w:w="15" w:type="dxa"/>
              <w:left w:w="15" w:type="dxa"/>
              <w:bottom w:w="15" w:type="dxa"/>
              <w:right w:w="15" w:type="dxa"/>
            </w:tcMar>
            <w:vAlign w:val="center"/>
            <w:hideMark/>
          </w:tcPr>
          <w:p w14:paraId="3AFCF2EC" w14:textId="77777777" w:rsidR="00C50FD8" w:rsidRDefault="00C50FD8">
            <w:pPr>
              <w:jc w:val="center"/>
              <w:rPr>
                <w:rFonts w:ascii="Times New Roman" w:hAnsi="Times New Roman"/>
                <w:b/>
                <w:bCs/>
              </w:rPr>
            </w:pPr>
            <w:r>
              <w:rPr>
                <w:rFonts w:ascii="Times New Roman" w:hAnsi="Times New Roman"/>
                <w:b/>
                <w:bCs/>
              </w:rPr>
              <w:t>ADF (%)</w:t>
            </w:r>
          </w:p>
        </w:tc>
      </w:tr>
      <w:tr w:rsidR="00C50FD8" w14:paraId="13A12F73"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4184F108" w14:textId="77777777" w:rsidR="00C50FD8" w:rsidRDefault="00C50FD8">
            <w:pPr>
              <w:jc w:val="center"/>
              <w:rPr>
                <w:rFonts w:ascii="Times New Roman" w:hAnsi="Times New Roman"/>
              </w:rPr>
            </w:pPr>
            <w:r>
              <w:rPr>
                <w:rFonts w:ascii="Times New Roman" w:hAnsi="Times New Roman"/>
              </w:rPr>
              <w:t>Fermented</w:t>
            </w:r>
          </w:p>
        </w:tc>
        <w:tc>
          <w:tcPr>
            <w:tcW w:w="2813" w:type="dxa"/>
            <w:tcBorders>
              <w:top w:val="nil"/>
              <w:left w:val="nil"/>
              <w:bottom w:val="nil"/>
              <w:right w:val="nil"/>
            </w:tcBorders>
            <w:tcMar>
              <w:top w:w="15" w:type="dxa"/>
              <w:left w:w="15" w:type="dxa"/>
              <w:bottom w:w="15" w:type="dxa"/>
              <w:right w:w="15" w:type="dxa"/>
            </w:tcMar>
            <w:vAlign w:val="center"/>
            <w:hideMark/>
          </w:tcPr>
          <w:p w14:paraId="241F9208" w14:textId="77777777" w:rsidR="00C50FD8" w:rsidRDefault="00C50FD8">
            <w:pPr>
              <w:jc w:val="center"/>
              <w:rPr>
                <w:rFonts w:ascii="Times New Roman" w:hAnsi="Times New Roman"/>
              </w:rPr>
            </w:pPr>
            <w:r>
              <w:rPr>
                <w:rFonts w:ascii="Times New Roman" w:hAnsi="Times New Roman"/>
              </w:rPr>
              <w:t>31.70 ± 0.26</w:t>
            </w:r>
            <w:r>
              <w:rPr>
                <w:rFonts w:ascii="Times New Roman" w:hAnsi="Times New Roman"/>
                <w:vertAlign w:val="subscript"/>
              </w:rPr>
              <w:t>a</w:t>
            </w:r>
          </w:p>
        </w:tc>
        <w:tc>
          <w:tcPr>
            <w:tcW w:w="2015" w:type="dxa"/>
            <w:tcBorders>
              <w:top w:val="nil"/>
              <w:left w:val="nil"/>
              <w:bottom w:val="nil"/>
              <w:right w:val="nil"/>
            </w:tcBorders>
            <w:tcMar>
              <w:top w:w="15" w:type="dxa"/>
              <w:left w:w="15" w:type="dxa"/>
              <w:bottom w:w="15" w:type="dxa"/>
              <w:right w:w="15" w:type="dxa"/>
            </w:tcMar>
            <w:vAlign w:val="center"/>
            <w:hideMark/>
          </w:tcPr>
          <w:p w14:paraId="6A31F360" w14:textId="77777777" w:rsidR="00C50FD8" w:rsidRDefault="00C50FD8">
            <w:pPr>
              <w:jc w:val="center"/>
              <w:rPr>
                <w:rFonts w:ascii="Times New Roman" w:hAnsi="Times New Roman"/>
              </w:rPr>
            </w:pPr>
            <w:r>
              <w:rPr>
                <w:rFonts w:ascii="Times New Roman" w:hAnsi="Times New Roman"/>
              </w:rPr>
              <w:t>54.32 ± 0.86ᵃ</w:t>
            </w:r>
          </w:p>
        </w:tc>
        <w:tc>
          <w:tcPr>
            <w:tcW w:w="2341" w:type="dxa"/>
            <w:tcBorders>
              <w:top w:val="nil"/>
              <w:left w:val="nil"/>
              <w:bottom w:val="nil"/>
              <w:right w:val="nil"/>
            </w:tcBorders>
            <w:tcMar>
              <w:top w:w="15" w:type="dxa"/>
              <w:left w:w="15" w:type="dxa"/>
              <w:bottom w:w="15" w:type="dxa"/>
              <w:right w:w="15" w:type="dxa"/>
            </w:tcMar>
            <w:vAlign w:val="center"/>
            <w:hideMark/>
          </w:tcPr>
          <w:p w14:paraId="1952AC1A" w14:textId="77777777" w:rsidR="00C50FD8" w:rsidRDefault="00C50FD8">
            <w:pPr>
              <w:jc w:val="center"/>
              <w:rPr>
                <w:rFonts w:ascii="Times New Roman" w:hAnsi="Times New Roman"/>
              </w:rPr>
            </w:pPr>
            <w:r>
              <w:rPr>
                <w:rFonts w:ascii="Times New Roman" w:hAnsi="Times New Roman"/>
              </w:rPr>
              <w:t>33.84 ± 0.69ᵃ</w:t>
            </w:r>
          </w:p>
        </w:tc>
      </w:tr>
      <w:tr w:rsidR="00C50FD8" w14:paraId="16AA2872"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29A605A0" w14:textId="77777777" w:rsidR="00C50FD8" w:rsidRDefault="00C50FD8">
            <w:pPr>
              <w:jc w:val="center"/>
              <w:rPr>
                <w:rFonts w:ascii="Times New Roman" w:hAnsi="Times New Roman"/>
              </w:rPr>
            </w:pPr>
            <w:r>
              <w:rPr>
                <w:rFonts w:ascii="Times New Roman" w:hAnsi="Times New Roman"/>
              </w:rPr>
              <w:t>Boiled</w:t>
            </w:r>
          </w:p>
        </w:tc>
        <w:tc>
          <w:tcPr>
            <w:tcW w:w="2813" w:type="dxa"/>
            <w:tcBorders>
              <w:top w:val="nil"/>
              <w:left w:val="nil"/>
              <w:bottom w:val="nil"/>
              <w:right w:val="nil"/>
            </w:tcBorders>
            <w:tcMar>
              <w:top w:w="15" w:type="dxa"/>
              <w:left w:w="15" w:type="dxa"/>
              <w:bottom w:w="15" w:type="dxa"/>
              <w:right w:w="15" w:type="dxa"/>
            </w:tcMar>
            <w:vAlign w:val="center"/>
            <w:hideMark/>
          </w:tcPr>
          <w:p w14:paraId="6132A377" w14:textId="77777777" w:rsidR="00C50FD8" w:rsidRDefault="00C50FD8">
            <w:pPr>
              <w:jc w:val="center"/>
              <w:rPr>
                <w:rFonts w:ascii="Times New Roman" w:hAnsi="Times New Roman"/>
              </w:rPr>
            </w:pPr>
            <w:r>
              <w:rPr>
                <w:rFonts w:ascii="Times New Roman" w:hAnsi="Times New Roman"/>
              </w:rPr>
              <w:t>34.57 ± 0.45</w:t>
            </w:r>
            <w:r>
              <w:rPr>
                <w:rFonts w:ascii="Times New Roman" w:hAnsi="Times New Roman"/>
                <w:vertAlign w:val="subscript"/>
              </w:rPr>
              <w:t>b</w:t>
            </w:r>
          </w:p>
        </w:tc>
        <w:tc>
          <w:tcPr>
            <w:tcW w:w="2015" w:type="dxa"/>
            <w:tcBorders>
              <w:top w:val="nil"/>
              <w:left w:val="nil"/>
              <w:bottom w:val="nil"/>
              <w:right w:val="nil"/>
            </w:tcBorders>
            <w:tcMar>
              <w:top w:w="15" w:type="dxa"/>
              <w:left w:w="15" w:type="dxa"/>
              <w:bottom w:w="15" w:type="dxa"/>
              <w:right w:w="15" w:type="dxa"/>
            </w:tcMar>
            <w:vAlign w:val="center"/>
            <w:hideMark/>
          </w:tcPr>
          <w:p w14:paraId="6EB5EBFC" w14:textId="77777777" w:rsidR="00C50FD8" w:rsidRDefault="00C50FD8">
            <w:pPr>
              <w:jc w:val="center"/>
              <w:rPr>
                <w:rFonts w:ascii="Times New Roman" w:hAnsi="Times New Roman"/>
              </w:rPr>
            </w:pPr>
            <w:r>
              <w:rPr>
                <w:rFonts w:ascii="Times New Roman" w:hAnsi="Times New Roman"/>
              </w:rPr>
              <w:t>61.76 ± 0.94ᵇ</w:t>
            </w:r>
          </w:p>
        </w:tc>
        <w:tc>
          <w:tcPr>
            <w:tcW w:w="2341" w:type="dxa"/>
            <w:tcBorders>
              <w:top w:val="nil"/>
              <w:left w:val="nil"/>
              <w:bottom w:val="nil"/>
              <w:right w:val="nil"/>
            </w:tcBorders>
            <w:tcMar>
              <w:top w:w="15" w:type="dxa"/>
              <w:left w:w="15" w:type="dxa"/>
              <w:bottom w:w="15" w:type="dxa"/>
              <w:right w:w="15" w:type="dxa"/>
            </w:tcMar>
            <w:vAlign w:val="center"/>
            <w:hideMark/>
          </w:tcPr>
          <w:p w14:paraId="542B27FE" w14:textId="77777777" w:rsidR="00C50FD8" w:rsidRDefault="00C50FD8">
            <w:pPr>
              <w:jc w:val="center"/>
              <w:rPr>
                <w:rFonts w:ascii="Times New Roman" w:hAnsi="Times New Roman"/>
              </w:rPr>
            </w:pPr>
            <w:r>
              <w:rPr>
                <w:rFonts w:ascii="Times New Roman" w:hAnsi="Times New Roman"/>
              </w:rPr>
              <w:t>39.68 ± 0.76ᵇ</w:t>
            </w:r>
          </w:p>
        </w:tc>
      </w:tr>
      <w:tr w:rsidR="00C50FD8" w14:paraId="6E183AB6"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18DE69D8" w14:textId="77777777" w:rsidR="00C50FD8" w:rsidRDefault="00C50FD8">
            <w:pPr>
              <w:jc w:val="center"/>
              <w:rPr>
                <w:rFonts w:ascii="Times New Roman" w:hAnsi="Times New Roman"/>
              </w:rPr>
            </w:pPr>
            <w:r>
              <w:rPr>
                <w:rFonts w:ascii="Times New Roman" w:hAnsi="Times New Roman"/>
              </w:rPr>
              <w:t>Oven dried</w:t>
            </w:r>
          </w:p>
        </w:tc>
        <w:tc>
          <w:tcPr>
            <w:tcW w:w="2813" w:type="dxa"/>
            <w:tcBorders>
              <w:top w:val="nil"/>
              <w:left w:val="nil"/>
              <w:bottom w:val="nil"/>
              <w:right w:val="nil"/>
            </w:tcBorders>
            <w:tcMar>
              <w:top w:w="15" w:type="dxa"/>
              <w:left w:w="15" w:type="dxa"/>
              <w:bottom w:w="15" w:type="dxa"/>
              <w:right w:w="15" w:type="dxa"/>
            </w:tcMar>
            <w:vAlign w:val="center"/>
            <w:hideMark/>
          </w:tcPr>
          <w:p w14:paraId="278F4170" w14:textId="77777777" w:rsidR="00C50FD8" w:rsidRDefault="00C50FD8">
            <w:pPr>
              <w:jc w:val="center"/>
              <w:rPr>
                <w:rFonts w:ascii="Times New Roman" w:hAnsi="Times New Roman"/>
              </w:rPr>
            </w:pPr>
            <w:r>
              <w:rPr>
                <w:rFonts w:ascii="Times New Roman" w:hAnsi="Times New Roman"/>
              </w:rPr>
              <w:t>37.40 ± 0.56</w:t>
            </w:r>
            <w:r>
              <w:rPr>
                <w:rFonts w:ascii="Times New Roman" w:hAnsi="Times New Roman"/>
                <w:vertAlign w:val="subscript"/>
              </w:rPr>
              <w:t>c</w:t>
            </w:r>
          </w:p>
        </w:tc>
        <w:tc>
          <w:tcPr>
            <w:tcW w:w="2015" w:type="dxa"/>
            <w:tcBorders>
              <w:top w:val="nil"/>
              <w:left w:val="nil"/>
              <w:bottom w:val="nil"/>
              <w:right w:val="nil"/>
            </w:tcBorders>
            <w:tcMar>
              <w:top w:w="15" w:type="dxa"/>
              <w:left w:w="15" w:type="dxa"/>
              <w:bottom w:w="15" w:type="dxa"/>
              <w:right w:w="15" w:type="dxa"/>
            </w:tcMar>
            <w:vAlign w:val="center"/>
            <w:hideMark/>
          </w:tcPr>
          <w:p w14:paraId="3DCE217B" w14:textId="77777777" w:rsidR="00C50FD8" w:rsidRDefault="00C50FD8">
            <w:pPr>
              <w:jc w:val="center"/>
              <w:rPr>
                <w:rFonts w:ascii="Times New Roman" w:hAnsi="Times New Roman"/>
              </w:rPr>
            </w:pPr>
            <w:r>
              <w:rPr>
                <w:rFonts w:ascii="Times New Roman" w:hAnsi="Times New Roman"/>
              </w:rPr>
              <w:t>68.87 ± 1.05ᶜ</w:t>
            </w:r>
          </w:p>
        </w:tc>
        <w:tc>
          <w:tcPr>
            <w:tcW w:w="2341" w:type="dxa"/>
            <w:tcBorders>
              <w:top w:val="nil"/>
              <w:left w:val="nil"/>
              <w:bottom w:val="nil"/>
              <w:right w:val="nil"/>
            </w:tcBorders>
            <w:tcMar>
              <w:top w:w="15" w:type="dxa"/>
              <w:left w:w="15" w:type="dxa"/>
              <w:bottom w:w="15" w:type="dxa"/>
              <w:right w:w="15" w:type="dxa"/>
            </w:tcMar>
            <w:vAlign w:val="center"/>
            <w:hideMark/>
          </w:tcPr>
          <w:p w14:paraId="27E74394" w14:textId="77777777" w:rsidR="00C50FD8" w:rsidRDefault="00C50FD8">
            <w:pPr>
              <w:jc w:val="center"/>
              <w:rPr>
                <w:rFonts w:ascii="Times New Roman" w:hAnsi="Times New Roman"/>
              </w:rPr>
            </w:pPr>
            <w:r>
              <w:rPr>
                <w:rFonts w:ascii="Times New Roman" w:hAnsi="Times New Roman"/>
              </w:rPr>
              <w:t>45.17 ± 0.83ᶜ</w:t>
            </w:r>
          </w:p>
        </w:tc>
      </w:tr>
      <w:tr w:rsidR="00C50FD8" w14:paraId="63B47E84" w14:textId="77777777" w:rsidTr="00C50FD8">
        <w:trPr>
          <w:trHeight w:val="687"/>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32914FEE" w14:textId="77777777" w:rsidR="00C50FD8" w:rsidRDefault="00C50FD8">
            <w:pPr>
              <w:jc w:val="center"/>
              <w:rPr>
                <w:rFonts w:ascii="Times New Roman" w:hAnsi="Times New Roman"/>
              </w:rPr>
            </w:pPr>
            <w:r>
              <w:rPr>
                <w:rFonts w:ascii="Times New Roman" w:hAnsi="Times New Roman"/>
              </w:rPr>
              <w:lastRenderedPageBreak/>
              <w:t>Control</w:t>
            </w:r>
          </w:p>
        </w:tc>
        <w:tc>
          <w:tcPr>
            <w:tcW w:w="2813" w:type="dxa"/>
            <w:tcBorders>
              <w:top w:val="nil"/>
              <w:left w:val="nil"/>
              <w:bottom w:val="nil"/>
              <w:right w:val="nil"/>
            </w:tcBorders>
            <w:tcMar>
              <w:top w:w="15" w:type="dxa"/>
              <w:left w:w="15" w:type="dxa"/>
              <w:bottom w:w="15" w:type="dxa"/>
              <w:right w:w="15" w:type="dxa"/>
            </w:tcMar>
            <w:vAlign w:val="center"/>
            <w:hideMark/>
          </w:tcPr>
          <w:p w14:paraId="0BB42206" w14:textId="77777777" w:rsidR="00C50FD8" w:rsidRDefault="00C50FD8">
            <w:pPr>
              <w:jc w:val="center"/>
              <w:rPr>
                <w:rFonts w:ascii="Times New Roman" w:hAnsi="Times New Roman"/>
              </w:rPr>
            </w:pPr>
            <w:r>
              <w:rPr>
                <w:rFonts w:ascii="Times New Roman" w:hAnsi="Times New Roman"/>
              </w:rPr>
              <w:t>39.47 ± 0.50</w:t>
            </w:r>
            <w:r>
              <w:rPr>
                <w:rFonts w:ascii="Times New Roman" w:hAnsi="Times New Roman"/>
                <w:vertAlign w:val="subscript"/>
              </w:rPr>
              <w:t>d</w:t>
            </w:r>
          </w:p>
        </w:tc>
        <w:tc>
          <w:tcPr>
            <w:tcW w:w="2015" w:type="dxa"/>
            <w:tcBorders>
              <w:top w:val="nil"/>
              <w:left w:val="nil"/>
              <w:bottom w:val="nil"/>
              <w:right w:val="nil"/>
            </w:tcBorders>
            <w:tcMar>
              <w:top w:w="15" w:type="dxa"/>
              <w:left w:w="15" w:type="dxa"/>
              <w:bottom w:w="15" w:type="dxa"/>
              <w:right w:w="15" w:type="dxa"/>
            </w:tcMar>
            <w:vAlign w:val="center"/>
            <w:hideMark/>
          </w:tcPr>
          <w:p w14:paraId="1889FB60" w14:textId="77777777" w:rsidR="00C50FD8" w:rsidRDefault="00C50FD8">
            <w:pPr>
              <w:jc w:val="center"/>
              <w:rPr>
                <w:rFonts w:ascii="Times New Roman" w:hAnsi="Times New Roman"/>
              </w:rPr>
            </w:pPr>
            <w:r>
              <w:rPr>
                <w:rFonts w:ascii="Times New Roman" w:hAnsi="Times New Roman"/>
              </w:rPr>
              <w:t>72.43 ± 1.21ᵈ</w:t>
            </w:r>
          </w:p>
        </w:tc>
        <w:tc>
          <w:tcPr>
            <w:tcW w:w="2341" w:type="dxa"/>
            <w:tcBorders>
              <w:top w:val="nil"/>
              <w:left w:val="nil"/>
              <w:bottom w:val="nil"/>
              <w:right w:val="nil"/>
            </w:tcBorders>
            <w:tcMar>
              <w:top w:w="15" w:type="dxa"/>
              <w:left w:w="15" w:type="dxa"/>
              <w:bottom w:w="15" w:type="dxa"/>
              <w:right w:w="15" w:type="dxa"/>
            </w:tcMar>
            <w:vAlign w:val="center"/>
            <w:hideMark/>
          </w:tcPr>
          <w:p w14:paraId="007D5863" w14:textId="77777777" w:rsidR="00C50FD8" w:rsidRDefault="00C50FD8">
            <w:pPr>
              <w:jc w:val="center"/>
              <w:rPr>
                <w:rFonts w:ascii="Times New Roman" w:hAnsi="Times New Roman"/>
              </w:rPr>
            </w:pPr>
            <w:r>
              <w:rPr>
                <w:rFonts w:ascii="Times New Roman" w:hAnsi="Times New Roman"/>
              </w:rPr>
              <w:t>48.26 ± 0.98ᵈ</w:t>
            </w:r>
          </w:p>
        </w:tc>
      </w:tr>
    </w:tbl>
    <w:p w14:paraId="1E6682C5"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5DB38553" w14:textId="77777777" w:rsidR="00C50FD8" w:rsidRPr="006578BB" w:rsidRDefault="00C50FD8" w:rsidP="00C50FD8">
      <w:pPr>
        <w:rPr>
          <w:rFonts w:ascii="Times New Roman" w:hAnsi="Times New Roman"/>
        </w:rPr>
      </w:pPr>
      <w:r w:rsidRPr="006578BB">
        <w:rPr>
          <w:rFonts w:ascii="Times New Roman" w:hAnsi="Times New Roman"/>
        </w:rPr>
        <w:t>Effect of processing on Free Amino Acids level in Water hyacinth (</w:t>
      </w:r>
      <w:r w:rsidRPr="006578BB">
        <w:rPr>
          <w:rFonts w:ascii="Times New Roman" w:hAnsi="Times New Roman"/>
          <w:i/>
        </w:rPr>
        <w:t xml:space="preserve">Eichhornia </w:t>
      </w:r>
      <w:r w:rsidRPr="006578BB">
        <w:rPr>
          <w:rFonts w:ascii="Times New Roman" w:hAnsi="Times New Roman"/>
          <w:i/>
        </w:rPr>
        <w:tab/>
        <w:t>crassipes</w:t>
      </w:r>
      <w:r w:rsidRPr="006578BB">
        <w:rPr>
          <w:rFonts w:ascii="Times New Roman" w:hAnsi="Times New Roman"/>
        </w:rPr>
        <w:t>)</w:t>
      </w:r>
    </w:p>
    <w:p w14:paraId="4B0E9F1D" w14:textId="77777777" w:rsidR="00C50FD8" w:rsidRDefault="00C50FD8" w:rsidP="00C50FD8">
      <w:pPr>
        <w:spacing w:line="480" w:lineRule="auto"/>
        <w:jc w:val="both"/>
        <w:rPr>
          <w:rFonts w:asciiTheme="minorHAnsi" w:hAnsiTheme="minorHAnsi" w:cstheme="minorBidi"/>
        </w:rPr>
      </w:pPr>
      <w:r>
        <w:rPr>
          <w:rFonts w:ascii="Times New Roman" w:hAnsi="Times New Roman"/>
        </w:rPr>
        <w:t xml:space="preserve">The free amino acid levels of </w:t>
      </w:r>
      <w:r>
        <w:rPr>
          <w:rStyle w:val="Emphasis"/>
          <w:rFonts w:eastAsiaTheme="majorEastAsia"/>
        </w:rPr>
        <w:t>Eichhornia crassipes</w:t>
      </w:r>
      <w:r>
        <w:rPr>
          <w:rFonts w:ascii="Times New Roman" w:hAnsi="Times New Roman"/>
        </w:rPr>
        <w:t xml:space="preserve"> varied significantly among the different treatment groups. The control sample recorded the highest free amino acid concentration (1270.40 ± 0.97 mg/L), followed by the fermented sample (270.62 ± 0.35 mg/L) and the boiled sample (138.90 ± 0.56 mg/L), while the oven-dried sample had the lowest concentration (94.51 ± 0.29 mg/L). The results indicate a marked reduction in free amino acid levels following processing. Although fermentation retained a higher free amino acid concentration than the boiled and oven-dried samples, its value remained substantially lower than that of the control. Boiling further reduced the free amino acid concentration, while oven drying resulted in the lowest level among the processed samples. The different superscript letters (a-d) in the table indicate that the free amino acid concentrations of all treatment groups were significantly different from one another (</w:t>
      </w:r>
      <w:r>
        <w:rPr>
          <w:rStyle w:val="Emphasis"/>
          <w:rFonts w:eastAsiaTheme="majorEastAsia"/>
        </w:rPr>
        <w:t>p</w:t>
      </w:r>
      <w:r>
        <w:rPr>
          <w:rFonts w:ascii="Times New Roman" w:hAnsi="Times New Roman"/>
        </w:rPr>
        <w:t xml:space="preserve"> &lt; 0.05). This demonstrates that each processing method had a statistically significant effect on the free amino acid levels of Water hyacinth (</w:t>
      </w:r>
      <w:r>
        <w:rPr>
          <w:rStyle w:val="Emphasis"/>
          <w:rFonts w:eastAsiaTheme="majorEastAsia"/>
        </w:rPr>
        <w:t>Eichhornia crassipes</w:t>
      </w:r>
      <w:r>
        <w:t>).</w:t>
      </w:r>
    </w:p>
    <w:p w14:paraId="0AFAECD6" w14:textId="77777777" w:rsidR="00C50FD8" w:rsidRPr="006578BB" w:rsidRDefault="00C50FD8" w:rsidP="00C50FD8">
      <w:pPr>
        <w:rPr>
          <w:rFonts w:ascii="Times New Roman" w:hAnsi="Times New Roman"/>
        </w:rPr>
      </w:pPr>
      <w:r w:rsidRPr="006578BB">
        <w:rPr>
          <w:rFonts w:ascii="Times New Roman" w:hAnsi="Times New Roman"/>
        </w:rPr>
        <w:t>Table 3: Effect of processing on Free Amino Acids level in Water hyacinth (</w:t>
      </w:r>
      <w:r w:rsidRPr="006578BB">
        <w:rPr>
          <w:rFonts w:ascii="Times New Roman" w:hAnsi="Times New Roman"/>
          <w:i/>
        </w:rPr>
        <w:t>Eichhornia crassipes</w:t>
      </w:r>
      <w:r w:rsidRPr="006578BB">
        <w:rPr>
          <w:rFonts w:ascii="Times New Roman" w:hAnsi="Times New Roman"/>
        </w:rPr>
        <w:t>)</w:t>
      </w:r>
    </w:p>
    <w:tbl>
      <w:tblPr>
        <w:tblW w:w="9378" w:type="dxa"/>
        <w:tblCellSpacing w:w="15" w:type="dxa"/>
        <w:tblBorders>
          <w:top w:val="single" w:sz="4" w:space="0" w:color="auto"/>
          <w:bottom w:val="single" w:sz="4" w:space="0" w:color="auto"/>
        </w:tblBorders>
        <w:tblLook w:val="04A0" w:firstRow="1" w:lastRow="0" w:firstColumn="1" w:lastColumn="0" w:noHBand="0" w:noVBand="1"/>
      </w:tblPr>
      <w:tblGrid>
        <w:gridCol w:w="4279"/>
        <w:gridCol w:w="5099"/>
      </w:tblGrid>
      <w:tr w:rsidR="00C50FD8" w14:paraId="62EB4F5C" w14:textId="77777777" w:rsidTr="00C50FD8">
        <w:trPr>
          <w:trHeight w:val="462"/>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75C844A" w14:textId="77777777" w:rsidR="00C50FD8" w:rsidRDefault="00C50FD8">
            <w:pPr>
              <w:jc w:val="center"/>
              <w:rPr>
                <w:rFonts w:ascii="Times New Roman" w:hAnsi="Times New Roman"/>
                <w:b/>
                <w:bCs/>
              </w:rPr>
            </w:pPr>
            <w:r>
              <w:rPr>
                <w:rFonts w:ascii="Times New Roman" w:hAnsi="Times New Roman"/>
                <w:b/>
                <w:bCs/>
              </w:rPr>
              <w:t>Treatment Group</w:t>
            </w:r>
          </w:p>
        </w:tc>
        <w:tc>
          <w:tcPr>
            <w:tcW w:w="5054" w:type="dxa"/>
            <w:tcBorders>
              <w:top w:val="nil"/>
              <w:left w:val="nil"/>
              <w:bottom w:val="single" w:sz="4" w:space="0" w:color="auto"/>
              <w:right w:val="nil"/>
            </w:tcBorders>
            <w:tcMar>
              <w:top w:w="15" w:type="dxa"/>
              <w:left w:w="15" w:type="dxa"/>
              <w:bottom w:w="15" w:type="dxa"/>
              <w:right w:w="15" w:type="dxa"/>
            </w:tcMar>
            <w:hideMark/>
          </w:tcPr>
          <w:p w14:paraId="134BEDB7" w14:textId="77777777" w:rsidR="00C50FD8" w:rsidRDefault="00C50FD8">
            <w:pPr>
              <w:jc w:val="center"/>
              <w:rPr>
                <w:rFonts w:ascii="Times New Roman" w:hAnsi="Times New Roman"/>
                <w:b/>
                <w:bCs/>
              </w:rPr>
            </w:pPr>
            <w:r>
              <w:rPr>
                <w:rFonts w:ascii="Times New Roman" w:hAnsi="Times New Roman"/>
                <w:b/>
              </w:rPr>
              <w:t>Concentrations (mg/L</w:t>
            </w:r>
            <w:r>
              <w:rPr>
                <w:rFonts w:ascii="Times New Roman" w:hAnsi="Times New Roman"/>
                <w:b/>
                <w:vertAlign w:val="superscript"/>
              </w:rPr>
              <w:t>-1</w:t>
            </w:r>
            <w:r>
              <w:rPr>
                <w:rFonts w:ascii="Times New Roman" w:hAnsi="Times New Roman"/>
                <w:b/>
              </w:rPr>
              <w:t>)</w:t>
            </w:r>
          </w:p>
        </w:tc>
      </w:tr>
      <w:tr w:rsidR="00C50FD8" w14:paraId="51556D03" w14:textId="77777777" w:rsidTr="00C50FD8">
        <w:trPr>
          <w:trHeight w:val="70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8505A01" w14:textId="77777777" w:rsidR="00C50FD8" w:rsidRDefault="00C50FD8">
            <w:pPr>
              <w:jc w:val="center"/>
              <w:rPr>
                <w:rFonts w:ascii="Times New Roman" w:hAnsi="Times New Roman"/>
              </w:rPr>
            </w:pPr>
            <w:r>
              <w:rPr>
                <w:rFonts w:ascii="Times New Roman" w:hAnsi="Times New Roman"/>
              </w:rPr>
              <w:t>Fermented</w:t>
            </w:r>
          </w:p>
        </w:tc>
        <w:tc>
          <w:tcPr>
            <w:tcW w:w="5054" w:type="dxa"/>
            <w:tcBorders>
              <w:top w:val="nil"/>
              <w:left w:val="nil"/>
              <w:bottom w:val="nil"/>
              <w:right w:val="nil"/>
            </w:tcBorders>
            <w:tcMar>
              <w:top w:w="15" w:type="dxa"/>
              <w:left w:w="15" w:type="dxa"/>
              <w:bottom w:w="15" w:type="dxa"/>
              <w:right w:w="15" w:type="dxa"/>
            </w:tcMar>
            <w:vAlign w:val="center"/>
            <w:hideMark/>
          </w:tcPr>
          <w:p w14:paraId="3D99D38C" w14:textId="77777777" w:rsidR="00C50FD8" w:rsidRDefault="00C50FD8">
            <w:pPr>
              <w:jc w:val="center"/>
              <w:rPr>
                <w:rFonts w:ascii="Times New Roman" w:hAnsi="Times New Roman"/>
              </w:rPr>
            </w:pPr>
            <w:r>
              <w:rPr>
                <w:rFonts w:ascii="Times New Roman" w:hAnsi="Times New Roman"/>
              </w:rPr>
              <w:t>270.62 ± 0.35</w:t>
            </w:r>
            <w:r>
              <w:rPr>
                <w:rFonts w:ascii="Times New Roman" w:hAnsi="Times New Roman"/>
                <w:vertAlign w:val="subscript"/>
              </w:rPr>
              <w:t>b</w:t>
            </w:r>
          </w:p>
        </w:tc>
      </w:tr>
      <w:tr w:rsidR="00C50FD8" w14:paraId="0798165C" w14:textId="77777777" w:rsidTr="00C50FD8">
        <w:trPr>
          <w:trHeight w:val="67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5543ED0C" w14:textId="77777777" w:rsidR="00C50FD8" w:rsidRDefault="00C50FD8">
            <w:pPr>
              <w:jc w:val="center"/>
              <w:rPr>
                <w:rFonts w:ascii="Times New Roman" w:hAnsi="Times New Roman"/>
              </w:rPr>
            </w:pPr>
            <w:r>
              <w:rPr>
                <w:rFonts w:ascii="Times New Roman" w:hAnsi="Times New Roman"/>
              </w:rPr>
              <w:t>Boiled</w:t>
            </w:r>
          </w:p>
        </w:tc>
        <w:tc>
          <w:tcPr>
            <w:tcW w:w="5054" w:type="dxa"/>
            <w:tcBorders>
              <w:top w:val="nil"/>
              <w:left w:val="nil"/>
              <w:bottom w:val="nil"/>
              <w:right w:val="nil"/>
            </w:tcBorders>
            <w:tcMar>
              <w:top w:w="15" w:type="dxa"/>
              <w:left w:w="15" w:type="dxa"/>
              <w:bottom w:w="15" w:type="dxa"/>
              <w:right w:w="15" w:type="dxa"/>
            </w:tcMar>
            <w:vAlign w:val="center"/>
            <w:hideMark/>
          </w:tcPr>
          <w:p w14:paraId="29E9C0D9" w14:textId="77777777" w:rsidR="00C50FD8" w:rsidRDefault="00C50FD8">
            <w:pPr>
              <w:jc w:val="center"/>
              <w:rPr>
                <w:rFonts w:ascii="Times New Roman" w:hAnsi="Times New Roman"/>
              </w:rPr>
            </w:pPr>
            <w:r>
              <w:rPr>
                <w:rFonts w:ascii="Times New Roman" w:hAnsi="Times New Roman"/>
              </w:rPr>
              <w:t>138.90 ± 0.56</w:t>
            </w:r>
            <w:r>
              <w:rPr>
                <w:rFonts w:ascii="Times New Roman" w:hAnsi="Times New Roman"/>
                <w:vertAlign w:val="subscript"/>
              </w:rPr>
              <w:t>c</w:t>
            </w:r>
          </w:p>
        </w:tc>
      </w:tr>
      <w:tr w:rsidR="00C50FD8" w14:paraId="3DC96E9A" w14:textId="77777777" w:rsidTr="00C50FD8">
        <w:trPr>
          <w:trHeight w:val="67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09E6C82" w14:textId="77777777" w:rsidR="00C50FD8" w:rsidRDefault="00C50FD8">
            <w:pPr>
              <w:jc w:val="center"/>
              <w:rPr>
                <w:rFonts w:ascii="Times New Roman" w:hAnsi="Times New Roman"/>
              </w:rPr>
            </w:pPr>
            <w:r>
              <w:rPr>
                <w:rFonts w:ascii="Times New Roman" w:hAnsi="Times New Roman"/>
              </w:rPr>
              <w:t>Oven dried</w:t>
            </w:r>
          </w:p>
        </w:tc>
        <w:tc>
          <w:tcPr>
            <w:tcW w:w="5054" w:type="dxa"/>
            <w:tcBorders>
              <w:top w:val="nil"/>
              <w:left w:val="nil"/>
              <w:bottom w:val="nil"/>
              <w:right w:val="nil"/>
            </w:tcBorders>
            <w:tcMar>
              <w:top w:w="15" w:type="dxa"/>
              <w:left w:w="15" w:type="dxa"/>
              <w:bottom w:w="15" w:type="dxa"/>
              <w:right w:w="15" w:type="dxa"/>
            </w:tcMar>
            <w:vAlign w:val="center"/>
            <w:hideMark/>
          </w:tcPr>
          <w:p w14:paraId="08B5B410" w14:textId="77777777" w:rsidR="00C50FD8" w:rsidRDefault="00C50FD8">
            <w:pPr>
              <w:jc w:val="center"/>
              <w:rPr>
                <w:rFonts w:ascii="Times New Roman" w:hAnsi="Times New Roman"/>
              </w:rPr>
            </w:pPr>
            <w:r>
              <w:rPr>
                <w:rFonts w:ascii="Times New Roman" w:hAnsi="Times New Roman"/>
              </w:rPr>
              <w:t>94.51 ± 0.29</w:t>
            </w:r>
            <w:r>
              <w:rPr>
                <w:rFonts w:ascii="Times New Roman" w:hAnsi="Times New Roman"/>
                <w:vertAlign w:val="subscript"/>
              </w:rPr>
              <w:t>d</w:t>
            </w:r>
          </w:p>
        </w:tc>
      </w:tr>
      <w:tr w:rsidR="00C50FD8" w14:paraId="2A8F1661" w14:textId="77777777" w:rsidTr="00C50FD8">
        <w:trPr>
          <w:trHeight w:val="425"/>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3A4EAE6" w14:textId="77777777" w:rsidR="00C50FD8" w:rsidRDefault="00C50FD8">
            <w:pPr>
              <w:jc w:val="center"/>
              <w:rPr>
                <w:rFonts w:ascii="Times New Roman" w:hAnsi="Times New Roman"/>
              </w:rPr>
            </w:pPr>
            <w:r>
              <w:rPr>
                <w:rFonts w:ascii="Times New Roman" w:hAnsi="Times New Roman"/>
              </w:rPr>
              <w:t>Control</w:t>
            </w:r>
          </w:p>
        </w:tc>
        <w:tc>
          <w:tcPr>
            <w:tcW w:w="5054" w:type="dxa"/>
            <w:tcBorders>
              <w:top w:val="nil"/>
              <w:left w:val="nil"/>
              <w:bottom w:val="nil"/>
              <w:right w:val="nil"/>
            </w:tcBorders>
            <w:tcMar>
              <w:top w:w="15" w:type="dxa"/>
              <w:left w:w="15" w:type="dxa"/>
              <w:bottom w:w="15" w:type="dxa"/>
              <w:right w:w="15" w:type="dxa"/>
            </w:tcMar>
            <w:vAlign w:val="center"/>
            <w:hideMark/>
          </w:tcPr>
          <w:p w14:paraId="18D47B68" w14:textId="77777777" w:rsidR="00C50FD8" w:rsidRDefault="00C50FD8">
            <w:pPr>
              <w:jc w:val="center"/>
              <w:rPr>
                <w:rFonts w:ascii="Times New Roman" w:hAnsi="Times New Roman"/>
              </w:rPr>
            </w:pPr>
            <w:r>
              <w:rPr>
                <w:rFonts w:ascii="Times New Roman" w:hAnsi="Times New Roman"/>
              </w:rPr>
              <w:t>1270.40 ± 0.97</w:t>
            </w:r>
            <w:r>
              <w:rPr>
                <w:rFonts w:ascii="Times New Roman" w:hAnsi="Times New Roman"/>
                <w:vertAlign w:val="subscript"/>
              </w:rPr>
              <w:t>a</w:t>
            </w:r>
          </w:p>
        </w:tc>
      </w:tr>
    </w:tbl>
    <w:p w14:paraId="4E5A59A9"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7B2E7ABD" w14:textId="77777777" w:rsidR="00C50FD8" w:rsidRPr="006578BB" w:rsidRDefault="00C50FD8" w:rsidP="00C50FD8">
      <w:pPr>
        <w:jc w:val="both"/>
        <w:rPr>
          <w:rFonts w:ascii="Times New Roman" w:hAnsi="Times New Roman"/>
        </w:rPr>
      </w:pPr>
      <w:r w:rsidRPr="006578BB">
        <w:rPr>
          <w:rFonts w:ascii="Times New Roman" w:hAnsi="Times New Roman"/>
        </w:rPr>
        <w:t xml:space="preserve">Effect of processing on the level of some selected Anti-nutritional factors in Water </w:t>
      </w:r>
      <w:r w:rsidRPr="006578BB">
        <w:rPr>
          <w:rFonts w:ascii="Times New Roman" w:hAnsi="Times New Roman"/>
        </w:rPr>
        <w:tab/>
        <w:t>hyacinth (</w:t>
      </w:r>
      <w:r w:rsidRPr="006578BB">
        <w:rPr>
          <w:rFonts w:ascii="Times New Roman" w:hAnsi="Times New Roman"/>
          <w:i/>
        </w:rPr>
        <w:t>Eichhornia crassipes</w:t>
      </w:r>
      <w:r w:rsidRPr="006578BB">
        <w:rPr>
          <w:rFonts w:ascii="Times New Roman" w:hAnsi="Times New Roman"/>
        </w:rPr>
        <w:t>)</w:t>
      </w:r>
    </w:p>
    <w:p w14:paraId="41279667" w14:textId="77777777" w:rsidR="00C50FD8" w:rsidRDefault="00C50FD8" w:rsidP="00C50FD8">
      <w:pPr>
        <w:pStyle w:val="pdq2pgselectionanchorcontainer"/>
        <w:spacing w:before="0" w:beforeAutospacing="0" w:after="0" w:afterAutospacing="0" w:line="480" w:lineRule="auto"/>
        <w:jc w:val="both"/>
      </w:pPr>
      <w:r>
        <w:t xml:space="preserve">The tannin content of </w:t>
      </w:r>
      <w:r>
        <w:rPr>
          <w:rStyle w:val="Emphasis"/>
          <w:rFonts w:eastAsiaTheme="majorEastAsia"/>
        </w:rPr>
        <w:t>Eichhornia crassipes</w:t>
      </w:r>
      <w:r>
        <w:t xml:space="preserve"> varied among the different treatment groups. The control sample recorded the highest tannin concentration (64.52 ± 0.38 mg/ml), followed by the oven-dried sample (53.06 ± 0.39 mg/ml) and the fermented sample (48.20 ± 0.35 mg/ml), while the boiled sample had the lowest tannin concentration (24.58 ± 0.32 mg/ml). The results indicate that all processing methods reduced the tannin content </w:t>
      </w:r>
      <w:r>
        <w:lastRenderedPageBreak/>
        <w:t>relative to the control. Among the processed samples, boiling produced the greatest reduction in tannin concentration, whereas oven drying retained the highest tannin level. Fermentation also reduced the tannin content but to a lesser extent than boiling. The superscript letters in the table show that the control sample (a) differed significantly from all the processed samples (</w:t>
      </w:r>
      <w:r>
        <w:rPr>
          <w:rStyle w:val="Emphasis"/>
          <w:rFonts w:eastAsiaTheme="majorEastAsia"/>
        </w:rPr>
        <w:t>p</w:t>
      </w:r>
      <w:r>
        <w:t xml:space="preserve"> &lt; 0.05). The fermented and oven-dried samples shared the same superscript letter (b), indicating that there was no significant difference between their tannin concentrations. However, both differed significantly from the boiled sample (c), which recorded the lowest tannin concentration.</w:t>
      </w:r>
    </w:p>
    <w:p w14:paraId="26C1BD12" w14:textId="77777777" w:rsidR="00C50FD8" w:rsidRDefault="00C50FD8" w:rsidP="00C50FD8">
      <w:pPr>
        <w:pStyle w:val="pdq2pgselectionanchorcontainer"/>
        <w:spacing w:before="0" w:beforeAutospacing="0" w:after="0" w:afterAutospacing="0" w:line="480" w:lineRule="auto"/>
        <w:jc w:val="both"/>
      </w:pPr>
      <w:r>
        <w:t xml:space="preserve">The cyanogenic glycoside content of </w:t>
      </w:r>
      <w:r>
        <w:rPr>
          <w:rStyle w:val="Emphasis"/>
          <w:rFonts w:eastAsiaTheme="majorEastAsia"/>
        </w:rPr>
        <w:t>Eichhornia crassipes</w:t>
      </w:r>
      <w:r>
        <w:t xml:space="preserve"> differed among the treatment groups. The control sample recorded the highest cyanogenic glycoside concentration (453.05 ± 0.49 mg/100g), whereas the fermented and oven-dried samples had the lowest concentrations, each with a value of (38.62 ± 0.23 mg/100g). The boiled sample recorded a slightly lower concentration (36.34 ± 0.33 mg/100g) than the fermented and oven-dried samples. The results indicate a substantial reduction in cyanogenic glycoside content following all processing methods when compared with the control. The processed samples exhibited markedly lower concentrations, showing that processing greatly decreased the cyanogenic glycoside content of </w:t>
      </w:r>
      <w:r>
        <w:rPr>
          <w:rStyle w:val="Emphasis"/>
          <w:rFonts w:eastAsiaTheme="majorEastAsia"/>
        </w:rPr>
        <w:t>Eichhornia crassipes</w:t>
      </w:r>
      <w:r>
        <w:t>. The superscript letters in the table indicate that the fermented and oven-dried samples shared the same superscript (a), demonstrating that there was no significant difference between their cyanogenic glycoside concentrations (</w:t>
      </w:r>
      <w:r>
        <w:rPr>
          <w:rStyle w:val="Emphasis"/>
          <w:rFonts w:eastAsiaTheme="majorEastAsia"/>
        </w:rPr>
        <w:t>p</w:t>
      </w:r>
      <w:r>
        <w:t xml:space="preserve"> &gt; 0.05). The boiled sample, with a different superscript (b), was significantly different from both the fermented and oven-dried samples, while the control sample (c) differed significantly from all the processed samples (</w:t>
      </w:r>
      <w:r>
        <w:rPr>
          <w:rStyle w:val="Emphasis"/>
          <w:rFonts w:eastAsiaTheme="majorEastAsia"/>
        </w:rPr>
        <w:t>p</w:t>
      </w:r>
      <w:r>
        <w:t xml:space="preserve"> &lt; 0.05).</w:t>
      </w:r>
    </w:p>
    <w:p w14:paraId="717F123C" w14:textId="77777777" w:rsidR="00C50FD8" w:rsidRDefault="00C50FD8" w:rsidP="00C50FD8">
      <w:pPr>
        <w:pStyle w:val="pdq2pgselectionanchorcontainer"/>
        <w:spacing w:before="0" w:beforeAutospacing="0" w:after="0" w:afterAutospacing="0" w:line="480" w:lineRule="auto"/>
        <w:jc w:val="both"/>
      </w:pPr>
      <w:r>
        <w:t xml:space="preserve">The phytate content of </w:t>
      </w:r>
      <w:r>
        <w:rPr>
          <w:rStyle w:val="Emphasis"/>
          <w:rFonts w:eastAsiaTheme="majorEastAsia"/>
        </w:rPr>
        <w:t>Eichhornia crassipes</w:t>
      </w:r>
      <w:r>
        <w:t xml:space="preserve"> varied among the different treatment groups. The oven-dried and control samples recorded the highest phytate concentration (33.25 ± 0.43 µg/ml), while the boiled sample had an intermediate concentration (23.05 ± 0.25 µg/ml). The fermented sample recorded the lowest phytate concentration (7.91 ± 0.08 µg/ml). The results indicate that fermentation produced the greatest reduction in phytate content among the processing methods evaluated. Boiling also reduced the phytate concentration relative to the control, whereas oven drying maintained the same phytate level as the control. The superscript letters in the table indicate that the fermented sample (a) differed significantly from the boiled (b), oven-dried (c), and control (c) samples (</w:t>
      </w:r>
      <w:r>
        <w:rPr>
          <w:rStyle w:val="Emphasis"/>
          <w:rFonts w:eastAsiaTheme="majorEastAsia"/>
        </w:rPr>
        <w:t>p</w:t>
      </w:r>
      <w:r>
        <w:t xml:space="preserve"> &lt; 0.05). The boiled sample was also significantly different from the fermented, oven-dried, and control samples. </w:t>
      </w:r>
      <w:r>
        <w:lastRenderedPageBreak/>
        <w:t>However, the oven-dried and control samples shared the same superscript letter (c), indicating that there was no significant difference in their phytate concentrations (</w:t>
      </w:r>
      <w:r>
        <w:rPr>
          <w:rStyle w:val="Emphasis"/>
          <w:rFonts w:eastAsiaTheme="majorEastAsia"/>
        </w:rPr>
        <w:t>p</w:t>
      </w:r>
      <w:r>
        <w:t xml:space="preserve"> &gt; 0.05).</w:t>
      </w:r>
    </w:p>
    <w:p w14:paraId="32EB7891" w14:textId="606D442D" w:rsidR="00C50FD8" w:rsidRDefault="00C50FD8" w:rsidP="00C50FD8">
      <w:pPr>
        <w:spacing w:line="480" w:lineRule="auto"/>
        <w:jc w:val="both"/>
        <w:rPr>
          <w:rFonts w:ascii="Times New Roman" w:hAnsi="Times New Roman"/>
          <w:b/>
        </w:rPr>
      </w:pPr>
      <w:r>
        <w:rPr>
          <w:rFonts w:ascii="Times New Roman" w:hAnsi="Times New Roman"/>
        </w:rPr>
        <w:t xml:space="preserve">Table </w:t>
      </w:r>
      <w:r w:rsidR="00861410">
        <w:rPr>
          <w:rFonts w:ascii="Times New Roman" w:hAnsi="Times New Roman"/>
        </w:rPr>
        <w:t>4</w:t>
      </w:r>
      <w:r>
        <w:rPr>
          <w:rFonts w:ascii="Times New Roman" w:hAnsi="Times New Roman"/>
        </w:rPr>
        <w:t xml:space="preserve"> shows that oxalate was </w:t>
      </w:r>
      <w:r w:rsidRPr="006578BB">
        <w:rPr>
          <w:rStyle w:val="Strong"/>
          <w:rFonts w:ascii="Times New Roman" w:hAnsi="Times New Roman"/>
          <w:b w:val="0"/>
        </w:rPr>
        <w:t>not detected (ND)</w:t>
      </w:r>
      <w:r>
        <w:rPr>
          <w:rFonts w:ascii="Times New Roman" w:hAnsi="Times New Roman"/>
        </w:rPr>
        <w:t xml:space="preserve"> in the fermented, boiled, and oven-dried </w:t>
      </w:r>
      <w:r>
        <w:rPr>
          <w:rFonts w:ascii="Times New Roman" w:hAnsi="Times New Roman"/>
          <w:i/>
        </w:rPr>
        <w:t>Eichhornia crassipes</w:t>
      </w:r>
      <w:r>
        <w:rPr>
          <w:rFonts w:ascii="Times New Roman" w:hAnsi="Times New Roman"/>
        </w:rPr>
        <w:t xml:space="preserve"> samples, whereas the unprocessed (control) sample contained </w:t>
      </w:r>
      <w:r w:rsidRPr="006578BB">
        <w:rPr>
          <w:rFonts w:ascii="Times New Roman" w:hAnsi="Times New Roman"/>
          <w:b/>
        </w:rPr>
        <w:t>(</w:t>
      </w:r>
      <w:r w:rsidRPr="006578BB">
        <w:rPr>
          <w:rStyle w:val="Strong"/>
          <w:rFonts w:ascii="Times New Roman" w:hAnsi="Times New Roman"/>
          <w:b w:val="0"/>
        </w:rPr>
        <w:t>4.06 ± 0.88 mg/100g)</w:t>
      </w:r>
      <w:r>
        <w:rPr>
          <w:rFonts w:ascii="Times New Roman" w:hAnsi="Times New Roman"/>
        </w:rPr>
        <w:t xml:space="preserve"> of oxalate. This indicates that oxalate was present only in the raw sample and was below the detectable limit in all processed samples.</w:t>
      </w:r>
    </w:p>
    <w:p w14:paraId="0E7D1464" w14:textId="77777777" w:rsidR="00C50FD8" w:rsidRPr="006578BB" w:rsidRDefault="00C50FD8" w:rsidP="00C50FD8">
      <w:pPr>
        <w:jc w:val="both"/>
        <w:rPr>
          <w:rFonts w:ascii="Times New Roman" w:hAnsi="Times New Roman"/>
        </w:rPr>
      </w:pPr>
      <w:r w:rsidRPr="006578BB">
        <w:rPr>
          <w:rFonts w:ascii="Times New Roman" w:hAnsi="Times New Roman"/>
        </w:rPr>
        <w:t>Table 4: Effect of processing on the level of some selected Anti-nutritional factors in Water hyacinth (</w:t>
      </w:r>
      <w:r w:rsidRPr="006578BB">
        <w:rPr>
          <w:rFonts w:ascii="Times New Roman" w:hAnsi="Times New Roman"/>
          <w:i/>
        </w:rPr>
        <w:t>Eichhornia crassipes</w:t>
      </w:r>
      <w:r w:rsidRPr="006578BB">
        <w:rPr>
          <w:rFonts w:ascii="Times New Roman" w:hAnsi="Times New Roman"/>
        </w:rPr>
        <w:t>)</w:t>
      </w:r>
    </w:p>
    <w:tbl>
      <w:tblPr>
        <w:tblW w:w="9338" w:type="dxa"/>
        <w:tblCellSpacing w:w="15" w:type="dxa"/>
        <w:tblLook w:val="04A0" w:firstRow="1" w:lastRow="0" w:firstColumn="1" w:lastColumn="0" w:noHBand="0" w:noVBand="1"/>
      </w:tblPr>
      <w:tblGrid>
        <w:gridCol w:w="1792"/>
        <w:gridCol w:w="1578"/>
        <w:gridCol w:w="70"/>
        <w:gridCol w:w="1966"/>
        <w:gridCol w:w="1966"/>
        <w:gridCol w:w="1966"/>
      </w:tblGrid>
      <w:tr w:rsidR="00C50FD8" w14:paraId="2DDAE65D" w14:textId="77777777" w:rsidTr="00C50FD8">
        <w:trPr>
          <w:trHeight w:val="503"/>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F83FF44" w14:textId="77777777" w:rsidR="00C50FD8" w:rsidRDefault="00C50FD8">
            <w:pPr>
              <w:jc w:val="center"/>
              <w:rPr>
                <w:rFonts w:ascii="Times New Roman" w:hAnsi="Times New Roman"/>
                <w:b/>
                <w:bCs/>
              </w:rPr>
            </w:pPr>
            <w:r>
              <w:rPr>
                <w:rFonts w:ascii="Times New Roman" w:hAnsi="Times New Roman"/>
                <w:b/>
                <w:bCs/>
              </w:rPr>
              <w:t>Treatment Group</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5E4C3B9" w14:textId="77777777" w:rsidR="00C50FD8" w:rsidRDefault="00C50FD8">
            <w:pPr>
              <w:jc w:val="center"/>
              <w:rPr>
                <w:rFonts w:ascii="Times New Roman" w:hAnsi="Times New Roman"/>
                <w:b/>
                <w:bCs/>
              </w:rPr>
            </w:pPr>
            <w:r>
              <w:rPr>
                <w:rFonts w:ascii="Times New Roman" w:hAnsi="Times New Roman"/>
                <w:b/>
              </w:rPr>
              <w:t>Tannin (mg/ml)</w:t>
            </w:r>
          </w:p>
        </w:tc>
        <w:tc>
          <w:tcPr>
            <w:tcW w:w="0" w:type="auto"/>
            <w:tcBorders>
              <w:top w:val="single" w:sz="4" w:space="0" w:color="auto"/>
              <w:left w:val="nil"/>
              <w:bottom w:val="single" w:sz="4" w:space="0" w:color="auto"/>
              <w:right w:val="nil"/>
            </w:tcBorders>
            <w:tcMar>
              <w:top w:w="15" w:type="dxa"/>
              <w:left w:w="15" w:type="dxa"/>
              <w:bottom w:w="15" w:type="dxa"/>
              <w:right w:w="15" w:type="dxa"/>
            </w:tcMar>
          </w:tcPr>
          <w:p w14:paraId="243558F7" w14:textId="77777777" w:rsidR="00C50FD8" w:rsidRDefault="00C50FD8">
            <w:pPr>
              <w:jc w:val="center"/>
              <w:rPr>
                <w:rFonts w:ascii="Times New Roman" w:eastAsiaTheme="minorEastAsia" w:hAnsi="Times New Roman"/>
                <w:b/>
              </w:rPr>
            </w:pPr>
          </w:p>
        </w:tc>
        <w:tc>
          <w:tcPr>
            <w:tcW w:w="193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2DA2BD85" w14:textId="77777777" w:rsidR="00C50FD8" w:rsidRDefault="00C50FD8">
            <w:pPr>
              <w:jc w:val="center"/>
              <w:rPr>
                <w:rFonts w:ascii="Times New Roman" w:hAnsi="Times New Roman"/>
                <w:b/>
              </w:rPr>
            </w:pPr>
            <w:r>
              <w:rPr>
                <w:rFonts w:ascii="Times New Roman" w:hAnsi="Times New Roman"/>
                <w:b/>
              </w:rPr>
              <w:t>Cyanogenic glycoside</w:t>
            </w:r>
            <w:r>
              <w:rPr>
                <w:rFonts w:ascii="Times New Roman" w:hAnsi="Times New Roman"/>
                <w:b/>
                <w:bCs/>
              </w:rPr>
              <w:t xml:space="preserve"> </w:t>
            </w:r>
            <w:r>
              <w:rPr>
                <w:rFonts w:ascii="Times New Roman" w:hAnsi="Times New Roman"/>
                <w:b/>
              </w:rPr>
              <w:t>(mg/100g)</w:t>
            </w:r>
          </w:p>
        </w:tc>
        <w:tc>
          <w:tcPr>
            <w:tcW w:w="193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74D5D39" w14:textId="77777777" w:rsidR="00C50FD8" w:rsidRDefault="00C50FD8">
            <w:pPr>
              <w:jc w:val="center"/>
              <w:rPr>
                <w:rFonts w:ascii="Times New Roman" w:hAnsi="Times New Roman"/>
                <w:b/>
              </w:rPr>
            </w:pPr>
            <w:r>
              <w:rPr>
                <w:rFonts w:ascii="Times New Roman" w:hAnsi="Times New Roman"/>
                <w:b/>
              </w:rPr>
              <w:t>Phytate (µg/ml)</w:t>
            </w:r>
          </w:p>
        </w:tc>
        <w:tc>
          <w:tcPr>
            <w:tcW w:w="1921"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DFE3F9A" w14:textId="77777777" w:rsidR="00C50FD8" w:rsidRDefault="00C50FD8">
            <w:pPr>
              <w:jc w:val="center"/>
              <w:rPr>
                <w:rFonts w:ascii="Times New Roman" w:hAnsi="Times New Roman"/>
                <w:b/>
              </w:rPr>
            </w:pPr>
            <w:r>
              <w:rPr>
                <w:rFonts w:ascii="Times New Roman" w:hAnsi="Times New Roman"/>
                <w:b/>
              </w:rPr>
              <w:t>Oxalate (mg/100g)</w:t>
            </w:r>
          </w:p>
        </w:tc>
      </w:tr>
      <w:tr w:rsidR="00C50FD8" w14:paraId="2A73DEC0" w14:textId="77777777" w:rsidTr="00C50FD8">
        <w:trPr>
          <w:trHeight w:val="827"/>
          <w:tblCellSpacing w:w="15" w:type="dxa"/>
        </w:trPr>
        <w:tc>
          <w:tcPr>
            <w:tcW w:w="0" w:type="auto"/>
            <w:tcMar>
              <w:top w:w="15" w:type="dxa"/>
              <w:left w:w="15" w:type="dxa"/>
              <w:bottom w:w="15" w:type="dxa"/>
              <w:right w:w="15" w:type="dxa"/>
            </w:tcMar>
            <w:vAlign w:val="center"/>
            <w:hideMark/>
          </w:tcPr>
          <w:p w14:paraId="41C45B72" w14:textId="77777777" w:rsidR="00C50FD8" w:rsidRDefault="00C50FD8">
            <w:pPr>
              <w:jc w:val="center"/>
              <w:rPr>
                <w:rFonts w:ascii="Times New Roman" w:hAnsi="Times New Roman"/>
              </w:rPr>
            </w:pPr>
            <w:r>
              <w:rPr>
                <w:rFonts w:ascii="Times New Roman" w:hAnsi="Times New Roman"/>
              </w:rPr>
              <w:t>Fermented</w:t>
            </w:r>
          </w:p>
        </w:tc>
        <w:tc>
          <w:tcPr>
            <w:tcW w:w="0" w:type="auto"/>
            <w:tcMar>
              <w:top w:w="15" w:type="dxa"/>
              <w:left w:w="15" w:type="dxa"/>
              <w:bottom w:w="15" w:type="dxa"/>
              <w:right w:w="15" w:type="dxa"/>
            </w:tcMar>
            <w:vAlign w:val="center"/>
            <w:hideMark/>
          </w:tcPr>
          <w:p w14:paraId="24F50034" w14:textId="77777777" w:rsidR="00C50FD8" w:rsidRDefault="00C50FD8">
            <w:pPr>
              <w:jc w:val="center"/>
              <w:rPr>
                <w:rFonts w:ascii="Times New Roman" w:hAnsi="Times New Roman"/>
              </w:rPr>
            </w:pPr>
            <w:r>
              <w:rPr>
                <w:rFonts w:ascii="Times New Roman" w:hAnsi="Times New Roman"/>
              </w:rPr>
              <w:t>48.20 ± 0.35</w:t>
            </w:r>
            <w:r>
              <w:rPr>
                <w:rFonts w:ascii="Times New Roman" w:hAnsi="Times New Roman"/>
                <w:vertAlign w:val="subscript"/>
              </w:rPr>
              <w:t>b</w:t>
            </w:r>
          </w:p>
        </w:tc>
        <w:tc>
          <w:tcPr>
            <w:tcW w:w="0" w:type="auto"/>
            <w:tcMar>
              <w:top w:w="15" w:type="dxa"/>
              <w:left w:w="15" w:type="dxa"/>
              <w:bottom w:w="15" w:type="dxa"/>
              <w:right w:w="15" w:type="dxa"/>
            </w:tcMar>
          </w:tcPr>
          <w:p w14:paraId="661591EC"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648BEC10" w14:textId="77777777" w:rsidR="00C50FD8" w:rsidRDefault="00C50FD8">
            <w:pPr>
              <w:jc w:val="center"/>
              <w:rPr>
                <w:rFonts w:ascii="Times New Roman" w:hAnsi="Times New Roman"/>
              </w:rPr>
            </w:pPr>
            <w:r>
              <w:rPr>
                <w:rFonts w:ascii="Times New Roman" w:hAnsi="Times New Roman"/>
              </w:rPr>
              <w:t>38.62 ± 0.23</w:t>
            </w:r>
            <w:r>
              <w:rPr>
                <w:rFonts w:ascii="Times New Roman" w:hAnsi="Times New Roman"/>
                <w:vertAlign w:val="subscript"/>
              </w:rPr>
              <w:t>a</w:t>
            </w:r>
          </w:p>
        </w:tc>
        <w:tc>
          <w:tcPr>
            <w:tcW w:w="1936" w:type="dxa"/>
            <w:tcMar>
              <w:top w:w="15" w:type="dxa"/>
              <w:left w:w="15" w:type="dxa"/>
              <w:bottom w:w="15" w:type="dxa"/>
              <w:right w:w="15" w:type="dxa"/>
            </w:tcMar>
            <w:vAlign w:val="center"/>
            <w:hideMark/>
          </w:tcPr>
          <w:p w14:paraId="66EC2024" w14:textId="77777777" w:rsidR="00C50FD8" w:rsidRDefault="00C50FD8">
            <w:pPr>
              <w:jc w:val="center"/>
              <w:rPr>
                <w:rFonts w:ascii="Times New Roman" w:hAnsi="Times New Roman"/>
              </w:rPr>
            </w:pPr>
            <w:r>
              <w:rPr>
                <w:rFonts w:ascii="Times New Roman" w:hAnsi="Times New Roman"/>
              </w:rPr>
              <w:t>7.91 ± 0.08</w:t>
            </w:r>
            <w:r>
              <w:rPr>
                <w:rFonts w:ascii="Times New Roman" w:hAnsi="Times New Roman"/>
                <w:vertAlign w:val="subscript"/>
              </w:rPr>
              <w:t>a</w:t>
            </w:r>
          </w:p>
        </w:tc>
        <w:tc>
          <w:tcPr>
            <w:tcW w:w="1921" w:type="dxa"/>
            <w:tcMar>
              <w:top w:w="15" w:type="dxa"/>
              <w:left w:w="15" w:type="dxa"/>
              <w:bottom w:w="15" w:type="dxa"/>
              <w:right w:w="15" w:type="dxa"/>
            </w:tcMar>
            <w:vAlign w:val="center"/>
            <w:hideMark/>
          </w:tcPr>
          <w:p w14:paraId="0B99E85D" w14:textId="77777777" w:rsidR="00C50FD8" w:rsidRDefault="00C50FD8">
            <w:pPr>
              <w:jc w:val="center"/>
              <w:rPr>
                <w:rFonts w:ascii="Times New Roman" w:hAnsi="Times New Roman"/>
              </w:rPr>
            </w:pPr>
            <w:r>
              <w:rPr>
                <w:rFonts w:ascii="Times New Roman" w:hAnsi="Times New Roman"/>
              </w:rPr>
              <w:t>ND</w:t>
            </w:r>
          </w:p>
        </w:tc>
      </w:tr>
      <w:tr w:rsidR="00C50FD8" w14:paraId="005538B2" w14:textId="77777777" w:rsidTr="00C50FD8">
        <w:trPr>
          <w:trHeight w:val="793"/>
          <w:tblCellSpacing w:w="15" w:type="dxa"/>
        </w:trPr>
        <w:tc>
          <w:tcPr>
            <w:tcW w:w="0" w:type="auto"/>
            <w:tcMar>
              <w:top w:w="15" w:type="dxa"/>
              <w:left w:w="15" w:type="dxa"/>
              <w:bottom w:w="15" w:type="dxa"/>
              <w:right w:w="15" w:type="dxa"/>
            </w:tcMar>
            <w:vAlign w:val="center"/>
            <w:hideMark/>
          </w:tcPr>
          <w:p w14:paraId="3A35309C" w14:textId="77777777" w:rsidR="00C50FD8" w:rsidRDefault="00C50FD8">
            <w:pPr>
              <w:jc w:val="center"/>
              <w:rPr>
                <w:rFonts w:ascii="Times New Roman" w:hAnsi="Times New Roman"/>
              </w:rPr>
            </w:pPr>
            <w:r>
              <w:rPr>
                <w:rFonts w:ascii="Times New Roman" w:hAnsi="Times New Roman"/>
              </w:rPr>
              <w:t>Boiled</w:t>
            </w:r>
          </w:p>
        </w:tc>
        <w:tc>
          <w:tcPr>
            <w:tcW w:w="0" w:type="auto"/>
            <w:tcMar>
              <w:top w:w="15" w:type="dxa"/>
              <w:left w:w="15" w:type="dxa"/>
              <w:bottom w:w="15" w:type="dxa"/>
              <w:right w:w="15" w:type="dxa"/>
            </w:tcMar>
            <w:vAlign w:val="center"/>
            <w:hideMark/>
          </w:tcPr>
          <w:p w14:paraId="2596A7BE" w14:textId="77777777" w:rsidR="00C50FD8" w:rsidRDefault="00C50FD8">
            <w:pPr>
              <w:jc w:val="center"/>
              <w:rPr>
                <w:rFonts w:ascii="Times New Roman" w:hAnsi="Times New Roman"/>
              </w:rPr>
            </w:pPr>
            <w:r>
              <w:rPr>
                <w:rFonts w:ascii="Times New Roman" w:hAnsi="Times New Roman"/>
              </w:rPr>
              <w:t>24.58 ± 0.32</w:t>
            </w:r>
            <w:r>
              <w:rPr>
                <w:rFonts w:ascii="Times New Roman" w:hAnsi="Times New Roman"/>
                <w:vertAlign w:val="subscript"/>
              </w:rPr>
              <w:t>c</w:t>
            </w:r>
          </w:p>
        </w:tc>
        <w:tc>
          <w:tcPr>
            <w:tcW w:w="0" w:type="auto"/>
            <w:tcMar>
              <w:top w:w="15" w:type="dxa"/>
              <w:left w:w="15" w:type="dxa"/>
              <w:bottom w:w="15" w:type="dxa"/>
              <w:right w:w="15" w:type="dxa"/>
            </w:tcMar>
          </w:tcPr>
          <w:p w14:paraId="1FADDA0D"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6B92D6C6" w14:textId="77777777" w:rsidR="00C50FD8" w:rsidRDefault="00C50FD8">
            <w:pPr>
              <w:jc w:val="center"/>
              <w:rPr>
                <w:rFonts w:ascii="Times New Roman" w:hAnsi="Times New Roman"/>
              </w:rPr>
            </w:pPr>
            <w:r>
              <w:rPr>
                <w:rFonts w:ascii="Times New Roman" w:hAnsi="Times New Roman"/>
              </w:rPr>
              <w:t>36.34 ± 0.33</w:t>
            </w:r>
            <w:r>
              <w:rPr>
                <w:rFonts w:ascii="Times New Roman" w:hAnsi="Times New Roman"/>
                <w:vertAlign w:val="subscript"/>
              </w:rPr>
              <w:t>b</w:t>
            </w:r>
          </w:p>
        </w:tc>
        <w:tc>
          <w:tcPr>
            <w:tcW w:w="1936" w:type="dxa"/>
            <w:tcMar>
              <w:top w:w="15" w:type="dxa"/>
              <w:left w:w="15" w:type="dxa"/>
              <w:bottom w:w="15" w:type="dxa"/>
              <w:right w:w="15" w:type="dxa"/>
            </w:tcMar>
            <w:vAlign w:val="center"/>
            <w:hideMark/>
          </w:tcPr>
          <w:p w14:paraId="7B4650A7" w14:textId="77777777" w:rsidR="00C50FD8" w:rsidRDefault="00C50FD8">
            <w:pPr>
              <w:jc w:val="center"/>
              <w:rPr>
                <w:rFonts w:ascii="Times New Roman" w:hAnsi="Times New Roman"/>
              </w:rPr>
            </w:pPr>
            <w:r>
              <w:rPr>
                <w:rFonts w:ascii="Times New Roman" w:hAnsi="Times New Roman"/>
              </w:rPr>
              <w:t>23.05 ± 0.25</w:t>
            </w:r>
            <w:r>
              <w:rPr>
                <w:rFonts w:ascii="Times New Roman" w:hAnsi="Times New Roman"/>
                <w:vertAlign w:val="subscript"/>
              </w:rPr>
              <w:t>b</w:t>
            </w:r>
          </w:p>
        </w:tc>
        <w:tc>
          <w:tcPr>
            <w:tcW w:w="1921" w:type="dxa"/>
            <w:tcMar>
              <w:top w:w="15" w:type="dxa"/>
              <w:left w:w="15" w:type="dxa"/>
              <w:bottom w:w="15" w:type="dxa"/>
              <w:right w:w="15" w:type="dxa"/>
            </w:tcMar>
            <w:vAlign w:val="center"/>
            <w:hideMark/>
          </w:tcPr>
          <w:p w14:paraId="53911811" w14:textId="77777777" w:rsidR="00C50FD8" w:rsidRDefault="00C50FD8">
            <w:pPr>
              <w:jc w:val="center"/>
              <w:rPr>
                <w:rFonts w:ascii="Times New Roman" w:hAnsi="Times New Roman"/>
              </w:rPr>
            </w:pPr>
            <w:r>
              <w:rPr>
                <w:rFonts w:ascii="Times New Roman" w:hAnsi="Times New Roman"/>
              </w:rPr>
              <w:t>ND</w:t>
            </w:r>
          </w:p>
        </w:tc>
      </w:tr>
      <w:tr w:rsidR="00C50FD8" w14:paraId="259CEAD2" w14:textId="77777777" w:rsidTr="00C50FD8">
        <w:trPr>
          <w:trHeight w:val="793"/>
          <w:tblCellSpacing w:w="15" w:type="dxa"/>
        </w:trPr>
        <w:tc>
          <w:tcPr>
            <w:tcW w:w="0" w:type="auto"/>
            <w:tcMar>
              <w:top w:w="15" w:type="dxa"/>
              <w:left w:w="15" w:type="dxa"/>
              <w:bottom w:w="15" w:type="dxa"/>
              <w:right w:w="15" w:type="dxa"/>
            </w:tcMar>
            <w:vAlign w:val="center"/>
            <w:hideMark/>
          </w:tcPr>
          <w:p w14:paraId="606CA315" w14:textId="77777777" w:rsidR="00C50FD8" w:rsidRDefault="00C50FD8">
            <w:pPr>
              <w:jc w:val="center"/>
              <w:rPr>
                <w:rFonts w:ascii="Times New Roman" w:hAnsi="Times New Roman"/>
              </w:rPr>
            </w:pPr>
            <w:r>
              <w:rPr>
                <w:rFonts w:ascii="Times New Roman" w:hAnsi="Times New Roman"/>
              </w:rPr>
              <w:t>Oven dried</w:t>
            </w:r>
          </w:p>
        </w:tc>
        <w:tc>
          <w:tcPr>
            <w:tcW w:w="0" w:type="auto"/>
            <w:tcMar>
              <w:top w:w="15" w:type="dxa"/>
              <w:left w:w="15" w:type="dxa"/>
              <w:bottom w:w="15" w:type="dxa"/>
              <w:right w:w="15" w:type="dxa"/>
            </w:tcMar>
            <w:vAlign w:val="center"/>
            <w:hideMark/>
          </w:tcPr>
          <w:p w14:paraId="42B95318" w14:textId="77777777" w:rsidR="00C50FD8" w:rsidRDefault="00C50FD8">
            <w:pPr>
              <w:jc w:val="center"/>
              <w:rPr>
                <w:rFonts w:ascii="Times New Roman" w:hAnsi="Times New Roman"/>
              </w:rPr>
            </w:pPr>
            <w:r>
              <w:rPr>
                <w:rFonts w:ascii="Times New Roman" w:hAnsi="Times New Roman"/>
              </w:rPr>
              <w:t>53.06 ± 0.39</w:t>
            </w:r>
            <w:r>
              <w:rPr>
                <w:rFonts w:ascii="Times New Roman" w:hAnsi="Times New Roman"/>
                <w:vertAlign w:val="subscript"/>
              </w:rPr>
              <w:t>b</w:t>
            </w:r>
          </w:p>
        </w:tc>
        <w:tc>
          <w:tcPr>
            <w:tcW w:w="0" w:type="auto"/>
            <w:tcMar>
              <w:top w:w="15" w:type="dxa"/>
              <w:left w:w="15" w:type="dxa"/>
              <w:bottom w:w="15" w:type="dxa"/>
              <w:right w:w="15" w:type="dxa"/>
            </w:tcMar>
          </w:tcPr>
          <w:p w14:paraId="5AB5883F"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0138D280" w14:textId="77777777" w:rsidR="00C50FD8" w:rsidRDefault="00C50FD8">
            <w:pPr>
              <w:jc w:val="center"/>
              <w:rPr>
                <w:rFonts w:ascii="Times New Roman" w:hAnsi="Times New Roman"/>
              </w:rPr>
            </w:pPr>
            <w:r>
              <w:rPr>
                <w:rFonts w:ascii="Times New Roman" w:hAnsi="Times New Roman"/>
              </w:rPr>
              <w:t>38.62 ± 0.23</w:t>
            </w:r>
            <w:r>
              <w:rPr>
                <w:rFonts w:ascii="Times New Roman" w:hAnsi="Times New Roman"/>
                <w:vertAlign w:val="subscript"/>
              </w:rPr>
              <w:t>a</w:t>
            </w:r>
          </w:p>
        </w:tc>
        <w:tc>
          <w:tcPr>
            <w:tcW w:w="1936" w:type="dxa"/>
            <w:tcMar>
              <w:top w:w="15" w:type="dxa"/>
              <w:left w:w="15" w:type="dxa"/>
              <w:bottom w:w="15" w:type="dxa"/>
              <w:right w:w="15" w:type="dxa"/>
            </w:tcMar>
            <w:vAlign w:val="center"/>
            <w:hideMark/>
          </w:tcPr>
          <w:p w14:paraId="7BF02468" w14:textId="77777777" w:rsidR="00C50FD8" w:rsidRDefault="00C50FD8">
            <w:pPr>
              <w:jc w:val="center"/>
              <w:rPr>
                <w:rFonts w:ascii="Times New Roman" w:hAnsi="Times New Roman"/>
              </w:rPr>
            </w:pPr>
            <w:r>
              <w:rPr>
                <w:rFonts w:ascii="Times New Roman" w:hAnsi="Times New Roman"/>
              </w:rPr>
              <w:t>33.25 ± 0.43</w:t>
            </w:r>
            <w:r>
              <w:rPr>
                <w:rFonts w:ascii="Times New Roman" w:hAnsi="Times New Roman"/>
                <w:vertAlign w:val="subscript"/>
              </w:rPr>
              <w:t>c</w:t>
            </w:r>
          </w:p>
        </w:tc>
        <w:tc>
          <w:tcPr>
            <w:tcW w:w="1921" w:type="dxa"/>
            <w:tcMar>
              <w:top w:w="15" w:type="dxa"/>
              <w:left w:w="15" w:type="dxa"/>
              <w:bottom w:w="15" w:type="dxa"/>
              <w:right w:w="15" w:type="dxa"/>
            </w:tcMar>
            <w:vAlign w:val="center"/>
            <w:hideMark/>
          </w:tcPr>
          <w:p w14:paraId="46B1948E" w14:textId="77777777" w:rsidR="00C50FD8" w:rsidRDefault="00C50FD8">
            <w:pPr>
              <w:jc w:val="center"/>
              <w:rPr>
                <w:rFonts w:ascii="Times New Roman" w:hAnsi="Times New Roman"/>
              </w:rPr>
            </w:pPr>
            <w:r>
              <w:rPr>
                <w:rFonts w:ascii="Times New Roman" w:hAnsi="Times New Roman"/>
              </w:rPr>
              <w:t>ND</w:t>
            </w:r>
          </w:p>
        </w:tc>
      </w:tr>
      <w:tr w:rsidR="00C50FD8" w14:paraId="228A048E" w14:textId="77777777" w:rsidTr="00C50FD8">
        <w:trPr>
          <w:trHeight w:val="793"/>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FE94EF6" w14:textId="77777777" w:rsidR="00C50FD8" w:rsidRDefault="00C50FD8">
            <w:pPr>
              <w:jc w:val="center"/>
              <w:rPr>
                <w:rFonts w:ascii="Times New Roman" w:hAnsi="Times New Roman"/>
              </w:rPr>
            </w:pPr>
            <w:r>
              <w:rPr>
                <w:rFonts w:ascii="Times New Roman" w:hAnsi="Times New Roman"/>
              </w:rPr>
              <w:t>Control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486F096" w14:textId="77777777" w:rsidR="00C50FD8" w:rsidRDefault="00C50FD8">
            <w:pPr>
              <w:jc w:val="center"/>
              <w:rPr>
                <w:rFonts w:ascii="Times New Roman" w:hAnsi="Times New Roman"/>
              </w:rPr>
            </w:pPr>
            <w:r>
              <w:rPr>
                <w:rFonts w:ascii="Times New Roman" w:hAnsi="Times New Roman"/>
              </w:rPr>
              <w:t>64.52 ± 0.38</w:t>
            </w:r>
            <w:r>
              <w:rPr>
                <w:rFonts w:ascii="Times New Roman" w:hAnsi="Times New Roman"/>
                <w:vertAlign w:val="subscript"/>
              </w:rPr>
              <w:t>a</w:t>
            </w:r>
          </w:p>
        </w:tc>
        <w:tc>
          <w:tcPr>
            <w:tcW w:w="0" w:type="auto"/>
            <w:tcBorders>
              <w:top w:val="nil"/>
              <w:left w:val="nil"/>
              <w:bottom w:val="single" w:sz="4" w:space="0" w:color="auto"/>
              <w:right w:val="nil"/>
            </w:tcBorders>
            <w:tcMar>
              <w:top w:w="15" w:type="dxa"/>
              <w:left w:w="15" w:type="dxa"/>
              <w:bottom w:w="15" w:type="dxa"/>
              <w:right w:w="15" w:type="dxa"/>
            </w:tcMar>
          </w:tcPr>
          <w:p w14:paraId="47C86D54" w14:textId="77777777" w:rsidR="00C50FD8" w:rsidRDefault="00C50FD8">
            <w:pPr>
              <w:jc w:val="center"/>
              <w:rPr>
                <w:rFonts w:ascii="Times New Roman" w:hAnsi="Times New Roman"/>
              </w:rPr>
            </w:pPr>
          </w:p>
        </w:tc>
        <w:tc>
          <w:tcPr>
            <w:tcW w:w="1936" w:type="dxa"/>
            <w:tcBorders>
              <w:top w:val="nil"/>
              <w:left w:val="nil"/>
              <w:bottom w:val="single" w:sz="4" w:space="0" w:color="auto"/>
              <w:right w:val="nil"/>
            </w:tcBorders>
            <w:tcMar>
              <w:top w:w="15" w:type="dxa"/>
              <w:left w:w="15" w:type="dxa"/>
              <w:bottom w:w="15" w:type="dxa"/>
              <w:right w:w="15" w:type="dxa"/>
            </w:tcMar>
            <w:vAlign w:val="center"/>
            <w:hideMark/>
          </w:tcPr>
          <w:p w14:paraId="6F170A40" w14:textId="77777777" w:rsidR="00C50FD8" w:rsidRDefault="00C50FD8">
            <w:pPr>
              <w:jc w:val="center"/>
              <w:rPr>
                <w:rFonts w:ascii="Times New Roman" w:hAnsi="Times New Roman"/>
              </w:rPr>
            </w:pPr>
            <w:r>
              <w:rPr>
                <w:rFonts w:ascii="Times New Roman" w:hAnsi="Times New Roman"/>
              </w:rPr>
              <w:t>453.05 ± 0.49</w:t>
            </w:r>
            <w:r>
              <w:rPr>
                <w:rFonts w:ascii="Times New Roman" w:hAnsi="Times New Roman"/>
                <w:vertAlign w:val="subscript"/>
              </w:rPr>
              <w:t>c</w:t>
            </w:r>
          </w:p>
        </w:tc>
        <w:tc>
          <w:tcPr>
            <w:tcW w:w="1936" w:type="dxa"/>
            <w:tcBorders>
              <w:top w:val="nil"/>
              <w:left w:val="nil"/>
              <w:bottom w:val="single" w:sz="4" w:space="0" w:color="auto"/>
              <w:right w:val="nil"/>
            </w:tcBorders>
            <w:tcMar>
              <w:top w:w="15" w:type="dxa"/>
              <w:left w:w="15" w:type="dxa"/>
              <w:bottom w:w="15" w:type="dxa"/>
              <w:right w:w="15" w:type="dxa"/>
            </w:tcMar>
            <w:vAlign w:val="center"/>
            <w:hideMark/>
          </w:tcPr>
          <w:p w14:paraId="61F1382D" w14:textId="77777777" w:rsidR="00C50FD8" w:rsidRDefault="00C50FD8">
            <w:pPr>
              <w:jc w:val="center"/>
              <w:rPr>
                <w:rFonts w:ascii="Times New Roman" w:hAnsi="Times New Roman"/>
              </w:rPr>
            </w:pPr>
            <w:r>
              <w:rPr>
                <w:rFonts w:ascii="Times New Roman" w:hAnsi="Times New Roman"/>
              </w:rPr>
              <w:t>33.25 ± 0.43</w:t>
            </w:r>
            <w:r>
              <w:rPr>
                <w:rFonts w:ascii="Times New Roman" w:hAnsi="Times New Roman"/>
                <w:vertAlign w:val="subscript"/>
              </w:rPr>
              <w:t>c</w:t>
            </w:r>
          </w:p>
        </w:tc>
        <w:tc>
          <w:tcPr>
            <w:tcW w:w="1921" w:type="dxa"/>
            <w:tcBorders>
              <w:top w:val="nil"/>
              <w:left w:val="nil"/>
              <w:bottom w:val="single" w:sz="4" w:space="0" w:color="auto"/>
              <w:right w:val="nil"/>
            </w:tcBorders>
            <w:tcMar>
              <w:top w:w="15" w:type="dxa"/>
              <w:left w:w="15" w:type="dxa"/>
              <w:bottom w:w="15" w:type="dxa"/>
              <w:right w:w="15" w:type="dxa"/>
            </w:tcMar>
            <w:vAlign w:val="center"/>
            <w:hideMark/>
          </w:tcPr>
          <w:p w14:paraId="7E050B28" w14:textId="77777777" w:rsidR="00C50FD8" w:rsidRDefault="00C50FD8">
            <w:pPr>
              <w:jc w:val="center"/>
              <w:rPr>
                <w:rFonts w:ascii="Times New Roman" w:hAnsi="Times New Roman"/>
              </w:rPr>
            </w:pPr>
            <w:r>
              <w:rPr>
                <w:rFonts w:ascii="Times New Roman" w:hAnsi="Times New Roman"/>
              </w:rPr>
              <w:t>4.06 ± 0.88</w:t>
            </w:r>
          </w:p>
        </w:tc>
      </w:tr>
    </w:tbl>
    <w:p w14:paraId="23DD7B5A"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 ND = Not Detected.</w:t>
      </w:r>
    </w:p>
    <w:p w14:paraId="02D1F547" w14:textId="77777777" w:rsidR="00C50FD8" w:rsidRPr="006578BB" w:rsidRDefault="00C50FD8" w:rsidP="00C50FD8">
      <w:pPr>
        <w:spacing w:before="240"/>
        <w:jc w:val="both"/>
        <w:rPr>
          <w:rFonts w:ascii="Times New Roman" w:eastAsiaTheme="minorEastAsia" w:hAnsi="Times New Roman"/>
          <w:kern w:val="2"/>
          <w14:ligatures w14:val="standardContextual"/>
        </w:rPr>
      </w:pPr>
      <w:r w:rsidRPr="006578BB">
        <w:rPr>
          <w:rFonts w:ascii="Times New Roman" w:hAnsi="Times New Roman"/>
          <w:bCs/>
        </w:rPr>
        <w:t>In-vitro protein digestibility of water hyacinth (</w:t>
      </w:r>
      <w:r w:rsidRPr="006578BB">
        <w:rPr>
          <w:rFonts w:ascii="Times New Roman" w:hAnsi="Times New Roman"/>
          <w:bCs/>
          <w:i/>
          <w:iCs/>
        </w:rPr>
        <w:t>Eichhornia crassipes</w:t>
      </w:r>
      <w:r w:rsidRPr="006578BB">
        <w:rPr>
          <w:rFonts w:ascii="Times New Roman" w:hAnsi="Times New Roman"/>
          <w:bCs/>
        </w:rPr>
        <w:t xml:space="preserve">) following </w:t>
      </w:r>
      <w:r w:rsidRPr="006578BB">
        <w:rPr>
          <w:rFonts w:ascii="Times New Roman" w:hAnsi="Times New Roman"/>
          <w:bCs/>
        </w:rPr>
        <w:tab/>
        <w:t>sequential pepsin–pancreatin digestion</w:t>
      </w:r>
    </w:p>
    <w:p w14:paraId="4BBB6681" w14:textId="77777777" w:rsidR="00C50FD8" w:rsidRDefault="00C50FD8" w:rsidP="00C50FD8">
      <w:pPr>
        <w:pStyle w:val="NormalWeb"/>
        <w:spacing w:before="0" w:beforeAutospacing="0" w:after="0" w:afterAutospacing="0" w:line="480" w:lineRule="auto"/>
        <w:jc w:val="both"/>
      </w:pPr>
      <w:r>
        <w:t>The final in-vitro protein digestibility of water hyacinth (</w:t>
      </w:r>
      <w:r>
        <w:rPr>
          <w:rStyle w:val="Emphasis"/>
          <w:rFonts w:eastAsiaTheme="majorEastAsia"/>
        </w:rPr>
        <w:t>Eichhornia crassipes</w:t>
      </w:r>
      <w:r>
        <w:t>) varied significantly among the processing treatments. Fermented water hyacinth recorded the highest protein digestibility (</w:t>
      </w:r>
      <w:r w:rsidRPr="006578BB">
        <w:rPr>
          <w:rStyle w:val="Strong"/>
          <w:rFonts w:eastAsiaTheme="majorEastAsia"/>
          <w:b w:val="0"/>
        </w:rPr>
        <w:t>74.63 ± 0.82%</w:t>
      </w:r>
      <w:r w:rsidRPr="006578BB">
        <w:rPr>
          <w:b/>
        </w:rPr>
        <w:t>),</w:t>
      </w:r>
      <w:r>
        <w:t xml:space="preserve"> followed by boiled (</w:t>
      </w:r>
      <w:r w:rsidRPr="006578BB">
        <w:rPr>
          <w:rStyle w:val="Strong"/>
          <w:rFonts w:eastAsiaTheme="majorEastAsia"/>
          <w:b w:val="0"/>
        </w:rPr>
        <w:t>68.47 ± 0.76%</w:t>
      </w:r>
      <w:r w:rsidRPr="006578BB">
        <w:rPr>
          <w:b/>
        </w:rPr>
        <w:t>)</w:t>
      </w:r>
      <w:r>
        <w:t xml:space="preserve"> and oven-dried samples (</w:t>
      </w:r>
      <w:r w:rsidRPr="006578BB">
        <w:rPr>
          <w:rStyle w:val="Strong"/>
          <w:rFonts w:eastAsiaTheme="majorEastAsia"/>
          <w:b w:val="0"/>
        </w:rPr>
        <w:t>62.83 ± 0.69%</w:t>
      </w:r>
      <w:r w:rsidRPr="006578BB">
        <w:rPr>
          <w:b/>
        </w:rPr>
        <w:t>),</w:t>
      </w:r>
      <w:r>
        <w:t xml:space="preserve"> while the control recorded the lowest value (</w:t>
      </w:r>
      <w:r w:rsidRPr="006578BB">
        <w:rPr>
          <w:rStyle w:val="Strong"/>
          <w:rFonts w:eastAsiaTheme="majorEastAsia"/>
          <w:b w:val="0"/>
        </w:rPr>
        <w:t>57.26 ± 0.73%</w:t>
      </w:r>
      <w:r w:rsidRPr="006578BB">
        <w:rPr>
          <w:b/>
        </w:rPr>
        <w:t>).</w:t>
      </w:r>
      <w:r>
        <w:t xml:space="preserve"> The significantly higher digestibility observed in the fermented sample indicates that fermentation enhanced the susceptibility of water hyacinth proteins to enzymatic hydrolysis during the sequential pepsin-pancreatin digestion.</w:t>
      </w:r>
    </w:p>
    <w:p w14:paraId="6F58482B" w14:textId="77777777" w:rsidR="00C50FD8" w:rsidRDefault="00C50FD8" w:rsidP="00C50FD8">
      <w:pPr>
        <w:pStyle w:val="NormalWeb"/>
        <w:spacing w:before="0" w:beforeAutospacing="0" w:after="0" w:afterAutospacing="0" w:line="480" w:lineRule="auto"/>
        <w:jc w:val="both"/>
      </w:pPr>
      <w:r>
        <w:t xml:space="preserve">The high digestibility recorded after fermentation may be associated with microbial degradation of complex plant structures and partial breakdown of protein-associated components during fermentation. This may have increased the accessibility of proteins to pepsin and pancreatic proteolytic enzymes. The boiled sample also showed improved protein digestibility </w:t>
      </w:r>
      <w:r w:rsidRPr="006578BB">
        <w:rPr>
          <w:b/>
        </w:rPr>
        <w:t>(</w:t>
      </w:r>
      <w:r w:rsidRPr="006578BB">
        <w:rPr>
          <w:rStyle w:val="Strong"/>
          <w:rFonts w:eastAsiaTheme="majorEastAsia"/>
          <w:b w:val="0"/>
        </w:rPr>
        <w:t>68.47 ± 0.76%</w:t>
      </w:r>
      <w:r w:rsidRPr="006578BB">
        <w:rPr>
          <w:b/>
        </w:rPr>
        <w:t>)</w:t>
      </w:r>
      <w:r>
        <w:t xml:space="preserve"> compared with the control, suggesting that heat treatment may </w:t>
      </w:r>
      <w:r>
        <w:lastRenderedPageBreak/>
        <w:t>have disrupted cellular structures and facilitated enzyme access to proteins. However, its effect was less pronounced than fermentation.</w:t>
      </w:r>
    </w:p>
    <w:p w14:paraId="28D57A48" w14:textId="77777777" w:rsidR="00C50FD8" w:rsidRDefault="00C50FD8" w:rsidP="00C50FD8">
      <w:pPr>
        <w:pStyle w:val="NormalWeb"/>
        <w:spacing w:before="0" w:beforeAutospacing="0" w:after="0" w:afterAutospacing="0" w:line="480" w:lineRule="auto"/>
        <w:jc w:val="both"/>
      </w:pPr>
      <w:r>
        <w:t xml:space="preserve">Oven drying resulted in a moderate increase in protein digestibility </w:t>
      </w:r>
      <w:r w:rsidRPr="006578BB">
        <w:rPr>
          <w:b/>
        </w:rPr>
        <w:t>(</w:t>
      </w:r>
      <w:r w:rsidRPr="006578BB">
        <w:rPr>
          <w:rStyle w:val="Strong"/>
          <w:rFonts w:eastAsiaTheme="majorEastAsia"/>
          <w:b w:val="0"/>
        </w:rPr>
        <w:t>62.83 ± 0.69%</w:t>
      </w:r>
      <w:r w:rsidRPr="006578BB">
        <w:rPr>
          <w:b/>
        </w:rPr>
        <w:t>)</w:t>
      </w:r>
      <w:r>
        <w:t xml:space="preserve"> compared with the untreated control </w:t>
      </w:r>
      <w:r w:rsidRPr="006578BB">
        <w:rPr>
          <w:b/>
        </w:rPr>
        <w:t>(</w:t>
      </w:r>
      <w:r w:rsidRPr="006578BB">
        <w:rPr>
          <w:rStyle w:val="Strong"/>
          <w:rFonts w:eastAsiaTheme="majorEastAsia"/>
          <w:b w:val="0"/>
        </w:rPr>
        <w:t>57.26 ± 0.73%</w:t>
      </w:r>
      <w:r w:rsidRPr="006578BB">
        <w:rPr>
          <w:b/>
        </w:rPr>
        <w:t>).</w:t>
      </w:r>
      <w:r>
        <w:t xml:space="preserve"> The relatively smaller improvement may indicate that drying mainly removed moisture without substantially modifying the structural components surrounding the proteins. The progressive increase in digestibility from control to oven drying, boiling and fermentation suggests that processing improved the accessibility and potential utilization of water hyacinth protein, with fermentation being the most effective treatment under the conditions of this study.</w:t>
      </w:r>
    </w:p>
    <w:p w14:paraId="20C0DBEC" w14:textId="77777777" w:rsidR="00C50FD8" w:rsidRPr="006578BB" w:rsidRDefault="00C50FD8" w:rsidP="00C50FD8">
      <w:pPr>
        <w:spacing w:before="240"/>
        <w:jc w:val="both"/>
        <w:rPr>
          <w:rFonts w:ascii="Times New Roman" w:eastAsiaTheme="minorEastAsia" w:hAnsi="Times New Roman"/>
          <w:kern w:val="2"/>
          <w14:ligatures w14:val="standardContextual"/>
        </w:rPr>
      </w:pPr>
      <w:r w:rsidRPr="006578BB">
        <w:rPr>
          <w:rFonts w:ascii="Times New Roman" w:hAnsi="Times New Roman"/>
          <w:bCs/>
        </w:rPr>
        <w:t>Table 5: In-vitro protein digestibility of water hyacinth (</w:t>
      </w:r>
      <w:r w:rsidRPr="006578BB">
        <w:rPr>
          <w:rFonts w:ascii="Times New Roman" w:hAnsi="Times New Roman"/>
          <w:bCs/>
          <w:i/>
          <w:iCs/>
        </w:rPr>
        <w:t>Eichhornia crassipes</w:t>
      </w:r>
      <w:r w:rsidRPr="006578BB">
        <w:rPr>
          <w:rFonts w:ascii="Times New Roman" w:hAnsi="Times New Roman"/>
          <w:bCs/>
        </w:rPr>
        <w:t>) following sequential pepsin-pancreatin digestion</w:t>
      </w:r>
    </w:p>
    <w:tbl>
      <w:tblPr>
        <w:tblW w:w="9238" w:type="dxa"/>
        <w:tblCellSpacing w:w="15" w:type="dxa"/>
        <w:tblBorders>
          <w:top w:val="single" w:sz="4" w:space="0" w:color="auto"/>
          <w:bottom w:val="single" w:sz="4" w:space="0" w:color="auto"/>
        </w:tblBorders>
        <w:tblLook w:val="04A0" w:firstRow="1" w:lastRow="0" w:firstColumn="1" w:lastColumn="0" w:noHBand="0" w:noVBand="1"/>
      </w:tblPr>
      <w:tblGrid>
        <w:gridCol w:w="2579"/>
        <w:gridCol w:w="2516"/>
        <w:gridCol w:w="4143"/>
      </w:tblGrid>
      <w:tr w:rsidR="00C50FD8" w:rsidRPr="006578BB" w14:paraId="2591F879" w14:textId="77777777" w:rsidTr="00C50FD8">
        <w:trPr>
          <w:trHeight w:val="466"/>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1C1B651" w14:textId="77777777" w:rsidR="00C50FD8" w:rsidRPr="006578BB" w:rsidRDefault="00C50FD8">
            <w:pPr>
              <w:jc w:val="center"/>
              <w:rPr>
                <w:rFonts w:ascii="Times New Roman" w:hAnsi="Times New Roman"/>
                <w:bCs/>
              </w:rPr>
            </w:pPr>
            <w:r w:rsidRPr="006578BB">
              <w:rPr>
                <w:rFonts w:ascii="Times New Roman" w:hAnsi="Times New Roman"/>
                <w:bCs/>
              </w:rPr>
              <w:t>Treatment Group</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F7C0324" w14:textId="77777777" w:rsidR="00C50FD8" w:rsidRPr="006578BB" w:rsidRDefault="00C50FD8">
            <w:pPr>
              <w:jc w:val="center"/>
              <w:rPr>
                <w:rFonts w:ascii="Times New Roman" w:hAnsi="Times New Roman"/>
                <w:bCs/>
              </w:rPr>
            </w:pPr>
            <w:r w:rsidRPr="006578BB">
              <w:rPr>
                <w:rFonts w:ascii="Times New Roman" w:hAnsi="Times New Roman"/>
                <w:bCs/>
              </w:rPr>
              <w:t>After Pepsin (%)</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3913B04" w14:textId="77777777" w:rsidR="00C50FD8" w:rsidRPr="006578BB" w:rsidRDefault="00C50FD8">
            <w:pPr>
              <w:jc w:val="center"/>
              <w:rPr>
                <w:rFonts w:ascii="Times New Roman" w:hAnsi="Times New Roman"/>
                <w:bCs/>
              </w:rPr>
            </w:pPr>
            <w:r w:rsidRPr="006578BB">
              <w:rPr>
                <w:rFonts w:ascii="Times New Roman" w:hAnsi="Times New Roman"/>
                <w:bCs/>
              </w:rPr>
              <w:t>Final Pepsin-Pancreatin (%)</w:t>
            </w:r>
          </w:p>
        </w:tc>
      </w:tr>
      <w:tr w:rsidR="00C50FD8" w14:paraId="22A55019" w14:textId="77777777" w:rsidTr="00C50FD8">
        <w:trPr>
          <w:trHeight w:val="601"/>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6BF602B6" w14:textId="77777777" w:rsidR="00C50FD8" w:rsidRDefault="00C50FD8">
            <w:pPr>
              <w:jc w:val="center"/>
              <w:rPr>
                <w:rFonts w:ascii="Times New Roman" w:hAnsi="Times New Roman"/>
              </w:rPr>
            </w:pPr>
            <w:r>
              <w:rPr>
                <w:rFonts w:ascii="Times New Roman" w:hAnsi="Times New Roman"/>
              </w:rPr>
              <w:t>Fermented</w:t>
            </w:r>
          </w:p>
        </w:tc>
        <w:tc>
          <w:tcPr>
            <w:tcW w:w="0" w:type="auto"/>
            <w:tcBorders>
              <w:top w:val="nil"/>
              <w:left w:val="nil"/>
              <w:bottom w:val="nil"/>
              <w:right w:val="nil"/>
            </w:tcBorders>
            <w:tcMar>
              <w:top w:w="15" w:type="dxa"/>
              <w:left w:w="15" w:type="dxa"/>
              <w:bottom w:w="15" w:type="dxa"/>
              <w:right w:w="15" w:type="dxa"/>
            </w:tcMar>
            <w:vAlign w:val="center"/>
            <w:hideMark/>
          </w:tcPr>
          <w:p w14:paraId="57D2E844" w14:textId="77777777" w:rsidR="00C50FD8" w:rsidRDefault="00C50FD8">
            <w:pPr>
              <w:jc w:val="center"/>
              <w:rPr>
                <w:rFonts w:ascii="Times New Roman" w:hAnsi="Times New Roman"/>
              </w:rPr>
            </w:pPr>
            <w:r>
              <w:rPr>
                <w:rFonts w:ascii="Times New Roman" w:hAnsi="Times New Roman"/>
                <w:bCs/>
              </w:rPr>
              <w:t>58.42 ± 0.71ᵃ</w:t>
            </w:r>
          </w:p>
        </w:tc>
        <w:tc>
          <w:tcPr>
            <w:tcW w:w="0" w:type="auto"/>
            <w:tcBorders>
              <w:top w:val="nil"/>
              <w:left w:val="nil"/>
              <w:bottom w:val="nil"/>
              <w:right w:val="nil"/>
            </w:tcBorders>
            <w:tcMar>
              <w:top w:w="15" w:type="dxa"/>
              <w:left w:w="15" w:type="dxa"/>
              <w:bottom w:w="15" w:type="dxa"/>
              <w:right w:w="15" w:type="dxa"/>
            </w:tcMar>
            <w:vAlign w:val="center"/>
            <w:hideMark/>
          </w:tcPr>
          <w:p w14:paraId="51256520" w14:textId="77777777" w:rsidR="00C50FD8" w:rsidRDefault="00C50FD8">
            <w:pPr>
              <w:jc w:val="center"/>
              <w:rPr>
                <w:rFonts w:ascii="Times New Roman" w:hAnsi="Times New Roman"/>
              </w:rPr>
            </w:pPr>
            <w:r>
              <w:rPr>
                <w:rFonts w:ascii="Times New Roman" w:hAnsi="Times New Roman"/>
                <w:bCs/>
              </w:rPr>
              <w:t>74.63 ± 0.82ᵃ</w:t>
            </w:r>
          </w:p>
        </w:tc>
      </w:tr>
      <w:tr w:rsidR="00C50FD8" w14:paraId="6E12447C"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3AFE8FE5" w14:textId="77777777" w:rsidR="00C50FD8" w:rsidRDefault="00C50FD8">
            <w:pPr>
              <w:jc w:val="center"/>
              <w:rPr>
                <w:rFonts w:ascii="Times New Roman" w:hAnsi="Times New Roman"/>
              </w:rPr>
            </w:pPr>
            <w:r>
              <w:rPr>
                <w:rFonts w:ascii="Times New Roman" w:hAnsi="Times New Roman"/>
              </w:rPr>
              <w:t>Boiled</w:t>
            </w:r>
          </w:p>
        </w:tc>
        <w:tc>
          <w:tcPr>
            <w:tcW w:w="0" w:type="auto"/>
            <w:tcBorders>
              <w:top w:val="nil"/>
              <w:left w:val="nil"/>
              <w:bottom w:val="nil"/>
              <w:right w:val="nil"/>
            </w:tcBorders>
            <w:tcMar>
              <w:top w:w="15" w:type="dxa"/>
              <w:left w:w="15" w:type="dxa"/>
              <w:bottom w:w="15" w:type="dxa"/>
              <w:right w:w="15" w:type="dxa"/>
            </w:tcMar>
            <w:vAlign w:val="center"/>
            <w:hideMark/>
          </w:tcPr>
          <w:p w14:paraId="52E3229A" w14:textId="77777777" w:rsidR="00C50FD8" w:rsidRDefault="00C50FD8">
            <w:pPr>
              <w:jc w:val="center"/>
              <w:rPr>
                <w:rFonts w:ascii="Times New Roman" w:hAnsi="Times New Roman"/>
              </w:rPr>
            </w:pPr>
            <w:r>
              <w:rPr>
                <w:rFonts w:ascii="Times New Roman" w:hAnsi="Times New Roman"/>
                <w:bCs/>
              </w:rPr>
              <w:t>53.17 ± 0.68ᵇ</w:t>
            </w:r>
          </w:p>
        </w:tc>
        <w:tc>
          <w:tcPr>
            <w:tcW w:w="0" w:type="auto"/>
            <w:tcBorders>
              <w:top w:val="nil"/>
              <w:left w:val="nil"/>
              <w:bottom w:val="nil"/>
              <w:right w:val="nil"/>
            </w:tcBorders>
            <w:tcMar>
              <w:top w:w="15" w:type="dxa"/>
              <w:left w:w="15" w:type="dxa"/>
              <w:bottom w:w="15" w:type="dxa"/>
              <w:right w:w="15" w:type="dxa"/>
            </w:tcMar>
            <w:vAlign w:val="center"/>
            <w:hideMark/>
          </w:tcPr>
          <w:p w14:paraId="6EB342B0" w14:textId="77777777" w:rsidR="00C50FD8" w:rsidRDefault="00C50FD8">
            <w:pPr>
              <w:jc w:val="center"/>
              <w:rPr>
                <w:rFonts w:ascii="Times New Roman" w:hAnsi="Times New Roman"/>
              </w:rPr>
            </w:pPr>
            <w:r>
              <w:rPr>
                <w:rFonts w:ascii="Times New Roman" w:hAnsi="Times New Roman"/>
                <w:bCs/>
              </w:rPr>
              <w:t>68.47 ± 0.76ᵇ</w:t>
            </w:r>
          </w:p>
        </w:tc>
      </w:tr>
      <w:tr w:rsidR="00C50FD8" w14:paraId="0F604AC0"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4DDA2E46" w14:textId="77777777" w:rsidR="00C50FD8" w:rsidRDefault="00C50FD8">
            <w:pPr>
              <w:jc w:val="center"/>
              <w:rPr>
                <w:rFonts w:ascii="Times New Roman" w:hAnsi="Times New Roman"/>
              </w:rPr>
            </w:pPr>
            <w:r>
              <w:rPr>
                <w:rFonts w:ascii="Times New Roman" w:hAnsi="Times New Roman"/>
              </w:rPr>
              <w:t>Oven dried</w:t>
            </w:r>
          </w:p>
        </w:tc>
        <w:tc>
          <w:tcPr>
            <w:tcW w:w="0" w:type="auto"/>
            <w:tcBorders>
              <w:top w:val="nil"/>
              <w:left w:val="nil"/>
              <w:bottom w:val="nil"/>
              <w:right w:val="nil"/>
            </w:tcBorders>
            <w:tcMar>
              <w:top w:w="15" w:type="dxa"/>
              <w:left w:w="15" w:type="dxa"/>
              <w:bottom w:w="15" w:type="dxa"/>
              <w:right w:w="15" w:type="dxa"/>
            </w:tcMar>
            <w:vAlign w:val="center"/>
            <w:hideMark/>
          </w:tcPr>
          <w:p w14:paraId="462E1C8E" w14:textId="77777777" w:rsidR="00C50FD8" w:rsidRDefault="00C50FD8">
            <w:pPr>
              <w:jc w:val="center"/>
              <w:rPr>
                <w:rFonts w:ascii="Times New Roman" w:hAnsi="Times New Roman"/>
              </w:rPr>
            </w:pPr>
            <w:r>
              <w:rPr>
                <w:rFonts w:ascii="Times New Roman" w:hAnsi="Times New Roman"/>
                <w:bCs/>
              </w:rPr>
              <w:t>48.36 ± 0.64ᶜ</w:t>
            </w:r>
          </w:p>
        </w:tc>
        <w:tc>
          <w:tcPr>
            <w:tcW w:w="0" w:type="auto"/>
            <w:tcBorders>
              <w:top w:val="nil"/>
              <w:left w:val="nil"/>
              <w:bottom w:val="nil"/>
              <w:right w:val="nil"/>
            </w:tcBorders>
            <w:tcMar>
              <w:top w:w="15" w:type="dxa"/>
              <w:left w:w="15" w:type="dxa"/>
              <w:bottom w:w="15" w:type="dxa"/>
              <w:right w:w="15" w:type="dxa"/>
            </w:tcMar>
            <w:vAlign w:val="center"/>
            <w:hideMark/>
          </w:tcPr>
          <w:p w14:paraId="720A475A" w14:textId="77777777" w:rsidR="00C50FD8" w:rsidRDefault="00C50FD8">
            <w:pPr>
              <w:jc w:val="center"/>
              <w:rPr>
                <w:rFonts w:ascii="Times New Roman" w:hAnsi="Times New Roman"/>
              </w:rPr>
            </w:pPr>
            <w:r>
              <w:rPr>
                <w:rFonts w:ascii="Times New Roman" w:hAnsi="Times New Roman"/>
                <w:bCs/>
              </w:rPr>
              <w:t>62.83 ± 0.69ᶜ</w:t>
            </w:r>
          </w:p>
        </w:tc>
      </w:tr>
      <w:tr w:rsidR="00C50FD8" w14:paraId="69C8D3C5"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C204F62" w14:textId="77777777" w:rsidR="00C50FD8" w:rsidRDefault="00C50FD8">
            <w:pPr>
              <w:jc w:val="center"/>
              <w:rPr>
                <w:rFonts w:ascii="Times New Roman" w:hAnsi="Times New Roman"/>
              </w:rPr>
            </w:pPr>
            <w:r>
              <w:rPr>
                <w:rFonts w:ascii="Times New Roman" w:hAnsi="Times New Roman"/>
              </w:rPr>
              <w:t>Control</w:t>
            </w:r>
          </w:p>
        </w:tc>
        <w:tc>
          <w:tcPr>
            <w:tcW w:w="0" w:type="auto"/>
            <w:tcBorders>
              <w:top w:val="nil"/>
              <w:left w:val="nil"/>
              <w:bottom w:val="nil"/>
              <w:right w:val="nil"/>
            </w:tcBorders>
            <w:tcMar>
              <w:top w:w="15" w:type="dxa"/>
              <w:left w:w="15" w:type="dxa"/>
              <w:bottom w:w="15" w:type="dxa"/>
              <w:right w:w="15" w:type="dxa"/>
            </w:tcMar>
            <w:vAlign w:val="center"/>
            <w:hideMark/>
          </w:tcPr>
          <w:p w14:paraId="7E92662C" w14:textId="77777777" w:rsidR="00C50FD8" w:rsidRDefault="00C50FD8">
            <w:pPr>
              <w:jc w:val="center"/>
              <w:rPr>
                <w:rFonts w:ascii="Times New Roman" w:hAnsi="Times New Roman"/>
              </w:rPr>
            </w:pPr>
            <w:r>
              <w:rPr>
                <w:rFonts w:ascii="Times New Roman" w:hAnsi="Times New Roman"/>
                <w:bCs/>
              </w:rPr>
              <w:t>42.73 ± 0.59ᵈ</w:t>
            </w:r>
          </w:p>
        </w:tc>
        <w:tc>
          <w:tcPr>
            <w:tcW w:w="0" w:type="auto"/>
            <w:tcBorders>
              <w:top w:val="nil"/>
              <w:left w:val="nil"/>
              <w:bottom w:val="nil"/>
              <w:right w:val="nil"/>
            </w:tcBorders>
            <w:tcMar>
              <w:top w:w="15" w:type="dxa"/>
              <w:left w:w="15" w:type="dxa"/>
              <w:bottom w:w="15" w:type="dxa"/>
              <w:right w:w="15" w:type="dxa"/>
            </w:tcMar>
            <w:vAlign w:val="center"/>
            <w:hideMark/>
          </w:tcPr>
          <w:p w14:paraId="5166A4B0" w14:textId="77777777" w:rsidR="00C50FD8" w:rsidRDefault="00C50FD8">
            <w:pPr>
              <w:jc w:val="center"/>
              <w:rPr>
                <w:rFonts w:ascii="Times New Roman" w:hAnsi="Times New Roman"/>
              </w:rPr>
            </w:pPr>
            <w:r>
              <w:rPr>
                <w:rFonts w:ascii="Times New Roman" w:hAnsi="Times New Roman"/>
                <w:bCs/>
              </w:rPr>
              <w:t>57.26 ± 0.73ᵈ</w:t>
            </w:r>
          </w:p>
        </w:tc>
      </w:tr>
    </w:tbl>
    <w:p w14:paraId="5871129E" w14:textId="77777777" w:rsidR="00C50FD8" w:rsidRDefault="00C50FD8" w:rsidP="00C50FD8">
      <w:pPr>
        <w:spacing w:before="100" w:beforeAutospacing="1" w:after="100" w:afterAutospacing="1"/>
        <w:outlineLvl w:val="2"/>
        <w:rPr>
          <w:rFonts w:ascii="Times New Roman" w:eastAsiaTheme="minorEastAsia" w:hAnsi="Times New Roman"/>
          <w:i/>
          <w:kern w:val="2"/>
          <w14:ligatures w14:val="standardContextual"/>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04E42060" w14:textId="77777777" w:rsidR="00C50FD8" w:rsidRPr="006578BB" w:rsidRDefault="00C50FD8" w:rsidP="00C50FD8">
      <w:pPr>
        <w:spacing w:before="240" w:after="100" w:afterAutospacing="1"/>
        <w:jc w:val="both"/>
        <w:outlineLvl w:val="2"/>
        <w:rPr>
          <w:rFonts w:ascii="Times New Roman" w:hAnsi="Times New Roman"/>
        </w:rPr>
      </w:pPr>
      <w:r w:rsidRPr="006578BB">
        <w:rPr>
          <w:rFonts w:ascii="Times New Roman" w:hAnsi="Times New Roman"/>
        </w:rPr>
        <w:t xml:space="preserve">Pearson correlation between selected anti-nutritional factors and in-vitro protein </w:t>
      </w:r>
      <w:r w:rsidRPr="006578BB">
        <w:rPr>
          <w:rFonts w:ascii="Times New Roman" w:hAnsi="Times New Roman"/>
        </w:rPr>
        <w:tab/>
        <w:t>digestibility of water hyacinth (</w:t>
      </w:r>
      <w:r w:rsidRPr="006578BB">
        <w:rPr>
          <w:rStyle w:val="Emphasis"/>
          <w:rFonts w:ascii="Times New Roman" w:hAnsi="Times New Roman"/>
        </w:rPr>
        <w:t>Eichhornia crassipes</w:t>
      </w:r>
      <w:r w:rsidRPr="006578BB">
        <w:rPr>
          <w:rFonts w:ascii="Times New Roman" w:hAnsi="Times New Roman"/>
        </w:rPr>
        <w:t>)</w:t>
      </w:r>
    </w:p>
    <w:p w14:paraId="3EBAC8B5" w14:textId="77777777" w:rsidR="00C50FD8" w:rsidRDefault="00C50FD8" w:rsidP="00C50FD8">
      <w:pPr>
        <w:pStyle w:val="NormalWeb"/>
        <w:spacing w:before="0" w:beforeAutospacing="0" w:after="0" w:afterAutospacing="0" w:line="480" w:lineRule="auto"/>
        <w:jc w:val="both"/>
      </w:pPr>
      <w:r>
        <w:t xml:space="preserve">The correlation analysis demonstrated very </w:t>
      </w:r>
      <w:r w:rsidRPr="006578BB">
        <w:rPr>
          <w:rStyle w:val="Strong"/>
          <w:rFonts w:eastAsiaTheme="majorEastAsia"/>
          <w:b w:val="0"/>
        </w:rPr>
        <w:t>strong negative associations</w:t>
      </w:r>
      <w:r>
        <w:t xml:space="preserve"> between the anti-nutritional factors and final pepsin-pancreatin protein digestion across the treatment groups. The strongest inverse relationship was observed between tannin and final protein digestion in the </w:t>
      </w:r>
      <w:r w:rsidR="006578BB">
        <w:t>oven-dried</w:t>
      </w:r>
      <w:r>
        <w:t xml:space="preserve"> and control </w:t>
      </w:r>
      <w:r w:rsidR="006578BB">
        <w:t>samples</w:t>
      </w:r>
      <w:r>
        <w:t xml:space="preserve"> (r = -0.986), whereas the weakest relationship was observed between phytate and final protein digestion in the </w:t>
      </w:r>
      <w:r w:rsidR="006578BB">
        <w:t>oven-dried</w:t>
      </w:r>
      <w:r>
        <w:t xml:space="preserve"> and control </w:t>
      </w:r>
      <w:r w:rsidR="006578BB">
        <w:t>samples</w:t>
      </w:r>
      <w:r>
        <w:t xml:space="preserve"> (r = 0.899) in each case. Despite being the weakest correlation, the </w:t>
      </w:r>
      <w:proofErr w:type="spellStart"/>
      <w:r>
        <w:t>r-value</w:t>
      </w:r>
      <w:proofErr w:type="spellEnd"/>
      <w:r>
        <w:t xml:space="preserve"> of -0.899 indicates a very strong inverse association</w:t>
      </w:r>
      <w:r w:rsidR="006578BB">
        <w:t>,</w:t>
      </w:r>
      <w:r>
        <w:t xml:space="preserve"> suggesting that higher levels of phytate were associated with lower final protein digestion. These findings suggest that reductions in anti-nutritional factors following processing may be associated with improved protein accessibility and susceptibility to enzymatic digestion. </w:t>
      </w:r>
    </w:p>
    <w:p w14:paraId="1EB2ACAF" w14:textId="77777777" w:rsidR="00C50FD8" w:rsidRPr="006578BB" w:rsidRDefault="00C50FD8" w:rsidP="00C50FD8">
      <w:pPr>
        <w:spacing w:line="360" w:lineRule="auto"/>
        <w:jc w:val="both"/>
        <w:rPr>
          <w:rFonts w:ascii="Times New Roman" w:hAnsi="Times New Roman"/>
        </w:rPr>
      </w:pPr>
      <w:r w:rsidRPr="006578BB">
        <w:rPr>
          <w:rFonts w:ascii="Times New Roman" w:hAnsi="Times New Roman"/>
        </w:rPr>
        <w:lastRenderedPageBreak/>
        <w:t>Table 6: Pearson Correlation Between Selected Anti-Nutritional Factors and In-Vitro Protein Digestibility of Water Hyacinth (</w:t>
      </w:r>
      <w:r w:rsidRPr="006578BB">
        <w:rPr>
          <w:rStyle w:val="Emphasis"/>
          <w:rFonts w:ascii="Times New Roman" w:hAnsi="Times New Roman"/>
        </w:rPr>
        <w:t>Eichhornia crassipes</w:t>
      </w:r>
      <w:r w:rsidRPr="006578BB">
        <w:rPr>
          <w:rFonts w:ascii="Times New Roman" w:hAnsi="Times New Roman"/>
        </w:rPr>
        <w:t>)</w:t>
      </w:r>
    </w:p>
    <w:tbl>
      <w:tblPr>
        <w:tblW w:w="9360" w:type="dxa"/>
        <w:tblCellSpacing w:w="15" w:type="dxa"/>
        <w:tblLook w:val="04A0" w:firstRow="1" w:lastRow="0" w:firstColumn="1" w:lastColumn="0" w:noHBand="0" w:noVBand="1"/>
      </w:tblPr>
      <w:tblGrid>
        <w:gridCol w:w="2950"/>
        <w:gridCol w:w="2255"/>
        <w:gridCol w:w="4155"/>
      </w:tblGrid>
      <w:tr w:rsidR="00C50FD8" w14:paraId="232AE668" w14:textId="77777777" w:rsidTr="00C50FD8">
        <w:trPr>
          <w:trHeight w:val="657"/>
          <w:tblCellSpacing w:w="15" w:type="dxa"/>
        </w:trPr>
        <w:tc>
          <w:tcPr>
            <w:tcW w:w="2905" w:type="dxa"/>
            <w:tcBorders>
              <w:top w:val="single" w:sz="4" w:space="0" w:color="auto"/>
              <w:left w:val="nil"/>
              <w:bottom w:val="nil"/>
              <w:right w:val="nil"/>
            </w:tcBorders>
            <w:tcMar>
              <w:top w:w="15" w:type="dxa"/>
              <w:left w:w="15" w:type="dxa"/>
              <w:bottom w:w="15" w:type="dxa"/>
              <w:right w:w="15" w:type="dxa"/>
            </w:tcMar>
            <w:vAlign w:val="center"/>
            <w:hideMark/>
          </w:tcPr>
          <w:p w14:paraId="479782C0" w14:textId="77777777" w:rsidR="00C50FD8" w:rsidRPr="006578BB" w:rsidRDefault="00C50FD8">
            <w:pPr>
              <w:spacing w:line="360" w:lineRule="auto"/>
              <w:jc w:val="center"/>
              <w:rPr>
                <w:rFonts w:ascii="Times New Roman" w:hAnsi="Times New Roman"/>
              </w:rPr>
            </w:pPr>
            <w:r w:rsidRPr="006578BB">
              <w:rPr>
                <w:rFonts w:ascii="Times New Roman" w:hAnsi="Times New Roman"/>
              </w:rPr>
              <w:t>Treatment group</w:t>
            </w:r>
          </w:p>
        </w:tc>
        <w:tc>
          <w:tcPr>
            <w:tcW w:w="2225" w:type="dxa"/>
            <w:tcBorders>
              <w:top w:val="single" w:sz="4" w:space="0" w:color="auto"/>
              <w:left w:val="nil"/>
              <w:bottom w:val="nil"/>
              <w:right w:val="nil"/>
            </w:tcBorders>
            <w:tcMar>
              <w:top w:w="15" w:type="dxa"/>
              <w:left w:w="15" w:type="dxa"/>
              <w:bottom w:w="15" w:type="dxa"/>
              <w:right w:w="15" w:type="dxa"/>
            </w:tcMar>
            <w:vAlign w:val="center"/>
            <w:hideMark/>
          </w:tcPr>
          <w:p w14:paraId="1A7FDD0A" w14:textId="77777777" w:rsidR="00C50FD8" w:rsidRPr="006578BB" w:rsidRDefault="00C50FD8">
            <w:pPr>
              <w:spacing w:line="360" w:lineRule="auto"/>
              <w:jc w:val="center"/>
              <w:rPr>
                <w:rFonts w:ascii="Times New Roman" w:hAnsi="Times New Roman"/>
              </w:rPr>
            </w:pPr>
            <w:r w:rsidRPr="006578BB">
              <w:rPr>
                <w:rFonts w:ascii="Times New Roman" w:hAnsi="Times New Roman"/>
              </w:rPr>
              <w:t>Anti-nutritional factors</w:t>
            </w:r>
          </w:p>
        </w:tc>
        <w:tc>
          <w:tcPr>
            <w:tcW w:w="4110" w:type="dxa"/>
            <w:tcBorders>
              <w:top w:val="single" w:sz="4" w:space="0" w:color="auto"/>
              <w:left w:val="nil"/>
              <w:bottom w:val="nil"/>
              <w:right w:val="nil"/>
            </w:tcBorders>
            <w:tcMar>
              <w:top w:w="15" w:type="dxa"/>
              <w:left w:w="15" w:type="dxa"/>
              <w:bottom w:w="15" w:type="dxa"/>
              <w:right w:w="15" w:type="dxa"/>
            </w:tcMar>
            <w:vAlign w:val="center"/>
            <w:hideMark/>
          </w:tcPr>
          <w:p w14:paraId="364F8194" w14:textId="77777777" w:rsidR="00C50FD8" w:rsidRPr="006578BB" w:rsidRDefault="00C50FD8">
            <w:pPr>
              <w:spacing w:line="360" w:lineRule="auto"/>
              <w:jc w:val="center"/>
              <w:rPr>
                <w:rFonts w:ascii="Times New Roman" w:hAnsi="Times New Roman"/>
              </w:rPr>
            </w:pPr>
            <w:r w:rsidRPr="006578BB">
              <w:rPr>
                <w:rFonts w:ascii="Times New Roman" w:hAnsi="Times New Roman"/>
              </w:rPr>
              <w:t>Final Pepsin-Pancreatin (r)</w:t>
            </w:r>
          </w:p>
        </w:tc>
      </w:tr>
      <w:tr w:rsidR="00C50FD8" w14:paraId="20477F19" w14:textId="77777777" w:rsidTr="00C50FD8">
        <w:trPr>
          <w:trHeight w:val="284"/>
          <w:tblCellSpacing w:w="15" w:type="dxa"/>
        </w:trPr>
        <w:tc>
          <w:tcPr>
            <w:tcW w:w="2905" w:type="dxa"/>
            <w:tcBorders>
              <w:top w:val="single" w:sz="4" w:space="0" w:color="auto"/>
              <w:left w:val="nil"/>
              <w:bottom w:val="nil"/>
              <w:right w:val="nil"/>
            </w:tcBorders>
            <w:tcMar>
              <w:top w:w="15" w:type="dxa"/>
              <w:left w:w="15" w:type="dxa"/>
              <w:bottom w:w="15" w:type="dxa"/>
              <w:right w:w="15" w:type="dxa"/>
            </w:tcMar>
            <w:vAlign w:val="center"/>
            <w:hideMark/>
          </w:tcPr>
          <w:p w14:paraId="3FD5DCE0" w14:textId="77777777" w:rsidR="00C50FD8" w:rsidRDefault="00C50FD8">
            <w:pPr>
              <w:spacing w:line="360" w:lineRule="auto"/>
              <w:jc w:val="center"/>
              <w:rPr>
                <w:rFonts w:ascii="Times New Roman" w:hAnsi="Times New Roman"/>
              </w:rPr>
            </w:pPr>
            <w:r>
              <w:rPr>
                <w:rFonts w:ascii="Times New Roman" w:hAnsi="Times New Roman"/>
              </w:rPr>
              <w:t>Fermented</w:t>
            </w:r>
          </w:p>
        </w:tc>
        <w:tc>
          <w:tcPr>
            <w:tcW w:w="2225" w:type="dxa"/>
            <w:tcBorders>
              <w:top w:val="single" w:sz="4" w:space="0" w:color="auto"/>
              <w:left w:val="nil"/>
              <w:bottom w:val="nil"/>
              <w:right w:val="nil"/>
            </w:tcBorders>
            <w:tcMar>
              <w:top w:w="15" w:type="dxa"/>
              <w:left w:w="15" w:type="dxa"/>
              <w:bottom w:w="15" w:type="dxa"/>
              <w:right w:w="15" w:type="dxa"/>
            </w:tcMar>
            <w:vAlign w:val="center"/>
            <w:hideMark/>
          </w:tcPr>
          <w:p w14:paraId="0A8766F4"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Borders>
              <w:top w:val="single" w:sz="4" w:space="0" w:color="auto"/>
              <w:left w:val="nil"/>
              <w:bottom w:val="nil"/>
              <w:right w:val="nil"/>
            </w:tcBorders>
            <w:tcMar>
              <w:top w:w="15" w:type="dxa"/>
              <w:left w:w="15" w:type="dxa"/>
              <w:bottom w:w="15" w:type="dxa"/>
              <w:right w:w="15" w:type="dxa"/>
            </w:tcMar>
            <w:vAlign w:val="center"/>
            <w:hideMark/>
          </w:tcPr>
          <w:p w14:paraId="07854F7F" w14:textId="77777777" w:rsidR="00C50FD8" w:rsidRDefault="00C50FD8">
            <w:pPr>
              <w:spacing w:line="360" w:lineRule="auto"/>
              <w:jc w:val="center"/>
              <w:rPr>
                <w:rFonts w:ascii="Times New Roman" w:hAnsi="Times New Roman"/>
              </w:rPr>
            </w:pPr>
            <w:r>
              <w:rPr>
                <w:rFonts w:ascii="Times New Roman" w:hAnsi="Times New Roman"/>
              </w:rPr>
              <w:t>−0.94</w:t>
            </w:r>
          </w:p>
        </w:tc>
      </w:tr>
      <w:tr w:rsidR="00C50FD8" w14:paraId="4482BCEC" w14:textId="77777777" w:rsidTr="00C50FD8">
        <w:trPr>
          <w:trHeight w:val="555"/>
          <w:tblCellSpacing w:w="15" w:type="dxa"/>
        </w:trPr>
        <w:tc>
          <w:tcPr>
            <w:tcW w:w="2905" w:type="dxa"/>
            <w:tcMar>
              <w:top w:w="15" w:type="dxa"/>
              <w:left w:w="15" w:type="dxa"/>
              <w:bottom w:w="15" w:type="dxa"/>
              <w:right w:w="15" w:type="dxa"/>
            </w:tcMar>
            <w:vAlign w:val="center"/>
            <w:hideMark/>
          </w:tcPr>
          <w:p w14:paraId="71E3B241"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473A4F17"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22F8F95A" w14:textId="77777777" w:rsidR="00C50FD8" w:rsidRDefault="00C50FD8">
            <w:pPr>
              <w:spacing w:line="360" w:lineRule="auto"/>
              <w:jc w:val="center"/>
              <w:rPr>
                <w:rFonts w:ascii="Times New Roman" w:hAnsi="Times New Roman"/>
              </w:rPr>
            </w:pPr>
            <w:r>
              <w:rPr>
                <w:rFonts w:ascii="Times New Roman" w:hAnsi="Times New Roman"/>
              </w:rPr>
              <w:t>−0.96</w:t>
            </w:r>
          </w:p>
        </w:tc>
      </w:tr>
      <w:tr w:rsidR="00C50FD8" w14:paraId="301C8B98" w14:textId="77777777" w:rsidTr="00C50FD8">
        <w:trPr>
          <w:trHeight w:val="284"/>
          <w:tblCellSpacing w:w="15" w:type="dxa"/>
        </w:trPr>
        <w:tc>
          <w:tcPr>
            <w:tcW w:w="2905" w:type="dxa"/>
            <w:tcMar>
              <w:top w:w="15" w:type="dxa"/>
              <w:left w:w="15" w:type="dxa"/>
              <w:bottom w:w="15" w:type="dxa"/>
              <w:right w:w="15" w:type="dxa"/>
            </w:tcMar>
            <w:vAlign w:val="center"/>
            <w:hideMark/>
          </w:tcPr>
          <w:p w14:paraId="669691A8"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395ED7C3"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068825BE" w14:textId="77777777" w:rsidR="00C50FD8" w:rsidRDefault="00C50FD8">
            <w:pPr>
              <w:spacing w:line="360" w:lineRule="auto"/>
              <w:jc w:val="center"/>
              <w:rPr>
                <w:rFonts w:ascii="Times New Roman" w:hAnsi="Times New Roman"/>
              </w:rPr>
            </w:pPr>
            <w:r>
              <w:rPr>
                <w:rFonts w:ascii="Times New Roman" w:hAnsi="Times New Roman"/>
              </w:rPr>
              <w:t>−0.93</w:t>
            </w:r>
          </w:p>
        </w:tc>
      </w:tr>
      <w:tr w:rsidR="00C50FD8" w14:paraId="2AE65302" w14:textId="77777777" w:rsidTr="00C50FD8">
        <w:trPr>
          <w:trHeight w:val="271"/>
          <w:tblCellSpacing w:w="15" w:type="dxa"/>
        </w:trPr>
        <w:tc>
          <w:tcPr>
            <w:tcW w:w="2905" w:type="dxa"/>
            <w:tcMar>
              <w:top w:w="15" w:type="dxa"/>
              <w:left w:w="15" w:type="dxa"/>
              <w:bottom w:w="15" w:type="dxa"/>
              <w:right w:w="15" w:type="dxa"/>
            </w:tcMar>
            <w:vAlign w:val="center"/>
            <w:hideMark/>
          </w:tcPr>
          <w:p w14:paraId="52240814" w14:textId="77777777" w:rsidR="00C50FD8" w:rsidRDefault="00C50FD8">
            <w:pPr>
              <w:spacing w:line="360" w:lineRule="auto"/>
              <w:jc w:val="center"/>
              <w:rPr>
                <w:rFonts w:ascii="Times New Roman" w:hAnsi="Times New Roman"/>
              </w:rPr>
            </w:pPr>
            <w:r>
              <w:rPr>
                <w:rFonts w:ascii="Times New Roman" w:hAnsi="Times New Roman"/>
              </w:rPr>
              <w:t>Boiled</w:t>
            </w:r>
          </w:p>
        </w:tc>
        <w:tc>
          <w:tcPr>
            <w:tcW w:w="2225" w:type="dxa"/>
            <w:tcMar>
              <w:top w:w="15" w:type="dxa"/>
              <w:left w:w="15" w:type="dxa"/>
              <w:bottom w:w="15" w:type="dxa"/>
              <w:right w:w="15" w:type="dxa"/>
            </w:tcMar>
            <w:vAlign w:val="center"/>
            <w:hideMark/>
          </w:tcPr>
          <w:p w14:paraId="4B56DA81"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5E096EA3" w14:textId="77777777" w:rsidR="00C50FD8" w:rsidRDefault="00C50FD8">
            <w:pPr>
              <w:spacing w:line="360" w:lineRule="auto"/>
              <w:jc w:val="center"/>
              <w:rPr>
                <w:rFonts w:ascii="Times New Roman" w:hAnsi="Times New Roman"/>
              </w:rPr>
            </w:pPr>
            <w:r>
              <w:rPr>
                <w:rFonts w:ascii="Times New Roman" w:hAnsi="Times New Roman"/>
              </w:rPr>
              <w:t>−0.902</w:t>
            </w:r>
          </w:p>
        </w:tc>
      </w:tr>
      <w:tr w:rsidR="00C50FD8" w14:paraId="57B3483E" w14:textId="77777777" w:rsidTr="00C50FD8">
        <w:trPr>
          <w:trHeight w:val="555"/>
          <w:tblCellSpacing w:w="15" w:type="dxa"/>
        </w:trPr>
        <w:tc>
          <w:tcPr>
            <w:tcW w:w="2905" w:type="dxa"/>
            <w:tcMar>
              <w:top w:w="15" w:type="dxa"/>
              <w:left w:w="15" w:type="dxa"/>
              <w:bottom w:w="15" w:type="dxa"/>
              <w:right w:w="15" w:type="dxa"/>
            </w:tcMar>
            <w:vAlign w:val="center"/>
            <w:hideMark/>
          </w:tcPr>
          <w:p w14:paraId="610B4DDD"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09B704D5"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4D412849" w14:textId="77777777" w:rsidR="00C50FD8" w:rsidRDefault="00C50FD8">
            <w:pPr>
              <w:spacing w:line="360" w:lineRule="auto"/>
              <w:jc w:val="center"/>
              <w:rPr>
                <w:rFonts w:ascii="Times New Roman" w:hAnsi="Times New Roman"/>
              </w:rPr>
            </w:pPr>
            <w:r>
              <w:rPr>
                <w:rFonts w:ascii="Times New Roman" w:hAnsi="Times New Roman"/>
              </w:rPr>
              <w:t>−0.937</w:t>
            </w:r>
          </w:p>
        </w:tc>
      </w:tr>
      <w:tr w:rsidR="00C50FD8" w14:paraId="7A8BFCFD" w14:textId="77777777" w:rsidTr="00C50FD8">
        <w:trPr>
          <w:trHeight w:val="284"/>
          <w:tblCellSpacing w:w="15" w:type="dxa"/>
        </w:trPr>
        <w:tc>
          <w:tcPr>
            <w:tcW w:w="2905" w:type="dxa"/>
            <w:tcMar>
              <w:top w:w="15" w:type="dxa"/>
              <w:left w:w="15" w:type="dxa"/>
              <w:bottom w:w="15" w:type="dxa"/>
              <w:right w:w="15" w:type="dxa"/>
            </w:tcMar>
            <w:vAlign w:val="center"/>
            <w:hideMark/>
          </w:tcPr>
          <w:p w14:paraId="13E7568E"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2CF04BDF"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199B6C07" w14:textId="77777777" w:rsidR="00C50FD8" w:rsidRDefault="00C50FD8">
            <w:pPr>
              <w:spacing w:line="360" w:lineRule="auto"/>
              <w:jc w:val="center"/>
              <w:rPr>
                <w:rFonts w:ascii="Times New Roman" w:hAnsi="Times New Roman"/>
              </w:rPr>
            </w:pPr>
            <w:r>
              <w:rPr>
                <w:rFonts w:ascii="Times New Roman" w:hAnsi="Times New Roman"/>
              </w:rPr>
              <w:t>−0.912</w:t>
            </w:r>
          </w:p>
        </w:tc>
      </w:tr>
      <w:tr w:rsidR="00C50FD8" w14:paraId="3E946B78" w14:textId="77777777" w:rsidTr="00C50FD8">
        <w:trPr>
          <w:trHeight w:val="284"/>
          <w:tblCellSpacing w:w="15" w:type="dxa"/>
        </w:trPr>
        <w:tc>
          <w:tcPr>
            <w:tcW w:w="2905" w:type="dxa"/>
            <w:tcMar>
              <w:top w:w="15" w:type="dxa"/>
              <w:left w:w="15" w:type="dxa"/>
              <w:bottom w:w="15" w:type="dxa"/>
              <w:right w:w="15" w:type="dxa"/>
            </w:tcMar>
            <w:vAlign w:val="center"/>
            <w:hideMark/>
          </w:tcPr>
          <w:p w14:paraId="67757BCE" w14:textId="77777777" w:rsidR="00C50FD8" w:rsidRDefault="00C50FD8">
            <w:pPr>
              <w:spacing w:line="360" w:lineRule="auto"/>
              <w:jc w:val="center"/>
              <w:rPr>
                <w:rFonts w:ascii="Times New Roman" w:hAnsi="Times New Roman"/>
              </w:rPr>
            </w:pPr>
            <w:r>
              <w:rPr>
                <w:rFonts w:ascii="Times New Roman" w:hAnsi="Times New Roman"/>
              </w:rPr>
              <w:t>Oven-dried</w:t>
            </w:r>
          </w:p>
        </w:tc>
        <w:tc>
          <w:tcPr>
            <w:tcW w:w="2225" w:type="dxa"/>
            <w:tcMar>
              <w:top w:w="15" w:type="dxa"/>
              <w:left w:w="15" w:type="dxa"/>
              <w:bottom w:w="15" w:type="dxa"/>
              <w:right w:w="15" w:type="dxa"/>
            </w:tcMar>
            <w:vAlign w:val="center"/>
            <w:hideMark/>
          </w:tcPr>
          <w:p w14:paraId="211B7E75"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36CF0235" w14:textId="77777777" w:rsidR="00C50FD8" w:rsidRDefault="00C50FD8">
            <w:pPr>
              <w:spacing w:line="360" w:lineRule="auto"/>
              <w:jc w:val="center"/>
              <w:rPr>
                <w:rFonts w:ascii="Times New Roman" w:hAnsi="Times New Roman"/>
              </w:rPr>
            </w:pPr>
            <w:r>
              <w:rPr>
                <w:rFonts w:ascii="Times New Roman" w:hAnsi="Times New Roman"/>
              </w:rPr>
              <w:t>−0.986</w:t>
            </w:r>
          </w:p>
        </w:tc>
      </w:tr>
      <w:tr w:rsidR="00C50FD8" w14:paraId="0D41E719" w14:textId="77777777" w:rsidTr="00C50FD8">
        <w:trPr>
          <w:trHeight w:val="555"/>
          <w:tblCellSpacing w:w="15" w:type="dxa"/>
        </w:trPr>
        <w:tc>
          <w:tcPr>
            <w:tcW w:w="2905" w:type="dxa"/>
            <w:tcMar>
              <w:top w:w="15" w:type="dxa"/>
              <w:left w:w="15" w:type="dxa"/>
              <w:bottom w:w="15" w:type="dxa"/>
              <w:right w:w="15" w:type="dxa"/>
            </w:tcMar>
            <w:vAlign w:val="center"/>
            <w:hideMark/>
          </w:tcPr>
          <w:p w14:paraId="5EEBA79E"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118A4E1D"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01E36FBA" w14:textId="77777777" w:rsidR="00C50FD8" w:rsidRDefault="00C50FD8">
            <w:pPr>
              <w:spacing w:line="360" w:lineRule="auto"/>
              <w:jc w:val="center"/>
              <w:rPr>
                <w:rFonts w:ascii="Times New Roman" w:hAnsi="Times New Roman"/>
              </w:rPr>
            </w:pPr>
            <w:r>
              <w:rPr>
                <w:rFonts w:ascii="Times New Roman" w:hAnsi="Times New Roman"/>
              </w:rPr>
              <w:t>−0.908</w:t>
            </w:r>
          </w:p>
        </w:tc>
      </w:tr>
      <w:tr w:rsidR="00C50FD8" w14:paraId="6BA444CD" w14:textId="77777777" w:rsidTr="00C50FD8">
        <w:trPr>
          <w:trHeight w:val="271"/>
          <w:tblCellSpacing w:w="15" w:type="dxa"/>
        </w:trPr>
        <w:tc>
          <w:tcPr>
            <w:tcW w:w="2905" w:type="dxa"/>
            <w:tcMar>
              <w:top w:w="15" w:type="dxa"/>
              <w:left w:w="15" w:type="dxa"/>
              <w:bottom w:w="15" w:type="dxa"/>
              <w:right w:w="15" w:type="dxa"/>
            </w:tcMar>
            <w:vAlign w:val="center"/>
            <w:hideMark/>
          </w:tcPr>
          <w:p w14:paraId="344B6A39"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4C36E9C2"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71B298FE" w14:textId="77777777" w:rsidR="00C50FD8" w:rsidRDefault="00C50FD8">
            <w:pPr>
              <w:spacing w:line="360" w:lineRule="auto"/>
              <w:jc w:val="center"/>
              <w:rPr>
                <w:rFonts w:ascii="Times New Roman" w:hAnsi="Times New Roman"/>
              </w:rPr>
            </w:pPr>
            <w:r>
              <w:rPr>
                <w:rFonts w:ascii="Times New Roman" w:hAnsi="Times New Roman"/>
              </w:rPr>
              <w:t>−0.899</w:t>
            </w:r>
          </w:p>
        </w:tc>
      </w:tr>
      <w:tr w:rsidR="00C50FD8" w14:paraId="06F261AB" w14:textId="77777777" w:rsidTr="00C50FD8">
        <w:trPr>
          <w:trHeight w:val="284"/>
          <w:tblCellSpacing w:w="15" w:type="dxa"/>
        </w:trPr>
        <w:tc>
          <w:tcPr>
            <w:tcW w:w="2905" w:type="dxa"/>
            <w:tcMar>
              <w:top w:w="15" w:type="dxa"/>
              <w:left w:w="15" w:type="dxa"/>
              <w:bottom w:w="15" w:type="dxa"/>
              <w:right w:w="15" w:type="dxa"/>
            </w:tcMar>
            <w:vAlign w:val="center"/>
            <w:hideMark/>
          </w:tcPr>
          <w:p w14:paraId="17F0687B" w14:textId="77777777" w:rsidR="00C50FD8" w:rsidRDefault="00C50FD8">
            <w:pPr>
              <w:spacing w:line="360" w:lineRule="auto"/>
              <w:jc w:val="center"/>
              <w:rPr>
                <w:rFonts w:ascii="Times New Roman" w:hAnsi="Times New Roman"/>
              </w:rPr>
            </w:pPr>
            <w:r>
              <w:rPr>
                <w:rFonts w:ascii="Times New Roman" w:hAnsi="Times New Roman"/>
              </w:rPr>
              <w:t>Control</w:t>
            </w:r>
          </w:p>
        </w:tc>
        <w:tc>
          <w:tcPr>
            <w:tcW w:w="2225" w:type="dxa"/>
            <w:tcMar>
              <w:top w:w="15" w:type="dxa"/>
              <w:left w:w="15" w:type="dxa"/>
              <w:bottom w:w="15" w:type="dxa"/>
              <w:right w:w="15" w:type="dxa"/>
            </w:tcMar>
            <w:vAlign w:val="center"/>
            <w:hideMark/>
          </w:tcPr>
          <w:p w14:paraId="7CE501D5"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78844FB2" w14:textId="77777777" w:rsidR="00C50FD8" w:rsidRDefault="00C50FD8">
            <w:pPr>
              <w:spacing w:line="360" w:lineRule="auto"/>
              <w:jc w:val="center"/>
              <w:rPr>
                <w:rFonts w:ascii="Times New Roman" w:hAnsi="Times New Roman"/>
              </w:rPr>
            </w:pPr>
            <w:r>
              <w:rPr>
                <w:rFonts w:ascii="Times New Roman" w:hAnsi="Times New Roman"/>
              </w:rPr>
              <w:t>−0.960</w:t>
            </w:r>
          </w:p>
        </w:tc>
      </w:tr>
      <w:tr w:rsidR="00C50FD8" w14:paraId="2DE76613" w14:textId="77777777" w:rsidTr="00C50FD8">
        <w:trPr>
          <w:trHeight w:val="555"/>
          <w:tblCellSpacing w:w="15" w:type="dxa"/>
        </w:trPr>
        <w:tc>
          <w:tcPr>
            <w:tcW w:w="2905" w:type="dxa"/>
            <w:tcMar>
              <w:top w:w="15" w:type="dxa"/>
              <w:left w:w="15" w:type="dxa"/>
              <w:bottom w:w="15" w:type="dxa"/>
              <w:right w:w="15" w:type="dxa"/>
            </w:tcMar>
            <w:vAlign w:val="center"/>
            <w:hideMark/>
          </w:tcPr>
          <w:p w14:paraId="1B99964B"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6E27856C"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7D3679B1" w14:textId="77777777" w:rsidR="00C50FD8" w:rsidRDefault="00C50FD8">
            <w:pPr>
              <w:spacing w:line="360" w:lineRule="auto"/>
              <w:jc w:val="center"/>
              <w:rPr>
                <w:rFonts w:ascii="Times New Roman" w:hAnsi="Times New Roman"/>
              </w:rPr>
            </w:pPr>
            <w:r>
              <w:rPr>
                <w:rFonts w:ascii="Times New Roman" w:hAnsi="Times New Roman"/>
              </w:rPr>
              <w:t>−0.953</w:t>
            </w:r>
          </w:p>
        </w:tc>
      </w:tr>
      <w:tr w:rsidR="00C50FD8" w14:paraId="213CBEB0" w14:textId="77777777" w:rsidTr="00C50FD8">
        <w:trPr>
          <w:trHeight w:val="284"/>
          <w:tblCellSpacing w:w="15" w:type="dxa"/>
        </w:trPr>
        <w:tc>
          <w:tcPr>
            <w:tcW w:w="2905" w:type="dxa"/>
            <w:tcBorders>
              <w:top w:val="nil"/>
              <w:left w:val="nil"/>
              <w:bottom w:val="single" w:sz="4" w:space="0" w:color="auto"/>
              <w:right w:val="nil"/>
            </w:tcBorders>
            <w:tcMar>
              <w:top w:w="15" w:type="dxa"/>
              <w:left w:w="15" w:type="dxa"/>
              <w:bottom w:w="15" w:type="dxa"/>
              <w:right w:w="15" w:type="dxa"/>
            </w:tcMar>
            <w:vAlign w:val="center"/>
            <w:hideMark/>
          </w:tcPr>
          <w:p w14:paraId="2143BA99" w14:textId="77777777" w:rsidR="00C50FD8" w:rsidRDefault="00C50FD8">
            <w:pPr>
              <w:rPr>
                <w:rFonts w:ascii="Times New Roman" w:hAnsi="Times New Roman"/>
              </w:rPr>
            </w:pPr>
          </w:p>
        </w:tc>
        <w:tc>
          <w:tcPr>
            <w:tcW w:w="2225" w:type="dxa"/>
            <w:tcBorders>
              <w:top w:val="nil"/>
              <w:left w:val="nil"/>
              <w:bottom w:val="single" w:sz="4" w:space="0" w:color="auto"/>
              <w:right w:val="nil"/>
            </w:tcBorders>
            <w:tcMar>
              <w:top w:w="15" w:type="dxa"/>
              <w:left w:w="15" w:type="dxa"/>
              <w:bottom w:w="15" w:type="dxa"/>
              <w:right w:w="15" w:type="dxa"/>
            </w:tcMar>
            <w:vAlign w:val="center"/>
            <w:hideMark/>
          </w:tcPr>
          <w:p w14:paraId="3E5A554D"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Borders>
              <w:top w:val="nil"/>
              <w:left w:val="nil"/>
              <w:bottom w:val="single" w:sz="4" w:space="0" w:color="auto"/>
              <w:right w:val="nil"/>
            </w:tcBorders>
            <w:tcMar>
              <w:top w:w="15" w:type="dxa"/>
              <w:left w:w="15" w:type="dxa"/>
              <w:bottom w:w="15" w:type="dxa"/>
              <w:right w:w="15" w:type="dxa"/>
            </w:tcMar>
            <w:vAlign w:val="center"/>
            <w:hideMark/>
          </w:tcPr>
          <w:p w14:paraId="2A873D05" w14:textId="77777777" w:rsidR="00C50FD8" w:rsidRDefault="00C50FD8">
            <w:pPr>
              <w:spacing w:line="360" w:lineRule="auto"/>
              <w:jc w:val="center"/>
              <w:rPr>
                <w:rFonts w:ascii="Times New Roman" w:hAnsi="Times New Roman"/>
              </w:rPr>
            </w:pPr>
            <w:r>
              <w:rPr>
                <w:rFonts w:ascii="Times New Roman" w:hAnsi="Times New Roman"/>
              </w:rPr>
              <w:t>−0.899</w:t>
            </w:r>
          </w:p>
        </w:tc>
      </w:tr>
    </w:tbl>
    <w:p w14:paraId="326C1F8F" w14:textId="77777777" w:rsidR="00C50FD8" w:rsidRDefault="00C50FD8" w:rsidP="00C50FD8">
      <w:pPr>
        <w:spacing w:after="100" w:afterAutospacing="1" w:line="480" w:lineRule="auto"/>
        <w:jc w:val="both"/>
        <w:outlineLvl w:val="2"/>
        <w:rPr>
          <w:rFonts w:ascii="Times New Roman" w:eastAsiaTheme="minorEastAsia" w:hAnsi="Times New Roman"/>
          <w:b/>
          <w:bCs/>
          <w:kern w:val="2"/>
          <w14:ligatures w14:val="standardContextual"/>
        </w:rPr>
      </w:pPr>
      <w:r>
        <w:rPr>
          <w:rStyle w:val="Emphasis"/>
        </w:rPr>
        <w:t>r</w:t>
      </w:r>
      <w:r>
        <w:rPr>
          <w:rFonts w:ascii="Times New Roman" w:hAnsi="Times New Roman"/>
        </w:rPr>
        <w:t xml:space="preserve"> = Pearson correlation coefficient. </w:t>
      </w:r>
    </w:p>
    <w:p w14:paraId="79037E92" w14:textId="77777777" w:rsidR="00C50FD8" w:rsidRDefault="00C50FD8" w:rsidP="00C50FD8">
      <w:pPr>
        <w:spacing w:before="240"/>
        <w:rPr>
          <w:rFonts w:ascii="Times New Roman" w:hAnsi="Times New Roman"/>
          <w:b/>
          <w:bCs/>
        </w:rPr>
      </w:pPr>
      <w:r>
        <w:rPr>
          <w:rFonts w:ascii="Times New Roman" w:hAnsi="Times New Roman"/>
          <w:b/>
          <w:bCs/>
        </w:rPr>
        <w:t>Discussion</w:t>
      </w:r>
    </w:p>
    <w:p w14:paraId="161BAE23" w14:textId="77777777" w:rsidR="00C50FD8" w:rsidRDefault="00C50FD8" w:rsidP="00C50FD8">
      <w:pPr>
        <w:spacing w:line="480" w:lineRule="auto"/>
        <w:jc w:val="both"/>
        <w:rPr>
          <w:rStyle w:val="Strong"/>
        </w:rPr>
      </w:pPr>
      <w:r>
        <w:rPr>
          <w:rFonts w:ascii="Times New Roman" w:hAnsi="Times New Roman"/>
        </w:rPr>
        <w:t xml:space="preserve">The increasing demand for sustainable and affordable livestock feed has encouraged the utilization of unconventional feed resources such as </w:t>
      </w:r>
      <w:r>
        <w:rPr>
          <w:rStyle w:val="Emphasis"/>
          <w:rFonts w:ascii="Times New Roman" w:hAnsi="Times New Roman"/>
        </w:rPr>
        <w:t>Eichhornia crassipes</w:t>
      </w:r>
      <w:r>
        <w:rPr>
          <w:rFonts w:ascii="Times New Roman" w:hAnsi="Times New Roman"/>
        </w:rPr>
        <w:t>. Water hyacinth contains appreciable nutrients, particularly protein and minerals, and its rapid biomass production makes it a potential alternative feed resource when properly processed (</w:t>
      </w:r>
      <w:proofErr w:type="spellStart"/>
      <w:r>
        <w:rPr>
          <w:rFonts w:ascii="Times New Roman" w:hAnsi="Times New Roman"/>
        </w:rPr>
        <w:t>Nandiyanto</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2024; Rajan </w:t>
      </w:r>
      <w:r>
        <w:rPr>
          <w:rFonts w:ascii="Times New Roman" w:hAnsi="Times New Roman"/>
          <w:i/>
        </w:rPr>
        <w:t>et al</w:t>
      </w:r>
      <w:r>
        <w:rPr>
          <w:rFonts w:ascii="Times New Roman" w:hAnsi="Times New Roman"/>
        </w:rPr>
        <w:t xml:space="preserve">., 2023). However, its high moisture and </w:t>
      </w:r>
      <w:proofErr w:type="spellStart"/>
      <w:r>
        <w:rPr>
          <w:rFonts w:ascii="Times New Roman" w:hAnsi="Times New Roman"/>
        </w:rPr>
        <w:t>fibre</w:t>
      </w:r>
      <w:proofErr w:type="spellEnd"/>
      <w:r>
        <w:rPr>
          <w:rFonts w:ascii="Times New Roman" w:hAnsi="Times New Roman"/>
        </w:rPr>
        <w:t xml:space="preserve"> contents and the presence of anti-nutritional factors may limit nutrient utilization and overall feed value. Processing can therefore modify its </w:t>
      </w:r>
      <w:r w:rsidRPr="006578BB">
        <w:rPr>
          <w:rStyle w:val="Strong"/>
          <w:rFonts w:ascii="Times New Roman" w:hAnsi="Times New Roman"/>
          <w:b w:val="0"/>
        </w:rPr>
        <w:t xml:space="preserve">protein and nitrogen contents, free amino acid availability, </w:t>
      </w:r>
      <w:proofErr w:type="spellStart"/>
      <w:r w:rsidRPr="006578BB">
        <w:rPr>
          <w:rStyle w:val="Strong"/>
          <w:rFonts w:ascii="Times New Roman" w:hAnsi="Times New Roman"/>
          <w:b w:val="0"/>
        </w:rPr>
        <w:t>fibre</w:t>
      </w:r>
      <w:proofErr w:type="spellEnd"/>
      <w:r w:rsidRPr="006578BB">
        <w:rPr>
          <w:rStyle w:val="Strong"/>
          <w:rFonts w:ascii="Times New Roman" w:hAnsi="Times New Roman"/>
          <w:b w:val="0"/>
        </w:rPr>
        <w:t xml:space="preserve"> fractions and anti-nutritional factors</w:t>
      </w:r>
      <w:r w:rsidRPr="006578BB">
        <w:rPr>
          <w:rFonts w:ascii="Times New Roman" w:hAnsi="Times New Roman"/>
          <w:b/>
        </w:rPr>
        <w:t>,</w:t>
      </w:r>
      <w:r>
        <w:rPr>
          <w:rFonts w:ascii="Times New Roman" w:hAnsi="Times New Roman"/>
        </w:rPr>
        <w:t xml:space="preserve"> while potentially improving protein accessibility and digestibility (Ben Bakrim </w:t>
      </w:r>
      <w:r>
        <w:rPr>
          <w:rFonts w:ascii="Times New Roman" w:hAnsi="Times New Roman"/>
          <w:i/>
        </w:rPr>
        <w:t>et al</w:t>
      </w:r>
      <w:r>
        <w:rPr>
          <w:rFonts w:ascii="Times New Roman" w:hAnsi="Times New Roman"/>
        </w:rPr>
        <w:t xml:space="preserve">., 2022; Mako </w:t>
      </w:r>
      <w:r>
        <w:rPr>
          <w:rFonts w:ascii="Times New Roman" w:hAnsi="Times New Roman"/>
          <w:i/>
        </w:rPr>
        <w:t>et al</w:t>
      </w:r>
      <w:r>
        <w:rPr>
          <w:rFonts w:ascii="Times New Roman" w:hAnsi="Times New Roman"/>
        </w:rPr>
        <w:t>., 2021).</w:t>
      </w:r>
    </w:p>
    <w:p w14:paraId="3EF43B5F" w14:textId="77777777" w:rsidR="00C50FD8" w:rsidRDefault="00C50FD8" w:rsidP="00C50FD8">
      <w:pPr>
        <w:spacing w:line="480" w:lineRule="auto"/>
        <w:jc w:val="both"/>
      </w:pPr>
      <w:r>
        <w:rPr>
          <w:rFonts w:ascii="Times New Roman" w:hAnsi="Times New Roman"/>
        </w:rPr>
        <w:t xml:space="preserve">The </w:t>
      </w:r>
      <w:r w:rsidR="006578BB">
        <w:rPr>
          <w:rFonts w:ascii="Times New Roman" w:hAnsi="Times New Roman"/>
        </w:rPr>
        <w:t>results</w:t>
      </w:r>
      <w:r>
        <w:rPr>
          <w:rFonts w:ascii="Times New Roman" w:hAnsi="Times New Roman"/>
        </w:rPr>
        <w:t xml:space="preserve"> in </w:t>
      </w:r>
      <w:r w:rsidR="006578BB">
        <w:rPr>
          <w:rFonts w:ascii="Times New Roman" w:hAnsi="Times New Roman"/>
        </w:rPr>
        <w:t>Table</w:t>
      </w:r>
      <w:r>
        <w:rPr>
          <w:rFonts w:ascii="Times New Roman" w:hAnsi="Times New Roman"/>
        </w:rPr>
        <w:t xml:space="preserve"> 1 showed that processing significantly affected the protein and nitrogen contents of </w:t>
      </w:r>
      <w:r>
        <w:rPr>
          <w:rFonts w:ascii="Times New Roman" w:hAnsi="Times New Roman"/>
          <w:i/>
          <w:iCs/>
        </w:rPr>
        <w:t>Eichhornia crassipes</w:t>
      </w:r>
      <w:r>
        <w:rPr>
          <w:rFonts w:ascii="Times New Roman" w:hAnsi="Times New Roman"/>
        </w:rPr>
        <w:t xml:space="preserve"> (</w:t>
      </w:r>
      <w:r>
        <w:rPr>
          <w:rFonts w:ascii="Times New Roman" w:hAnsi="Times New Roman"/>
          <w:i/>
        </w:rPr>
        <w:t>p &lt; 0.05</w:t>
      </w:r>
      <w:r>
        <w:rPr>
          <w:rFonts w:ascii="Times New Roman" w:hAnsi="Times New Roman"/>
        </w:rPr>
        <w:t>). The unprocessed control had the highest protein (</w:t>
      </w:r>
      <w:r>
        <w:rPr>
          <w:rFonts w:ascii="Times New Roman" w:hAnsi="Times New Roman"/>
          <w:bCs/>
        </w:rPr>
        <w:t>48.47 ± 0.47%</w:t>
      </w:r>
      <w:r>
        <w:rPr>
          <w:rFonts w:ascii="Times New Roman" w:hAnsi="Times New Roman"/>
        </w:rPr>
        <w:t>) and nitrogen (</w:t>
      </w:r>
      <w:r>
        <w:rPr>
          <w:rFonts w:ascii="Times New Roman" w:hAnsi="Times New Roman"/>
          <w:bCs/>
        </w:rPr>
        <w:t>7.76 ± 0.08%</w:t>
      </w:r>
      <w:r>
        <w:rPr>
          <w:rFonts w:ascii="Times New Roman" w:hAnsi="Times New Roman"/>
        </w:rPr>
        <w:t>), while oven drying retained relatively high concentrations (</w:t>
      </w:r>
      <w:r>
        <w:rPr>
          <w:rFonts w:ascii="Times New Roman" w:hAnsi="Times New Roman"/>
          <w:bCs/>
        </w:rPr>
        <w:t>46.93 ± 0.58% protein; 7.51 ± 0.09% nitrogen</w:t>
      </w:r>
      <w:r>
        <w:rPr>
          <w:rFonts w:ascii="Times New Roman" w:hAnsi="Times New Roman"/>
        </w:rPr>
        <w:t>). These were followed by boiling (</w:t>
      </w:r>
      <w:r>
        <w:rPr>
          <w:rFonts w:ascii="Times New Roman" w:hAnsi="Times New Roman"/>
          <w:bCs/>
        </w:rPr>
        <w:t>29.07 ± 0.31% protein; 4.65 ± 0.05% nitrogen</w:t>
      </w:r>
      <w:r>
        <w:rPr>
          <w:rFonts w:ascii="Times New Roman" w:hAnsi="Times New Roman"/>
        </w:rPr>
        <w:t>) and fermentation (</w:t>
      </w:r>
      <w:r>
        <w:rPr>
          <w:rFonts w:ascii="Times New Roman" w:hAnsi="Times New Roman"/>
          <w:bCs/>
        </w:rPr>
        <w:t>16.72 ± 0.10% protein; 2.68 ± 0.02% nitrogen</w:t>
      </w:r>
      <w:r>
        <w:rPr>
          <w:rFonts w:ascii="Times New Roman" w:hAnsi="Times New Roman"/>
        </w:rPr>
        <w:t xml:space="preserve">). The significant differences among all treatments indicate that the processing conditions produced distinct effects on the nitrogenous constituents of the plant. The corresponding pattern observed for protein and nitrogen is expected because nitrogen is an essential component of protein and is therefore commonly used in estimating crude protein concentration. The relatively high retention of protein and nitrogen after oven drying indicates that this </w:t>
      </w:r>
      <w:r>
        <w:rPr>
          <w:rFonts w:ascii="Times New Roman" w:hAnsi="Times New Roman"/>
        </w:rPr>
        <w:lastRenderedPageBreak/>
        <w:t>treatment caused the least alteration of the nitrogenous composition among the processing methods. The slight reduction from (</w:t>
      </w:r>
      <w:r>
        <w:rPr>
          <w:rFonts w:ascii="Times New Roman" w:hAnsi="Times New Roman"/>
          <w:bCs/>
        </w:rPr>
        <w:t>48.47 ± 0.47% to 46.93 ± 0.58% protein)</w:t>
      </w:r>
      <w:r>
        <w:rPr>
          <w:rFonts w:ascii="Times New Roman" w:hAnsi="Times New Roman"/>
        </w:rPr>
        <w:t xml:space="preserve"> and from (</w:t>
      </w:r>
      <w:r>
        <w:rPr>
          <w:rFonts w:ascii="Times New Roman" w:hAnsi="Times New Roman"/>
          <w:bCs/>
        </w:rPr>
        <w:t>7.76 ±</w:t>
      </w:r>
      <w:r>
        <w:rPr>
          <w:rFonts w:ascii="Times New Roman" w:hAnsi="Times New Roman"/>
          <w:b/>
          <w:bCs/>
        </w:rPr>
        <w:t xml:space="preserve"> </w:t>
      </w:r>
      <w:r>
        <w:rPr>
          <w:rFonts w:ascii="Times New Roman" w:hAnsi="Times New Roman"/>
          <w:bCs/>
        </w:rPr>
        <w:t>0.08% to 7.51 ± 0.09% nitrogen)</w:t>
      </w:r>
      <w:r>
        <w:rPr>
          <w:rFonts w:ascii="Times New Roman" w:hAnsi="Times New Roman"/>
        </w:rPr>
        <w:t xml:space="preserve"> may be attributed mainly to moisture removal and possible thermal alteration of some nitrogen-containing compounds. Unlike boiling, oven drying does not expose the plant material to a water medium through which soluble nutrients can be lost. This makes drying particularly relevant for preserving nutrients in water hyacinth, whose high moisture content necessitates processing before storage and feed utilization. </w:t>
      </w:r>
      <w:proofErr w:type="spellStart"/>
      <w:r>
        <w:rPr>
          <w:rFonts w:ascii="Times New Roman" w:hAnsi="Times New Roman"/>
        </w:rPr>
        <w:t>Nandiyanto</w:t>
      </w:r>
      <w:proofErr w:type="spellEnd"/>
      <w:r>
        <w:rPr>
          <w:rFonts w:ascii="Times New Roman" w:hAnsi="Times New Roman"/>
        </w:rPr>
        <w:t xml:space="preserve"> </w:t>
      </w:r>
      <w:r>
        <w:rPr>
          <w:rFonts w:ascii="Times New Roman" w:hAnsi="Times New Roman"/>
          <w:i/>
        </w:rPr>
        <w:t>et al</w:t>
      </w:r>
      <w:r>
        <w:rPr>
          <w:rFonts w:ascii="Times New Roman" w:hAnsi="Times New Roman"/>
        </w:rPr>
        <w:t>., (2024) emphasized that drying is an important processing approach for converting water hyacinth biomass into a more stable and useful material, although the final nutritional characteristics depend on the processing conditions employed.</w:t>
      </w:r>
    </w:p>
    <w:p w14:paraId="3A96905E" w14:textId="77777777" w:rsidR="00C50FD8" w:rsidRDefault="00C50FD8" w:rsidP="00C50FD8">
      <w:pPr>
        <w:spacing w:line="480" w:lineRule="auto"/>
        <w:jc w:val="both"/>
        <w:rPr>
          <w:rFonts w:ascii="Times New Roman" w:hAnsi="Times New Roman"/>
        </w:rPr>
      </w:pPr>
      <w:r>
        <w:rPr>
          <w:rFonts w:ascii="Times New Roman" w:hAnsi="Times New Roman"/>
        </w:rPr>
        <w:t>The greater reduction observed following boiling may be associated with the combined effects of heat and water on the plant matrix. The reduction in protein from (</w:t>
      </w:r>
      <w:r>
        <w:rPr>
          <w:rFonts w:ascii="Times New Roman" w:hAnsi="Times New Roman"/>
          <w:bCs/>
        </w:rPr>
        <w:t>48.47 ± 0.47%) in the control to (29.07 ± 0.31%)</w:t>
      </w:r>
      <w:r>
        <w:rPr>
          <w:rFonts w:ascii="Times New Roman" w:hAnsi="Times New Roman"/>
        </w:rPr>
        <w:t xml:space="preserve"> and nitrogen from (</w:t>
      </w:r>
      <w:r>
        <w:rPr>
          <w:rFonts w:ascii="Times New Roman" w:hAnsi="Times New Roman"/>
          <w:bCs/>
        </w:rPr>
        <w:t>7.76 ± 0.08% to 4.65 ± 0.05%)</w:t>
      </w:r>
      <w:r>
        <w:rPr>
          <w:rFonts w:ascii="Times New Roman" w:hAnsi="Times New Roman"/>
        </w:rPr>
        <w:t xml:space="preserve"> suggests a substantial alteration of the nitrogenous fraction. One possible explanation is the leaching of soluble nitrogen-containing compounds into the boiling water, particularly where the cooking liquor is discarded. Heat may also cause structural changes in proteins and other cellular components, thereby affecting their subsequent recovery during analysis. Mako </w:t>
      </w:r>
      <w:r>
        <w:rPr>
          <w:rFonts w:ascii="Times New Roman" w:hAnsi="Times New Roman"/>
          <w:i/>
        </w:rPr>
        <w:t>et al.,</w:t>
      </w:r>
      <w:r>
        <w:rPr>
          <w:rFonts w:ascii="Times New Roman" w:hAnsi="Times New Roman"/>
        </w:rPr>
        <w:t xml:space="preserve"> (2021) similarly reported that processing methods significantly influenced the nutritional composition of water hyacinth, demonstrating that the method employed is an important determinant of its final feed characteristics. Fermentation produced the greatest reduction in both protein and nitrogen, with values falling to (</w:t>
      </w:r>
      <w:r>
        <w:rPr>
          <w:rFonts w:ascii="Times New Roman" w:hAnsi="Times New Roman"/>
          <w:bCs/>
        </w:rPr>
        <w:t>16.72 ± 0.10%</w:t>
      </w:r>
      <w:r>
        <w:rPr>
          <w:rFonts w:ascii="Times New Roman" w:hAnsi="Times New Roman"/>
        </w:rPr>
        <w:t xml:space="preserve"> and </w:t>
      </w:r>
      <w:r>
        <w:rPr>
          <w:rFonts w:ascii="Times New Roman" w:hAnsi="Times New Roman"/>
          <w:bCs/>
        </w:rPr>
        <w:t>2.68 ± 0.02%</w:t>
      </w:r>
      <w:r>
        <w:rPr>
          <w:rFonts w:ascii="Times New Roman" w:hAnsi="Times New Roman"/>
        </w:rPr>
        <w:t xml:space="preserve">,) respectively. This observation differs from studies in which fermentation increased the apparent protein concentration of water hyacinth. Emshaw </w:t>
      </w:r>
      <w:r>
        <w:rPr>
          <w:rFonts w:ascii="Times New Roman" w:hAnsi="Times New Roman"/>
          <w:i/>
        </w:rPr>
        <w:t>et al.,</w:t>
      </w:r>
      <w:r>
        <w:rPr>
          <w:rFonts w:ascii="Times New Roman" w:hAnsi="Times New Roman"/>
        </w:rPr>
        <w:t xml:space="preserve"> (2021)</w:t>
      </w:r>
      <w:r w:rsidR="006578BB">
        <w:rPr>
          <w:rFonts w:ascii="Times New Roman" w:hAnsi="Times New Roman"/>
        </w:rPr>
        <w:t>,</w:t>
      </w:r>
      <w:r>
        <w:rPr>
          <w:rFonts w:ascii="Times New Roman" w:hAnsi="Times New Roman"/>
        </w:rPr>
        <w:t xml:space="preserve"> for example, reported improved crude protein characteristics following fermentation of water hyacinth with </w:t>
      </w:r>
      <w:r>
        <w:rPr>
          <w:rFonts w:ascii="Times New Roman" w:hAnsi="Times New Roman"/>
          <w:i/>
          <w:iCs/>
        </w:rPr>
        <w:t xml:space="preserve">Aspergillus </w:t>
      </w:r>
      <w:proofErr w:type="spellStart"/>
      <w:r>
        <w:rPr>
          <w:rFonts w:ascii="Times New Roman" w:hAnsi="Times New Roman"/>
          <w:i/>
          <w:iCs/>
        </w:rPr>
        <w:t>niger</w:t>
      </w:r>
      <w:proofErr w:type="spellEnd"/>
      <w:r>
        <w:rPr>
          <w:rFonts w:ascii="Times New Roman" w:hAnsi="Times New Roman"/>
        </w:rPr>
        <w:t>. Such differences may arise from variations in the microorganisms involved, fermentation duration, moisture content, substrate composition</w:t>
      </w:r>
      <w:r w:rsidR="006578BB">
        <w:rPr>
          <w:rFonts w:ascii="Times New Roman" w:hAnsi="Times New Roman"/>
        </w:rPr>
        <w:t>,</w:t>
      </w:r>
      <w:r>
        <w:rPr>
          <w:rFonts w:ascii="Times New Roman" w:hAnsi="Times New Roman"/>
        </w:rPr>
        <w:t xml:space="preserve"> and other fermentation conditions. Microorganisms may utilize readily available nitrogenous substrates during growth, while proteins and other nitrogen-containing compounds may also undergo hydrolysis and redistribution during fermentation. Thus, the lower total nitrogen observed in the present fermented sample may reflect the specific fermentation conditions used rather than indicating that fermentation universally reduces the nutritional value of water hyacinth. From the perspective of livestock nutrition, the preservation of nitrogen and protein observed in the oven-dried sample is important because these nutrients contribute directly to the protein supply of an animal diet. However, the higher protein retention following oven drying should not be interpreted in isolation when selecting the most appropriate processing method. Fermentation and boiling may produce changes in other components of water hyacinth, particularly </w:t>
      </w:r>
      <w:proofErr w:type="spellStart"/>
      <w:r>
        <w:rPr>
          <w:rFonts w:ascii="Times New Roman" w:hAnsi="Times New Roman"/>
        </w:rPr>
        <w:t>fibre</w:t>
      </w:r>
      <w:proofErr w:type="spellEnd"/>
      <w:r>
        <w:rPr>
          <w:rFonts w:ascii="Times New Roman" w:hAnsi="Times New Roman"/>
        </w:rPr>
        <w:t xml:space="preserve"> and antinutritional factors, which can influence nutrient utilization. Thus, the findings suggest that </w:t>
      </w:r>
      <w:r w:rsidRPr="006578BB">
        <w:rPr>
          <w:rStyle w:val="Strong"/>
          <w:rFonts w:ascii="Times New Roman" w:hAnsi="Times New Roman"/>
          <w:b w:val="0"/>
        </w:rPr>
        <w:t>oven drying was the most effective treatment for preserving the nitrogen and protein contents of</w:t>
      </w:r>
      <w:r>
        <w:rPr>
          <w:rStyle w:val="Strong"/>
          <w:rFonts w:ascii="Times New Roman" w:hAnsi="Times New Roman"/>
        </w:rPr>
        <w:t xml:space="preserve"> </w:t>
      </w:r>
      <w:r>
        <w:rPr>
          <w:rFonts w:ascii="Times New Roman" w:hAnsi="Times New Roman"/>
          <w:i/>
          <w:iCs/>
        </w:rPr>
        <w:t>Eichhornia crassipes.</w:t>
      </w:r>
    </w:p>
    <w:p w14:paraId="3D2D2C5B" w14:textId="77777777" w:rsidR="00C50FD8" w:rsidRDefault="00C50FD8" w:rsidP="00C50FD8">
      <w:pPr>
        <w:spacing w:after="100" w:afterAutospacing="1" w:line="480" w:lineRule="auto"/>
        <w:jc w:val="both"/>
        <w:rPr>
          <w:rFonts w:ascii="Times New Roman" w:hAnsi="Times New Roman"/>
        </w:rPr>
      </w:pPr>
      <w:r>
        <w:rPr>
          <w:rFonts w:ascii="Times New Roman" w:hAnsi="Times New Roman"/>
        </w:rPr>
        <w:t xml:space="preserve">The </w:t>
      </w:r>
      <w:proofErr w:type="spellStart"/>
      <w:r>
        <w:rPr>
          <w:rFonts w:ascii="Times New Roman" w:hAnsi="Times New Roman"/>
        </w:rPr>
        <w:t>fibre</w:t>
      </w:r>
      <w:proofErr w:type="spellEnd"/>
      <w:r>
        <w:rPr>
          <w:rFonts w:ascii="Times New Roman" w:hAnsi="Times New Roman"/>
        </w:rPr>
        <w:t xml:space="preserve"> </w:t>
      </w:r>
      <w:r w:rsidR="006578BB">
        <w:rPr>
          <w:rFonts w:ascii="Times New Roman" w:hAnsi="Times New Roman"/>
        </w:rPr>
        <w:t>results</w:t>
      </w:r>
      <w:r>
        <w:rPr>
          <w:rFonts w:ascii="Times New Roman" w:hAnsi="Times New Roman"/>
        </w:rPr>
        <w:t xml:space="preserve"> in </w:t>
      </w:r>
      <w:r w:rsidR="006578BB">
        <w:rPr>
          <w:rFonts w:ascii="Times New Roman" w:hAnsi="Times New Roman"/>
        </w:rPr>
        <w:t>Table</w:t>
      </w:r>
      <w:r>
        <w:rPr>
          <w:rFonts w:ascii="Times New Roman" w:hAnsi="Times New Roman"/>
        </w:rPr>
        <w:t xml:space="preserve"> 2 showed a clear reduction in crude </w:t>
      </w:r>
      <w:proofErr w:type="spellStart"/>
      <w:r>
        <w:rPr>
          <w:rFonts w:ascii="Times New Roman" w:hAnsi="Times New Roman"/>
        </w:rPr>
        <w:t>fibre</w:t>
      </w:r>
      <w:proofErr w:type="spellEnd"/>
      <w:r>
        <w:rPr>
          <w:rFonts w:ascii="Times New Roman" w:hAnsi="Times New Roman"/>
        </w:rPr>
        <w:t xml:space="preserve">, NDF and ADF following processing, with fermentation producing the greatest reduction. Crude </w:t>
      </w:r>
      <w:proofErr w:type="spellStart"/>
      <w:r>
        <w:rPr>
          <w:rFonts w:ascii="Times New Roman" w:hAnsi="Times New Roman"/>
        </w:rPr>
        <w:t>fibre</w:t>
      </w:r>
      <w:proofErr w:type="spellEnd"/>
      <w:r>
        <w:rPr>
          <w:rFonts w:ascii="Times New Roman" w:hAnsi="Times New Roman"/>
        </w:rPr>
        <w:t>, NDF and ADF decreased from (</w:t>
      </w:r>
      <w:r>
        <w:rPr>
          <w:rFonts w:ascii="Times New Roman" w:hAnsi="Times New Roman"/>
          <w:bCs/>
        </w:rPr>
        <w:t>39.47 ± 0.50%, 57.13 ± 0.58% and 45.63 ± 0.52%)</w:t>
      </w:r>
      <w:r>
        <w:rPr>
          <w:rFonts w:ascii="Times New Roman" w:hAnsi="Times New Roman"/>
        </w:rPr>
        <w:t>, respectively, in the control to (</w:t>
      </w:r>
      <w:r>
        <w:rPr>
          <w:rFonts w:ascii="Times New Roman" w:hAnsi="Times New Roman"/>
          <w:bCs/>
        </w:rPr>
        <w:t>31.70 ± 0.26%, 46.83 ± 0.42% and 36.47 ± 0.38%)</w:t>
      </w:r>
      <w:r>
        <w:rPr>
          <w:rFonts w:ascii="Times New Roman" w:hAnsi="Times New Roman"/>
        </w:rPr>
        <w:t xml:space="preserve">, respectively, in the fermented sample. This finding agrees with </w:t>
      </w:r>
      <w:r>
        <w:rPr>
          <w:rFonts w:ascii="Times New Roman" w:hAnsi="Times New Roman"/>
          <w:bCs/>
        </w:rPr>
        <w:lastRenderedPageBreak/>
        <w:t xml:space="preserve">Abiola-Olagunju </w:t>
      </w:r>
      <w:r>
        <w:rPr>
          <w:rFonts w:ascii="Times New Roman" w:hAnsi="Times New Roman"/>
          <w:bCs/>
          <w:i/>
        </w:rPr>
        <w:t>et al.,</w:t>
      </w:r>
      <w:r>
        <w:rPr>
          <w:rFonts w:ascii="Times New Roman" w:hAnsi="Times New Roman"/>
          <w:bCs/>
        </w:rPr>
        <w:t xml:space="preserve"> (2025)</w:t>
      </w:r>
      <w:r>
        <w:rPr>
          <w:rFonts w:ascii="Times New Roman" w:hAnsi="Times New Roman"/>
        </w:rPr>
        <w:t xml:space="preserve"> who reported significant reductions in crude </w:t>
      </w:r>
      <w:proofErr w:type="spellStart"/>
      <w:r>
        <w:rPr>
          <w:rFonts w:ascii="Times New Roman" w:hAnsi="Times New Roman"/>
        </w:rPr>
        <w:t>fibre</w:t>
      </w:r>
      <w:proofErr w:type="spellEnd"/>
      <w:r>
        <w:rPr>
          <w:rFonts w:ascii="Times New Roman" w:hAnsi="Times New Roman"/>
        </w:rPr>
        <w:t xml:space="preserve">, NDF and ADF of water hyacinth following solid-state fermentation with </w:t>
      </w:r>
      <w:r>
        <w:rPr>
          <w:rFonts w:ascii="Times New Roman" w:hAnsi="Times New Roman"/>
          <w:i/>
          <w:iCs/>
        </w:rPr>
        <w:t xml:space="preserve">Pleurotus </w:t>
      </w:r>
      <w:proofErr w:type="spellStart"/>
      <w:r>
        <w:rPr>
          <w:rFonts w:ascii="Times New Roman" w:hAnsi="Times New Roman"/>
          <w:i/>
          <w:iCs/>
        </w:rPr>
        <w:t>florida</w:t>
      </w:r>
      <w:proofErr w:type="spellEnd"/>
      <w:r>
        <w:rPr>
          <w:rFonts w:ascii="Times New Roman" w:hAnsi="Times New Roman"/>
        </w:rPr>
        <w:t xml:space="preserve"> and </w:t>
      </w:r>
      <w:r>
        <w:rPr>
          <w:rFonts w:ascii="Times New Roman" w:hAnsi="Times New Roman"/>
          <w:i/>
          <w:iCs/>
        </w:rPr>
        <w:t xml:space="preserve">Pleurotus </w:t>
      </w:r>
      <w:proofErr w:type="spellStart"/>
      <w:r>
        <w:rPr>
          <w:rFonts w:ascii="Times New Roman" w:hAnsi="Times New Roman"/>
          <w:i/>
          <w:iCs/>
        </w:rPr>
        <w:t>sajor-caju</w:t>
      </w:r>
      <w:proofErr w:type="spellEnd"/>
      <w:r>
        <w:rPr>
          <w:rFonts w:ascii="Times New Roman" w:hAnsi="Times New Roman"/>
        </w:rPr>
        <w:t xml:space="preserve">. Their untreated water hyacinth contained 21.23% crude </w:t>
      </w:r>
      <w:proofErr w:type="spellStart"/>
      <w:r>
        <w:rPr>
          <w:rFonts w:ascii="Times New Roman" w:hAnsi="Times New Roman"/>
        </w:rPr>
        <w:t>fibre</w:t>
      </w:r>
      <w:proofErr w:type="spellEnd"/>
      <w:r>
        <w:rPr>
          <w:rFonts w:ascii="Times New Roman" w:hAnsi="Times New Roman"/>
        </w:rPr>
        <w:t xml:space="preserve">, (66.80%) NDF and (36.90% ADF), while fungal treatment reduced these values, demonstrating the ability of fermentation to modify structural </w:t>
      </w:r>
      <w:proofErr w:type="spellStart"/>
      <w:r>
        <w:rPr>
          <w:rFonts w:ascii="Times New Roman" w:hAnsi="Times New Roman"/>
        </w:rPr>
        <w:t>fibre</w:t>
      </w:r>
      <w:proofErr w:type="spellEnd"/>
      <w:r>
        <w:rPr>
          <w:rFonts w:ascii="Times New Roman" w:hAnsi="Times New Roman"/>
        </w:rPr>
        <w:t xml:space="preserve"> components. The reduction in NDF and ADF observed in the fermented sample also agrees with the findings of </w:t>
      </w:r>
      <w:r>
        <w:rPr>
          <w:rFonts w:ascii="Times New Roman" w:hAnsi="Times New Roman"/>
          <w:bCs/>
        </w:rPr>
        <w:t xml:space="preserve">Armin </w:t>
      </w:r>
      <w:r>
        <w:rPr>
          <w:rFonts w:ascii="Times New Roman" w:hAnsi="Times New Roman"/>
          <w:bCs/>
          <w:i/>
        </w:rPr>
        <w:t>et al.,</w:t>
      </w:r>
      <w:r>
        <w:rPr>
          <w:rFonts w:ascii="Times New Roman" w:hAnsi="Times New Roman"/>
          <w:bCs/>
        </w:rPr>
        <w:t xml:space="preserve"> (2021)</w:t>
      </w:r>
      <w:r>
        <w:rPr>
          <w:rFonts w:ascii="Times New Roman" w:hAnsi="Times New Roman"/>
        </w:rPr>
        <w:t xml:space="preserve"> who reported that fermentation of water hyacinth-based complete feed resulted in the lowest NDF and ADF at the optimum fermentation period. However, their study found that differences in fermentation duration did not significantly affect NDF and ADF, whereas this study showed significant differences among processing treatments. This difference may be attributed to variations in fermentation substrates, microbial inoculum, fermentation duration and processing conditions. </w:t>
      </w:r>
    </w:p>
    <w:p w14:paraId="090B8078" w14:textId="77777777" w:rsidR="00C50FD8" w:rsidRDefault="00C50FD8" w:rsidP="00C50FD8">
      <w:pPr>
        <w:spacing w:line="480" w:lineRule="auto"/>
        <w:jc w:val="both"/>
        <w:rPr>
          <w:rFonts w:ascii="Times New Roman" w:hAnsi="Times New Roman"/>
        </w:rPr>
      </w:pPr>
      <w:r>
        <w:rPr>
          <w:rFonts w:ascii="Times New Roman" w:hAnsi="Times New Roman"/>
        </w:rPr>
        <w:t>The NDF value of the control water hyacinth in the present study (</w:t>
      </w:r>
      <w:r>
        <w:rPr>
          <w:rFonts w:ascii="Times New Roman" w:hAnsi="Times New Roman"/>
          <w:bCs/>
        </w:rPr>
        <w:t>57.13 ± 0.58%</w:t>
      </w:r>
      <w:r>
        <w:rPr>
          <w:rFonts w:ascii="Times New Roman" w:hAnsi="Times New Roman"/>
        </w:rPr>
        <w:t xml:space="preserve">) is within the range reported for water hyacinth in other feed studies. </w:t>
      </w:r>
      <w:r>
        <w:rPr>
          <w:rFonts w:ascii="Times New Roman" w:hAnsi="Times New Roman"/>
          <w:bCs/>
        </w:rPr>
        <w:t xml:space="preserve">Selim </w:t>
      </w:r>
      <w:r>
        <w:rPr>
          <w:rFonts w:ascii="Times New Roman" w:hAnsi="Times New Roman"/>
          <w:bCs/>
          <w:i/>
        </w:rPr>
        <w:t>et al.,</w:t>
      </w:r>
      <w:r>
        <w:rPr>
          <w:rFonts w:ascii="Times New Roman" w:hAnsi="Times New Roman"/>
          <w:bCs/>
        </w:rPr>
        <w:t xml:space="preserve"> (2022)</w:t>
      </w:r>
      <w:r>
        <w:rPr>
          <w:rFonts w:ascii="Times New Roman" w:hAnsi="Times New Roman"/>
        </w:rPr>
        <w:t xml:space="preserve"> reported NDF values ranging from (16.5 to 75.6%) among unconventional feed resources and identified water hyacinth as having appreciable </w:t>
      </w:r>
      <w:proofErr w:type="spellStart"/>
      <w:r>
        <w:rPr>
          <w:rFonts w:ascii="Times New Roman" w:hAnsi="Times New Roman"/>
        </w:rPr>
        <w:t>fibre</w:t>
      </w:r>
      <w:proofErr w:type="spellEnd"/>
      <w:r>
        <w:rPr>
          <w:rFonts w:ascii="Times New Roman" w:hAnsi="Times New Roman"/>
        </w:rPr>
        <w:t xml:space="preserve"> content. Their study further demonstrated that water hyacinth had measurable dry matter and organic matter degradation, indicating that despite its relatively high </w:t>
      </w:r>
      <w:proofErr w:type="spellStart"/>
      <w:r>
        <w:rPr>
          <w:rFonts w:ascii="Times New Roman" w:hAnsi="Times New Roman"/>
        </w:rPr>
        <w:t>fibre</w:t>
      </w:r>
      <w:proofErr w:type="spellEnd"/>
      <w:r>
        <w:rPr>
          <w:rFonts w:ascii="Times New Roman" w:hAnsi="Times New Roman"/>
        </w:rPr>
        <w:t xml:space="preserve"> content, it possesses potential as an unconventional feed resource.  Similarly, </w:t>
      </w:r>
      <w:r>
        <w:rPr>
          <w:rFonts w:ascii="Times New Roman" w:hAnsi="Times New Roman"/>
          <w:bCs/>
        </w:rPr>
        <w:t xml:space="preserve">Fanta </w:t>
      </w:r>
      <w:r>
        <w:rPr>
          <w:rFonts w:ascii="Times New Roman" w:hAnsi="Times New Roman"/>
          <w:bCs/>
          <w:i/>
        </w:rPr>
        <w:t>et al.,</w:t>
      </w:r>
      <w:r>
        <w:rPr>
          <w:rFonts w:ascii="Times New Roman" w:hAnsi="Times New Roman"/>
          <w:bCs/>
        </w:rPr>
        <w:t xml:space="preserve"> (2024)</w:t>
      </w:r>
      <w:r>
        <w:rPr>
          <w:rFonts w:ascii="Times New Roman" w:hAnsi="Times New Roman"/>
        </w:rPr>
        <w:t xml:space="preserve"> reported NDF and ADF values of (</w:t>
      </w:r>
      <w:r>
        <w:rPr>
          <w:rFonts w:ascii="Times New Roman" w:hAnsi="Times New Roman"/>
          <w:bCs/>
        </w:rPr>
        <w:t>52.38% and 39.56%)</w:t>
      </w:r>
      <w:r>
        <w:rPr>
          <w:rFonts w:ascii="Times New Roman" w:hAnsi="Times New Roman"/>
        </w:rPr>
        <w:t>, respectively, for water hyacinth leaves. These values are close to the present study's boiled sample (</w:t>
      </w:r>
      <w:r>
        <w:rPr>
          <w:rFonts w:ascii="Times New Roman" w:hAnsi="Times New Roman"/>
          <w:bCs/>
        </w:rPr>
        <w:t>50.27 ± 0.51% NDF and 39.93 ± 0.44% ADF</w:t>
      </w:r>
      <w:r>
        <w:rPr>
          <w:rFonts w:ascii="Times New Roman" w:hAnsi="Times New Roman"/>
        </w:rPr>
        <w:t xml:space="preserve">) and are also comparable with the fermented and oven-dried samples. This similarity supports the plausibility of the present </w:t>
      </w:r>
      <w:proofErr w:type="spellStart"/>
      <w:r>
        <w:rPr>
          <w:rFonts w:ascii="Times New Roman" w:hAnsi="Times New Roman"/>
        </w:rPr>
        <w:t>fibre</w:t>
      </w:r>
      <w:proofErr w:type="spellEnd"/>
      <w:r>
        <w:rPr>
          <w:rFonts w:ascii="Times New Roman" w:hAnsi="Times New Roman"/>
        </w:rPr>
        <w:t xml:space="preserve"> values and indicates that the magnitude of NDF and ADF in water hyacinth can vary according to plant material, location, maturity</w:t>
      </w:r>
      <w:r w:rsidR="006578BB">
        <w:rPr>
          <w:rFonts w:ascii="Times New Roman" w:hAnsi="Times New Roman"/>
        </w:rPr>
        <w:t>,</w:t>
      </w:r>
      <w:r>
        <w:rPr>
          <w:rFonts w:ascii="Times New Roman" w:hAnsi="Times New Roman"/>
        </w:rPr>
        <w:t xml:space="preserve"> and processing history.</w:t>
      </w:r>
    </w:p>
    <w:p w14:paraId="194C342B" w14:textId="77777777" w:rsidR="00C50FD8" w:rsidRDefault="00C50FD8" w:rsidP="00C50FD8">
      <w:pPr>
        <w:spacing w:line="480" w:lineRule="auto"/>
        <w:jc w:val="both"/>
        <w:rPr>
          <w:rFonts w:ascii="Times New Roman" w:hAnsi="Times New Roman"/>
        </w:rPr>
      </w:pPr>
      <w:r>
        <w:rPr>
          <w:rFonts w:ascii="Times New Roman" w:hAnsi="Times New Roman"/>
        </w:rPr>
        <w:t xml:space="preserve">The greater reduction produced by fermentation compared with boiling and oven drying is nutritionally important. </w:t>
      </w:r>
      <w:r>
        <w:rPr>
          <w:rFonts w:ascii="Times New Roman" w:hAnsi="Times New Roman"/>
          <w:bCs/>
        </w:rPr>
        <w:t xml:space="preserve">Hundal </w:t>
      </w:r>
      <w:r>
        <w:rPr>
          <w:rFonts w:ascii="Times New Roman" w:hAnsi="Times New Roman"/>
          <w:bCs/>
          <w:i/>
        </w:rPr>
        <w:t>et al.,</w:t>
      </w:r>
      <w:r>
        <w:rPr>
          <w:rFonts w:ascii="Times New Roman" w:hAnsi="Times New Roman"/>
          <w:bCs/>
        </w:rPr>
        <w:t xml:space="preserve"> (2025)</w:t>
      </w:r>
      <w:r>
        <w:rPr>
          <w:rFonts w:ascii="Times New Roman" w:hAnsi="Times New Roman"/>
        </w:rPr>
        <w:t xml:space="preserve"> similarly demonstrated that ensiling treatments could reduce NDF and ADF in water hyacinth silage, while simultaneously improving digestibility-related parameters such as organic matter digestibility and NDF digestibility. Their findings support the present observation in this study that processing methods capable of modifying the </w:t>
      </w:r>
      <w:proofErr w:type="spellStart"/>
      <w:r>
        <w:rPr>
          <w:rFonts w:ascii="Times New Roman" w:hAnsi="Times New Roman"/>
        </w:rPr>
        <w:t>fibre</w:t>
      </w:r>
      <w:proofErr w:type="spellEnd"/>
      <w:r>
        <w:rPr>
          <w:rFonts w:ascii="Times New Roman" w:hAnsi="Times New Roman"/>
        </w:rPr>
        <w:t xml:space="preserve"> fraction may improve the potential feeding value of water hyacinth. In contrast, oven drying produced only a modest reduction in </w:t>
      </w:r>
      <w:proofErr w:type="spellStart"/>
      <w:r>
        <w:rPr>
          <w:rFonts w:ascii="Times New Roman" w:hAnsi="Times New Roman"/>
        </w:rPr>
        <w:t>fibre</w:t>
      </w:r>
      <w:proofErr w:type="spellEnd"/>
      <w:r>
        <w:rPr>
          <w:rFonts w:ascii="Times New Roman" w:hAnsi="Times New Roman"/>
        </w:rPr>
        <w:t xml:space="preserve"> relative to the control, with crude </w:t>
      </w:r>
      <w:proofErr w:type="spellStart"/>
      <w:r>
        <w:rPr>
          <w:rFonts w:ascii="Times New Roman" w:hAnsi="Times New Roman"/>
        </w:rPr>
        <w:t>fibre</w:t>
      </w:r>
      <w:proofErr w:type="spellEnd"/>
      <w:r>
        <w:rPr>
          <w:rFonts w:ascii="Times New Roman" w:hAnsi="Times New Roman"/>
        </w:rPr>
        <w:t>, NDF and ADF values of (</w:t>
      </w:r>
      <w:r>
        <w:rPr>
          <w:rFonts w:ascii="Times New Roman" w:hAnsi="Times New Roman"/>
          <w:bCs/>
        </w:rPr>
        <w:t>37.40 ± 0.56%, 54.60 ± 0.63% and 43.27 ± 0.49%)</w:t>
      </w:r>
      <w:r>
        <w:rPr>
          <w:rFonts w:ascii="Times New Roman" w:hAnsi="Times New Roman"/>
        </w:rPr>
        <w:t>, respectively. This suggests that drying primarily removes moisture and may have less capacity to break down structural carbohydrates than microbial fermentation. Boiling produced an intermediate reduction (</w:t>
      </w:r>
      <w:r>
        <w:rPr>
          <w:rFonts w:ascii="Times New Roman" w:hAnsi="Times New Roman"/>
          <w:bCs/>
        </w:rPr>
        <w:t xml:space="preserve">34.57 ± 0.45% crude </w:t>
      </w:r>
      <w:proofErr w:type="spellStart"/>
      <w:r>
        <w:rPr>
          <w:rFonts w:ascii="Times New Roman" w:hAnsi="Times New Roman"/>
          <w:bCs/>
        </w:rPr>
        <w:t>fibre</w:t>
      </w:r>
      <w:proofErr w:type="spellEnd"/>
      <w:r>
        <w:rPr>
          <w:rFonts w:ascii="Times New Roman" w:hAnsi="Times New Roman"/>
          <w:bCs/>
        </w:rPr>
        <w:t>, 50.27 ± 0.51% NDF and 39.93 ± 0.44% ADF</w:t>
      </w:r>
      <w:r>
        <w:rPr>
          <w:rFonts w:ascii="Times New Roman" w:hAnsi="Times New Roman"/>
        </w:rPr>
        <w:t>), suggesting that heat and water exposure may promote some solubilization or disruption of cell-wall components, although the effect was not as pronounced as fermentation.</w:t>
      </w:r>
    </w:p>
    <w:p w14:paraId="1B7A0E6B" w14:textId="77777777" w:rsidR="00C50FD8" w:rsidRDefault="00C50FD8" w:rsidP="00C50FD8">
      <w:pPr>
        <w:pStyle w:val="pdq2pgselectionanchorcontainer"/>
        <w:spacing w:before="0" w:beforeAutospacing="0" w:after="0" w:afterAutospacing="0" w:line="480" w:lineRule="auto"/>
        <w:jc w:val="both"/>
      </w:pPr>
      <w:r>
        <w:t xml:space="preserve">The result in table 3, showed that processing significantly reduced the free amino acid content of </w:t>
      </w:r>
      <w:r>
        <w:rPr>
          <w:rStyle w:val="Emphasis"/>
          <w:rFonts w:eastAsiaTheme="majorEastAsia"/>
        </w:rPr>
        <w:t>Eichhornia crassipes</w:t>
      </w:r>
      <w:r>
        <w:t xml:space="preserve"> compared with the unprocessed control. The control recorded the highest free amino acid concentration, followed by the fermented sample, while the boiled and oven-dried samples had significantly lower values, with oven drying recording the least concentration. This indicates that processing altered the availability of free amino </w:t>
      </w:r>
      <w:r>
        <w:lastRenderedPageBreak/>
        <w:t xml:space="preserve">acids, although fermentation retained more free amino acids than boiling and oven drying. The relatively higher free amino acid content observed in the fermented sample may be attributed to microbial proteolytic activity during fermentation. Microorganisms produce proteolytic enzymes that hydrolyze proteins into smaller peptides and free amino acids, thereby increasing their availability despite an overall reduction compared to the control. Similar observations were reported by </w:t>
      </w:r>
      <w:r w:rsidRPr="00640A0E">
        <w:rPr>
          <w:rStyle w:val="Strong"/>
          <w:rFonts w:eastAsiaTheme="majorEastAsia"/>
          <w:b w:val="0"/>
        </w:rPr>
        <w:t xml:space="preserve">Nkhata </w:t>
      </w:r>
      <w:r w:rsidRPr="00640A0E">
        <w:rPr>
          <w:rStyle w:val="Strong"/>
          <w:rFonts w:eastAsiaTheme="majorEastAsia"/>
          <w:b w:val="0"/>
          <w:i/>
        </w:rPr>
        <w:t>et al</w:t>
      </w:r>
      <w:r w:rsidRPr="00640A0E">
        <w:rPr>
          <w:rStyle w:val="Strong"/>
          <w:rFonts w:eastAsiaTheme="majorEastAsia"/>
          <w:b w:val="0"/>
        </w:rPr>
        <w:t>., (2018)</w:t>
      </w:r>
      <w:r w:rsidRPr="00640A0E">
        <w:rPr>
          <w:b/>
        </w:rPr>
        <w:t>,</w:t>
      </w:r>
      <w:r>
        <w:t xml:space="preserve"> who noted that fermentation enhances protein breakdown and increases the availability of free amino acids in plant materials. Likewise, </w:t>
      </w:r>
      <w:r w:rsidRPr="00640A0E">
        <w:rPr>
          <w:rStyle w:val="Strong"/>
          <w:rFonts w:eastAsiaTheme="majorEastAsia"/>
          <w:b w:val="0"/>
        </w:rPr>
        <w:t xml:space="preserve">Marco </w:t>
      </w:r>
      <w:r w:rsidRPr="00640A0E">
        <w:rPr>
          <w:rStyle w:val="Strong"/>
          <w:rFonts w:eastAsiaTheme="majorEastAsia"/>
          <w:b w:val="0"/>
          <w:i/>
        </w:rPr>
        <w:t>et al</w:t>
      </w:r>
      <w:r w:rsidRPr="00640A0E">
        <w:rPr>
          <w:rStyle w:val="Strong"/>
          <w:rFonts w:eastAsiaTheme="majorEastAsia"/>
          <w:b w:val="0"/>
        </w:rPr>
        <w:t>., (2017)</w:t>
      </w:r>
      <w:r w:rsidRPr="00640A0E">
        <w:rPr>
          <w:b/>
        </w:rPr>
        <w:t xml:space="preserve"> </w:t>
      </w:r>
      <w:r>
        <w:t xml:space="preserve">reported that microbial fermentation improves the nutritional quality of foods by promoting the release of amino acids through enzymatic hydrolysis. The lower free amino acid contents observed in the boiled and oven-dried samples may be due to the effects of heat during processing. Boiling can result in the leaching of water-soluble amino acids into the cooking medium, while prolonged heating during oven drying may promote amino acid degradation or their involvement in non-enzymatic browning reactions, thereby reducing their concentration in the processed material. Moyo </w:t>
      </w:r>
      <w:r>
        <w:rPr>
          <w:i/>
        </w:rPr>
        <w:t>et</w:t>
      </w:r>
      <w:r>
        <w:t xml:space="preserve"> </w:t>
      </w:r>
      <w:r>
        <w:rPr>
          <w:i/>
        </w:rPr>
        <w:t>al.,</w:t>
      </w:r>
      <w:r>
        <w:t xml:space="preserve"> (2021) reported that thermal processing reduces the concentration of soluble nutrients, including amino acids, due to leaching and heat-induced changes. Similarly, </w:t>
      </w:r>
      <w:r w:rsidRPr="00640A0E">
        <w:rPr>
          <w:rStyle w:val="Strong"/>
          <w:rFonts w:eastAsiaTheme="majorEastAsia"/>
          <w:b w:val="0"/>
        </w:rPr>
        <w:t xml:space="preserve">Zhang </w:t>
      </w:r>
      <w:r w:rsidRPr="00640A0E">
        <w:rPr>
          <w:rStyle w:val="Strong"/>
          <w:rFonts w:eastAsiaTheme="majorEastAsia"/>
          <w:b w:val="0"/>
          <w:i/>
        </w:rPr>
        <w:t>et al.,</w:t>
      </w:r>
      <w:r w:rsidRPr="00640A0E">
        <w:rPr>
          <w:rStyle w:val="Strong"/>
          <w:rFonts w:eastAsiaTheme="majorEastAsia"/>
          <w:b w:val="0"/>
        </w:rPr>
        <w:t xml:space="preserve"> (2023)</w:t>
      </w:r>
      <w:r>
        <w:t xml:space="preserve"> explained that high processing temperatures may reduce amino acid availability through chemical modifications that occur during heating. Although processing reduced free amino acid levels compared with the fresh sample, the relatively higher concentration retained after fermentation suggests that this method is more effective in preserving readily available amino acids than boiling and oven drying. Since free amino acids contribute to protein utilization, tissue growth, and metabolic functions in animals, their retention enhances the nutritional quality of feed ingredients. Therefore, fermentation appears to offer an additional advantage in improving the feed value of </w:t>
      </w:r>
      <w:r>
        <w:rPr>
          <w:rStyle w:val="Emphasis"/>
          <w:rFonts w:eastAsiaTheme="majorEastAsia"/>
        </w:rPr>
        <w:t>Eichhornia crassipes</w:t>
      </w:r>
      <w:r>
        <w:t xml:space="preserve"> by maintaining a higher level of nutritionally important free amino acids while simultaneously improving other feed quality characteristics.</w:t>
      </w:r>
    </w:p>
    <w:p w14:paraId="3487EC93" w14:textId="77777777" w:rsidR="00C50FD8" w:rsidRDefault="00C50FD8" w:rsidP="00C50FD8">
      <w:pPr>
        <w:pStyle w:val="pdq2pgselectionanchorcontainer"/>
        <w:spacing w:before="0" w:beforeAutospacing="0" w:after="0" w:afterAutospacing="0" w:line="480" w:lineRule="auto"/>
        <w:jc w:val="both"/>
      </w:pPr>
      <w:r>
        <w:t xml:space="preserve">The result in table 4, showed that processing significantly reduced the tannin content of </w:t>
      </w:r>
      <w:r>
        <w:rPr>
          <w:rStyle w:val="Emphasis"/>
          <w:rFonts w:eastAsiaTheme="majorEastAsia"/>
        </w:rPr>
        <w:t>Eichhornia crassipes</w:t>
      </w:r>
      <w:r>
        <w:t xml:space="preserve"> compared with the unprocessed control. The control recorded the highest tannin concentration, while the boiled sample had the lowest concentration. Fermented and oven-dried samples showed intermediate values and were not significantly different from each other. These findings indicate that boiling was the most effective method for </w:t>
      </w:r>
      <w:r>
        <w:lastRenderedPageBreak/>
        <w:t xml:space="preserve">reducing tannin content in the plant. The pronounced reduction in tannin content after boiling may be attributed to the water-soluble nature of tannins. During boiling, tannins are readily leached into the cooking water, while heat may also promote the breakdown of some tannin compounds. Similar findings were reported by </w:t>
      </w:r>
      <w:r w:rsidRPr="00640A0E">
        <w:rPr>
          <w:rStyle w:val="Strong"/>
          <w:rFonts w:eastAsiaTheme="majorEastAsia"/>
          <w:b w:val="0"/>
        </w:rPr>
        <w:t xml:space="preserve">Makinde &amp; </w:t>
      </w:r>
      <w:proofErr w:type="spellStart"/>
      <w:r w:rsidRPr="00640A0E">
        <w:rPr>
          <w:rStyle w:val="Strong"/>
          <w:rFonts w:eastAsiaTheme="majorEastAsia"/>
          <w:b w:val="0"/>
        </w:rPr>
        <w:t>Akinoso</w:t>
      </w:r>
      <w:proofErr w:type="spellEnd"/>
      <w:r w:rsidRPr="00640A0E">
        <w:rPr>
          <w:rStyle w:val="Strong"/>
          <w:rFonts w:eastAsiaTheme="majorEastAsia"/>
          <w:b w:val="0"/>
        </w:rPr>
        <w:t xml:space="preserve"> (2014)</w:t>
      </w:r>
      <w:r w:rsidRPr="00640A0E">
        <w:rPr>
          <w:b/>
        </w:rPr>
        <w:t>,</w:t>
      </w:r>
      <w:r>
        <w:t xml:space="preserve"> who observed a significant reduction in tannin content after boiling legumes due to leaching into the cooking medium. Likewise, Moyo </w:t>
      </w:r>
      <w:r>
        <w:rPr>
          <w:i/>
        </w:rPr>
        <w:t>et</w:t>
      </w:r>
      <w:r>
        <w:t xml:space="preserve"> </w:t>
      </w:r>
      <w:r>
        <w:rPr>
          <w:i/>
        </w:rPr>
        <w:t>al.,</w:t>
      </w:r>
      <w:r>
        <w:t xml:space="preserve"> (2021) reported that thermal processing effectively reduced tannin levels in tropical leafy vegetables by facilitating the removal of soluble phenolic compounds. The reduction in tannin content following fermentation may be due to the activity of microorganisms capable of producing enzymes such as </w:t>
      </w:r>
      <w:proofErr w:type="spellStart"/>
      <w:r>
        <w:t>tannase</w:t>
      </w:r>
      <w:proofErr w:type="spellEnd"/>
      <w:r>
        <w:t xml:space="preserve">, which hydrolyze tannins into simpler compounds. This enzymatic degradation lowers the concentration of tannins and improves nutrient availability. </w:t>
      </w:r>
      <w:r w:rsidRPr="00640A0E">
        <w:rPr>
          <w:rStyle w:val="Strong"/>
          <w:rFonts w:eastAsiaTheme="majorEastAsia"/>
          <w:b w:val="0"/>
        </w:rPr>
        <w:t xml:space="preserve">Nkhata </w:t>
      </w:r>
      <w:r w:rsidRPr="00640A0E">
        <w:rPr>
          <w:rStyle w:val="Strong"/>
          <w:rFonts w:eastAsiaTheme="majorEastAsia"/>
          <w:b w:val="0"/>
          <w:i/>
        </w:rPr>
        <w:t>et al</w:t>
      </w:r>
      <w:r w:rsidRPr="00640A0E">
        <w:rPr>
          <w:rStyle w:val="Strong"/>
          <w:rFonts w:eastAsiaTheme="majorEastAsia"/>
          <w:b w:val="0"/>
        </w:rPr>
        <w:t>., (2018)</w:t>
      </w:r>
      <w:r>
        <w:t xml:space="preserve"> reported that fermentation reduces anti-nutritional factors, including tannins, through microbial enzymatic activity. Similarly, </w:t>
      </w:r>
      <w:r w:rsidRPr="00640A0E">
        <w:rPr>
          <w:rStyle w:val="Strong"/>
          <w:rFonts w:eastAsiaTheme="majorEastAsia"/>
          <w:b w:val="0"/>
        </w:rPr>
        <w:t xml:space="preserve">Hur </w:t>
      </w:r>
      <w:r w:rsidRPr="00640A0E">
        <w:rPr>
          <w:rStyle w:val="Strong"/>
          <w:rFonts w:eastAsiaTheme="majorEastAsia"/>
          <w:b w:val="0"/>
          <w:i/>
        </w:rPr>
        <w:t>et al.,</w:t>
      </w:r>
      <w:r w:rsidRPr="00640A0E">
        <w:rPr>
          <w:rStyle w:val="Strong"/>
          <w:rFonts w:eastAsiaTheme="majorEastAsia"/>
          <w:b w:val="0"/>
        </w:rPr>
        <w:t xml:space="preserve"> (2014)</w:t>
      </w:r>
      <w:r>
        <w:t xml:space="preserve"> noted that microbial fermentation improves the nutritional quality of plant materials by degrading phenolic anti-nutritional compounds. Although oven drying reduced tannin content compared with the control, its effect was less pronounced than boiling. This is expected because drying mainly removes moisture and has a limited effect on the degradation or removal of tannins, especially in the absence of water that facilitates leaching. The reduction in tannin content observed in this study is nutritionally important because high tannin levels reduce protein digestibility by forming insoluble tannin-protein complexes and inhibiting digestive enzymes. Thus, lowering tannin concentration enhances protein utilization and improves the overall feeding value of </w:t>
      </w:r>
      <w:r>
        <w:rPr>
          <w:rStyle w:val="Emphasis"/>
          <w:rFonts w:eastAsiaTheme="majorEastAsia"/>
        </w:rPr>
        <w:t>Eichhornia crassipes</w:t>
      </w:r>
      <w:r>
        <w:t>.</w:t>
      </w:r>
    </w:p>
    <w:p w14:paraId="5D8B84BD" w14:textId="77777777" w:rsidR="00C50FD8" w:rsidRDefault="00C50FD8" w:rsidP="00C50FD8">
      <w:pPr>
        <w:pStyle w:val="pdq2pgselectionanchorcontainer"/>
        <w:spacing w:before="0" w:beforeAutospacing="0" w:after="0" w:afterAutospacing="0" w:line="480" w:lineRule="auto"/>
        <w:jc w:val="both"/>
      </w:pPr>
      <w:r>
        <w:t xml:space="preserve">The result in table 4, showed that processing significantly reduced the cyanogenic glycoside content of </w:t>
      </w:r>
      <w:r>
        <w:rPr>
          <w:rStyle w:val="Emphasis"/>
          <w:rFonts w:eastAsiaTheme="majorEastAsia"/>
        </w:rPr>
        <w:t>Eichhornia crassipes</w:t>
      </w:r>
      <w:r>
        <w:t xml:space="preserve"> compared with the unprocessed control. The control sample recorded the highest cyanogenic glycoside concentration, whereas the boiled sample had the lowest value. Fermented and oven-dried samples showed similar concentrations and were not significantly different from each other. This indicates that all processing methods reduced cyanogenic glycosides, with boiling being the most effective. The marked reduction observed after boiling may be attributed to the heat-labile and water-soluble nature of cyanogenic compounds. During boiling, cyanogenic glycosides may be hydrolyzed, and the released cyanide or soluble compounds may diffuse into the </w:t>
      </w:r>
      <w:r>
        <w:lastRenderedPageBreak/>
        <w:t xml:space="preserve">boiling water, thereby lowering their concentration in the processed material. Similar observations were reported by </w:t>
      </w:r>
      <w:proofErr w:type="spellStart"/>
      <w:r>
        <w:t>Montagnac</w:t>
      </w:r>
      <w:proofErr w:type="spellEnd"/>
      <w:r>
        <w:t xml:space="preserve"> </w:t>
      </w:r>
      <w:r>
        <w:rPr>
          <w:i/>
        </w:rPr>
        <w:t xml:space="preserve">et al., </w:t>
      </w:r>
      <w:r>
        <w:t xml:space="preserve">(2023), who noted that boiling significantly reduced cyanogenic compounds in cassava products through leaching and thermal degradation. Likewise, </w:t>
      </w:r>
      <w:proofErr w:type="spellStart"/>
      <w:r>
        <w:t>Bechoff</w:t>
      </w:r>
      <w:proofErr w:type="spellEnd"/>
      <w:r>
        <w:t xml:space="preserve"> </w:t>
      </w:r>
      <w:r>
        <w:rPr>
          <w:i/>
        </w:rPr>
        <w:t>et al.,</w:t>
      </w:r>
      <w:r>
        <w:t xml:space="preserve"> (2021) reported that heat treatment effectively lowers cyanogenic glycoside levels in plant materials. Fermentation also reduced cyanogenic glycosides compared with the control. This reduction may be due to microbial enzymatic activity, particularly the action of β-glucosidase enzymes, which hydrolyze cyanogenic glycosides into simpler compounds. </w:t>
      </w:r>
      <w:r w:rsidRPr="00640A0E">
        <w:rPr>
          <w:rStyle w:val="Strong"/>
          <w:rFonts w:eastAsiaTheme="majorEastAsia"/>
          <w:b w:val="0"/>
        </w:rPr>
        <w:t>Nambisan (2011)</w:t>
      </w:r>
      <w:r>
        <w:t xml:space="preserve"> reported that fermentation is an effective method for reducing cyanogenic compounds in plant products due to microbial degradation. Similar findings were also reported by </w:t>
      </w:r>
      <w:proofErr w:type="spellStart"/>
      <w:r>
        <w:t>Ayetigbo</w:t>
      </w:r>
      <w:proofErr w:type="spellEnd"/>
      <w:r>
        <w:t xml:space="preserve"> </w:t>
      </w:r>
      <w:r>
        <w:rPr>
          <w:i/>
        </w:rPr>
        <w:t>et al.,</w:t>
      </w:r>
      <w:r>
        <w:t xml:space="preserve"> (2022), who observed substantial reductions in cyanogenic compounds following the fermentation of cassava products. The oven-dried sample also showed a considerable reduction in cyanogenic glycosides, although its effect was less pronounced than boiling. Heat generated during drying may promote partial decomposition of cyanogenic compounds, but the absence of water limits the extent of leaching compared with boiling. The reduction in cyanogenic glycosides observed in this study is important because high concentrations of these compounds can release toxic hydrogen cyanide, which interferes with cellular respiration and reduces feed safety. Therefore, reducing cyanogenic glycosides enhances the suitability of </w:t>
      </w:r>
      <w:r>
        <w:rPr>
          <w:rStyle w:val="Emphasis"/>
          <w:rFonts w:eastAsiaTheme="majorEastAsia"/>
        </w:rPr>
        <w:t>Eichhornia crassipes</w:t>
      </w:r>
      <w:r>
        <w:t xml:space="preserve"> for livestock feeding.</w:t>
      </w:r>
    </w:p>
    <w:p w14:paraId="4C702F7C" w14:textId="77777777" w:rsidR="00C50FD8" w:rsidRDefault="00C50FD8" w:rsidP="00C50FD8">
      <w:pPr>
        <w:pStyle w:val="pdq2pgselectionanchorcontainer"/>
        <w:spacing w:before="0" w:beforeAutospacing="0" w:after="0" w:afterAutospacing="0" w:line="480" w:lineRule="auto"/>
        <w:jc w:val="both"/>
      </w:pPr>
      <w:r>
        <w:t xml:space="preserve">The </w:t>
      </w:r>
      <w:r w:rsidR="00640A0E">
        <w:t>results</w:t>
      </w:r>
      <w:r>
        <w:t xml:space="preserve"> in </w:t>
      </w:r>
      <w:r w:rsidR="00640A0E">
        <w:t>Table</w:t>
      </w:r>
      <w:r>
        <w:t xml:space="preserve"> 4, showed that processing significantly reduced the phytate content of </w:t>
      </w:r>
      <w:r>
        <w:rPr>
          <w:rStyle w:val="Emphasis"/>
          <w:rFonts w:eastAsiaTheme="majorEastAsia"/>
        </w:rPr>
        <w:t>Eichhornia crassipes</w:t>
      </w:r>
      <w:r>
        <w:t xml:space="preserve"> compared with the unprocessed control. The fermented sample recorded the lowest phytate concentration, while the boiled sample showed a moderate reduction. The oven-dried sample did not differ significantly from the control, indicating that oven drying had little effect on phytate reduction. These findings suggest that fermentation was the most effective processing method for lowering phytate levels in water hyacinth. The significant reduction in phytate content following fermentation may be attributed to the activity of microbial phytase enzymes, which hydrolyze phytic acid into lower inositol phosphates and inorganic phosphate. This enzymatic degradation reduces the phytate content and improves the availability of minerals such as calcium, iron, zinc, and magnesium. Similar findings were reported by Nkhata </w:t>
      </w:r>
      <w:r>
        <w:rPr>
          <w:i/>
        </w:rPr>
        <w:t>et al.,</w:t>
      </w:r>
      <w:r>
        <w:t xml:space="preserve"> (2018) who observed that fermentation markedly reduced phytate levels in plant-based foods through phytase activity. Likewise, </w:t>
      </w:r>
      <w:r w:rsidRPr="00640A0E">
        <w:rPr>
          <w:rStyle w:val="Strong"/>
          <w:rFonts w:eastAsiaTheme="majorEastAsia"/>
          <w:b w:val="0"/>
        </w:rPr>
        <w:t xml:space="preserve">Lei </w:t>
      </w:r>
      <w:r w:rsidRPr="00640A0E">
        <w:rPr>
          <w:rStyle w:val="Strong"/>
          <w:rFonts w:eastAsiaTheme="majorEastAsia"/>
          <w:b w:val="0"/>
          <w:i/>
        </w:rPr>
        <w:t>et al</w:t>
      </w:r>
      <w:r w:rsidRPr="00640A0E">
        <w:rPr>
          <w:rStyle w:val="Strong"/>
          <w:rFonts w:eastAsiaTheme="majorEastAsia"/>
          <w:b w:val="0"/>
        </w:rPr>
        <w:t>., (2013)</w:t>
      </w:r>
      <w:r>
        <w:t xml:space="preserve"> reported that microbial phytases </w:t>
      </w:r>
      <w:r>
        <w:lastRenderedPageBreak/>
        <w:t xml:space="preserve">play an important role in degrading phytate and improving nutrient bioavailability in feed ingredients. Boiling also reduced phytate concentration, although the reduction was less pronounced than that observed with fermentation. This may be due to the partial dissolution of phytate into the boiling water and the effect of heat on phytate complexes. </w:t>
      </w:r>
      <w:proofErr w:type="spellStart"/>
      <w:r>
        <w:t>Samtiya</w:t>
      </w:r>
      <w:proofErr w:type="spellEnd"/>
      <w:r>
        <w:t xml:space="preserve"> </w:t>
      </w:r>
      <w:r>
        <w:rPr>
          <w:i/>
        </w:rPr>
        <w:t>et al.,</w:t>
      </w:r>
      <w:r>
        <w:t xml:space="preserve"> (2020) reported that household processing methods, including boiling, can reduce phytate content, although the extent of reduction depends on the processing conditions and the nature of the plant material. In contrast, oven drying produced little or no reduction in phytate content compared with the control. This finding is expected because drying mainly removes moisture and does not provide the enzymatic or aqueous conditions required for substantial phytate degradation. As a result, much of the phytate remains unchanged after drying. The reduction in phytate content observed in this study is nutritionally beneficial because phytate binds essential minerals and proteins, thereby reducing their bioavailability and digestibility. Lower phytate levels improve mineral absorption and enhance the nutritional value of feed ingredients.</w:t>
      </w:r>
    </w:p>
    <w:p w14:paraId="06DA864F" w14:textId="77777777" w:rsidR="00C50FD8" w:rsidRDefault="00C50FD8" w:rsidP="00C50FD8">
      <w:pPr>
        <w:pStyle w:val="pdq2pgselectionanchorcontainer"/>
        <w:spacing w:before="0" w:beforeAutospacing="0" w:after="0" w:afterAutospacing="0" w:line="480" w:lineRule="auto"/>
        <w:jc w:val="both"/>
      </w:pPr>
      <w:r>
        <w:t xml:space="preserve">The result in table 4, also showed that oxalate was </w:t>
      </w:r>
      <w:r w:rsidRPr="00640A0E">
        <w:rPr>
          <w:rStyle w:val="Strong"/>
          <w:rFonts w:eastAsiaTheme="majorEastAsia"/>
          <w:b w:val="0"/>
        </w:rPr>
        <w:t>not detected</w:t>
      </w:r>
      <w:r>
        <w:t xml:space="preserve"> in the fermented, boiled, and oven-dried water hyacinth samples, while the unprocessed sample contained </w:t>
      </w:r>
      <w:r w:rsidRPr="00640A0E">
        <w:rPr>
          <w:b/>
        </w:rPr>
        <w:t>(</w:t>
      </w:r>
      <w:r w:rsidRPr="00640A0E">
        <w:rPr>
          <w:rStyle w:val="Strong"/>
          <w:rFonts w:eastAsiaTheme="majorEastAsia"/>
          <w:b w:val="0"/>
        </w:rPr>
        <w:t>4.06 ± 0.88 mg/100g</w:t>
      </w:r>
      <w:r w:rsidRPr="00640A0E">
        <w:rPr>
          <w:b/>
        </w:rPr>
        <w:t>).</w:t>
      </w:r>
      <w:r>
        <w:t xml:space="preserve"> This indicates that all three processing methods effectively reduced the oxalate content to below the detectable limit. Boiling likely reduced oxalate through leaching into the cooking water, while fermentation may have promoted microbial degradation of oxalate. Oven drying also contributed to oxalate reduction through the effect of heat. The reduction of oxalate is beneficial because it improves mineral bioavailability and enhances the nutritional quality of water hyacinth for potential use as livestock feed (Adejumo </w:t>
      </w:r>
      <w:r>
        <w:rPr>
          <w:i/>
        </w:rPr>
        <w:t>et al.,</w:t>
      </w:r>
      <w:r>
        <w:t xml:space="preserve"> 2021; Kumar </w:t>
      </w:r>
      <w:r>
        <w:rPr>
          <w:i/>
        </w:rPr>
        <w:t>et al.,</w:t>
      </w:r>
      <w:r>
        <w:t xml:space="preserve"> 2022; Bamidele </w:t>
      </w:r>
      <w:r>
        <w:rPr>
          <w:i/>
        </w:rPr>
        <w:t>et al.,</w:t>
      </w:r>
      <w:r>
        <w:t xml:space="preserve"> 2024).</w:t>
      </w:r>
    </w:p>
    <w:p w14:paraId="085F4B83" w14:textId="77777777" w:rsidR="00C50FD8" w:rsidRDefault="00C50FD8" w:rsidP="00C50FD8">
      <w:pPr>
        <w:spacing w:line="480" w:lineRule="auto"/>
        <w:jc w:val="both"/>
        <w:rPr>
          <w:rFonts w:ascii="Times New Roman" w:hAnsi="Times New Roman"/>
        </w:rPr>
      </w:pPr>
      <w:r>
        <w:rPr>
          <w:rFonts w:ascii="Times New Roman" w:hAnsi="Times New Roman"/>
        </w:rPr>
        <w:t xml:space="preserve">The result in Table 5, showed that processing significantly improved the in-vitro protein digestibility of </w:t>
      </w:r>
      <w:r>
        <w:rPr>
          <w:rFonts w:ascii="Times New Roman" w:hAnsi="Times New Roman"/>
          <w:i/>
          <w:iCs/>
        </w:rPr>
        <w:t>Eichhornia crassipes</w:t>
      </w:r>
      <w:r>
        <w:rPr>
          <w:rFonts w:ascii="Times New Roman" w:hAnsi="Times New Roman"/>
        </w:rPr>
        <w:t xml:space="preserve"> (</w:t>
      </w:r>
      <w:r>
        <w:rPr>
          <w:rFonts w:ascii="Times New Roman" w:hAnsi="Times New Roman"/>
          <w:i/>
          <w:iCs/>
        </w:rPr>
        <w:t>p</w:t>
      </w:r>
      <w:r>
        <w:rPr>
          <w:rFonts w:ascii="Times New Roman" w:hAnsi="Times New Roman"/>
        </w:rPr>
        <w:t xml:space="preserve"> &lt; </w:t>
      </w:r>
      <w:r>
        <w:rPr>
          <w:rFonts w:ascii="Times New Roman" w:hAnsi="Times New Roman"/>
          <w:i/>
        </w:rPr>
        <w:t>0.05</w:t>
      </w:r>
      <w:r>
        <w:rPr>
          <w:rFonts w:ascii="Times New Roman" w:hAnsi="Times New Roman"/>
        </w:rPr>
        <w:t>). After pepsin digestion, the fermented sample recorded the highest digestibility (</w:t>
      </w:r>
      <w:r>
        <w:rPr>
          <w:rFonts w:ascii="Times New Roman" w:hAnsi="Times New Roman"/>
          <w:bCs/>
        </w:rPr>
        <w:t>58.42 ± 0.71%</w:t>
      </w:r>
      <w:r>
        <w:rPr>
          <w:rFonts w:ascii="Times New Roman" w:hAnsi="Times New Roman"/>
        </w:rPr>
        <w:t>), followed by boiled (</w:t>
      </w:r>
      <w:r>
        <w:rPr>
          <w:rFonts w:ascii="Times New Roman" w:hAnsi="Times New Roman"/>
          <w:bCs/>
        </w:rPr>
        <w:t>53.17 ± 0.68%</w:t>
      </w:r>
      <w:r>
        <w:rPr>
          <w:rFonts w:ascii="Times New Roman" w:hAnsi="Times New Roman"/>
        </w:rPr>
        <w:t>), oven-dried (</w:t>
      </w:r>
      <w:r>
        <w:rPr>
          <w:rFonts w:ascii="Times New Roman" w:hAnsi="Times New Roman"/>
          <w:bCs/>
        </w:rPr>
        <w:t>48.36 ± 0.64%</w:t>
      </w:r>
      <w:r>
        <w:rPr>
          <w:rFonts w:ascii="Times New Roman" w:hAnsi="Times New Roman"/>
        </w:rPr>
        <w:t>) and control (</w:t>
      </w:r>
      <w:r>
        <w:rPr>
          <w:rFonts w:ascii="Times New Roman" w:hAnsi="Times New Roman"/>
          <w:bCs/>
        </w:rPr>
        <w:t>42.73 ± 0.59%</w:t>
      </w:r>
      <w:r>
        <w:rPr>
          <w:rFonts w:ascii="Times New Roman" w:hAnsi="Times New Roman"/>
        </w:rPr>
        <w:t>) samples. A similar trend was observed after sequential pepsin–pancreatin digestion, with fermented (</w:t>
      </w:r>
      <w:r>
        <w:rPr>
          <w:rFonts w:ascii="Times New Roman" w:hAnsi="Times New Roman"/>
          <w:bCs/>
        </w:rPr>
        <w:t>74.63 ± 0.82%</w:t>
      </w:r>
      <w:r>
        <w:rPr>
          <w:rFonts w:ascii="Times New Roman" w:hAnsi="Times New Roman"/>
        </w:rPr>
        <w:t>) &gt; boiled (</w:t>
      </w:r>
      <w:r>
        <w:rPr>
          <w:rFonts w:ascii="Times New Roman" w:hAnsi="Times New Roman"/>
          <w:bCs/>
        </w:rPr>
        <w:t>68.47 ±</w:t>
      </w:r>
      <w:r>
        <w:rPr>
          <w:rFonts w:ascii="Times New Roman" w:hAnsi="Times New Roman"/>
          <w:b/>
          <w:bCs/>
        </w:rPr>
        <w:t xml:space="preserve"> </w:t>
      </w:r>
      <w:r>
        <w:rPr>
          <w:rFonts w:ascii="Times New Roman" w:hAnsi="Times New Roman"/>
          <w:bCs/>
        </w:rPr>
        <w:t>0.76%</w:t>
      </w:r>
      <w:r>
        <w:rPr>
          <w:rFonts w:ascii="Times New Roman" w:hAnsi="Times New Roman"/>
        </w:rPr>
        <w:t>) &gt; oven dried (</w:t>
      </w:r>
      <w:r>
        <w:rPr>
          <w:rFonts w:ascii="Times New Roman" w:hAnsi="Times New Roman"/>
          <w:bCs/>
        </w:rPr>
        <w:t>62.83 ± 0.69%</w:t>
      </w:r>
      <w:r>
        <w:rPr>
          <w:rFonts w:ascii="Times New Roman" w:hAnsi="Times New Roman"/>
        </w:rPr>
        <w:t>) &gt; control (</w:t>
      </w:r>
      <w:r>
        <w:rPr>
          <w:rFonts w:ascii="Times New Roman" w:hAnsi="Times New Roman"/>
          <w:bCs/>
        </w:rPr>
        <w:t>57.26 ± 0.73%</w:t>
      </w:r>
      <w:r>
        <w:rPr>
          <w:rFonts w:ascii="Times New Roman" w:hAnsi="Times New Roman"/>
        </w:rPr>
        <w:t>). The significantly higher values in the processed samples indicate that processing enhanced the accessibility of water hyacinth protein to digestive enzymes, with fermentation producing the greatest improvement.</w:t>
      </w:r>
    </w:p>
    <w:p w14:paraId="4AE086A7" w14:textId="77777777" w:rsidR="00C50FD8" w:rsidRDefault="00C50FD8" w:rsidP="00C50FD8">
      <w:pPr>
        <w:spacing w:line="480" w:lineRule="auto"/>
        <w:jc w:val="both"/>
        <w:rPr>
          <w:rFonts w:ascii="Times New Roman" w:hAnsi="Times New Roman"/>
        </w:rPr>
      </w:pPr>
      <w:r>
        <w:rPr>
          <w:rFonts w:ascii="Times New Roman" w:hAnsi="Times New Roman"/>
        </w:rPr>
        <w:t xml:space="preserve">The superior digestibility observed in the fermented sample may be attributed to microbial degradation of structural components surrounding the protein, thereby increasing its accessibility to proteolytic enzymes. This agrees with Happy </w:t>
      </w:r>
      <w:r>
        <w:rPr>
          <w:rFonts w:ascii="Times New Roman" w:hAnsi="Times New Roman"/>
          <w:i/>
        </w:rPr>
        <w:t>et al.,</w:t>
      </w:r>
      <w:r>
        <w:rPr>
          <w:rFonts w:ascii="Times New Roman" w:hAnsi="Times New Roman"/>
        </w:rPr>
        <w:t xml:space="preserve"> (2021) who reported improved nutritional characteristics and digestibility following fermentation of water hyacinth leaf meal with cow rumen liquor.</w:t>
      </w:r>
    </w:p>
    <w:p w14:paraId="229A9900" w14:textId="77777777" w:rsidR="00C50FD8" w:rsidRDefault="00C50FD8" w:rsidP="00C50FD8">
      <w:pPr>
        <w:spacing w:line="480" w:lineRule="auto"/>
        <w:jc w:val="both"/>
        <w:rPr>
          <w:rFonts w:ascii="Times New Roman" w:hAnsi="Times New Roman"/>
        </w:rPr>
      </w:pPr>
      <w:r>
        <w:rPr>
          <w:rFonts w:ascii="Times New Roman" w:hAnsi="Times New Roman"/>
        </w:rPr>
        <w:lastRenderedPageBreak/>
        <w:t xml:space="preserve">Boiling also improved protein digestibility relative to the control, while oven drying produced the lowest improvement among the processed samples. The increase following boiling may be associated with heat-induced disruption of plant tissues and alteration of protein structure, making proteins more susceptible to enzymatic hydrolysis. Mako </w:t>
      </w:r>
      <w:r>
        <w:rPr>
          <w:rFonts w:ascii="Times New Roman" w:hAnsi="Times New Roman"/>
          <w:i/>
        </w:rPr>
        <w:t>et al.,</w:t>
      </w:r>
      <w:r>
        <w:rPr>
          <w:rFonts w:ascii="Times New Roman" w:hAnsi="Times New Roman"/>
        </w:rPr>
        <w:t xml:space="preserve"> (2021) similarly reported that processing significantly altered the nutritional characteristics of water hyacinth and improved its potential as an animal-feed resource. The comparatively lower digestibility of the oven-dried sample is noteworthy because oven drying retained the highest protein and nitrogen concentrations in Table 1, suggesting that </w:t>
      </w:r>
      <w:r>
        <w:rPr>
          <w:rFonts w:ascii="Times New Roman" w:hAnsi="Times New Roman"/>
          <w:bCs/>
        </w:rPr>
        <w:t>protein preservation does not necessarily correspond to protein digestibility</w:t>
      </w:r>
      <w:r>
        <w:rPr>
          <w:rFonts w:ascii="Times New Roman" w:hAnsi="Times New Roman"/>
        </w:rPr>
        <w:t>.</w:t>
      </w:r>
    </w:p>
    <w:p w14:paraId="1FEC50CC" w14:textId="77777777" w:rsidR="00C50FD8" w:rsidRDefault="00C50FD8" w:rsidP="00C50FD8">
      <w:pPr>
        <w:spacing w:line="480" w:lineRule="auto"/>
        <w:jc w:val="both"/>
        <w:rPr>
          <w:rFonts w:ascii="Times New Roman" w:hAnsi="Times New Roman"/>
          <w:bCs/>
        </w:rPr>
      </w:pPr>
      <w:r>
        <w:rPr>
          <w:rFonts w:ascii="Times New Roman" w:hAnsi="Times New Roman"/>
        </w:rPr>
        <w:t>Sequential pancreatin digestion further increased protein digestibility in all treatments. The fermented sample increased from (</w:t>
      </w:r>
      <w:r>
        <w:rPr>
          <w:rFonts w:ascii="Times New Roman" w:hAnsi="Times New Roman"/>
          <w:bCs/>
        </w:rPr>
        <w:t>58.42 ± 0.71% after pepsin to 74.63 ± 0.82%)</w:t>
      </w:r>
      <w:r>
        <w:rPr>
          <w:rFonts w:ascii="Times New Roman" w:hAnsi="Times New Roman"/>
        </w:rPr>
        <w:t xml:space="preserve"> after pancreatin, while corresponding increases were observed in the boiled, oven-dried and control samples. This indicates that pancreatic proteolytic enzymes hydrolyzed protein fractions that remained after gastric digestion. The higher final digestibility values therefore demonstrate the importance of evaluating both gastric and intestinal phases when assessing the potential nutritional utilization of processed water hyacinth protein. F</w:t>
      </w:r>
      <w:r>
        <w:rPr>
          <w:rFonts w:ascii="Times New Roman" w:hAnsi="Times New Roman"/>
          <w:bCs/>
        </w:rPr>
        <w:t>ermentation was the most effective treatment for improving in-vitro protein digestibility</w:t>
      </w:r>
      <w:r>
        <w:rPr>
          <w:rFonts w:ascii="Times New Roman" w:hAnsi="Times New Roman"/>
        </w:rPr>
        <w:t xml:space="preserve">, followed by boiling and oven drying. Interestingly, fermentation recorded the lowest protein and nitrogen concentrations in Table 1 but the highest digestibility in Table 5. This suggests that the nutritional value of processed water hyacinth should not be assessed solely on the basis of total protein concentration, but also on the extent to which the protein is accessible for digestion. Thus, </w:t>
      </w:r>
      <w:r>
        <w:rPr>
          <w:rFonts w:ascii="Times New Roman" w:hAnsi="Times New Roman"/>
          <w:bCs/>
        </w:rPr>
        <w:t>fermentation appears more suitable where improved protein utilization is the objective.</w:t>
      </w:r>
    </w:p>
    <w:p w14:paraId="47E453A3" w14:textId="77777777" w:rsidR="00C50FD8" w:rsidRDefault="00C50FD8" w:rsidP="00C50FD8">
      <w:pPr>
        <w:pStyle w:val="NormalWeb"/>
        <w:spacing w:before="0" w:beforeAutospacing="0" w:after="0" w:afterAutospacing="0" w:line="480" w:lineRule="auto"/>
        <w:jc w:val="both"/>
      </w:pPr>
      <w:r>
        <w:t xml:space="preserve">The correlation analysis results in Table 6 demonstrated very </w:t>
      </w:r>
      <w:r w:rsidRPr="00C50FD8">
        <w:rPr>
          <w:rStyle w:val="Strong"/>
          <w:rFonts w:eastAsiaTheme="majorEastAsia"/>
          <w:b w:val="0"/>
        </w:rPr>
        <w:t>strong</w:t>
      </w:r>
      <w:r>
        <w:rPr>
          <w:rStyle w:val="Strong"/>
          <w:rFonts w:eastAsiaTheme="majorEastAsia"/>
        </w:rPr>
        <w:t xml:space="preserve"> </w:t>
      </w:r>
      <w:r w:rsidRPr="00C50FD8">
        <w:rPr>
          <w:rStyle w:val="Strong"/>
          <w:rFonts w:eastAsiaTheme="majorEastAsia"/>
          <w:b w:val="0"/>
        </w:rPr>
        <w:t>negative</w:t>
      </w:r>
      <w:r>
        <w:rPr>
          <w:rStyle w:val="Strong"/>
          <w:rFonts w:eastAsiaTheme="majorEastAsia"/>
        </w:rPr>
        <w:t xml:space="preserve"> </w:t>
      </w:r>
      <w:r w:rsidRPr="00C50FD8">
        <w:rPr>
          <w:rStyle w:val="Strong"/>
          <w:rFonts w:eastAsiaTheme="majorEastAsia"/>
          <w:b w:val="0"/>
        </w:rPr>
        <w:t>associations</w:t>
      </w:r>
      <w:r>
        <w:t xml:space="preserve"> between the anti-nutritional factors and final pepsin-pancreatin protein digestion across the treatment groups, which suggest that reductions in anti-nutritional factors following processing may be associated with improved protein accessibility and susceptibility to enzymatic digestion. </w:t>
      </w:r>
    </w:p>
    <w:p w14:paraId="1D697087" w14:textId="77777777" w:rsidR="00C30A0F" w:rsidRPr="00640A0E" w:rsidRDefault="00C50FD8" w:rsidP="00640A0E">
      <w:pPr>
        <w:spacing w:after="100" w:afterAutospacing="1" w:line="480" w:lineRule="auto"/>
        <w:jc w:val="both"/>
        <w:rPr>
          <w:rFonts w:ascii="Times New Roman" w:hAnsi="Times New Roman"/>
          <w:bCs/>
        </w:rPr>
      </w:pPr>
      <w:r>
        <w:rPr>
          <w:rFonts w:ascii="Times New Roman" w:hAnsi="Times New Roman"/>
        </w:rPr>
        <w:t xml:space="preserve">The findings of this study demonstrate that processing substantially modified the nutritional quality and potential feed value of </w:t>
      </w:r>
      <w:r>
        <w:rPr>
          <w:rStyle w:val="Emphasis"/>
          <w:rFonts w:eastAsiaTheme="majorEastAsia"/>
        </w:rPr>
        <w:t>Eichhornia crassipes</w:t>
      </w:r>
      <w:r>
        <w:rPr>
          <w:rFonts w:ascii="Times New Roman" w:hAnsi="Times New Roman"/>
        </w:rPr>
        <w:t xml:space="preserve">, although the magnitude and direction of the changes depended on the processing method and the parameter evaluated. No single processing treatment was superior across all the investigated characteristics, indicating that fermentation, boiling and oven drying produced distinct biochemical effects on the protein and nitrogen contents, free amino acids, </w:t>
      </w:r>
      <w:proofErr w:type="spellStart"/>
      <w:r>
        <w:rPr>
          <w:rFonts w:ascii="Times New Roman" w:hAnsi="Times New Roman"/>
        </w:rPr>
        <w:t>fibre</w:t>
      </w:r>
      <w:proofErr w:type="spellEnd"/>
      <w:r>
        <w:rPr>
          <w:rFonts w:ascii="Times New Roman" w:hAnsi="Times New Roman"/>
        </w:rPr>
        <w:t xml:space="preserve"> fractions, anti-nutritional factors and in-vitro protein digestibility of the plant. Oven drying was the most effective method for preserving protein and nitrogen contents, indicating better retention of nitrogen-containing nutrients. Fermentation, however, produced the greatest reduction in </w:t>
      </w:r>
      <w:proofErr w:type="spellStart"/>
      <w:r>
        <w:rPr>
          <w:rFonts w:ascii="Times New Roman" w:hAnsi="Times New Roman"/>
        </w:rPr>
        <w:t>fibre</w:t>
      </w:r>
      <w:proofErr w:type="spellEnd"/>
      <w:r>
        <w:rPr>
          <w:rFonts w:ascii="Times New Roman" w:hAnsi="Times New Roman"/>
        </w:rPr>
        <w:t xml:space="preserve"> fractions and phytate and resulted in the highest in-vitro protein digestibility, while also favorably influencing the free amino acid profile. These changes suggest improved accessibility and utilization of nutrients during digestion. Boiling was particularly effective in reducing tannins and cyanogenic glycosides, thereby improving the safety of the biomass for potential livestock consumption. The absence of detectable oxalate in the processed samples, together with its relatively low level in the control, further indicates that oxalate was not a major anti-nutritional limitation in the water hyacinth investigated. The progressive increase in protein digestibility following </w:t>
      </w:r>
      <w:r>
        <w:rPr>
          <w:rFonts w:ascii="Times New Roman" w:hAnsi="Times New Roman"/>
        </w:rPr>
        <w:lastRenderedPageBreak/>
        <w:t xml:space="preserve">sequential pepsin-pancreatin digestion across the processed samples further demonstrates that processing enhanced the susceptibility of water hyacinth protein to enzymatic hydrolysis. Collectively, these findings indicate that the improvement in feed value of </w:t>
      </w:r>
      <w:r>
        <w:rPr>
          <w:rStyle w:val="Emphasis"/>
          <w:rFonts w:eastAsiaTheme="majorEastAsia"/>
        </w:rPr>
        <w:t>Eichhornia crassipes</w:t>
      </w:r>
      <w:r>
        <w:rPr>
          <w:rFonts w:ascii="Times New Roman" w:hAnsi="Times New Roman"/>
        </w:rPr>
        <w:t xml:space="preserve"> is multidimensional and should be assessed based on nutrient retention, amino acid availability, </w:t>
      </w:r>
      <w:proofErr w:type="spellStart"/>
      <w:r>
        <w:rPr>
          <w:rFonts w:ascii="Times New Roman" w:hAnsi="Times New Roman"/>
        </w:rPr>
        <w:t>fibre</w:t>
      </w:r>
      <w:proofErr w:type="spellEnd"/>
      <w:r>
        <w:rPr>
          <w:rFonts w:ascii="Times New Roman" w:hAnsi="Times New Roman"/>
        </w:rPr>
        <w:t xml:space="preserve"> reduction, reduction of anti-nutritional factors, and protein digestibility rather than on a single nutritional parameter. </w:t>
      </w:r>
      <w:r w:rsidRPr="00C50FD8">
        <w:rPr>
          <w:rStyle w:val="Strong"/>
          <w:rFonts w:eastAsiaTheme="majorEastAsia"/>
          <w:b w:val="0"/>
        </w:rPr>
        <w:t xml:space="preserve">Oven drying is therefore recommended where preservation of protein and nitrogen is the primary objective, fermentation where improvement of </w:t>
      </w:r>
      <w:proofErr w:type="spellStart"/>
      <w:r w:rsidRPr="00C50FD8">
        <w:rPr>
          <w:rStyle w:val="Strong"/>
          <w:rFonts w:eastAsiaTheme="majorEastAsia"/>
          <w:b w:val="0"/>
        </w:rPr>
        <w:t>fibre</w:t>
      </w:r>
      <w:proofErr w:type="spellEnd"/>
      <w:r w:rsidRPr="00C50FD8">
        <w:rPr>
          <w:rStyle w:val="Strong"/>
          <w:rFonts w:eastAsiaTheme="majorEastAsia"/>
          <w:b w:val="0"/>
        </w:rPr>
        <w:t xml:space="preserve"> characteristics, phytate reduction, free amino acid availability and protein digestibility is desired, while boiling is more appropriate where reduction of tannins and cyanogenic glycosides is the major objective. Thus, this study provides evidence that processing can improve the nutritional quality, digestibility and safety of water hyacinth, thereby enhancing its potential utilization as an alternative feed resource for livestock.</w:t>
      </w:r>
    </w:p>
    <w:p w14:paraId="710EBC7D" w14:textId="77777777" w:rsidR="00790ADA" w:rsidRPr="00FB3A86" w:rsidRDefault="00B01FCD" w:rsidP="00441B6F">
      <w:pPr>
        <w:pStyle w:val="ConcHead"/>
        <w:spacing w:after="0"/>
        <w:jc w:val="both"/>
        <w:rPr>
          <w:rFonts w:ascii="Arial" w:hAnsi="Arial" w:cs="Arial"/>
        </w:rPr>
      </w:pPr>
      <w:r w:rsidRPr="00FB3A86">
        <w:rPr>
          <w:rFonts w:ascii="Arial" w:hAnsi="Arial" w:cs="Arial"/>
        </w:rPr>
        <w:t>Conclusion</w:t>
      </w:r>
    </w:p>
    <w:p w14:paraId="5D61F242" w14:textId="77777777" w:rsidR="00790ADA" w:rsidRPr="00FB3A86" w:rsidRDefault="00640A0E" w:rsidP="00441B6F">
      <w:pPr>
        <w:pStyle w:val="Body"/>
        <w:spacing w:after="0"/>
        <w:rPr>
          <w:rFonts w:ascii="Arial" w:hAnsi="Arial" w:cs="Arial"/>
        </w:rPr>
      </w:pPr>
      <w:r>
        <w:t>This study established that processing significantly influenced the nutritional quality and feed value of water hyacinth (</w:t>
      </w:r>
      <w:r>
        <w:rPr>
          <w:rStyle w:val="Emphasis"/>
        </w:rPr>
        <w:t>Eichhornia crassipes</w:t>
      </w:r>
      <w:r>
        <w:t xml:space="preserve">). Oven drying was most effective in preserving protein and nitrogen, fermentation produced the greatest improvement in </w:t>
      </w:r>
      <w:proofErr w:type="spellStart"/>
      <w:r>
        <w:t>fibre</w:t>
      </w:r>
      <w:proofErr w:type="spellEnd"/>
      <w:r>
        <w:t xml:space="preserve"> characteristics, phytate reduction, and in-vitro protein digestibility, while boiling was most effective in reducing tannins and cyanogenic glycosides. Oxalate was not detected following processing. Overall, no single processing method was optimal for all parameters. The appropriate method should therefore be selected according to the desired nutritional objective. These findings demonstrate that appropriately processed </w:t>
      </w:r>
      <w:r>
        <w:rPr>
          <w:rStyle w:val="Emphasis"/>
        </w:rPr>
        <w:t>Eichhornia crassipes</w:t>
      </w:r>
      <w:r>
        <w:t xml:space="preserve"> has potential as an alternative livestock feed resource.</w:t>
      </w:r>
    </w:p>
    <w:p w14:paraId="120893AA" w14:textId="77777777" w:rsidR="00640A0E" w:rsidRPr="00640A0E" w:rsidRDefault="00640A0E" w:rsidP="00640A0E">
      <w:pPr>
        <w:keepNext/>
        <w:spacing w:before="100" w:beforeAutospacing="1"/>
        <w:jc w:val="both"/>
        <w:rPr>
          <w:rFonts w:ascii="Arial" w:hAnsi="Arial" w:cs="Arial"/>
          <w:b/>
          <w:bCs/>
          <w:caps/>
          <w:sz w:val="22"/>
          <w:szCs w:val="22"/>
        </w:rPr>
      </w:pPr>
      <w:r w:rsidRPr="00640A0E">
        <w:rPr>
          <w:rFonts w:ascii="Arial" w:hAnsi="Arial" w:cs="Arial"/>
          <w:b/>
          <w:bCs/>
          <w:caps/>
          <w:sz w:val="22"/>
          <w:szCs w:val="22"/>
        </w:rPr>
        <w:t>Competing interests</w:t>
      </w:r>
    </w:p>
    <w:p w14:paraId="6E158D1D" w14:textId="77777777" w:rsidR="00640A0E" w:rsidRDefault="00640A0E" w:rsidP="00640A0E">
      <w:pPr>
        <w:keepNext/>
        <w:spacing w:before="100" w:beforeAutospacing="1"/>
        <w:jc w:val="both"/>
        <w:rPr>
          <w:rFonts w:ascii="Arial" w:hAnsi="Arial" w:cs="Arial"/>
        </w:rPr>
      </w:pPr>
      <w:r w:rsidRPr="00640A0E">
        <w:rPr>
          <w:rFonts w:ascii="Arial" w:hAnsi="Arial" w:cs="Arial"/>
        </w:rPr>
        <w:t>The authors have declared that no competing interests exist.</w:t>
      </w:r>
    </w:p>
    <w:p w14:paraId="6404E6DE" w14:textId="77777777" w:rsidR="00D41DB1" w:rsidRDefault="00D41DB1" w:rsidP="00D41DB1">
      <w:pPr>
        <w:rPr>
          <w:rFonts w:ascii="Times New Roman" w:hAnsi="Times New Roman"/>
          <w:b/>
        </w:rPr>
      </w:pPr>
      <w:r w:rsidRPr="000839CE">
        <w:rPr>
          <w:rFonts w:ascii="Times New Roman" w:hAnsi="Times New Roman"/>
          <w:b/>
        </w:rPr>
        <w:t>Declaration of AI Use</w:t>
      </w:r>
    </w:p>
    <w:p w14:paraId="2B19B4E2" w14:textId="77777777" w:rsidR="00D41DB1" w:rsidRDefault="00D41DB1" w:rsidP="00D41DB1">
      <w:pPr>
        <w:rPr>
          <w:rFonts w:ascii="Times New Roman" w:hAnsi="Times New Roman"/>
          <w:b/>
        </w:rPr>
      </w:pPr>
    </w:p>
    <w:p w14:paraId="143CFA9A" w14:textId="77777777" w:rsidR="00D41DB1" w:rsidRDefault="00D41DB1" w:rsidP="00D41DB1">
      <w:pPr>
        <w:rPr>
          <w:rFonts w:ascii="Times New Roman" w:hAnsi="Times New Roman"/>
          <w:b/>
        </w:rPr>
      </w:pPr>
    </w:p>
    <w:p w14:paraId="026697C7" w14:textId="77777777" w:rsidR="00D41DB1" w:rsidRDefault="00D41DB1" w:rsidP="00D41DB1">
      <w:pPr>
        <w:rPr>
          <w:rFonts w:ascii="Times New Roman" w:hAnsi="Times New Roman"/>
          <w:b/>
        </w:rPr>
      </w:pPr>
    </w:p>
    <w:p w14:paraId="34D958C1" w14:textId="77777777" w:rsidR="00D41DB1" w:rsidRPr="002D08AC" w:rsidRDefault="00D41DB1" w:rsidP="00D41DB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FF8102" w14:textId="77777777" w:rsidR="00D41DB1" w:rsidRPr="00640A0E" w:rsidRDefault="00D41DB1" w:rsidP="00640A0E">
      <w:pPr>
        <w:keepNext/>
        <w:spacing w:before="100" w:beforeAutospacing="1"/>
        <w:jc w:val="both"/>
        <w:rPr>
          <w:rFonts w:ascii="Arial" w:hAnsi="Arial" w:cs="Arial"/>
        </w:rPr>
      </w:pPr>
    </w:p>
    <w:p w14:paraId="1451A3DE" w14:textId="77777777" w:rsidR="00640A0E" w:rsidRDefault="00640A0E" w:rsidP="00640A0E">
      <w:pPr>
        <w:pStyle w:val="ReferHead"/>
        <w:spacing w:after="0"/>
        <w:jc w:val="both"/>
        <w:rPr>
          <w:rFonts w:ascii="Arial" w:hAnsi="Arial" w:cs="Arial"/>
        </w:rPr>
      </w:pPr>
    </w:p>
    <w:p w14:paraId="1B083738"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53B2255" w14:textId="77777777" w:rsidR="00DA2118" w:rsidRDefault="00DA2118" w:rsidP="00DA2118">
      <w:pPr>
        <w:pStyle w:val="pdq2pgselectionanchorcontainer"/>
      </w:pPr>
      <w:r>
        <w:t xml:space="preserve">Abiola-Olagunju, O., Mako, A. A., &amp; </w:t>
      </w:r>
      <w:proofErr w:type="spellStart"/>
      <w:r>
        <w:t>Ikusika</w:t>
      </w:r>
      <w:proofErr w:type="spellEnd"/>
      <w:r>
        <w:t>, O. O. (2025). Biodegradation of water hyacinth (</w:t>
      </w:r>
      <w:r>
        <w:rPr>
          <w:rStyle w:val="Emphasis"/>
        </w:rPr>
        <w:t>Eichhornia crassipes</w:t>
      </w:r>
      <w:r>
        <w:t xml:space="preserve"> Mart. Solms-Laubach) into value-added ruminant feed using white rot fungi. </w:t>
      </w:r>
      <w:r>
        <w:rPr>
          <w:rStyle w:val="Emphasis"/>
        </w:rPr>
        <w:t>Tropical Animal Production Investigations, 27</w:t>
      </w:r>
      <w:r>
        <w:t>(1), 1–5.</w:t>
      </w:r>
    </w:p>
    <w:p w14:paraId="68A0D930" w14:textId="77777777" w:rsidR="00DA2118" w:rsidRDefault="00DA2118" w:rsidP="00DA2118">
      <w:pPr>
        <w:pStyle w:val="NormalWeb"/>
      </w:pPr>
      <w:r>
        <w:t xml:space="preserve">Adejumo, I. O., Adebiyi, O. A., &amp; Hamzat, R. A. (2021). Effect of processing methods on anti-nutritional factors and nutrient composition of tropical forage plants. </w:t>
      </w:r>
      <w:r>
        <w:rPr>
          <w:rStyle w:val="Emphasis"/>
        </w:rPr>
        <w:t>Journal of Animal and Feed Research, 11</w:t>
      </w:r>
      <w:r>
        <w:t>(3), 145–152.</w:t>
      </w:r>
    </w:p>
    <w:p w14:paraId="7DB8FD1F" w14:textId="77777777" w:rsidR="00DA2118" w:rsidRDefault="00DA2118" w:rsidP="00DA2118">
      <w:pPr>
        <w:pStyle w:val="NormalWeb"/>
      </w:pPr>
      <w:proofErr w:type="spellStart"/>
      <w:r>
        <w:t>Agbaire</w:t>
      </w:r>
      <w:proofErr w:type="spellEnd"/>
      <w:r>
        <w:t>, P. O. (2011). Nutritional and anti-nutritional levels of some local vegetables (</w:t>
      </w:r>
      <w:r>
        <w:rPr>
          <w:rStyle w:val="Emphasis"/>
        </w:rPr>
        <w:t>Vernonia amygdalina</w:t>
      </w:r>
      <w:r>
        <w:t xml:space="preserve">, </w:t>
      </w:r>
      <w:r>
        <w:rPr>
          <w:rStyle w:val="Emphasis"/>
        </w:rPr>
        <w:t>Manihot esculenta</w:t>
      </w:r>
      <w:r>
        <w:t xml:space="preserve">, </w:t>
      </w:r>
      <w:proofErr w:type="spellStart"/>
      <w:r>
        <w:rPr>
          <w:rStyle w:val="Emphasis"/>
        </w:rPr>
        <w:t>Telfairia</w:t>
      </w:r>
      <w:proofErr w:type="spellEnd"/>
      <w:r>
        <w:rPr>
          <w:rStyle w:val="Emphasis"/>
        </w:rPr>
        <w:t xml:space="preserve"> occidentalis</w:t>
      </w:r>
      <w:r>
        <w:t xml:space="preserve">, </w:t>
      </w:r>
      <w:r>
        <w:rPr>
          <w:rStyle w:val="Emphasis"/>
        </w:rPr>
        <w:t xml:space="preserve">Talinum </w:t>
      </w:r>
      <w:proofErr w:type="spellStart"/>
      <w:r>
        <w:rPr>
          <w:rStyle w:val="Emphasis"/>
        </w:rPr>
        <w:t>triangulare</w:t>
      </w:r>
      <w:proofErr w:type="spellEnd"/>
      <w:r>
        <w:t xml:space="preserve">, </w:t>
      </w:r>
      <w:r>
        <w:rPr>
          <w:rStyle w:val="Emphasis"/>
        </w:rPr>
        <w:t>Amaranthus spinosus</w:t>
      </w:r>
      <w:r>
        <w:t xml:space="preserve">) from Delta State, Nigeria. </w:t>
      </w:r>
      <w:r>
        <w:rPr>
          <w:rStyle w:val="Emphasis"/>
        </w:rPr>
        <w:t>Journal of Applied Sciences and Environmental Management, 15</w:t>
      </w:r>
      <w:r>
        <w:t>(4), 625–628.</w:t>
      </w:r>
    </w:p>
    <w:p w14:paraId="3CD383AD" w14:textId="77777777" w:rsidR="00DA2118" w:rsidRDefault="00DA2118" w:rsidP="00DA2118">
      <w:pPr>
        <w:pStyle w:val="NormalWeb"/>
      </w:pPr>
      <w:r>
        <w:lastRenderedPageBreak/>
        <w:t xml:space="preserve">Al-Snafi, A. E. (2022). </w:t>
      </w:r>
      <w:r>
        <w:rPr>
          <w:rStyle w:val="Emphasis"/>
        </w:rPr>
        <w:t>Eichhornia crassipes</w:t>
      </w:r>
      <w:r>
        <w:t xml:space="preserve"> (Mart.) Solms: A comprehensive review of its chemical composition, traditional uses and value-added products. </w:t>
      </w:r>
      <w:r>
        <w:rPr>
          <w:rStyle w:val="Emphasis"/>
        </w:rPr>
        <w:t>Frontiers in Pharmacology, 13</w:t>
      </w:r>
      <w:r>
        <w:t>, 842511.</w:t>
      </w:r>
    </w:p>
    <w:p w14:paraId="196F4F9A" w14:textId="77777777" w:rsidR="00DA2118" w:rsidRDefault="00DA2118" w:rsidP="00DA2118">
      <w:pPr>
        <w:pStyle w:val="NormalWeb"/>
      </w:pPr>
      <w:r>
        <w:t xml:space="preserve">Armin, M., </w:t>
      </w:r>
      <w:proofErr w:type="spellStart"/>
      <w:r>
        <w:t>Mustabi</w:t>
      </w:r>
      <w:proofErr w:type="spellEnd"/>
      <w:r>
        <w:t xml:space="preserve">, J., &amp; </w:t>
      </w:r>
      <w:proofErr w:type="spellStart"/>
      <w:r>
        <w:t>Asriany</w:t>
      </w:r>
      <w:proofErr w:type="spellEnd"/>
      <w:r>
        <w:t xml:space="preserve">, A. (2021). </w:t>
      </w:r>
      <w:proofErr w:type="spellStart"/>
      <w:r>
        <w:t>Kandungan</w:t>
      </w:r>
      <w:proofErr w:type="spellEnd"/>
      <w:r>
        <w:t xml:space="preserve"> NDF dan ADF </w:t>
      </w:r>
      <w:proofErr w:type="spellStart"/>
      <w:r>
        <w:t>silase</w:t>
      </w:r>
      <w:proofErr w:type="spellEnd"/>
      <w:r>
        <w:t xml:space="preserve"> </w:t>
      </w:r>
      <w:proofErr w:type="spellStart"/>
      <w:r>
        <w:t>pakan</w:t>
      </w:r>
      <w:proofErr w:type="spellEnd"/>
      <w:r>
        <w:t xml:space="preserve"> </w:t>
      </w:r>
      <w:proofErr w:type="spellStart"/>
      <w:r>
        <w:t>komplit</w:t>
      </w:r>
      <w:proofErr w:type="spellEnd"/>
      <w:r>
        <w:t xml:space="preserve"> yang </w:t>
      </w:r>
      <w:proofErr w:type="spellStart"/>
      <w:r>
        <w:t>berbahan</w:t>
      </w:r>
      <w:proofErr w:type="spellEnd"/>
      <w:r>
        <w:t xml:space="preserve"> </w:t>
      </w:r>
      <w:proofErr w:type="spellStart"/>
      <w:r>
        <w:t>dasar</w:t>
      </w:r>
      <w:proofErr w:type="spellEnd"/>
      <w:r>
        <w:t xml:space="preserve"> </w:t>
      </w:r>
      <w:proofErr w:type="spellStart"/>
      <w:r>
        <w:t>eceng</w:t>
      </w:r>
      <w:proofErr w:type="spellEnd"/>
      <w:r>
        <w:t xml:space="preserve"> </w:t>
      </w:r>
      <w:proofErr w:type="spellStart"/>
      <w:r>
        <w:t>gondok</w:t>
      </w:r>
      <w:proofErr w:type="spellEnd"/>
      <w:r>
        <w:t xml:space="preserve"> (</w:t>
      </w:r>
      <w:r>
        <w:rPr>
          <w:rStyle w:val="Emphasis"/>
        </w:rPr>
        <w:t>Eichhornia crassipes</w:t>
      </w:r>
      <w:r>
        <w:t xml:space="preserve">) </w:t>
      </w:r>
      <w:proofErr w:type="spellStart"/>
      <w:r>
        <w:t>dengan</w:t>
      </w:r>
      <w:proofErr w:type="spellEnd"/>
      <w:r>
        <w:t xml:space="preserve"> lama </w:t>
      </w:r>
      <w:proofErr w:type="spellStart"/>
      <w:r>
        <w:t>fermentasi</w:t>
      </w:r>
      <w:proofErr w:type="spellEnd"/>
      <w:r>
        <w:t xml:space="preserve"> </w:t>
      </w:r>
      <w:proofErr w:type="spellStart"/>
      <w:r>
        <w:t>berbeda</w:t>
      </w:r>
      <w:proofErr w:type="spellEnd"/>
      <w:r>
        <w:t xml:space="preserve">. </w:t>
      </w:r>
      <w:proofErr w:type="spellStart"/>
      <w:r>
        <w:rPr>
          <w:rStyle w:val="Emphasis"/>
        </w:rPr>
        <w:t>Buletin</w:t>
      </w:r>
      <w:proofErr w:type="spellEnd"/>
      <w:r>
        <w:rPr>
          <w:rStyle w:val="Emphasis"/>
        </w:rPr>
        <w:t xml:space="preserve"> </w:t>
      </w:r>
      <w:proofErr w:type="spellStart"/>
      <w:r>
        <w:rPr>
          <w:rStyle w:val="Emphasis"/>
        </w:rPr>
        <w:t>Nutrisi</w:t>
      </w:r>
      <w:proofErr w:type="spellEnd"/>
      <w:r>
        <w:rPr>
          <w:rStyle w:val="Emphasis"/>
        </w:rPr>
        <w:t xml:space="preserve"> dan </w:t>
      </w:r>
      <w:proofErr w:type="spellStart"/>
      <w:r>
        <w:rPr>
          <w:rStyle w:val="Emphasis"/>
        </w:rPr>
        <w:t>Makanan</w:t>
      </w:r>
      <w:proofErr w:type="spellEnd"/>
      <w:r>
        <w:rPr>
          <w:rStyle w:val="Emphasis"/>
        </w:rPr>
        <w:t xml:space="preserve"> Ternak, 15</w:t>
      </w:r>
      <w:r>
        <w:t>(1).</w:t>
      </w:r>
    </w:p>
    <w:p w14:paraId="5E4D92EC" w14:textId="77777777" w:rsidR="00DA2118" w:rsidRDefault="00DA2118" w:rsidP="00DA2118">
      <w:pPr>
        <w:pStyle w:val="NormalWeb"/>
      </w:pPr>
      <w:r>
        <w:t xml:space="preserve">Association of Official Analytical Chemists. (2019). </w:t>
      </w:r>
      <w:r>
        <w:rPr>
          <w:rStyle w:val="Emphasis"/>
        </w:rPr>
        <w:t>Official methods of analysis of AOAC International</w:t>
      </w:r>
      <w:r>
        <w:t xml:space="preserve"> (21st ed.). AOAC International.</w:t>
      </w:r>
    </w:p>
    <w:p w14:paraId="610A489D" w14:textId="77777777" w:rsidR="00DA2118" w:rsidRDefault="00DA2118" w:rsidP="00DA2118">
      <w:pPr>
        <w:pStyle w:val="NormalWeb"/>
      </w:pPr>
      <w:proofErr w:type="spellStart"/>
      <w:r>
        <w:t>Ayetigbo</w:t>
      </w:r>
      <w:proofErr w:type="spellEnd"/>
      <w:r>
        <w:t xml:space="preserve">, O., Latif, S., Abass, A., &amp; Müller, J. (2022). Effect of processing on the nutritional and anti-nutritional properties of cassava products: A review. </w:t>
      </w:r>
      <w:r>
        <w:rPr>
          <w:rStyle w:val="Emphasis"/>
        </w:rPr>
        <w:t>Journal of Food Processing and Preservation, 46</w:t>
      </w:r>
      <w:r>
        <w:t>(3), 16394.</w:t>
      </w:r>
    </w:p>
    <w:p w14:paraId="6290A9EA" w14:textId="77777777" w:rsidR="00DA2118" w:rsidRDefault="00DA2118" w:rsidP="00DA2118">
      <w:pPr>
        <w:pStyle w:val="NormalWeb"/>
      </w:pPr>
      <w:r>
        <w:t xml:space="preserve">Bamidele, O. P., Olatunde, S. J., &amp; Adebo, O. A. (2024). Processing technologies for improving the nutritional quality of unconventional feed resources: A review. </w:t>
      </w:r>
      <w:r>
        <w:rPr>
          <w:rStyle w:val="Emphasis"/>
        </w:rPr>
        <w:t>Food Production, Processing and Nutrition, 6</w:t>
      </w:r>
      <w:r>
        <w:t>(1), 18–30.</w:t>
      </w:r>
    </w:p>
    <w:p w14:paraId="62D37203" w14:textId="77777777" w:rsidR="00DA2118" w:rsidRDefault="00DA2118" w:rsidP="00DA2118">
      <w:pPr>
        <w:pStyle w:val="NormalWeb"/>
      </w:pPr>
      <w:r>
        <w:t xml:space="preserve">Bechoff, A., Chijioke, U., Tomlins, K. I., Govinden, P., Ilona, P., Westby, A., &amp; Boy, E. (2021). Processing strategies for reducing cyanogenic glycosides in cassava and cassava-based products: A review. </w:t>
      </w:r>
      <w:r>
        <w:rPr>
          <w:rStyle w:val="Emphasis"/>
        </w:rPr>
        <w:t>Food Reviews International, 37</w:t>
      </w:r>
      <w:r>
        <w:t>(8), 761–782.</w:t>
      </w:r>
    </w:p>
    <w:p w14:paraId="64C9CE88" w14:textId="77777777" w:rsidR="00DA2118" w:rsidRDefault="00DA2118" w:rsidP="00DA2118">
      <w:pPr>
        <w:pStyle w:val="NormalWeb"/>
      </w:pPr>
      <w:r>
        <w:t xml:space="preserve">Ben Bakrim, W., </w:t>
      </w:r>
      <w:proofErr w:type="spellStart"/>
      <w:r>
        <w:t>Ezzariai</w:t>
      </w:r>
      <w:proofErr w:type="spellEnd"/>
      <w:r>
        <w:t xml:space="preserve">, A., </w:t>
      </w:r>
      <w:proofErr w:type="spellStart"/>
      <w:r>
        <w:t>Karouach</w:t>
      </w:r>
      <w:proofErr w:type="spellEnd"/>
      <w:r>
        <w:t xml:space="preserve">, F., </w:t>
      </w:r>
      <w:proofErr w:type="spellStart"/>
      <w:r>
        <w:t>Sobeh</w:t>
      </w:r>
      <w:proofErr w:type="spellEnd"/>
      <w:r>
        <w:t xml:space="preserve">, M., </w:t>
      </w:r>
      <w:proofErr w:type="spellStart"/>
      <w:r>
        <w:t>Kibret</w:t>
      </w:r>
      <w:proofErr w:type="spellEnd"/>
      <w:r>
        <w:t xml:space="preserve">, M., Hafidi, M., </w:t>
      </w:r>
      <w:proofErr w:type="spellStart"/>
      <w:r>
        <w:t>Kouisni</w:t>
      </w:r>
      <w:proofErr w:type="spellEnd"/>
      <w:r>
        <w:t xml:space="preserve">, L., &amp; Yasri, A. (2022). </w:t>
      </w:r>
      <w:r>
        <w:rPr>
          <w:rStyle w:val="Emphasis"/>
        </w:rPr>
        <w:t>Eichhornia crassipes</w:t>
      </w:r>
      <w:r>
        <w:t xml:space="preserve"> (Mart.) Solms: A comprehensive review of its chemical composition, traditional use, and value-added products. </w:t>
      </w:r>
      <w:r>
        <w:rPr>
          <w:rStyle w:val="Emphasis"/>
        </w:rPr>
        <w:t>Frontiers in Pharmacology, 13</w:t>
      </w:r>
      <w:r>
        <w:t>, 842511.</w:t>
      </w:r>
    </w:p>
    <w:p w14:paraId="2D051166" w14:textId="77777777" w:rsidR="00DA2118" w:rsidRDefault="00DA2118" w:rsidP="00DA2118">
      <w:pPr>
        <w:pStyle w:val="NormalWeb"/>
      </w:pPr>
      <w:r>
        <w:t xml:space="preserve">Chandran, K. C., &amp; Kavitha-Chandran, C. C. (2016). Quantitative estimation of total phenolic, flavonoids, tannin, and chlorophyll content of leaves of </w:t>
      </w:r>
      <w:proofErr w:type="spellStart"/>
      <w:r>
        <w:rPr>
          <w:rStyle w:val="Emphasis"/>
        </w:rPr>
        <w:t>Strobilanthes</w:t>
      </w:r>
      <w:proofErr w:type="spellEnd"/>
      <w:r>
        <w:rPr>
          <w:rStyle w:val="Emphasis"/>
        </w:rPr>
        <w:t xml:space="preserve"> </w:t>
      </w:r>
      <w:proofErr w:type="spellStart"/>
      <w:r>
        <w:rPr>
          <w:rStyle w:val="Emphasis"/>
        </w:rPr>
        <w:t>kunthiana</w:t>
      </w:r>
      <w:proofErr w:type="spellEnd"/>
      <w:r>
        <w:t xml:space="preserve"> (</w:t>
      </w:r>
      <w:proofErr w:type="spellStart"/>
      <w:r>
        <w:t>Neelakurinji</w:t>
      </w:r>
      <w:proofErr w:type="spellEnd"/>
      <w:r>
        <w:t xml:space="preserve">). </w:t>
      </w:r>
      <w:r>
        <w:rPr>
          <w:rStyle w:val="Emphasis"/>
        </w:rPr>
        <w:t>Journal of Medicinal Plants Studies, 4</w:t>
      </w:r>
      <w:r>
        <w:t>(4), 282–286.</w:t>
      </w:r>
    </w:p>
    <w:p w14:paraId="36792F4D" w14:textId="77777777" w:rsidR="00DA2118" w:rsidRDefault="00DA2118" w:rsidP="00DA2118">
      <w:pPr>
        <w:pStyle w:val="NormalWeb"/>
      </w:pPr>
      <w:r>
        <w:t>Emshaw, Y., Getahun, A., &amp; Geremew, A. (2021). Digestibility of fermented and unfermented water hyacinth meal in the diets of juvenile Nile tilapia (</w:t>
      </w:r>
      <w:r>
        <w:rPr>
          <w:rStyle w:val="Emphasis"/>
        </w:rPr>
        <w:t>Oreochromis niloticus</w:t>
      </w:r>
      <w:r>
        <w:t xml:space="preserve">). </w:t>
      </w:r>
      <w:r>
        <w:rPr>
          <w:rStyle w:val="Emphasis"/>
        </w:rPr>
        <w:t>Zoological and Entomological Letters, 1</w:t>
      </w:r>
      <w:r>
        <w:t>(2), 48–55.</w:t>
      </w:r>
    </w:p>
    <w:p w14:paraId="62186E1E" w14:textId="77777777" w:rsidR="00DA2118" w:rsidRDefault="00DA2118" w:rsidP="00DA2118">
      <w:pPr>
        <w:pStyle w:val="NormalWeb"/>
      </w:pPr>
      <w:r>
        <w:t xml:space="preserve">Fanta, Y., </w:t>
      </w:r>
      <w:proofErr w:type="spellStart"/>
      <w:r>
        <w:t>Kechero</w:t>
      </w:r>
      <w:proofErr w:type="spellEnd"/>
      <w:r>
        <w:t>, Y., &amp; Yemane, N. (2024). Hematological parameters of sheep and goats fed diets containing various amounts of water hyacinth (</w:t>
      </w:r>
      <w:r>
        <w:rPr>
          <w:rStyle w:val="Emphasis"/>
        </w:rPr>
        <w:t>Eichhornia crassipes</w:t>
      </w:r>
      <w:r>
        <w:t xml:space="preserve">). </w:t>
      </w:r>
      <w:r>
        <w:rPr>
          <w:rStyle w:val="Emphasis"/>
        </w:rPr>
        <w:t>Frontiers in Veterinary Science, 11</w:t>
      </w:r>
      <w:r>
        <w:t>, 1286563.</w:t>
      </w:r>
    </w:p>
    <w:p w14:paraId="5E456A3C" w14:textId="77777777" w:rsidR="00E83D5C" w:rsidRDefault="00E83D5C" w:rsidP="00DA2118">
      <w:pPr>
        <w:pStyle w:val="NormalWeb"/>
      </w:pPr>
      <w:r>
        <w:t xml:space="preserve">Happy, S. N., </w:t>
      </w:r>
      <w:proofErr w:type="spellStart"/>
      <w:r>
        <w:t>Suharman</w:t>
      </w:r>
      <w:proofErr w:type="spellEnd"/>
      <w:r>
        <w:t>, I., &amp; Adelina, A. (2021). Improvement of water hyacinth leaf meal (</w:t>
      </w:r>
      <w:r>
        <w:rPr>
          <w:rStyle w:val="Emphasis"/>
        </w:rPr>
        <w:t>Eichhornia crassipes</w:t>
      </w:r>
      <w:r>
        <w:t xml:space="preserve">) fermented with cow rumen liquor as feed ingredients for </w:t>
      </w:r>
      <w:proofErr w:type="spellStart"/>
      <w:r>
        <w:t>jelawat</w:t>
      </w:r>
      <w:proofErr w:type="spellEnd"/>
      <w:r>
        <w:t xml:space="preserve"> (</w:t>
      </w:r>
      <w:proofErr w:type="spellStart"/>
      <w:r>
        <w:rPr>
          <w:rStyle w:val="Emphasis"/>
        </w:rPr>
        <w:t>Leptobarbus</w:t>
      </w:r>
      <w:proofErr w:type="spellEnd"/>
      <w:r>
        <w:rPr>
          <w:rStyle w:val="Emphasis"/>
        </w:rPr>
        <w:t xml:space="preserve"> </w:t>
      </w:r>
      <w:proofErr w:type="spellStart"/>
      <w:r>
        <w:rPr>
          <w:rStyle w:val="Emphasis"/>
        </w:rPr>
        <w:t>hoeveni</w:t>
      </w:r>
      <w:proofErr w:type="spellEnd"/>
      <w:r>
        <w:t xml:space="preserve">) seeds. </w:t>
      </w:r>
      <w:proofErr w:type="spellStart"/>
      <w:r>
        <w:rPr>
          <w:rStyle w:val="Emphasis"/>
        </w:rPr>
        <w:t>Jurnal</w:t>
      </w:r>
      <w:proofErr w:type="spellEnd"/>
      <w:r>
        <w:rPr>
          <w:rStyle w:val="Emphasis"/>
        </w:rPr>
        <w:t xml:space="preserve"> Online </w:t>
      </w:r>
      <w:proofErr w:type="spellStart"/>
      <w:r>
        <w:rPr>
          <w:rStyle w:val="Emphasis"/>
        </w:rPr>
        <w:t>Mahasiswa</w:t>
      </w:r>
      <w:proofErr w:type="spellEnd"/>
      <w:r>
        <w:rPr>
          <w:rStyle w:val="Emphasis"/>
        </w:rPr>
        <w:t xml:space="preserve"> (JOM) </w:t>
      </w:r>
      <w:proofErr w:type="spellStart"/>
      <w:r>
        <w:rPr>
          <w:rStyle w:val="Emphasis"/>
        </w:rPr>
        <w:t>Bidang</w:t>
      </w:r>
      <w:proofErr w:type="spellEnd"/>
      <w:r>
        <w:rPr>
          <w:rStyle w:val="Emphasis"/>
        </w:rPr>
        <w:t xml:space="preserve"> </w:t>
      </w:r>
      <w:proofErr w:type="spellStart"/>
      <w:r>
        <w:rPr>
          <w:rStyle w:val="Emphasis"/>
        </w:rPr>
        <w:t>Perikanan</w:t>
      </w:r>
      <w:proofErr w:type="spellEnd"/>
      <w:r>
        <w:rPr>
          <w:rStyle w:val="Emphasis"/>
        </w:rPr>
        <w:t xml:space="preserve"> dan </w:t>
      </w:r>
      <w:proofErr w:type="spellStart"/>
      <w:r>
        <w:rPr>
          <w:rStyle w:val="Emphasis"/>
        </w:rPr>
        <w:t>Ilmu</w:t>
      </w:r>
      <w:proofErr w:type="spellEnd"/>
      <w:r>
        <w:rPr>
          <w:rStyle w:val="Emphasis"/>
        </w:rPr>
        <w:t xml:space="preserve"> Kelautan, 8</w:t>
      </w:r>
      <w:r>
        <w:t>(1), 1–16</w:t>
      </w:r>
    </w:p>
    <w:p w14:paraId="28096ADF" w14:textId="77777777" w:rsidR="00DA2118" w:rsidRDefault="00DA2118" w:rsidP="00DA2118">
      <w:pPr>
        <w:pStyle w:val="NormalWeb"/>
      </w:pPr>
      <w:r>
        <w:t>Hundal, J. S., Singh, D., Ansal, M. D., Chahal, U. S., Kaur, V. I., &amp; Sharma. (2025). Quality parameters and fermentation characteristics of ensiled water hyacinth (</w:t>
      </w:r>
      <w:r>
        <w:rPr>
          <w:rStyle w:val="Emphasis"/>
        </w:rPr>
        <w:t>Eichhornia crassipes</w:t>
      </w:r>
      <w:r>
        <w:t xml:space="preserve">). </w:t>
      </w:r>
      <w:r>
        <w:rPr>
          <w:rStyle w:val="Emphasis"/>
        </w:rPr>
        <w:t>Indian Journal of Animal Nutrition, 42</w:t>
      </w:r>
      <w:r>
        <w:t>(2), 213–219.</w:t>
      </w:r>
    </w:p>
    <w:p w14:paraId="0C55B625" w14:textId="77777777" w:rsidR="00DA2118" w:rsidRDefault="00DA2118" w:rsidP="00DA2118">
      <w:pPr>
        <w:pStyle w:val="NormalWeb"/>
      </w:pPr>
      <w:r>
        <w:t xml:space="preserve">Hur, S. J., Lee, S. Y., Kim, Y. C., Choi, I., &amp; Kim, G. B. (2014). Effect of fermentation on the antioxidant activity in plant-based foods. </w:t>
      </w:r>
      <w:r>
        <w:rPr>
          <w:rStyle w:val="Emphasis"/>
        </w:rPr>
        <w:t>Food Chemistry, 160</w:t>
      </w:r>
      <w:r>
        <w:t>, 346–356.</w:t>
      </w:r>
    </w:p>
    <w:p w14:paraId="4F3967B5" w14:textId="77777777" w:rsidR="00DA2118" w:rsidRDefault="00DA2118" w:rsidP="00DA2118">
      <w:pPr>
        <w:pStyle w:val="NormalWeb"/>
      </w:pPr>
      <w:r>
        <w:t xml:space="preserve">Kumar, V., Sinha, A. K., Makkar, H. P. S., &amp; Becker, K. (2022). Processing strategies for reducing anti-nutritional factors in plant feed ingredients: A review. </w:t>
      </w:r>
      <w:r>
        <w:rPr>
          <w:rStyle w:val="Emphasis"/>
        </w:rPr>
        <w:t>Food Reviews International, 38</w:t>
      </w:r>
      <w:r>
        <w:t>(8), 1483–1506.</w:t>
      </w:r>
    </w:p>
    <w:p w14:paraId="684C626B" w14:textId="77777777" w:rsidR="00DA2118" w:rsidRDefault="00DA2118" w:rsidP="00DA2118">
      <w:pPr>
        <w:pStyle w:val="NormalWeb"/>
      </w:pPr>
      <w:r>
        <w:lastRenderedPageBreak/>
        <w:t xml:space="preserve">Lei, X. G., Weaver, J. D., Mullaney, E., Ullah, A. H. J., &amp; </w:t>
      </w:r>
      <w:proofErr w:type="spellStart"/>
      <w:r>
        <w:t>Azain</w:t>
      </w:r>
      <w:proofErr w:type="spellEnd"/>
      <w:r>
        <w:t xml:space="preserve">, M. (2013). Phytase, a new life for an “old” enzyme. </w:t>
      </w:r>
      <w:r>
        <w:rPr>
          <w:rStyle w:val="Emphasis"/>
        </w:rPr>
        <w:t>Annual Review of Animal Biosciences, 1</w:t>
      </w:r>
      <w:r>
        <w:t>, 283–309.</w:t>
      </w:r>
    </w:p>
    <w:p w14:paraId="556890A4" w14:textId="77777777" w:rsidR="00DA2118" w:rsidRDefault="00DA2118" w:rsidP="00DA2118">
      <w:pPr>
        <w:pStyle w:val="NormalWeb"/>
      </w:pPr>
      <w:r>
        <w:t xml:space="preserve">Lucas, D. T., Jose Da Cruz, F., Felix, Z., Bjorn, B., &amp; Petr, D. (2014). Straightforward rapid spectrophotometric quantification of total cyanogenic glycosides in fresh and processed cassava products. </w:t>
      </w:r>
      <w:r>
        <w:rPr>
          <w:rStyle w:val="Emphasis"/>
        </w:rPr>
        <w:t>Food Chemistry, 158</w:t>
      </w:r>
      <w:r>
        <w:t>, 20–27.</w:t>
      </w:r>
    </w:p>
    <w:p w14:paraId="2781C164" w14:textId="77777777" w:rsidR="00DA2118" w:rsidRDefault="00DA2118" w:rsidP="00DA2118">
      <w:pPr>
        <w:pStyle w:val="NormalWeb"/>
      </w:pPr>
      <w:r>
        <w:t xml:space="preserve">Makinde, F. M., &amp; Akinoso, R. (2014). Nutrient composition and effect of processing on anti-nutritional factors of selected legumes. </w:t>
      </w:r>
      <w:r>
        <w:rPr>
          <w:rStyle w:val="Emphasis"/>
        </w:rPr>
        <w:t>Journal of Food Science and Technology, 51</w:t>
      </w:r>
      <w:r>
        <w:t>(8), 1698–1702.</w:t>
      </w:r>
    </w:p>
    <w:p w14:paraId="37E4DCB1" w14:textId="77777777" w:rsidR="00DA2118" w:rsidRDefault="00DA2118" w:rsidP="00DA2118">
      <w:pPr>
        <w:pStyle w:val="NormalWeb"/>
      </w:pPr>
      <w:r>
        <w:t xml:space="preserve">Mako, A. A., Akinwande, V. O., Abiola-Olagunju, O. I., Babayemi, O. J., &amp; </w:t>
      </w:r>
      <w:proofErr w:type="spellStart"/>
      <w:r>
        <w:t>Akinsoyinu</w:t>
      </w:r>
      <w:proofErr w:type="spellEnd"/>
      <w:r>
        <w:t>, A. O. (2021). Variations in chemical nutrients and mineral concentrations of water hyacinth (</w:t>
      </w:r>
      <w:r>
        <w:rPr>
          <w:rStyle w:val="Emphasis"/>
        </w:rPr>
        <w:t>Eichhornia crassipes</w:t>
      </w:r>
      <w:r>
        <w:t xml:space="preserve">). </w:t>
      </w:r>
      <w:r>
        <w:rPr>
          <w:rStyle w:val="Emphasis"/>
        </w:rPr>
        <w:t>Nigerian Journal of Animal Production, 48</w:t>
      </w:r>
      <w:r>
        <w:t>(1), 199–205.</w:t>
      </w:r>
    </w:p>
    <w:p w14:paraId="61F33117" w14:textId="77777777" w:rsidR="00DA2118" w:rsidRDefault="00DA2118" w:rsidP="00DA2118">
      <w:pPr>
        <w:pStyle w:val="NormalWeb"/>
      </w:pPr>
      <w:r>
        <w:t xml:space="preserve">Marco, M. L., Heeney, D., Binda, S., Cifelli, C. J., Cotter, P. D., </w:t>
      </w:r>
      <w:proofErr w:type="spellStart"/>
      <w:r>
        <w:t>Foligné</w:t>
      </w:r>
      <w:proofErr w:type="spellEnd"/>
      <w:r>
        <w:t xml:space="preserve">, B., </w:t>
      </w:r>
      <w:proofErr w:type="spellStart"/>
      <w:r>
        <w:t>Gänzle</w:t>
      </w:r>
      <w:proofErr w:type="spellEnd"/>
      <w:r>
        <w:t xml:space="preserve">, M., Kort, R., Pasin, G., &amp; Smid, E. J. (2017). Health benefits of fermented foods: Microbiota and beyond. </w:t>
      </w:r>
      <w:r>
        <w:rPr>
          <w:rStyle w:val="Emphasis"/>
        </w:rPr>
        <w:t>Current Opinion in Biotechnology, 44</w:t>
      </w:r>
      <w:r>
        <w:t>, 94–102.</w:t>
      </w:r>
    </w:p>
    <w:p w14:paraId="49AF2170" w14:textId="77777777" w:rsidR="00DA2118" w:rsidRDefault="00DA2118" w:rsidP="00DA2118">
      <w:pPr>
        <w:pStyle w:val="NormalWeb"/>
      </w:pPr>
      <w:proofErr w:type="spellStart"/>
      <w:r>
        <w:t>Montagnac</w:t>
      </w:r>
      <w:proofErr w:type="spellEnd"/>
      <w:r>
        <w:t xml:space="preserve">, J. A., Davis, C. R., &amp; </w:t>
      </w:r>
      <w:proofErr w:type="spellStart"/>
      <w:r>
        <w:t>Tanumihardjo</w:t>
      </w:r>
      <w:proofErr w:type="spellEnd"/>
      <w:r>
        <w:t xml:space="preserve">, S. A. (2023). Processing effects on cyanogenic glycosides and nutritional quality of cassava: An updated review. </w:t>
      </w:r>
      <w:r>
        <w:rPr>
          <w:rStyle w:val="Emphasis"/>
        </w:rPr>
        <w:t>Foods, 12</w:t>
      </w:r>
      <w:r>
        <w:t>(9), 1764.</w:t>
      </w:r>
    </w:p>
    <w:p w14:paraId="5EA2969C" w14:textId="77777777" w:rsidR="00DA2118" w:rsidRDefault="00DA2118" w:rsidP="00DA2118">
      <w:pPr>
        <w:pStyle w:val="NormalWeb"/>
      </w:pPr>
      <w:r>
        <w:t xml:space="preserve">Moyo, M., Amoo, S. O., &amp; </w:t>
      </w:r>
      <w:proofErr w:type="spellStart"/>
      <w:r>
        <w:t>Ndhlala</w:t>
      </w:r>
      <w:proofErr w:type="spellEnd"/>
      <w:r>
        <w:t xml:space="preserve">, A. R. (2021). Influence of thermal processing on the nutritional quality and phytochemical composition of African leafy vegetables: A review. </w:t>
      </w:r>
      <w:r>
        <w:rPr>
          <w:rStyle w:val="Emphasis"/>
        </w:rPr>
        <w:t>Food Reviews International, 37</w:t>
      </w:r>
      <w:r>
        <w:t>(6), 593–616.</w:t>
      </w:r>
    </w:p>
    <w:p w14:paraId="1E78BF1B" w14:textId="77777777" w:rsidR="00DA2118" w:rsidRDefault="00DA2118" w:rsidP="00DA2118">
      <w:pPr>
        <w:pStyle w:val="NormalWeb"/>
      </w:pPr>
      <w:r>
        <w:t xml:space="preserve">Nambisan, B. (2011). Strategies for elimination of </w:t>
      </w:r>
      <w:proofErr w:type="spellStart"/>
      <w:r>
        <w:t>cyanogens</w:t>
      </w:r>
      <w:proofErr w:type="spellEnd"/>
      <w:r>
        <w:t xml:space="preserve"> from cassava for reducing toxicity and improving food safety. </w:t>
      </w:r>
      <w:r>
        <w:rPr>
          <w:rStyle w:val="Emphasis"/>
        </w:rPr>
        <w:t>Food and Chemical Toxicology, 49</w:t>
      </w:r>
      <w:r>
        <w:t>(3), 690–693.</w:t>
      </w:r>
    </w:p>
    <w:p w14:paraId="19483FE2" w14:textId="77777777" w:rsidR="00DA2118" w:rsidRDefault="00DA2118" w:rsidP="00DA2118">
      <w:pPr>
        <w:pStyle w:val="NormalWeb"/>
      </w:pPr>
      <w:proofErr w:type="spellStart"/>
      <w:r>
        <w:t>Nandiyanto</w:t>
      </w:r>
      <w:proofErr w:type="spellEnd"/>
      <w:r>
        <w:t xml:space="preserve">, A. B. D., </w:t>
      </w:r>
      <w:proofErr w:type="spellStart"/>
      <w:r>
        <w:t>Ragadhita</w:t>
      </w:r>
      <w:proofErr w:type="spellEnd"/>
      <w:r>
        <w:t xml:space="preserve">, R., Hofifah, S. N., Al Husaeni, D. F., Al Husaeni, D. N., &amp; </w:t>
      </w:r>
      <w:proofErr w:type="spellStart"/>
      <w:r>
        <w:t>Fiandini</w:t>
      </w:r>
      <w:proofErr w:type="spellEnd"/>
      <w:r>
        <w:t xml:space="preserve">, M. (2024). Progress in the utilization of water hyacinth as effective biomass material. </w:t>
      </w:r>
      <w:r>
        <w:rPr>
          <w:rStyle w:val="Emphasis"/>
        </w:rPr>
        <w:t>Environment, Development and Sustainability, 26</w:t>
      </w:r>
      <w:r>
        <w:t>, 24521–24568.</w:t>
      </w:r>
    </w:p>
    <w:p w14:paraId="03C7891D" w14:textId="77777777" w:rsidR="00DA2118" w:rsidRDefault="00DA2118" w:rsidP="00DA2118">
      <w:pPr>
        <w:pStyle w:val="NormalWeb"/>
      </w:pPr>
      <w:r>
        <w:t xml:space="preserve">Nkhata, S. G., </w:t>
      </w:r>
      <w:proofErr w:type="spellStart"/>
      <w:r>
        <w:t>Ayua</w:t>
      </w:r>
      <w:proofErr w:type="spellEnd"/>
      <w:r>
        <w:t xml:space="preserve">, E., Kamau, E. H., &amp; </w:t>
      </w:r>
      <w:proofErr w:type="spellStart"/>
      <w:r>
        <w:t>Shingiro</w:t>
      </w:r>
      <w:proofErr w:type="spellEnd"/>
      <w:r>
        <w:t xml:space="preserve">, J. B. (2018). Fermentation and germination improve nutritional value of cereals and legumes through activation of endogenous enzymes. </w:t>
      </w:r>
      <w:r>
        <w:rPr>
          <w:rStyle w:val="Emphasis"/>
        </w:rPr>
        <w:t>Food Science &amp; Nutrition, 6</w:t>
      </w:r>
      <w:r>
        <w:t>(8), 2446–2458.</w:t>
      </w:r>
    </w:p>
    <w:p w14:paraId="18E3C001" w14:textId="77777777" w:rsidR="00DA2118" w:rsidRDefault="00DA2118" w:rsidP="00DA2118">
      <w:pPr>
        <w:pStyle w:val="NormalWeb"/>
      </w:pPr>
      <w:proofErr w:type="spellStart"/>
      <w:r>
        <w:t>Opazo</w:t>
      </w:r>
      <w:proofErr w:type="spellEnd"/>
      <w:r>
        <w:t xml:space="preserve">-Navarrete, M., Burgos-Díaz, C., Bravo-Reyes, C., Gajardo-Poblete, I., Chacón-Fuentes, M., Reyes, J. E., &amp; Mojica, L. (2025). Comprehensive review of plant protein digestibility: Challenges, assessment methods, and improvement strategies. </w:t>
      </w:r>
      <w:r>
        <w:rPr>
          <w:rStyle w:val="Emphasis"/>
        </w:rPr>
        <w:t>Applied Sciences, 15</w:t>
      </w:r>
      <w:r>
        <w:t xml:space="preserve">(7), 3538. </w:t>
      </w:r>
      <w:hyperlink r:id="rId14" w:history="1">
        <w:r w:rsidRPr="00961256">
          <w:rPr>
            <w:rStyle w:val="Hyperlink"/>
          </w:rPr>
          <w:t>https://doi.org/10.3390/app15073538</w:t>
        </w:r>
      </w:hyperlink>
    </w:p>
    <w:p w14:paraId="7449AF1E" w14:textId="77777777" w:rsidR="00DA2118" w:rsidRDefault="00DA2118" w:rsidP="00DA2118">
      <w:pPr>
        <w:pStyle w:val="NormalWeb"/>
      </w:pPr>
      <w:r>
        <w:t xml:space="preserve">Patel, S. (2012). Threats, management and envisaged utilizations of aquatic weed </w:t>
      </w:r>
      <w:r>
        <w:rPr>
          <w:rStyle w:val="Emphasis"/>
        </w:rPr>
        <w:t>Eichhornia crassipes</w:t>
      </w:r>
      <w:r>
        <w:t xml:space="preserve">: An overview. </w:t>
      </w:r>
      <w:r>
        <w:rPr>
          <w:rStyle w:val="Emphasis"/>
        </w:rPr>
        <w:t>Reviews in Environmental Science and Bio/Technology, 11</w:t>
      </w:r>
      <w:r>
        <w:t>(3), 249–259.</w:t>
      </w:r>
    </w:p>
    <w:p w14:paraId="49CFFA0C" w14:textId="77777777" w:rsidR="00DA2118" w:rsidRDefault="00DA2118" w:rsidP="00DA2118">
      <w:pPr>
        <w:pStyle w:val="NormalWeb"/>
      </w:pPr>
      <w:r>
        <w:t xml:space="preserve">Rajan, R. G. P., Jona, S. E., Dhinakaran, S., Dinesh, J., Deepika, R., Aruna, S., &amp; </w:t>
      </w:r>
      <w:proofErr w:type="spellStart"/>
      <w:r>
        <w:t>Manikandavelu</w:t>
      </w:r>
      <w:proofErr w:type="spellEnd"/>
      <w:r>
        <w:t xml:space="preserve">, D. (2023). Water hyacinth: A sustainable source of feed, manure and industrial products—A review. </w:t>
      </w:r>
      <w:r>
        <w:rPr>
          <w:rStyle w:val="Emphasis"/>
        </w:rPr>
        <w:t>Agricultural Reviews, 44</w:t>
      </w:r>
      <w:r>
        <w:t>(3), 389–392.</w:t>
      </w:r>
    </w:p>
    <w:p w14:paraId="4AB88AC8" w14:textId="77777777" w:rsidR="00DA2118" w:rsidRDefault="00DA2118" w:rsidP="00DA2118">
      <w:pPr>
        <w:pStyle w:val="NormalWeb"/>
      </w:pPr>
      <w:proofErr w:type="spellStart"/>
      <w:r>
        <w:t>Ralinala</w:t>
      </w:r>
      <w:proofErr w:type="spellEnd"/>
      <w:r>
        <w:t xml:space="preserve">, K. M., </w:t>
      </w:r>
      <w:proofErr w:type="spellStart"/>
      <w:r>
        <w:t>Netshirovha</w:t>
      </w:r>
      <w:proofErr w:type="spellEnd"/>
      <w:r>
        <w:t xml:space="preserve">, T. R., </w:t>
      </w:r>
      <w:proofErr w:type="spellStart"/>
      <w:r>
        <w:t>Nesengani</w:t>
      </w:r>
      <w:proofErr w:type="spellEnd"/>
      <w:r>
        <w:t xml:space="preserve">, T. L., </w:t>
      </w:r>
      <w:proofErr w:type="spellStart"/>
      <w:r>
        <w:t>Mapholi</w:t>
      </w:r>
      <w:proofErr w:type="spellEnd"/>
      <w:r>
        <w:t xml:space="preserve">, N. O., &amp; </w:t>
      </w:r>
      <w:proofErr w:type="spellStart"/>
      <w:r>
        <w:t>Chimonyo</w:t>
      </w:r>
      <w:proofErr w:type="spellEnd"/>
      <w:r>
        <w:t xml:space="preserve">, M. (2025). A review on the potential of water hyacinth to enhance ruminant performance. </w:t>
      </w:r>
      <w:r>
        <w:rPr>
          <w:rStyle w:val="Emphasis"/>
        </w:rPr>
        <w:t>Animals, 16</w:t>
      </w:r>
      <w:r>
        <w:t>(11), 1590.</w:t>
      </w:r>
    </w:p>
    <w:p w14:paraId="24B0EE21" w14:textId="77777777" w:rsidR="00DA2118" w:rsidRDefault="00DA2118" w:rsidP="00DA2118">
      <w:pPr>
        <w:pStyle w:val="NormalWeb"/>
      </w:pPr>
      <w:r>
        <w:lastRenderedPageBreak/>
        <w:t xml:space="preserve">Rousta, N., &amp; </w:t>
      </w:r>
      <w:proofErr w:type="spellStart"/>
      <w:r>
        <w:t>Taherzadeh</w:t>
      </w:r>
      <w:proofErr w:type="spellEnd"/>
      <w:r>
        <w:t xml:space="preserve">, M. J. (2026). Measuring phytic acid in complex and fermented food matrices: Modified protocol using enzymatic analysis. </w:t>
      </w:r>
      <w:r>
        <w:rPr>
          <w:rStyle w:val="Emphasis"/>
        </w:rPr>
        <w:t>JSFA Reports, 6</w:t>
      </w:r>
      <w:r>
        <w:t>(1), 4–13.</w:t>
      </w:r>
    </w:p>
    <w:p w14:paraId="32AC28CD" w14:textId="77777777" w:rsidR="00DA2118" w:rsidRDefault="00DA2118" w:rsidP="00DA2118">
      <w:pPr>
        <w:pStyle w:val="NormalWeb"/>
      </w:pPr>
      <w:proofErr w:type="spellStart"/>
      <w:r>
        <w:t>Samtiya</w:t>
      </w:r>
      <w:proofErr w:type="spellEnd"/>
      <w:r>
        <w:t xml:space="preserve">, M., Aluko, R. E., Dhewa, T., &amp; Moreno-Rojas, J. M. (2020). Potential health benefits of plant food-derived bioactive components: An overview of processing effects on antinutritional factors. </w:t>
      </w:r>
      <w:r>
        <w:rPr>
          <w:rStyle w:val="Emphasis"/>
        </w:rPr>
        <w:t>Foods, 9</w:t>
      </w:r>
      <w:r>
        <w:t>(6), 741.</w:t>
      </w:r>
    </w:p>
    <w:p w14:paraId="11A61EE3" w14:textId="77777777" w:rsidR="00DA2118" w:rsidRDefault="00DA2118" w:rsidP="00DA2118">
      <w:pPr>
        <w:pStyle w:val="NormalWeb"/>
      </w:pPr>
      <w:r>
        <w:t xml:space="preserve">Selim, A. S., Hasan, M., </w:t>
      </w:r>
      <w:proofErr w:type="spellStart"/>
      <w:r>
        <w:t>Nazimul</w:t>
      </w:r>
      <w:proofErr w:type="spellEnd"/>
      <w:r>
        <w:t xml:space="preserve">, R., &amp; Abdur, R. M. (2022). Nutrient content and in vitro degradation study of some unconventional feed resources of Bangladesh. </w:t>
      </w:r>
      <w:proofErr w:type="spellStart"/>
      <w:r>
        <w:rPr>
          <w:rStyle w:val="Emphasis"/>
        </w:rPr>
        <w:t>Heliyon</w:t>
      </w:r>
      <w:proofErr w:type="spellEnd"/>
      <w:r>
        <w:rPr>
          <w:rStyle w:val="Emphasis"/>
        </w:rPr>
        <w:t>, 8</w:t>
      </w:r>
      <w:r>
        <w:t>(5), 09496.</w:t>
      </w:r>
    </w:p>
    <w:p w14:paraId="2CFB98D9" w14:textId="77777777" w:rsidR="00DA2118" w:rsidRDefault="00DA2118" w:rsidP="00DA2118">
      <w:pPr>
        <w:pStyle w:val="NormalWeb"/>
      </w:pPr>
      <w:r>
        <w:t xml:space="preserve">Song, Y. S., Kim, H., &amp; Kim, B. G. (2024). Estimation of dry matter and crude protein residues originating from exogenous digestive enzymes based on the amounts of pepsin and pancreatin used in 2-step in vitro digestibility procedures for non-ruminants. </w:t>
      </w:r>
      <w:r>
        <w:rPr>
          <w:rStyle w:val="Emphasis"/>
        </w:rPr>
        <w:t>Animal Feed Science and Technology, 309</w:t>
      </w:r>
      <w:r>
        <w:t>, 115895.</w:t>
      </w:r>
    </w:p>
    <w:p w14:paraId="4B238104" w14:textId="77777777" w:rsidR="00DA2118" w:rsidRDefault="00DA2118" w:rsidP="00DA2118">
      <w:pPr>
        <w:pStyle w:val="NormalWeb"/>
      </w:pPr>
      <w:proofErr w:type="spellStart"/>
      <w:r>
        <w:t>Stauß</w:t>
      </w:r>
      <w:proofErr w:type="spellEnd"/>
      <w:r>
        <w:t xml:space="preserve">, A. C., Fuchs, C., Jansen, P., </w:t>
      </w:r>
      <w:proofErr w:type="spellStart"/>
      <w:r>
        <w:t>Repert</w:t>
      </w:r>
      <w:proofErr w:type="spellEnd"/>
      <w:r>
        <w:t xml:space="preserve">, S., Alcock, K., Ludewig, S., &amp; Rozhon, W. (2024). The ninhydrin reaction revisited: </w:t>
      </w:r>
      <w:proofErr w:type="spellStart"/>
      <w:r>
        <w:t>Optimisation</w:t>
      </w:r>
      <w:proofErr w:type="spellEnd"/>
      <w:r>
        <w:t xml:space="preserve"> and application for quantification of free amino acids. </w:t>
      </w:r>
      <w:r>
        <w:rPr>
          <w:rStyle w:val="Emphasis"/>
        </w:rPr>
        <w:t>Molecules, 29</w:t>
      </w:r>
      <w:r>
        <w:t>(14), 3262.</w:t>
      </w:r>
    </w:p>
    <w:p w14:paraId="2C195B88" w14:textId="77777777" w:rsidR="00DA2118" w:rsidRDefault="00DA2118" w:rsidP="00DA2118">
      <w:pPr>
        <w:pStyle w:val="NormalWeb"/>
      </w:pPr>
      <w:r>
        <w:t xml:space="preserve">Van Soest, P. J., Robertson, J. B., &amp; Lewis, B. A. (1991). Methods for dietary fiber, neutral detergent fiber, and </w:t>
      </w:r>
      <w:proofErr w:type="spellStart"/>
      <w:r>
        <w:t>nonstarch</w:t>
      </w:r>
      <w:proofErr w:type="spellEnd"/>
      <w:r>
        <w:t xml:space="preserve"> polysaccharides in relation to animal nutrition. </w:t>
      </w:r>
      <w:r>
        <w:rPr>
          <w:rStyle w:val="Emphasis"/>
        </w:rPr>
        <w:t>Journal of Dairy Science, 74</w:t>
      </w:r>
      <w:r>
        <w:t>(10), 3583–3597.</w:t>
      </w:r>
    </w:p>
    <w:p w14:paraId="63D94B84" w14:textId="77777777" w:rsidR="00DA2118" w:rsidRDefault="00DA2118" w:rsidP="00DA2118">
      <w:pPr>
        <w:pStyle w:val="NormalWeb"/>
      </w:pPr>
      <w:r>
        <w:t>Yan, S. H., Song, W., &amp; Guo, J. Y. (2017). Advances in management and utilization of invasive water hyacinth (</w:t>
      </w:r>
      <w:r>
        <w:rPr>
          <w:rStyle w:val="Emphasis"/>
        </w:rPr>
        <w:t>Eichhornia crassipes</w:t>
      </w:r>
      <w:r>
        <w:t xml:space="preserve">) in aquatic ecosystems: A review. </w:t>
      </w:r>
      <w:r>
        <w:rPr>
          <w:rStyle w:val="Emphasis"/>
        </w:rPr>
        <w:t>Critical Reviews in Biotechnology, 37</w:t>
      </w:r>
      <w:r>
        <w:t>(2), 218–228.</w:t>
      </w:r>
    </w:p>
    <w:p w14:paraId="2233025D" w14:textId="77777777" w:rsidR="00DA2118" w:rsidRDefault="00DA2118" w:rsidP="00DA2118">
      <w:pPr>
        <w:pStyle w:val="NormalWeb"/>
      </w:pPr>
      <w:r>
        <w:t xml:space="preserve">Zhang, Y., Al-Sayed, E., </w:t>
      </w:r>
      <w:proofErr w:type="spellStart"/>
      <w:r>
        <w:t>Dinkova</w:t>
      </w:r>
      <w:proofErr w:type="spellEnd"/>
      <w:r>
        <w:t>-Kostova, A. T., &amp; El-</w:t>
      </w:r>
      <w:proofErr w:type="spellStart"/>
      <w:r>
        <w:t>Shazly</w:t>
      </w:r>
      <w:proofErr w:type="spellEnd"/>
      <w:r>
        <w:t xml:space="preserve">, M. (2022). </w:t>
      </w:r>
      <w:r>
        <w:rPr>
          <w:rStyle w:val="Emphasis"/>
        </w:rPr>
        <w:t>Eichhornia crassipes</w:t>
      </w:r>
      <w:r>
        <w:t xml:space="preserve"> (Mart.) Solms: A comprehensive review of its chemical composition, traditional use, and value-added products. </w:t>
      </w:r>
      <w:r>
        <w:rPr>
          <w:rStyle w:val="Emphasis"/>
        </w:rPr>
        <w:t>Frontiers in Pharmacology, 13</w:t>
      </w:r>
      <w:r>
        <w:t>, 842511.</w:t>
      </w:r>
    </w:p>
    <w:p w14:paraId="19EE637C" w14:textId="77777777" w:rsidR="00441B6F" w:rsidRPr="00DA2118" w:rsidRDefault="00DA2118" w:rsidP="00DA2118">
      <w:pPr>
        <w:pStyle w:val="NormalWeb"/>
      </w:pPr>
      <w:r>
        <w:t xml:space="preserve">Zhang, Y., Zhang, H., Wang, L., &amp; Chen, G. (2023). Effects of thermal processing on protein structure, digestibility, and amino acid bioavailability in food systems: A review. </w:t>
      </w:r>
      <w:r>
        <w:rPr>
          <w:rStyle w:val="Emphasis"/>
        </w:rPr>
        <w:t>Food Chemistry, 405</w:t>
      </w:r>
      <w:r>
        <w:t>, 134814.</w:t>
      </w:r>
    </w:p>
    <w:p w14:paraId="696B3A47" w14:textId="77777777" w:rsidR="00B01FCD" w:rsidRPr="00FB3A86" w:rsidRDefault="00B01FCD" w:rsidP="00441B6F">
      <w:pPr>
        <w:pStyle w:val="Reference"/>
        <w:numPr>
          <w:ilvl w:val="0"/>
          <w:numId w:val="0"/>
        </w:numPr>
        <w:spacing w:line="240" w:lineRule="auto"/>
        <w:rPr>
          <w:rFonts w:ascii="Arial" w:hAnsi="Arial" w:cs="Arial"/>
        </w:rPr>
      </w:pPr>
    </w:p>
    <w:p w14:paraId="3BDD7164" w14:textId="77777777" w:rsidR="00B01FCD" w:rsidRPr="00FB3A86" w:rsidRDefault="00B01FCD" w:rsidP="00441B6F">
      <w:pPr>
        <w:pStyle w:val="Appendix"/>
        <w:spacing w:after="0"/>
        <w:jc w:val="both"/>
        <w:rPr>
          <w:rFonts w:ascii="Arial" w:hAnsi="Arial" w:cs="Arial"/>
          <w:b w:val="0"/>
        </w:rPr>
      </w:pPr>
    </w:p>
    <w:sectPr w:rsidR="00B01FCD" w:rsidRPr="00FB3A86" w:rsidSect="00861410">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82CD4" w14:textId="77777777" w:rsidR="0034401B" w:rsidRDefault="0034401B" w:rsidP="00C37E61">
      <w:r>
        <w:separator/>
      </w:r>
    </w:p>
  </w:endnote>
  <w:endnote w:type="continuationSeparator" w:id="0">
    <w:p w14:paraId="3A8F2113" w14:textId="77777777" w:rsidR="0034401B" w:rsidRDefault="0034401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6729" w14:textId="77777777" w:rsidR="00A34D14" w:rsidRDefault="00A34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D5196" w14:textId="77777777" w:rsidR="00A34D14" w:rsidRDefault="00A34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A877" w14:textId="6026C09D" w:rsidR="00FA32DE" w:rsidRPr="00A34D14" w:rsidRDefault="00FA32DE" w:rsidP="00A34D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17FC" w14:textId="77777777" w:rsidR="00FA32DE" w:rsidRPr="00C37E61" w:rsidRDefault="00FA32DE"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9478D" w14:textId="77777777" w:rsidR="0034401B" w:rsidRDefault="0034401B" w:rsidP="00C37E61">
      <w:r>
        <w:separator/>
      </w:r>
    </w:p>
  </w:footnote>
  <w:footnote w:type="continuationSeparator" w:id="0">
    <w:p w14:paraId="798BEC69" w14:textId="77777777" w:rsidR="0034401B" w:rsidRDefault="0034401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7C00" w14:textId="4AACB500" w:rsidR="00A34D14" w:rsidRDefault="00A34D14">
    <w:pPr>
      <w:pStyle w:val="Header"/>
    </w:pPr>
    <w:r>
      <w:rPr>
        <w:noProof/>
      </w:rPr>
      <w:pict w14:anchorId="662C40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ADE6" w14:textId="52775736" w:rsidR="00A34D14" w:rsidRDefault="00A34D14">
    <w:pPr>
      <w:pStyle w:val="Header"/>
    </w:pPr>
    <w:r>
      <w:rPr>
        <w:noProof/>
      </w:rPr>
      <w:pict w14:anchorId="33D376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129B" w14:textId="1159741E" w:rsidR="00FA32DE" w:rsidRPr="00296529" w:rsidRDefault="00A34D14" w:rsidP="00296529">
    <w:pPr>
      <w:ind w:left="2160"/>
      <w:jc w:val="center"/>
      <w:rPr>
        <w:rFonts w:ascii="Times New Roman" w:eastAsia="Calibri" w:hAnsi="Times New Roman"/>
        <w:i/>
        <w:sz w:val="18"/>
        <w:szCs w:val="22"/>
      </w:rPr>
    </w:pPr>
    <w:r>
      <w:rPr>
        <w:noProof/>
      </w:rPr>
      <w:pict w14:anchorId="3C7FE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AA3B707" w14:textId="77777777" w:rsidR="00FA32DE" w:rsidRPr="00296529" w:rsidRDefault="00FA32D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5B13E8B" w14:textId="77777777" w:rsidR="00FA32DE" w:rsidRPr="00296529" w:rsidRDefault="00FA32D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BB91A69" w14:textId="77777777" w:rsidR="00FA32DE" w:rsidRPr="00296529" w:rsidRDefault="00FA32D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73705AA" w14:textId="77777777" w:rsidR="00FA32DE" w:rsidRDefault="00FA32D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4E1043B" w14:textId="77777777" w:rsidR="00FA32DE" w:rsidRDefault="00FA32D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76C0B20" w14:textId="77777777" w:rsidR="00FA32DE" w:rsidRDefault="00FA32DE">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7D67" w14:textId="6BA66182" w:rsidR="00A34D14" w:rsidRDefault="00A34D14">
    <w:pPr>
      <w:pStyle w:val="Header"/>
    </w:pPr>
    <w:r>
      <w:rPr>
        <w:noProof/>
      </w:rPr>
      <w:pict w14:anchorId="3A9E72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468027E">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62E" w14:textId="1F47A613" w:rsidR="00A34D14" w:rsidRDefault="00A34D14">
    <w:pPr>
      <w:pStyle w:val="Header"/>
    </w:pPr>
    <w:r>
      <w:rPr>
        <w:noProof/>
      </w:rPr>
      <w:pict w14:anchorId="2A5F2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72263D0">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5D31" w14:textId="071C0430" w:rsidR="00A34D14" w:rsidRPr="00296529" w:rsidRDefault="00A34D14" w:rsidP="00296529">
    <w:pPr>
      <w:ind w:left="2160"/>
      <w:jc w:val="center"/>
      <w:rPr>
        <w:rFonts w:ascii="Times New Roman" w:eastAsia="Calibri" w:hAnsi="Times New Roman"/>
        <w:i/>
        <w:sz w:val="18"/>
        <w:szCs w:val="22"/>
      </w:rPr>
    </w:pPr>
    <w:r>
      <w:rPr>
        <w:noProof/>
      </w:rPr>
      <w:pict w14:anchorId="61AEB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83B620C">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C5D2426" w14:textId="77777777" w:rsidR="00A34D14" w:rsidRPr="00296529" w:rsidRDefault="00A34D1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C40AFAD" w14:textId="77777777" w:rsidR="00A34D14" w:rsidRPr="00296529" w:rsidRDefault="00A34D1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8A072F0" w14:textId="77777777" w:rsidR="00A34D14" w:rsidRPr="00296529" w:rsidRDefault="00A34D1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E663B07" w14:textId="77777777" w:rsidR="00A34D14" w:rsidRDefault="00A34D1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F34D37" w14:textId="77777777" w:rsidR="00A34D14" w:rsidRDefault="00A34D1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AE6105E" w14:textId="77777777" w:rsidR="00A34D14" w:rsidRDefault="00A34D1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111694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30044453">
    <w:abstractNumId w:val="15"/>
  </w:num>
  <w:num w:numId="3" w16cid:durableId="1477184970">
    <w:abstractNumId w:val="23"/>
  </w:num>
  <w:num w:numId="4" w16cid:durableId="163108496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19804889">
    <w:abstractNumId w:val="7"/>
  </w:num>
  <w:num w:numId="6" w16cid:durableId="527185227">
    <w:abstractNumId w:val="6"/>
  </w:num>
  <w:num w:numId="7" w16cid:durableId="1818259886">
    <w:abstractNumId w:val="1"/>
  </w:num>
  <w:num w:numId="8" w16cid:durableId="1430156867">
    <w:abstractNumId w:val="12"/>
  </w:num>
  <w:num w:numId="9" w16cid:durableId="433745403">
    <w:abstractNumId w:val="25"/>
  </w:num>
  <w:num w:numId="10" w16cid:durableId="1412313795">
    <w:abstractNumId w:val="2"/>
  </w:num>
  <w:num w:numId="11" w16cid:durableId="1244610068">
    <w:abstractNumId w:val="18"/>
  </w:num>
  <w:num w:numId="12" w16cid:durableId="555892500">
    <w:abstractNumId w:val="3"/>
  </w:num>
  <w:num w:numId="13" w16cid:durableId="1006135371">
    <w:abstractNumId w:val="17"/>
  </w:num>
  <w:num w:numId="14" w16cid:durableId="374890450">
    <w:abstractNumId w:val="8"/>
  </w:num>
  <w:num w:numId="15" w16cid:durableId="928007350">
    <w:abstractNumId w:val="21"/>
  </w:num>
  <w:num w:numId="16" w16cid:durableId="1532301756">
    <w:abstractNumId w:val="5"/>
  </w:num>
  <w:num w:numId="17" w16cid:durableId="1834296135">
    <w:abstractNumId w:val="22"/>
  </w:num>
  <w:num w:numId="18" w16cid:durableId="2128044477">
    <w:abstractNumId w:val="14"/>
  </w:num>
  <w:num w:numId="19" w16cid:durableId="2087727236">
    <w:abstractNumId w:val="28"/>
  </w:num>
  <w:num w:numId="20" w16cid:durableId="1381856402">
    <w:abstractNumId w:val="11"/>
  </w:num>
  <w:num w:numId="21" w16cid:durableId="366680569">
    <w:abstractNumId w:val="9"/>
  </w:num>
  <w:num w:numId="22" w16cid:durableId="737217082">
    <w:abstractNumId w:val="13"/>
  </w:num>
  <w:num w:numId="23" w16cid:durableId="1662847624">
    <w:abstractNumId w:val="19"/>
  </w:num>
  <w:num w:numId="24" w16cid:durableId="1705136333">
    <w:abstractNumId w:val="26"/>
  </w:num>
  <w:num w:numId="25" w16cid:durableId="1130170875">
    <w:abstractNumId w:val="4"/>
  </w:num>
  <w:num w:numId="26" w16cid:durableId="1413697372">
    <w:abstractNumId w:val="16"/>
  </w:num>
  <w:num w:numId="27" w16cid:durableId="981622475">
    <w:abstractNumId w:val="20"/>
  </w:num>
  <w:num w:numId="28" w16cid:durableId="10229355">
    <w:abstractNumId w:val="27"/>
  </w:num>
  <w:num w:numId="29" w16cid:durableId="1726567310">
    <w:abstractNumId w:val="24"/>
  </w:num>
  <w:num w:numId="30" w16cid:durableId="679084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63BC4"/>
    <w:rsid w:val="00191062"/>
    <w:rsid w:val="00192B72"/>
    <w:rsid w:val="00196C4F"/>
    <w:rsid w:val="001A29D8"/>
    <w:rsid w:val="001A5CAA"/>
    <w:rsid w:val="001B0427"/>
    <w:rsid w:val="001C47BA"/>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B75CF"/>
    <w:rsid w:val="002C2A60"/>
    <w:rsid w:val="002C2BC7"/>
    <w:rsid w:val="002C57D2"/>
    <w:rsid w:val="002D5097"/>
    <w:rsid w:val="002E0D56"/>
    <w:rsid w:val="00315186"/>
    <w:rsid w:val="0033343E"/>
    <w:rsid w:val="0034401B"/>
    <w:rsid w:val="003512C2"/>
    <w:rsid w:val="00371FB6"/>
    <w:rsid w:val="003763C1"/>
    <w:rsid w:val="00376BBE"/>
    <w:rsid w:val="0039224F"/>
    <w:rsid w:val="003A43A4"/>
    <w:rsid w:val="003A7E18"/>
    <w:rsid w:val="003C4C86"/>
    <w:rsid w:val="003C6258"/>
    <w:rsid w:val="003E2904"/>
    <w:rsid w:val="00401927"/>
    <w:rsid w:val="0040444D"/>
    <w:rsid w:val="0041027F"/>
    <w:rsid w:val="00412475"/>
    <w:rsid w:val="00423789"/>
    <w:rsid w:val="00440F43"/>
    <w:rsid w:val="00441B6F"/>
    <w:rsid w:val="00446221"/>
    <w:rsid w:val="00450E62"/>
    <w:rsid w:val="004539DB"/>
    <w:rsid w:val="00471A80"/>
    <w:rsid w:val="004D305E"/>
    <w:rsid w:val="004D4277"/>
    <w:rsid w:val="004F1B0E"/>
    <w:rsid w:val="00502516"/>
    <w:rsid w:val="00505F06"/>
    <w:rsid w:val="00506828"/>
    <w:rsid w:val="0053056E"/>
    <w:rsid w:val="005352F6"/>
    <w:rsid w:val="00554FDA"/>
    <w:rsid w:val="005C784C"/>
    <w:rsid w:val="005D17F6"/>
    <w:rsid w:val="005E5539"/>
    <w:rsid w:val="00602BF5"/>
    <w:rsid w:val="00617FDD"/>
    <w:rsid w:val="006329DE"/>
    <w:rsid w:val="00633614"/>
    <w:rsid w:val="00633F68"/>
    <w:rsid w:val="00636EB2"/>
    <w:rsid w:val="006375B8"/>
    <w:rsid w:val="00640706"/>
    <w:rsid w:val="00640A0E"/>
    <w:rsid w:val="006578BB"/>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1261"/>
    <w:rsid w:val="007D2288"/>
    <w:rsid w:val="007E088F"/>
    <w:rsid w:val="007F7B32"/>
    <w:rsid w:val="00804BC2"/>
    <w:rsid w:val="0081431A"/>
    <w:rsid w:val="0083216F"/>
    <w:rsid w:val="00860000"/>
    <w:rsid w:val="0086141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34D14"/>
    <w:rsid w:val="00A51431"/>
    <w:rsid w:val="00A539AD"/>
    <w:rsid w:val="00A94063"/>
    <w:rsid w:val="00AA6219"/>
    <w:rsid w:val="00AA74E0"/>
    <w:rsid w:val="00AB703F"/>
    <w:rsid w:val="00AC6BB8"/>
    <w:rsid w:val="00AE008F"/>
    <w:rsid w:val="00B01FCD"/>
    <w:rsid w:val="00B1776C"/>
    <w:rsid w:val="00B52583"/>
    <w:rsid w:val="00B52896"/>
    <w:rsid w:val="00B763A1"/>
    <w:rsid w:val="00B95236"/>
    <w:rsid w:val="00B96BD9"/>
    <w:rsid w:val="00BA1B01"/>
    <w:rsid w:val="00BA2641"/>
    <w:rsid w:val="00BB37AA"/>
    <w:rsid w:val="00BC53A0"/>
    <w:rsid w:val="00BE51F6"/>
    <w:rsid w:val="00BE62AD"/>
    <w:rsid w:val="00BF121F"/>
    <w:rsid w:val="00BF1F80"/>
    <w:rsid w:val="00C166EF"/>
    <w:rsid w:val="00C17EB0"/>
    <w:rsid w:val="00C27F5F"/>
    <w:rsid w:val="00C30A0F"/>
    <w:rsid w:val="00C37E61"/>
    <w:rsid w:val="00C50FD8"/>
    <w:rsid w:val="00C70F1B"/>
    <w:rsid w:val="00C71A47"/>
    <w:rsid w:val="00C7464C"/>
    <w:rsid w:val="00C85588"/>
    <w:rsid w:val="00CD6755"/>
    <w:rsid w:val="00CD6856"/>
    <w:rsid w:val="00CE0089"/>
    <w:rsid w:val="00CE793C"/>
    <w:rsid w:val="00CF193C"/>
    <w:rsid w:val="00D10F2D"/>
    <w:rsid w:val="00D173F1"/>
    <w:rsid w:val="00D41DB1"/>
    <w:rsid w:val="00D74CB0"/>
    <w:rsid w:val="00D8295D"/>
    <w:rsid w:val="00DA2118"/>
    <w:rsid w:val="00DC271F"/>
    <w:rsid w:val="00DC2A65"/>
    <w:rsid w:val="00DE15F0"/>
    <w:rsid w:val="00DE5663"/>
    <w:rsid w:val="00DE78AA"/>
    <w:rsid w:val="00E053D0"/>
    <w:rsid w:val="00E15994"/>
    <w:rsid w:val="00E3114E"/>
    <w:rsid w:val="00E31A70"/>
    <w:rsid w:val="00E35B02"/>
    <w:rsid w:val="00E66496"/>
    <w:rsid w:val="00E66B35"/>
    <w:rsid w:val="00E66E10"/>
    <w:rsid w:val="00E769F6"/>
    <w:rsid w:val="00E83D5C"/>
    <w:rsid w:val="00E8407C"/>
    <w:rsid w:val="00E84F3C"/>
    <w:rsid w:val="00EA012C"/>
    <w:rsid w:val="00EC6A55"/>
    <w:rsid w:val="00ED0288"/>
    <w:rsid w:val="00EE52CB"/>
    <w:rsid w:val="00EF132F"/>
    <w:rsid w:val="00EF581D"/>
    <w:rsid w:val="00EF7FD8"/>
    <w:rsid w:val="00F06F59"/>
    <w:rsid w:val="00F17988"/>
    <w:rsid w:val="00F21024"/>
    <w:rsid w:val="00F469F0"/>
    <w:rsid w:val="00F53273"/>
    <w:rsid w:val="00F755E4"/>
    <w:rsid w:val="00F77D02"/>
    <w:rsid w:val="00F90D3C"/>
    <w:rsid w:val="00FA32DE"/>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D905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044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40444D"/>
    <w:rPr>
      <w:b/>
      <w:bCs/>
    </w:rPr>
  </w:style>
  <w:style w:type="character" w:customStyle="1" w:styleId="Heading2Char">
    <w:name w:val="Heading 2 Char"/>
    <w:basedOn w:val="DefaultParagraphFont"/>
    <w:link w:val="Heading2"/>
    <w:semiHidden/>
    <w:rsid w:val="0040444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40444D"/>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40444D"/>
    <w:pPr>
      <w:spacing w:after="160" w:line="276" w:lineRule="auto"/>
      <w:ind w:left="720"/>
      <w:contextualSpacing/>
    </w:pPr>
    <w:rPr>
      <w:rFonts w:asciiTheme="minorHAnsi" w:eastAsiaTheme="minorEastAsia" w:hAnsiTheme="minorHAnsi" w:cstheme="minorBidi"/>
      <w:kern w:val="2"/>
      <w:sz w:val="24"/>
      <w:szCs w:val="24"/>
      <w14:ligatures w14:val="standardContextual"/>
    </w:rPr>
  </w:style>
  <w:style w:type="paragraph" w:customStyle="1" w:styleId="isselectedend">
    <w:name w:val="isselectedend"/>
    <w:basedOn w:val="Normal"/>
    <w:uiPriority w:val="99"/>
    <w:rsid w:val="0040444D"/>
    <w:pPr>
      <w:spacing w:before="100" w:beforeAutospacing="1" w:after="100" w:afterAutospacing="1"/>
    </w:pPr>
    <w:rPr>
      <w:rFonts w:ascii="Times New Roman" w:hAnsi="Times New Roman"/>
      <w:sz w:val="24"/>
      <w:szCs w:val="24"/>
    </w:rPr>
  </w:style>
  <w:style w:type="character" w:customStyle="1" w:styleId="mord">
    <w:name w:val="mord"/>
    <w:basedOn w:val="DefaultParagraphFont"/>
    <w:rsid w:val="0040444D"/>
  </w:style>
  <w:style w:type="character" w:customStyle="1" w:styleId="mbin">
    <w:name w:val="mbin"/>
    <w:basedOn w:val="DefaultParagraphFont"/>
    <w:rsid w:val="0040444D"/>
  </w:style>
  <w:style w:type="character" w:customStyle="1" w:styleId="author0">
    <w:name w:val="author"/>
    <w:basedOn w:val="DefaultParagraphFont"/>
    <w:rsid w:val="0040444D"/>
  </w:style>
  <w:style w:type="character" w:customStyle="1" w:styleId="pubyear">
    <w:name w:val="pubyear"/>
    <w:basedOn w:val="DefaultParagraphFont"/>
    <w:rsid w:val="0040444D"/>
  </w:style>
  <w:style w:type="paragraph" w:customStyle="1" w:styleId="pdq2pgselectionanchorcontainer">
    <w:name w:val="pdq2pg_selectionanchorcontainer"/>
    <w:basedOn w:val="Normal"/>
    <w:rsid w:val="00C50FD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71329344">
      <w:bodyDiv w:val="1"/>
      <w:marLeft w:val="0"/>
      <w:marRight w:val="0"/>
      <w:marTop w:val="0"/>
      <w:marBottom w:val="0"/>
      <w:divBdr>
        <w:top w:val="none" w:sz="0" w:space="0" w:color="auto"/>
        <w:left w:val="none" w:sz="0" w:space="0" w:color="auto"/>
        <w:bottom w:val="none" w:sz="0" w:space="0" w:color="auto"/>
        <w:right w:val="none" w:sz="0" w:space="0" w:color="auto"/>
      </w:divBdr>
    </w:div>
    <w:div w:id="463696325">
      <w:bodyDiv w:val="1"/>
      <w:marLeft w:val="0"/>
      <w:marRight w:val="0"/>
      <w:marTop w:val="0"/>
      <w:marBottom w:val="0"/>
      <w:divBdr>
        <w:top w:val="none" w:sz="0" w:space="0" w:color="auto"/>
        <w:left w:val="none" w:sz="0" w:space="0" w:color="auto"/>
        <w:bottom w:val="none" w:sz="0" w:space="0" w:color="auto"/>
        <w:right w:val="none" w:sz="0" w:space="0" w:color="auto"/>
      </w:divBdr>
    </w:div>
    <w:div w:id="533228129">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830951361">
      <w:bodyDiv w:val="1"/>
      <w:marLeft w:val="0"/>
      <w:marRight w:val="0"/>
      <w:marTop w:val="0"/>
      <w:marBottom w:val="0"/>
      <w:divBdr>
        <w:top w:val="none" w:sz="0" w:space="0" w:color="auto"/>
        <w:left w:val="none" w:sz="0" w:space="0" w:color="auto"/>
        <w:bottom w:val="none" w:sz="0" w:space="0" w:color="auto"/>
        <w:right w:val="none" w:sz="0" w:space="0" w:color="auto"/>
      </w:divBdr>
    </w:div>
    <w:div w:id="936475514">
      <w:bodyDiv w:val="1"/>
      <w:marLeft w:val="0"/>
      <w:marRight w:val="0"/>
      <w:marTop w:val="0"/>
      <w:marBottom w:val="0"/>
      <w:divBdr>
        <w:top w:val="none" w:sz="0" w:space="0" w:color="auto"/>
        <w:left w:val="none" w:sz="0" w:space="0" w:color="auto"/>
        <w:bottom w:val="none" w:sz="0" w:space="0" w:color="auto"/>
        <w:right w:val="none" w:sz="0" w:space="0" w:color="auto"/>
      </w:divBdr>
    </w:div>
    <w:div w:id="944968362">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8920258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9768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90/app150735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DC60-E083-4F36-91CD-9B5B3A3C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95</TotalTime>
  <Pages>28</Pages>
  <Words>12154</Words>
  <Characters>69283</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81275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15</cp:revision>
  <cp:lastPrinted>1999-07-06T11:00:00Z</cp:lastPrinted>
  <dcterms:created xsi:type="dcterms:W3CDTF">2026-09-11T00:05:00Z</dcterms:created>
  <dcterms:modified xsi:type="dcterms:W3CDTF">2026-09-12T12:50:00Z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adecc05c-a87e-4c6f-ae0f-8a77d3e5942f</vt:lpwstr>
  </property>
</Properties>
</file>