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E0F65" w14:textId="77777777" w:rsidR="00754C9A" w:rsidRDefault="00754C9A" w:rsidP="00441B6F">
      <w:pPr>
        <w:pStyle w:val="Title"/>
        <w:spacing w:after="0"/>
        <w:jc w:val="both"/>
        <w:rPr>
          <w:rFonts w:ascii="Arial" w:hAnsi="Arial" w:cs="Arial"/>
        </w:rPr>
      </w:pPr>
    </w:p>
    <w:p w14:paraId="662142CC" w14:textId="77777777" w:rsidR="00A258C3" w:rsidRDefault="00B1037E" w:rsidP="00441B6F">
      <w:pPr>
        <w:pStyle w:val="Author"/>
        <w:spacing w:line="240" w:lineRule="auto"/>
        <w:jc w:val="both"/>
      </w:pPr>
      <w:r>
        <w:t xml:space="preserve">Protective Effect of </w:t>
      </w:r>
      <w:r>
        <w:rPr>
          <w:rStyle w:val="Emphasis"/>
        </w:rPr>
        <w:t xml:space="preserve">Pterocarpus </w:t>
      </w:r>
      <w:proofErr w:type="spellStart"/>
      <w:r>
        <w:rPr>
          <w:rStyle w:val="Emphasis"/>
        </w:rPr>
        <w:t>santalinoides</w:t>
      </w:r>
      <w:proofErr w:type="spellEnd"/>
      <w:r>
        <w:t xml:space="preserve"> Leaf Diet against Cadmium-Induced Biochemical and </w:t>
      </w:r>
      <w:proofErr w:type="spellStart"/>
      <w:r>
        <w:t>Haematological</w:t>
      </w:r>
      <w:proofErr w:type="spellEnd"/>
      <w:r>
        <w:t xml:space="preserve"> Alterations</w:t>
      </w:r>
    </w:p>
    <w:p w14:paraId="250C734A" w14:textId="77777777" w:rsidR="00B1037E" w:rsidRPr="00790ADA" w:rsidRDefault="00B1037E" w:rsidP="00441B6F">
      <w:pPr>
        <w:pStyle w:val="Author"/>
        <w:spacing w:line="240" w:lineRule="auto"/>
        <w:jc w:val="both"/>
        <w:rPr>
          <w:rFonts w:ascii="Arial" w:hAnsi="Arial" w:cs="Arial"/>
          <w:sz w:val="36"/>
        </w:rPr>
      </w:pPr>
    </w:p>
    <w:p w14:paraId="7569D570" w14:textId="77777777" w:rsidR="002C57D2" w:rsidRPr="00FB3A86" w:rsidRDefault="002C57D2" w:rsidP="00441B6F">
      <w:pPr>
        <w:pStyle w:val="Affiliation"/>
        <w:spacing w:after="0" w:line="240" w:lineRule="auto"/>
        <w:jc w:val="both"/>
        <w:rPr>
          <w:rFonts w:ascii="Arial" w:hAnsi="Arial" w:cs="Arial"/>
        </w:rPr>
      </w:pPr>
    </w:p>
    <w:p w14:paraId="782E0EC3" w14:textId="77777777" w:rsidR="00790ADA" w:rsidRPr="00FB3A86" w:rsidRDefault="001C19E3" w:rsidP="00151356">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1C04F996" wp14:editId="05E7A49F">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A41B2A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A74AA0">
        <w:rPr>
          <w:rFonts w:ascii="Arial" w:hAnsi="Arial" w:cs="Arial"/>
        </w:rPr>
        <w:t>.</w:t>
      </w:r>
      <w:r w:rsidR="00A74AA0" w:rsidRPr="00151356">
        <w:rPr>
          <w:rFonts w:ascii="Arial" w:hAnsi="Arial" w:cs="Arial"/>
          <w:b/>
        </w:rPr>
        <w:t xml:space="preserve"> ABSTRACT</w:t>
      </w:r>
    </w:p>
    <w:p w14:paraId="19F95065" w14:textId="77777777" w:rsidR="0024282C" w:rsidRDefault="006B5B4F" w:rsidP="00441B6F">
      <w:pPr>
        <w:pStyle w:val="Body"/>
        <w:spacing w:after="0"/>
      </w:pPr>
      <w:r>
        <w:rPr>
          <w:rStyle w:val="Emphasis"/>
        </w:rPr>
        <w:t xml:space="preserve">Pterocarpus </w:t>
      </w:r>
      <w:proofErr w:type="spellStart"/>
      <w:r>
        <w:rPr>
          <w:rStyle w:val="Emphasis"/>
        </w:rPr>
        <w:t>santalinoides</w:t>
      </w:r>
      <w:proofErr w:type="spellEnd"/>
      <w:r>
        <w:t xml:space="preserve"> is a nutritional and medicinal plant with diverse phytochemical constituents and therapeutic properties. Cadmium is an important environmental toxicant that can accumulate in biological tissues and cause oxidative stress, renal damage, and </w:t>
      </w:r>
      <w:proofErr w:type="spellStart"/>
      <w:r>
        <w:t>haematological</w:t>
      </w:r>
      <w:proofErr w:type="spellEnd"/>
      <w:r>
        <w:t xml:space="preserve"> disturbances. This study investigated the protective effect of </w:t>
      </w:r>
      <w:r>
        <w:rPr>
          <w:rStyle w:val="Emphasis"/>
        </w:rPr>
        <w:t xml:space="preserve">Pterocarpus </w:t>
      </w:r>
      <w:proofErr w:type="spellStart"/>
      <w:r>
        <w:rPr>
          <w:rStyle w:val="Emphasis"/>
        </w:rPr>
        <w:t>santalinoides</w:t>
      </w:r>
      <w:proofErr w:type="spellEnd"/>
      <w:r>
        <w:t xml:space="preserve"> leaf diet on selected biochemical, antioxidant, and </w:t>
      </w:r>
      <w:proofErr w:type="spellStart"/>
      <w:r>
        <w:t>haematological</w:t>
      </w:r>
      <w:proofErr w:type="spellEnd"/>
      <w:r>
        <w:t xml:space="preserve"> indices in cadmium-exposed Wistar rats. Thirty Wistar rats were randomly divided into five groups of six rats each: normal control, negative control, low-dose (</w:t>
      </w:r>
      <w:r>
        <w:rPr>
          <w:rStyle w:val="Emphasis"/>
        </w:rPr>
        <w:t>PS1</w:t>
      </w:r>
      <w:r>
        <w:t>), medium-dose (</w:t>
      </w:r>
      <w:r>
        <w:rPr>
          <w:rStyle w:val="Emphasis"/>
        </w:rPr>
        <w:t>PS2</w:t>
      </w:r>
      <w:r>
        <w:t>), and high-dose (</w:t>
      </w:r>
      <w:r>
        <w:rPr>
          <w:rStyle w:val="Emphasis"/>
        </w:rPr>
        <w:t>PS3</w:t>
      </w:r>
      <w:r>
        <w:t xml:space="preserve">) groups. The negative control and treatment groups were exposed to cadmium, while the treatment groups received varying concentrations of </w:t>
      </w:r>
      <w:r>
        <w:rPr>
          <w:rStyle w:val="Emphasis"/>
        </w:rPr>
        <w:t xml:space="preserve">Pterocarpus </w:t>
      </w:r>
      <w:proofErr w:type="spellStart"/>
      <w:r>
        <w:rPr>
          <w:rStyle w:val="Emphasis"/>
        </w:rPr>
        <w:t>santalinoides</w:t>
      </w:r>
      <w:proofErr w:type="spellEnd"/>
      <w:r>
        <w:t xml:space="preserve"> leaf diet. At the end of the experiment, serum and blood samples were collected for biochemical, antioxidant, and </w:t>
      </w:r>
      <w:proofErr w:type="spellStart"/>
      <w:r>
        <w:t>haematological</w:t>
      </w:r>
      <w:proofErr w:type="spellEnd"/>
      <w:r>
        <w:t xml:space="preserve"> analyses using standard laboratory procedures. Cadmium exposure caused marked alterations in the measured parameters, with increased serum urea and creatinine levels and reduced activities of superoxide dismutase and catalase, indicating renal dysfunction and oxidative stress. Significant reductions in white blood cell, red blood cell, platelet counts, and packed cell volume were also observed in the untreated cadmium-exposed rats. Administration of </w:t>
      </w:r>
      <w:r w:rsidR="00795C38">
        <w:rPr>
          <w:rStyle w:val="Emphasis"/>
        </w:rPr>
        <w:t xml:space="preserve">a Pterocarpus </w:t>
      </w:r>
      <w:proofErr w:type="spellStart"/>
      <w:r w:rsidR="00795C38">
        <w:rPr>
          <w:rStyle w:val="Emphasis"/>
        </w:rPr>
        <w:t>santalinoides</w:t>
      </w:r>
      <w:proofErr w:type="spellEnd"/>
      <w:r w:rsidR="00795C38">
        <w:rPr>
          <w:rStyle w:val="Emphasis"/>
        </w:rPr>
        <w:t xml:space="preserve"> leaf diet improved these alterations, as evidenced by reductions in serum urea and creatinine and increases in</w:t>
      </w:r>
      <w:r>
        <w:t xml:space="preserve"> antioxidant enzyme activities. </w:t>
      </w:r>
      <w:proofErr w:type="spellStart"/>
      <w:r>
        <w:t>Haematological</w:t>
      </w:r>
      <w:proofErr w:type="spellEnd"/>
      <w:r>
        <w:t xml:space="preserve"> indices also improved following dietary treatment. The improvements were generally more pronounced at higher dietary inclusion levels, with values approaching those of the normal control group. These findings suggest that </w:t>
      </w:r>
      <w:r>
        <w:rPr>
          <w:rStyle w:val="Emphasis"/>
        </w:rPr>
        <w:t xml:space="preserve">Pterocarpus </w:t>
      </w:r>
      <w:proofErr w:type="spellStart"/>
      <w:r>
        <w:rPr>
          <w:rStyle w:val="Emphasis"/>
        </w:rPr>
        <w:t>santalinoides</w:t>
      </w:r>
      <w:proofErr w:type="spellEnd"/>
      <w:r>
        <w:t xml:space="preserve"> leaf diet has protective effects against cadmium-induced renal, oxidative, and </w:t>
      </w:r>
      <w:proofErr w:type="spellStart"/>
      <w:r>
        <w:t>haematological</w:t>
      </w:r>
      <w:proofErr w:type="spellEnd"/>
      <w:r>
        <w:t xml:space="preserve"> disturbances, which may be associated with its antioxidant and other bioactive constituents.</w:t>
      </w:r>
    </w:p>
    <w:p w14:paraId="0C8DE86B" w14:textId="77777777" w:rsidR="00795C38" w:rsidRDefault="00795C38" w:rsidP="00795C38">
      <w:pPr>
        <w:jc w:val="both"/>
        <w:rPr>
          <w:rFonts w:ascii="Times New Roman" w:hAnsi="Times New Roman"/>
          <w:sz w:val="24"/>
          <w:szCs w:val="24"/>
        </w:rPr>
      </w:pPr>
      <w:r w:rsidRPr="00A74AA0">
        <w:rPr>
          <w:rFonts w:ascii="Times New Roman" w:hAnsi="Times New Roman"/>
          <w:sz w:val="24"/>
          <w:szCs w:val="24"/>
        </w:rPr>
        <w:t>Keywords</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cadmium, antioxidant enzymes,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kidney function, oxidative stress.</w:t>
      </w:r>
    </w:p>
    <w:p w14:paraId="3B1A0D6A" w14:textId="77777777" w:rsidR="00795C38" w:rsidRDefault="00795C38" w:rsidP="00795C38">
      <w:pPr>
        <w:rPr>
          <w:rFonts w:ascii="Times New Roman" w:hAnsi="Times New Roman"/>
          <w:sz w:val="24"/>
          <w:szCs w:val="24"/>
        </w:rPr>
        <w:sectPr w:rsidR="00795C38" w:rsidSect="00DD66B3">
          <w:headerReference w:type="even" r:id="rId8"/>
          <w:headerReference w:type="default" r:id="rId9"/>
          <w:footerReference w:type="even" r:id="rId10"/>
          <w:footerReference w:type="default" r:id="rId11"/>
          <w:headerReference w:type="first" r:id="rId12"/>
          <w:footerReference w:type="first" r:id="rId13"/>
          <w:type w:val="nextPage"/>
          <w:pgSz w:w="11906" w:h="16838"/>
          <w:pgMar w:top="1440" w:right="1440" w:bottom="1440" w:left="1440" w:header="720" w:footer="720" w:gutter="0"/>
          <w:pgNumType w:fmt="lowerRoman" w:start="1"/>
          <w:cols w:space="720"/>
        </w:sectPr>
      </w:pPr>
    </w:p>
    <w:p w14:paraId="71816C5A" w14:textId="77777777" w:rsidR="007F7B32" w:rsidRDefault="00902823" w:rsidP="00441B6F">
      <w:pPr>
        <w:pStyle w:val="AbstHead"/>
        <w:spacing w:after="0"/>
        <w:jc w:val="both"/>
        <w:rPr>
          <w:rFonts w:ascii="Arial" w:hAnsi="Arial" w:cs="Arial"/>
        </w:rPr>
      </w:pPr>
      <w:r>
        <w:rPr>
          <w:rFonts w:ascii="Arial" w:hAnsi="Arial" w:cs="Arial"/>
        </w:rPr>
        <w:lastRenderedPageBreak/>
        <w:t xml:space="preserve"> </w:t>
      </w:r>
      <w:r w:rsidR="00B01FCD" w:rsidRPr="00FB3A86">
        <w:rPr>
          <w:rFonts w:ascii="Arial" w:hAnsi="Arial" w:cs="Arial"/>
        </w:rPr>
        <w:t>INTRODUCTION</w:t>
      </w:r>
    </w:p>
    <w:p w14:paraId="0D26B887"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Heavy metals are naturally occurring elements that have become major environmental pollutants due to rapid industrialization, mining activities, urbanization, agricultural practices, and the indiscriminate disposal of industrial waste. Unlike many organic pollutants, heavy metals are non-biodegradable and therefore persist in the environment for long periods, accumulating in soil, water, and living organisms (</w:t>
      </w:r>
      <w:proofErr w:type="spellStart"/>
      <w:r>
        <w:rPr>
          <w:rFonts w:ascii="Times New Roman" w:hAnsi="Times New Roman"/>
          <w:sz w:val="24"/>
          <w:szCs w:val="24"/>
        </w:rPr>
        <w:t>Tchounwou</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2014). Their persistence and tendency to bioaccumulate make them a significant threat to both environmental sustainability and public health. Among the various heavy metals, cadmium has attracted considerable scientific attention because of its high toxicity, long biological half-life, and ability to accumulate in vital organs following prolonged exposure (Jaishankar </w:t>
      </w:r>
      <w:r>
        <w:rPr>
          <w:rFonts w:ascii="Times New Roman" w:hAnsi="Times New Roman"/>
          <w:i/>
          <w:sz w:val="24"/>
          <w:szCs w:val="24"/>
        </w:rPr>
        <w:t>et al.,</w:t>
      </w:r>
      <w:r>
        <w:rPr>
          <w:rFonts w:ascii="Times New Roman" w:hAnsi="Times New Roman"/>
          <w:sz w:val="24"/>
          <w:szCs w:val="24"/>
        </w:rPr>
        <w:t xml:space="preserve"> 2014). Human and animal exposure to cadmium commonly occurs through contaminated food and water, cigarette smoke, industrial emissions, mining activities, and phosphate fertilizers (</w:t>
      </w:r>
      <w:proofErr w:type="spellStart"/>
      <w:r>
        <w:rPr>
          <w:rFonts w:ascii="Times New Roman" w:hAnsi="Times New Roman"/>
          <w:sz w:val="24"/>
          <w:szCs w:val="24"/>
        </w:rPr>
        <w:t>Unsal</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2020). Since the body has limited mechanisms for eliminating cadmium, continuous exposure results in its gradual accumulation, particularly in the kidneys and liver, where it disrupts normal physiological processes (Genchi </w:t>
      </w:r>
      <w:r>
        <w:rPr>
          <w:rFonts w:ascii="Times New Roman" w:hAnsi="Times New Roman"/>
          <w:i/>
          <w:sz w:val="24"/>
          <w:szCs w:val="24"/>
        </w:rPr>
        <w:t>et al.,</w:t>
      </w:r>
      <w:r>
        <w:rPr>
          <w:rFonts w:ascii="Times New Roman" w:hAnsi="Times New Roman"/>
          <w:sz w:val="24"/>
          <w:szCs w:val="24"/>
        </w:rPr>
        <w:t xml:space="preserve"> 2020).</w:t>
      </w:r>
    </w:p>
    <w:p w14:paraId="2181C206"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 xml:space="preserve">Cadmium toxicity has been linked to several pathological conditions, including renal dysfunction, liver injury, cardiovascular diseases, reproductive disorders and impaired immune function (Genchi </w:t>
      </w:r>
      <w:r>
        <w:rPr>
          <w:rFonts w:ascii="Times New Roman" w:hAnsi="Times New Roman"/>
          <w:i/>
          <w:sz w:val="24"/>
          <w:szCs w:val="24"/>
        </w:rPr>
        <w:t>et al.,</w:t>
      </w:r>
      <w:r>
        <w:rPr>
          <w:rFonts w:ascii="Times New Roman" w:hAnsi="Times New Roman"/>
          <w:sz w:val="24"/>
          <w:szCs w:val="24"/>
        </w:rPr>
        <w:t xml:space="preserve"> 2020). One of the major mechanisms through which cadmium exerts its toxic effects is the induction of oxidative stress (Cuypers </w:t>
      </w:r>
      <w:r>
        <w:rPr>
          <w:rFonts w:ascii="Times New Roman" w:hAnsi="Times New Roman"/>
          <w:i/>
          <w:sz w:val="24"/>
          <w:szCs w:val="24"/>
        </w:rPr>
        <w:t>et al.,</w:t>
      </w:r>
      <w:r>
        <w:rPr>
          <w:rFonts w:ascii="Times New Roman" w:hAnsi="Times New Roman"/>
          <w:sz w:val="24"/>
          <w:szCs w:val="24"/>
        </w:rPr>
        <w:t xml:space="preserve"> 2016). Although cadmium is not a redox-active metal, it indirectly stimulates the excessive production of reactive oxygen species while simultaneously weakening the body’s antioxidant defense system (</w:t>
      </w:r>
      <w:proofErr w:type="spellStart"/>
      <w:r>
        <w:rPr>
          <w:rFonts w:ascii="Times New Roman" w:hAnsi="Times New Roman"/>
          <w:sz w:val="24"/>
          <w:szCs w:val="24"/>
        </w:rPr>
        <w:t>Unsal</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2020). This imbalance between oxidants and antioxidants leads to lipid peroxidation, protein oxidation, DNA damage, and eventual cell death (Sies </w:t>
      </w:r>
      <w:r>
        <w:rPr>
          <w:rFonts w:ascii="Times New Roman" w:hAnsi="Times New Roman"/>
          <w:i/>
          <w:sz w:val="24"/>
          <w:szCs w:val="24"/>
        </w:rPr>
        <w:t>et al.,</w:t>
      </w:r>
      <w:r>
        <w:rPr>
          <w:rFonts w:ascii="Times New Roman" w:hAnsi="Times New Roman"/>
          <w:sz w:val="24"/>
          <w:szCs w:val="24"/>
        </w:rPr>
        <w:t xml:space="preserve"> 2017).</w:t>
      </w:r>
    </w:p>
    <w:p w14:paraId="09FD35C0"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 xml:space="preserve">The kidneys are among the principal target organs of cadmium toxicity because they are responsible for filtering blood and eliminating metabolic wastes from the body. Following prolonged exposure, cadmium accumulates in the renal cortex, causing degeneration of tubular epithelial cells, impairment of glomerular filtration, and progressive nephrotoxicity (Genchi </w:t>
      </w:r>
      <w:r>
        <w:rPr>
          <w:rFonts w:ascii="Times New Roman" w:hAnsi="Times New Roman"/>
          <w:i/>
          <w:sz w:val="24"/>
          <w:szCs w:val="24"/>
        </w:rPr>
        <w:t>et al.,</w:t>
      </w:r>
      <w:r>
        <w:rPr>
          <w:rFonts w:ascii="Times New Roman" w:hAnsi="Times New Roman"/>
          <w:sz w:val="24"/>
          <w:szCs w:val="24"/>
        </w:rPr>
        <w:t xml:space="preserve"> 2020). These pathological changes often result in elevated serum urea and creatinine concentrations, which are widely accepted indicators of renal dysfunction, as urea is a major end </w:t>
      </w:r>
      <w:r>
        <w:rPr>
          <w:rFonts w:ascii="Times New Roman" w:hAnsi="Times New Roman"/>
          <w:sz w:val="24"/>
          <w:szCs w:val="24"/>
        </w:rPr>
        <w:lastRenderedPageBreak/>
        <w:t>product of protein metabolism, while creatinine is produced during muscle metabolism and excreted almost entirely by the kidneys (</w:t>
      </w:r>
      <w:proofErr w:type="spellStart"/>
      <w:r>
        <w:rPr>
          <w:rFonts w:ascii="Times New Roman" w:hAnsi="Times New Roman"/>
          <w:sz w:val="24"/>
          <w:szCs w:val="24"/>
        </w:rPr>
        <w:t>Unsal</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2020). </w:t>
      </w:r>
    </w:p>
    <w:p w14:paraId="5203CADC"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 xml:space="preserve">To minimize oxidative injury, living organisms possess several endogenous antioxidant enzymes that neutralize reactive oxygen species before they damage cellular components. Among these enzymes, superoxide dismutase (SOD) and catalase (CAT) constitute the first line of antioxidant defense (Ighodaro &amp; </w:t>
      </w:r>
      <w:proofErr w:type="spellStart"/>
      <w:r>
        <w:rPr>
          <w:rFonts w:ascii="Times New Roman" w:hAnsi="Times New Roman"/>
          <w:sz w:val="24"/>
          <w:szCs w:val="24"/>
        </w:rPr>
        <w:t>Akinloye</w:t>
      </w:r>
      <w:proofErr w:type="spellEnd"/>
      <w:r>
        <w:rPr>
          <w:rFonts w:ascii="Times New Roman" w:hAnsi="Times New Roman"/>
          <w:sz w:val="24"/>
          <w:szCs w:val="24"/>
        </w:rPr>
        <w:t xml:space="preserve">, 2018). Superoxide dismutase catalysis the conversion of superoxide radicals into hydrogen peroxide, while catalase subsequently converts hydrogen peroxide into water and oxygen, thereby preventing the formation of highly reactive hydroxyl radicals (Sies </w:t>
      </w:r>
      <w:r>
        <w:rPr>
          <w:rFonts w:ascii="Times New Roman" w:hAnsi="Times New Roman"/>
          <w:i/>
          <w:sz w:val="24"/>
          <w:szCs w:val="24"/>
        </w:rPr>
        <w:t>et al.,</w:t>
      </w:r>
      <w:r>
        <w:rPr>
          <w:rFonts w:ascii="Times New Roman" w:hAnsi="Times New Roman"/>
          <w:sz w:val="24"/>
          <w:szCs w:val="24"/>
        </w:rPr>
        <w:t xml:space="preserve"> 2017). Cadmium exposure has been shown to suppress the activities of these enzymes through oxidative modification and depletion of intracellular antioxidant reserves (Cuypers </w:t>
      </w:r>
      <w:r>
        <w:rPr>
          <w:rFonts w:ascii="Times New Roman" w:hAnsi="Times New Roman"/>
          <w:i/>
          <w:sz w:val="24"/>
          <w:szCs w:val="24"/>
        </w:rPr>
        <w:t>et al.,</w:t>
      </w:r>
      <w:r>
        <w:rPr>
          <w:rFonts w:ascii="Times New Roman" w:hAnsi="Times New Roman"/>
          <w:sz w:val="24"/>
          <w:szCs w:val="24"/>
        </w:rPr>
        <w:t xml:space="preserve"> 2016). Also, reduction in SOD and catalase activities enhances oxidative damage, promotes inflammation and accelerates tissue degeneration.</w:t>
      </w:r>
    </w:p>
    <w:p w14:paraId="768A3807"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Apart from biochemical alterations, cadmium also exerts profound effects on the hematopoietic system. Blood parameters serve as sensitive indicators of physiological and pathological changes because toxic substances often interfere with blood cell production and function (El-</w:t>
      </w:r>
      <w:proofErr w:type="spellStart"/>
      <w:r>
        <w:rPr>
          <w:rFonts w:ascii="Times New Roman" w:hAnsi="Times New Roman"/>
          <w:sz w:val="24"/>
          <w:szCs w:val="24"/>
        </w:rPr>
        <w:t>Boshy</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2015). Cadmium has been reported to inhibit erythropoiesis, interfere with iron metabolism and shorten the lifespan of erythrocytes, resulting in reduced red blood cell count and packed cell volume (Genchi </w:t>
      </w:r>
      <w:r>
        <w:rPr>
          <w:rFonts w:ascii="Times New Roman" w:hAnsi="Times New Roman"/>
          <w:i/>
          <w:sz w:val="24"/>
          <w:szCs w:val="24"/>
        </w:rPr>
        <w:t>et al.,</w:t>
      </w:r>
      <w:r>
        <w:rPr>
          <w:rFonts w:ascii="Times New Roman" w:hAnsi="Times New Roman"/>
          <w:sz w:val="24"/>
          <w:szCs w:val="24"/>
        </w:rPr>
        <w:t xml:space="preserve"> 2020). Alterations in white blood cell count may indicate inflammatory responses or suppression of immune function depending on the duration and level of exposure (Jaishankar </w:t>
      </w:r>
      <w:r>
        <w:rPr>
          <w:rFonts w:ascii="Times New Roman" w:hAnsi="Times New Roman"/>
          <w:i/>
          <w:sz w:val="24"/>
          <w:szCs w:val="24"/>
        </w:rPr>
        <w:t>et al.,</w:t>
      </w:r>
      <w:r>
        <w:rPr>
          <w:rFonts w:ascii="Times New Roman" w:hAnsi="Times New Roman"/>
          <w:sz w:val="24"/>
          <w:szCs w:val="24"/>
        </w:rPr>
        <w:t xml:space="preserve"> 2014). Similarly, cadmium-induced damage to the bone marrow may impair platelet production, thereby affecting normal hemostatic processes. </w:t>
      </w:r>
    </w:p>
    <w:p w14:paraId="2F946A24" w14:textId="77777777" w:rsidR="00790ADA" w:rsidRPr="00FB3A86" w:rsidRDefault="00795C38" w:rsidP="00795C38">
      <w:pPr>
        <w:pStyle w:val="Body"/>
        <w:spacing w:after="0"/>
        <w:rPr>
          <w:rFonts w:ascii="Arial" w:hAnsi="Arial" w:cs="Arial"/>
        </w:rPr>
      </w:pPr>
      <w:r>
        <w:rPr>
          <w:rFonts w:ascii="Times New Roman" w:hAnsi="Times New Roman"/>
          <w:sz w:val="24"/>
          <w:szCs w:val="24"/>
        </w:rPr>
        <w:t>Growing concerns regarding the adverse effects associated with synthetic drugs have increased global interest in medicinal plants as safer and more affordable alternatives for disease prevention and management (</w:t>
      </w:r>
      <w:proofErr w:type="spellStart"/>
      <w:r>
        <w:rPr>
          <w:rFonts w:ascii="Times New Roman" w:hAnsi="Times New Roman"/>
          <w:sz w:val="24"/>
          <w:szCs w:val="24"/>
        </w:rPr>
        <w:t>Ekor</w:t>
      </w:r>
      <w:proofErr w:type="spellEnd"/>
      <w:r>
        <w:rPr>
          <w:rFonts w:ascii="Times New Roman" w:hAnsi="Times New Roman"/>
          <w:sz w:val="24"/>
          <w:szCs w:val="24"/>
        </w:rPr>
        <w:t>, 2014). Medicinal plants are rich sources of biologically active compounds such as flavonoids, phenolic compounds, tannins, alkaloids, and saponins, many of which possess potent antioxidant and anti-inflammatory properties (</w:t>
      </w:r>
      <w:proofErr w:type="spellStart"/>
      <w:r>
        <w:rPr>
          <w:rFonts w:ascii="Times New Roman" w:hAnsi="Times New Roman"/>
          <w:sz w:val="24"/>
          <w:szCs w:val="24"/>
        </w:rPr>
        <w:t>Gulcin</w:t>
      </w:r>
      <w:proofErr w:type="spellEnd"/>
      <w:r>
        <w:rPr>
          <w:rFonts w:ascii="Times New Roman" w:hAnsi="Times New Roman"/>
          <w:sz w:val="24"/>
          <w:szCs w:val="24"/>
        </w:rPr>
        <w:t xml:space="preserve">, 2020). These phytochemicals scavenge free radicals, stabilize cellular membranes and enhance endogenous antioxidant defense mechanisms, thereby protecting tissues against oxidative damage induced by environmental toxicants. One medicinal plant that has received increasing scientific attention is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a member of the family </w:t>
      </w:r>
      <w:r>
        <w:rPr>
          <w:rFonts w:ascii="Times New Roman" w:hAnsi="Times New Roman"/>
          <w:i/>
          <w:sz w:val="24"/>
          <w:szCs w:val="24"/>
        </w:rPr>
        <w:t>Fabaceae,</w:t>
      </w:r>
      <w:r>
        <w:rPr>
          <w:rFonts w:ascii="Times New Roman" w:hAnsi="Times New Roman"/>
          <w:sz w:val="24"/>
          <w:szCs w:val="24"/>
        </w:rPr>
        <w:t xml:space="preserve"> widely distributed in Nigeria and other parts of West Africa. The leaves are commonly consumed as vegetables and have long been used in traditional medicine for the treatment of diarrhea, dysentery, wounds, inflammatory disorders, and microbial infections. Scientific studies have shown that the leaves contain appreciable amounts of flavonoids, phenolic compounds, tannins, alkaloids and saponins, which contribute to their pharmacological activities (</w:t>
      </w:r>
      <w:proofErr w:type="spellStart"/>
      <w:r>
        <w:rPr>
          <w:rFonts w:ascii="Times New Roman" w:hAnsi="Times New Roman"/>
          <w:sz w:val="24"/>
          <w:szCs w:val="24"/>
        </w:rPr>
        <w:t>Olorunnisola</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2019). These </w:t>
      </w:r>
      <w:r>
        <w:rPr>
          <w:rFonts w:ascii="Times New Roman" w:hAnsi="Times New Roman"/>
          <w:sz w:val="24"/>
          <w:szCs w:val="24"/>
        </w:rPr>
        <w:lastRenderedPageBreak/>
        <w:t>phytochemicals possess strong antioxidant properties capable of reducing oxidative stress and protecting biological tissues against chemically induced damage (</w:t>
      </w:r>
      <w:proofErr w:type="spellStart"/>
      <w:r>
        <w:rPr>
          <w:rFonts w:ascii="Times New Roman" w:hAnsi="Times New Roman"/>
          <w:sz w:val="24"/>
          <w:szCs w:val="24"/>
        </w:rPr>
        <w:t>Gulcin</w:t>
      </w:r>
      <w:proofErr w:type="spellEnd"/>
      <w:r>
        <w:rPr>
          <w:rFonts w:ascii="Times New Roman" w:hAnsi="Times New Roman"/>
          <w:sz w:val="24"/>
          <w:szCs w:val="24"/>
        </w:rPr>
        <w:t xml:space="preserve">, 2020). Also, experimental investigations have further demonstrated that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enhances antioxidant enzyme activities, reduces lipid peroxidation and improves tissue integrity following exposure to toxic substances (</w:t>
      </w:r>
      <w:proofErr w:type="spellStart"/>
      <w:r>
        <w:rPr>
          <w:rFonts w:ascii="Times New Roman" w:hAnsi="Times New Roman"/>
          <w:sz w:val="24"/>
          <w:szCs w:val="24"/>
        </w:rPr>
        <w:t>Ihedioha</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2019).</w:t>
      </w:r>
    </w:p>
    <w:p w14:paraId="6BB8BBD2" w14:textId="5885B943"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290A51D7" w14:textId="77777777" w:rsidR="00795C38" w:rsidRPr="00795C38" w:rsidRDefault="00795C38" w:rsidP="00795C38">
      <w:pPr>
        <w:pStyle w:val="Heading3"/>
        <w:spacing w:before="0" w:line="480" w:lineRule="auto"/>
        <w:jc w:val="both"/>
        <w:rPr>
          <w:rFonts w:ascii="Times New Roman" w:hAnsi="Times New Roman"/>
          <w:color w:val="000000" w:themeColor="text1"/>
        </w:rPr>
      </w:pPr>
      <w:r w:rsidRPr="00795C38">
        <w:rPr>
          <w:rStyle w:val="Strong"/>
          <w:b w:val="0"/>
          <w:color w:val="000000" w:themeColor="text1"/>
        </w:rPr>
        <w:t>Materials</w:t>
      </w:r>
    </w:p>
    <w:p w14:paraId="0BF263F9" w14:textId="77777777" w:rsidR="00795C38" w:rsidRP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795C38">
        <w:rPr>
          <w:rStyle w:val="Strong"/>
          <w:b w:val="0"/>
          <w:i w:val="0"/>
          <w:color w:val="000000" w:themeColor="text1"/>
          <w:sz w:val="24"/>
          <w:szCs w:val="24"/>
        </w:rPr>
        <w:t>Chemicals and Reagents</w:t>
      </w:r>
    </w:p>
    <w:p w14:paraId="6CF20A24" w14:textId="77777777" w:rsidR="00795C38" w:rsidRPr="00795C38" w:rsidRDefault="00795C38" w:rsidP="00795C38">
      <w:pPr>
        <w:pStyle w:val="Heading4"/>
        <w:spacing w:before="0" w:line="480" w:lineRule="auto"/>
        <w:ind w:firstLine="720"/>
        <w:jc w:val="both"/>
        <w:rPr>
          <w:rFonts w:ascii="Times New Roman" w:hAnsi="Times New Roman" w:cs="Times New Roman"/>
          <w:bCs/>
          <w:i w:val="0"/>
          <w:iCs w:val="0"/>
          <w:color w:val="000000" w:themeColor="text1"/>
          <w:sz w:val="24"/>
          <w:szCs w:val="24"/>
        </w:rPr>
      </w:pPr>
      <w:r w:rsidRPr="00795C38">
        <w:rPr>
          <w:rFonts w:ascii="Times New Roman" w:hAnsi="Times New Roman" w:cs="Times New Roman"/>
          <w:i w:val="0"/>
          <w:color w:val="000000" w:themeColor="text1"/>
          <w:sz w:val="24"/>
          <w:szCs w:val="24"/>
        </w:rPr>
        <w:t>Cadmium chloride (</w:t>
      </w:r>
      <w:proofErr w:type="spellStart"/>
      <w:r w:rsidRPr="00795C38">
        <w:rPr>
          <w:rFonts w:ascii="Times New Roman" w:hAnsi="Times New Roman" w:cs="Times New Roman"/>
          <w:i w:val="0"/>
          <w:color w:val="000000" w:themeColor="text1"/>
          <w:sz w:val="24"/>
          <w:szCs w:val="24"/>
        </w:rPr>
        <w:t>CdCl</w:t>
      </w:r>
      <w:proofErr w:type="spellEnd"/>
      <w:r w:rsidRPr="00795C38">
        <w:rPr>
          <w:rFonts w:ascii="Times New Roman" w:hAnsi="Times New Roman" w:cs="Times New Roman"/>
          <w:i w:val="0"/>
          <w:color w:val="000000" w:themeColor="text1"/>
          <w:sz w:val="24"/>
          <w:szCs w:val="24"/>
        </w:rPr>
        <w:t xml:space="preserve">) of analytical grade, ketamine, </w:t>
      </w:r>
      <w:r>
        <w:rPr>
          <w:rFonts w:ascii="Times New Roman" w:hAnsi="Times New Roman" w:cs="Times New Roman"/>
          <w:i w:val="0"/>
          <w:color w:val="000000" w:themeColor="text1"/>
          <w:sz w:val="24"/>
          <w:szCs w:val="24"/>
        </w:rPr>
        <w:t>distilled</w:t>
      </w:r>
      <w:r w:rsidRPr="00795C38">
        <w:rPr>
          <w:rFonts w:ascii="Times New Roman" w:hAnsi="Times New Roman" w:cs="Times New Roman"/>
          <w:i w:val="0"/>
          <w:color w:val="000000" w:themeColor="text1"/>
          <w:sz w:val="24"/>
          <w:szCs w:val="24"/>
        </w:rPr>
        <w:t xml:space="preserve"> water, Random test kits for </w:t>
      </w:r>
      <w:r w:rsidRPr="00795C38">
        <w:rPr>
          <w:rFonts w:ascii="Times New Roman" w:hAnsi="Times New Roman" w:cs="Times New Roman"/>
          <w:i w:val="0"/>
          <w:color w:val="auto"/>
          <w:sz w:val="24"/>
          <w:szCs w:val="24"/>
        </w:rPr>
        <w:t>Kidney function indices tests (serum urea and creatinine</w:t>
      </w:r>
      <w:r w:rsidRPr="00795C38">
        <w:rPr>
          <w:rFonts w:ascii="Times New Roman" w:hAnsi="Times New Roman" w:cs="Times New Roman"/>
          <w:bCs/>
          <w:i w:val="0"/>
          <w:iCs w:val="0"/>
          <w:color w:val="000000" w:themeColor="text1"/>
          <w:sz w:val="24"/>
          <w:szCs w:val="24"/>
        </w:rPr>
        <w:t xml:space="preserve">) </w:t>
      </w:r>
      <w:r w:rsidRPr="00795C38">
        <w:rPr>
          <w:rFonts w:ascii="Times New Roman" w:hAnsi="Times New Roman" w:cs="Times New Roman"/>
          <w:i w:val="0"/>
          <w:iCs w:val="0"/>
          <w:color w:val="000000" w:themeColor="text1"/>
          <w:sz w:val="24"/>
          <w:szCs w:val="24"/>
        </w:rPr>
        <w:t xml:space="preserve">and </w:t>
      </w:r>
      <w:r w:rsidRPr="00795C38">
        <w:rPr>
          <w:rFonts w:ascii="Times New Roman" w:hAnsi="Times New Roman" w:cs="Times New Roman"/>
          <w:i w:val="0"/>
          <w:color w:val="auto"/>
          <w:sz w:val="24"/>
          <w:szCs w:val="24"/>
        </w:rPr>
        <w:t xml:space="preserve">antioxidant enzyme activity </w:t>
      </w:r>
      <w:r>
        <w:rPr>
          <w:rFonts w:ascii="Times New Roman" w:hAnsi="Times New Roman" w:cs="Times New Roman"/>
          <w:i w:val="0"/>
          <w:iCs w:val="0"/>
          <w:color w:val="000000" w:themeColor="text1"/>
          <w:sz w:val="24"/>
          <w:szCs w:val="24"/>
        </w:rPr>
        <w:t>tests</w:t>
      </w:r>
      <w:r w:rsidRPr="00795C38">
        <w:rPr>
          <w:rFonts w:ascii="Times New Roman" w:hAnsi="Times New Roman" w:cs="Times New Roman"/>
          <w:i w:val="0"/>
          <w:iCs w:val="0"/>
          <w:color w:val="000000" w:themeColor="text1"/>
          <w:sz w:val="24"/>
          <w:szCs w:val="24"/>
        </w:rPr>
        <w:t xml:space="preserve"> </w:t>
      </w:r>
      <w:r w:rsidRPr="00795C38">
        <w:rPr>
          <w:rFonts w:ascii="Times New Roman" w:hAnsi="Times New Roman" w:cs="Times New Roman"/>
          <w:bCs/>
          <w:i w:val="0"/>
          <w:iCs w:val="0"/>
          <w:color w:val="000000" w:themeColor="text1"/>
          <w:sz w:val="24"/>
          <w:szCs w:val="24"/>
        </w:rPr>
        <w:t>(</w:t>
      </w:r>
      <w:r w:rsidRPr="00795C38">
        <w:rPr>
          <w:rFonts w:ascii="Times New Roman" w:hAnsi="Times New Roman" w:cs="Times New Roman"/>
          <w:i w:val="0"/>
          <w:color w:val="auto"/>
          <w:sz w:val="24"/>
          <w:szCs w:val="24"/>
        </w:rPr>
        <w:t>superoxide dismutase and catalase</w:t>
      </w:r>
      <w:r w:rsidRPr="00795C38">
        <w:rPr>
          <w:rFonts w:ascii="Times New Roman" w:hAnsi="Times New Roman" w:cs="Times New Roman"/>
          <w:bCs/>
          <w:i w:val="0"/>
          <w:iCs w:val="0"/>
          <w:color w:val="000000" w:themeColor="text1"/>
          <w:sz w:val="24"/>
          <w:szCs w:val="24"/>
        </w:rPr>
        <w:t xml:space="preserve">), Analyzer-specific kits for </w:t>
      </w:r>
      <w:proofErr w:type="spellStart"/>
      <w:r w:rsidRPr="00795C38">
        <w:rPr>
          <w:rFonts w:ascii="Times New Roman" w:hAnsi="Times New Roman" w:cs="Times New Roman"/>
          <w:bCs/>
          <w:i w:val="0"/>
          <w:iCs w:val="0"/>
          <w:color w:val="000000" w:themeColor="text1"/>
          <w:sz w:val="24"/>
          <w:szCs w:val="24"/>
        </w:rPr>
        <w:t>haematological</w:t>
      </w:r>
      <w:proofErr w:type="spellEnd"/>
      <w:r w:rsidRPr="00795C38">
        <w:rPr>
          <w:rFonts w:ascii="Times New Roman" w:hAnsi="Times New Roman" w:cs="Times New Roman"/>
          <w:bCs/>
          <w:i w:val="0"/>
          <w:iCs w:val="0"/>
          <w:color w:val="000000" w:themeColor="text1"/>
          <w:sz w:val="24"/>
          <w:szCs w:val="24"/>
        </w:rPr>
        <w:t xml:space="preserve"> parameter </w:t>
      </w:r>
      <w:r>
        <w:rPr>
          <w:rFonts w:ascii="Times New Roman" w:hAnsi="Times New Roman" w:cs="Times New Roman"/>
          <w:bCs/>
          <w:i w:val="0"/>
          <w:iCs w:val="0"/>
          <w:color w:val="000000" w:themeColor="text1"/>
          <w:sz w:val="24"/>
          <w:szCs w:val="24"/>
        </w:rPr>
        <w:t>tests</w:t>
      </w:r>
      <w:r w:rsidRPr="00795C38">
        <w:rPr>
          <w:rFonts w:ascii="Times New Roman" w:hAnsi="Times New Roman" w:cs="Times New Roman"/>
          <w:bCs/>
          <w:i w:val="0"/>
          <w:iCs w:val="0"/>
          <w:color w:val="000000" w:themeColor="text1"/>
          <w:sz w:val="24"/>
          <w:szCs w:val="24"/>
        </w:rPr>
        <w:t xml:space="preserve"> (WBC, RBC, PLATELETS, PCV).</w:t>
      </w:r>
      <w:r w:rsidRPr="00795C38">
        <w:rPr>
          <w:rFonts w:ascii="Times New Roman" w:hAnsi="Times New Roman" w:cs="Times New Roman"/>
          <w:i w:val="0"/>
          <w:color w:val="000000" w:themeColor="text1"/>
          <w:sz w:val="24"/>
          <w:szCs w:val="24"/>
        </w:rPr>
        <w:t xml:space="preserve"> All other chemicals and reagents were obtained from certified suppliers and were of analytical grade.</w:t>
      </w:r>
    </w:p>
    <w:p w14:paraId="1C7BFA3F" w14:textId="77777777" w:rsidR="00795C38" w:rsidRDefault="00795C38" w:rsidP="00795C38">
      <w:pPr>
        <w:pStyle w:val="NormalWeb"/>
        <w:spacing w:before="0" w:beforeAutospacing="0" w:after="0" w:afterAutospacing="0" w:line="480" w:lineRule="auto"/>
        <w:jc w:val="both"/>
        <w:rPr>
          <w:b/>
          <w:bCs/>
          <w:color w:val="000000" w:themeColor="text1"/>
        </w:rPr>
      </w:pPr>
      <w:r w:rsidRPr="00795C38">
        <w:rPr>
          <w:bCs/>
          <w:color w:val="000000" w:themeColor="text1"/>
        </w:rPr>
        <w:t>Equipment’s/Apparatus</w:t>
      </w:r>
    </w:p>
    <w:p w14:paraId="5B3BFD68" w14:textId="77777777" w:rsidR="00795C38" w:rsidRDefault="00795C38" w:rsidP="00795C38">
      <w:pPr>
        <w:spacing w:line="480" w:lineRule="auto"/>
        <w:ind w:firstLine="720"/>
        <w:jc w:val="both"/>
        <w:rPr>
          <w:rStyle w:val="Strong"/>
          <w:rFonts w:ascii="Times New Roman" w:hAnsi="Times New Roman"/>
          <w:sz w:val="24"/>
          <w:szCs w:val="24"/>
        </w:rPr>
      </w:pPr>
      <w:r>
        <w:rPr>
          <w:rFonts w:ascii="Times New Roman" w:hAnsi="Times New Roman"/>
          <w:sz w:val="24"/>
          <w:szCs w:val="24"/>
        </w:rPr>
        <w:t>UV-Visible Spectrophotometer (UV-1800, Shimadzu Corporation, Japan), Centrifuge (80-2B Centrifuge, Changsha Xiangyi Centrifuge Instrument Co., China), Automated hematology analyzer (</w:t>
      </w:r>
      <w:proofErr w:type="spellStart"/>
      <w:r>
        <w:rPr>
          <w:rFonts w:ascii="Times New Roman" w:hAnsi="Times New Roman"/>
          <w:sz w:val="24"/>
          <w:szCs w:val="24"/>
        </w:rPr>
        <w:t>sysmex</w:t>
      </w:r>
      <w:proofErr w:type="spellEnd"/>
      <w:r>
        <w:rPr>
          <w:rFonts w:ascii="Times New Roman" w:hAnsi="Times New Roman"/>
          <w:sz w:val="24"/>
          <w:szCs w:val="24"/>
        </w:rPr>
        <w:t xml:space="preserve"> XN-1000/XN-2000), Hot Air Oven (DHG-9053A Electric Thermostatic Drying Oven, Shanghai Yiheng Scientific Instrument Co., China), Electrical Blender (BLG-450 Blender, </w:t>
      </w:r>
      <w:proofErr w:type="spellStart"/>
      <w:r>
        <w:rPr>
          <w:rFonts w:ascii="Times New Roman" w:hAnsi="Times New Roman"/>
          <w:sz w:val="24"/>
          <w:szCs w:val="24"/>
        </w:rPr>
        <w:t>Binatone</w:t>
      </w:r>
      <w:proofErr w:type="spellEnd"/>
      <w:r>
        <w:rPr>
          <w:rFonts w:ascii="Times New Roman" w:hAnsi="Times New Roman"/>
          <w:sz w:val="24"/>
          <w:szCs w:val="24"/>
        </w:rPr>
        <w:t xml:space="preserve"> Electronics International Ltd.), Disposable Syringes (5mL and 10mL, Becton Dickinson, USA), EDTA Blood Collection Tubes (Vacutainer® K₂EDTA Tubes, Becton Dickinson, USA), Plain Blood Collection Tubes (Vacutainer® Plain Tubes, Becton Dickinson, USA), Latex Hand Gloves (Top Glove Corporation, Malaysia), Nose Masks (3-Ply Face Mask, </w:t>
      </w:r>
      <w:proofErr w:type="spellStart"/>
      <w:r>
        <w:rPr>
          <w:rFonts w:ascii="Times New Roman" w:hAnsi="Times New Roman"/>
          <w:sz w:val="24"/>
          <w:szCs w:val="24"/>
        </w:rPr>
        <w:t>Medcon</w:t>
      </w:r>
      <w:proofErr w:type="spellEnd"/>
      <w:r>
        <w:rPr>
          <w:rFonts w:ascii="Times New Roman" w:hAnsi="Times New Roman"/>
          <w:sz w:val="24"/>
          <w:szCs w:val="24"/>
        </w:rPr>
        <w:t xml:space="preserve"> Healthcare, China), Well-Ventilated Animal Cages.</w:t>
      </w:r>
    </w:p>
    <w:p w14:paraId="2775534D" w14:textId="77777777" w:rsidR="00795C38" w:rsidRPr="00795C38" w:rsidRDefault="00795C38" w:rsidP="00795C38">
      <w:pPr>
        <w:pStyle w:val="Heading4"/>
        <w:spacing w:before="0" w:line="480" w:lineRule="auto"/>
        <w:jc w:val="both"/>
        <w:rPr>
          <w:b/>
          <w:i w:val="0"/>
          <w:color w:val="000000" w:themeColor="text1"/>
        </w:rPr>
      </w:pPr>
      <w:r w:rsidRPr="00795C38">
        <w:rPr>
          <w:rStyle w:val="Strong"/>
          <w:b w:val="0"/>
          <w:i w:val="0"/>
          <w:color w:val="000000" w:themeColor="text1"/>
          <w:sz w:val="24"/>
          <w:szCs w:val="24"/>
        </w:rPr>
        <w:t>Plant Material Collection and Identification</w:t>
      </w:r>
    </w:p>
    <w:p w14:paraId="5B09869D"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 xml:space="preserve">Fresh leaves of </w:t>
      </w:r>
      <w:r>
        <w:rPr>
          <w:i/>
          <w:color w:val="000000" w:themeColor="text1"/>
        </w:rPr>
        <w:t>P</w:t>
      </w:r>
      <w:r>
        <w:rPr>
          <w:rStyle w:val="Emphasis"/>
          <w:color w:val="000000" w:themeColor="text1"/>
        </w:rPr>
        <w:t xml:space="preserve">terocarpus </w:t>
      </w:r>
      <w:proofErr w:type="spellStart"/>
      <w:r>
        <w:rPr>
          <w:rStyle w:val="Emphasis"/>
          <w:color w:val="000000" w:themeColor="text1"/>
        </w:rPr>
        <w:t>santalinoides</w:t>
      </w:r>
      <w:proofErr w:type="spellEnd"/>
      <w:r>
        <w:rPr>
          <w:rStyle w:val="Emphasis"/>
          <w:color w:val="000000" w:themeColor="text1"/>
        </w:rPr>
        <w:t xml:space="preserve"> </w:t>
      </w:r>
      <w:r>
        <w:rPr>
          <w:color w:val="000000" w:themeColor="text1"/>
        </w:rPr>
        <w:t>were obtained from Calabar South LGA in Cross River State and authenticated by a plant taxonomist at the Department of Plant Science and Biotechnology, UNICROSS, Calabar.</w:t>
      </w:r>
    </w:p>
    <w:p w14:paraId="177E267B" w14:textId="77777777" w:rsidR="00795C38" w:rsidRDefault="00795C38" w:rsidP="00795C38">
      <w:pPr>
        <w:pStyle w:val="NormalWeb"/>
        <w:spacing w:before="0" w:beforeAutospacing="0" w:after="0" w:afterAutospacing="0" w:line="480" w:lineRule="auto"/>
        <w:jc w:val="both"/>
        <w:rPr>
          <w:color w:val="000000" w:themeColor="text1"/>
        </w:rPr>
      </w:pPr>
      <w:r w:rsidRPr="00795C38">
        <w:rPr>
          <w:rStyle w:val="Strong"/>
          <w:b w:val="0"/>
          <w:color w:val="000000" w:themeColor="text1"/>
        </w:rPr>
        <w:t>Preparation of</w:t>
      </w:r>
      <w:r>
        <w:rPr>
          <w:rStyle w:val="Strong"/>
          <w:color w:val="000000" w:themeColor="text1"/>
        </w:rPr>
        <w:t xml:space="preserve">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rsidRPr="00795C38">
        <w:rPr>
          <w:rStyle w:val="Strong"/>
          <w:b w:val="0"/>
          <w:color w:val="000000" w:themeColor="text1"/>
        </w:rPr>
        <w:t>Leaf Diet</w:t>
      </w:r>
    </w:p>
    <w:p w14:paraId="5D96F04F" w14:textId="77777777" w:rsidR="00795C38" w:rsidRDefault="00795C38" w:rsidP="00795C38">
      <w:pPr>
        <w:pStyle w:val="NormalWeb"/>
        <w:spacing w:before="0" w:beforeAutospacing="0" w:after="0" w:afterAutospacing="0" w:line="480" w:lineRule="auto"/>
        <w:ind w:firstLine="720"/>
        <w:jc w:val="both"/>
        <w:rPr>
          <w:rStyle w:val="Strong"/>
          <w:b w:val="0"/>
          <w:bCs w:val="0"/>
        </w:rPr>
      </w:pPr>
      <w:r>
        <w:rPr>
          <w:color w:val="000000" w:themeColor="text1"/>
        </w:rPr>
        <w:t>The collected leaves were washed thoroughly to remove dust and debris, air-dried at room temperature (25-27°C) for 14 days, and pulverized into fine powder using an electrical blender.</w:t>
      </w:r>
    </w:p>
    <w:p w14:paraId="028DE650" w14:textId="77777777" w:rsidR="00795C38" w:rsidRPr="00795C38" w:rsidRDefault="00795C38" w:rsidP="00795C38">
      <w:pPr>
        <w:pStyle w:val="Heading3"/>
        <w:spacing w:before="0" w:line="480" w:lineRule="auto"/>
        <w:jc w:val="both"/>
        <w:rPr>
          <w:b/>
        </w:rPr>
      </w:pPr>
      <w:r w:rsidRPr="00795C38">
        <w:rPr>
          <w:rStyle w:val="Strong"/>
          <w:b w:val="0"/>
          <w:color w:val="000000" w:themeColor="text1"/>
        </w:rPr>
        <w:lastRenderedPageBreak/>
        <w:t>Methodology</w:t>
      </w:r>
    </w:p>
    <w:p w14:paraId="18C935D9"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Animals</w:t>
      </w:r>
    </w:p>
    <w:p w14:paraId="7A2394CE"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Thirty (30) healthy adult Wistar rats (</w:t>
      </w:r>
      <w:r w:rsidR="001D5755">
        <w:rPr>
          <w:color w:val="000000" w:themeColor="text1"/>
        </w:rPr>
        <w:t>100- 180 g</w:t>
      </w:r>
      <w:r>
        <w:rPr>
          <w:color w:val="000000" w:themeColor="text1"/>
        </w:rPr>
        <w:t xml:space="preserve">) were procured from the University of </w:t>
      </w:r>
      <w:proofErr w:type="spellStart"/>
      <w:r>
        <w:rPr>
          <w:color w:val="000000" w:themeColor="text1"/>
        </w:rPr>
        <w:t>Uyo</w:t>
      </w:r>
      <w:proofErr w:type="spellEnd"/>
      <w:r>
        <w:rPr>
          <w:color w:val="000000" w:themeColor="text1"/>
        </w:rPr>
        <w:t>. The rats were housed in well-ventilated cages under standard laboratory conditions (12-hour light/dark cycle, temperature 25 ± 2°C, and relative humidity 50-60%). They were fed standard rat chow and were given water ad libitum. The animals were allowed two days of acclimatization before the commencement of the experiment.</w:t>
      </w:r>
    </w:p>
    <w:p w14:paraId="4210A4E9"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Design</w:t>
      </w:r>
    </w:p>
    <w:p w14:paraId="13936513" w14:textId="77437D56" w:rsidR="00795C38" w:rsidRDefault="0000604A" w:rsidP="00795C38">
      <w:pPr>
        <w:pStyle w:val="NormalWeb"/>
        <w:spacing w:before="0" w:beforeAutospacing="0" w:after="0" w:afterAutospacing="0" w:line="480" w:lineRule="auto"/>
        <w:jc w:val="both"/>
        <w:rPr>
          <w:color w:val="000000" w:themeColor="text1"/>
        </w:rPr>
      </w:pPr>
      <w:r>
        <w:rPr>
          <w:color w:val="000000" w:themeColor="text1"/>
        </w:rPr>
        <w:t xml:space="preserve">List </w:t>
      </w:r>
      <w:proofErr w:type="gramStart"/>
      <w:r>
        <w:rPr>
          <w:color w:val="000000" w:themeColor="text1"/>
        </w:rPr>
        <w:t>1 :</w:t>
      </w:r>
      <w:proofErr w:type="gramEnd"/>
      <w:r>
        <w:rPr>
          <w:color w:val="000000" w:themeColor="text1"/>
        </w:rPr>
        <w:t xml:space="preserve"> </w:t>
      </w:r>
      <w:r w:rsidR="00795C38">
        <w:rPr>
          <w:color w:val="000000" w:themeColor="text1"/>
        </w:rPr>
        <w:t>The rats were randomly divided into five (5) groups of six (6) animals each as follows</w:t>
      </w:r>
      <w:r>
        <w:rPr>
          <w:color w:val="000000" w:themeColor="text1"/>
        </w:rPr>
        <w:t xml:space="preserve"> </w:t>
      </w:r>
    </w:p>
    <w:tbl>
      <w:tblPr>
        <w:tblStyle w:val="TableGrid"/>
        <w:tblW w:w="927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60"/>
      </w:tblGrid>
      <w:tr w:rsidR="00795C38" w14:paraId="3D777816" w14:textId="77777777" w:rsidTr="00795C38">
        <w:trPr>
          <w:trHeight w:val="435"/>
        </w:trPr>
        <w:tc>
          <w:tcPr>
            <w:tcW w:w="3510" w:type="dxa"/>
            <w:tcBorders>
              <w:top w:val="single" w:sz="4" w:space="0" w:color="auto"/>
              <w:left w:val="nil"/>
              <w:bottom w:val="nil"/>
              <w:right w:val="nil"/>
            </w:tcBorders>
            <w:hideMark/>
          </w:tcPr>
          <w:p w14:paraId="189948FF"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Groups</w:t>
            </w:r>
          </w:p>
        </w:tc>
        <w:tc>
          <w:tcPr>
            <w:tcW w:w="5760" w:type="dxa"/>
            <w:tcBorders>
              <w:top w:val="single" w:sz="4" w:space="0" w:color="auto"/>
              <w:left w:val="nil"/>
              <w:bottom w:val="nil"/>
              <w:right w:val="nil"/>
            </w:tcBorders>
            <w:hideMark/>
          </w:tcPr>
          <w:p w14:paraId="4B920FDD"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Treatment Administration</w:t>
            </w:r>
          </w:p>
        </w:tc>
      </w:tr>
      <w:tr w:rsidR="00795C38" w14:paraId="5B25864D" w14:textId="77777777" w:rsidTr="00795C38">
        <w:trPr>
          <w:trHeight w:val="1022"/>
        </w:trPr>
        <w:tc>
          <w:tcPr>
            <w:tcW w:w="3510" w:type="dxa"/>
            <w:tcBorders>
              <w:top w:val="nil"/>
              <w:left w:val="nil"/>
              <w:bottom w:val="nil"/>
              <w:right w:val="nil"/>
            </w:tcBorders>
            <w:hideMark/>
          </w:tcPr>
          <w:p w14:paraId="2B46C5ED" w14:textId="77777777" w:rsidR="00795C38" w:rsidRPr="001D5755" w:rsidRDefault="00795C38">
            <w:pPr>
              <w:pStyle w:val="NormalWeb"/>
              <w:spacing w:before="0" w:beforeAutospacing="0" w:after="0" w:afterAutospacing="0" w:line="360" w:lineRule="auto"/>
              <w:jc w:val="both"/>
              <w:rPr>
                <w:b/>
                <w:color w:val="000000" w:themeColor="text1"/>
              </w:rPr>
            </w:pPr>
            <w:r w:rsidRPr="001D5755">
              <w:rPr>
                <w:rStyle w:val="Strong"/>
                <w:rFonts w:eastAsiaTheme="majorEastAsia"/>
                <w:b w:val="0"/>
                <w:color w:val="000000" w:themeColor="text1"/>
              </w:rPr>
              <w:t>Low dose</w:t>
            </w:r>
            <w:r w:rsidRPr="001D5755">
              <w:rPr>
                <w:rStyle w:val="Strong"/>
                <w:rFonts w:eastAsiaTheme="majorEastAsia"/>
                <w:b w:val="0"/>
                <w:i/>
                <w:color w:val="000000" w:themeColor="text1"/>
              </w:rPr>
              <w:t xml:space="preserve"> (PS1)</w:t>
            </w:r>
          </w:p>
        </w:tc>
        <w:tc>
          <w:tcPr>
            <w:tcW w:w="5760" w:type="dxa"/>
            <w:tcBorders>
              <w:top w:val="nil"/>
              <w:left w:val="nil"/>
              <w:bottom w:val="nil"/>
              <w:right w:val="nil"/>
            </w:tcBorders>
            <w:hideMark/>
          </w:tcPr>
          <w:p w14:paraId="5523D815"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10%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082C5918" w14:textId="77777777" w:rsidTr="00795C38">
        <w:trPr>
          <w:trHeight w:val="894"/>
        </w:trPr>
        <w:tc>
          <w:tcPr>
            <w:tcW w:w="3510" w:type="dxa"/>
            <w:tcBorders>
              <w:top w:val="nil"/>
              <w:left w:val="nil"/>
              <w:bottom w:val="nil"/>
              <w:right w:val="nil"/>
            </w:tcBorders>
            <w:hideMark/>
          </w:tcPr>
          <w:p w14:paraId="499E2EA9"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Medium dose</w:t>
            </w:r>
            <w:r w:rsidRPr="001D5755">
              <w:rPr>
                <w:rStyle w:val="Strong"/>
                <w:rFonts w:eastAsiaTheme="majorEastAsia"/>
                <w:b w:val="0"/>
                <w:i/>
              </w:rPr>
              <w:t xml:space="preserve"> (PS2)</w:t>
            </w:r>
          </w:p>
        </w:tc>
        <w:tc>
          <w:tcPr>
            <w:tcW w:w="5760" w:type="dxa"/>
            <w:tcBorders>
              <w:top w:val="nil"/>
              <w:left w:val="nil"/>
              <w:bottom w:val="nil"/>
              <w:right w:val="nil"/>
            </w:tcBorders>
            <w:hideMark/>
          </w:tcPr>
          <w:p w14:paraId="5470D871"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20%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66F1D18B" w14:textId="77777777" w:rsidTr="00795C38">
        <w:trPr>
          <w:trHeight w:val="883"/>
        </w:trPr>
        <w:tc>
          <w:tcPr>
            <w:tcW w:w="3510" w:type="dxa"/>
            <w:tcBorders>
              <w:top w:val="nil"/>
              <w:left w:val="nil"/>
              <w:bottom w:val="nil"/>
              <w:right w:val="nil"/>
            </w:tcBorders>
            <w:hideMark/>
          </w:tcPr>
          <w:p w14:paraId="2862B2BB"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High dose</w:t>
            </w:r>
            <w:r w:rsidRPr="001D5755">
              <w:rPr>
                <w:rStyle w:val="Strong"/>
                <w:rFonts w:eastAsiaTheme="majorEastAsia"/>
                <w:b w:val="0"/>
                <w:i/>
              </w:rPr>
              <w:t xml:space="preserve"> (PS3)</w:t>
            </w:r>
          </w:p>
        </w:tc>
        <w:tc>
          <w:tcPr>
            <w:tcW w:w="5760" w:type="dxa"/>
            <w:tcBorders>
              <w:top w:val="nil"/>
              <w:left w:val="nil"/>
              <w:bottom w:val="nil"/>
              <w:right w:val="nil"/>
            </w:tcBorders>
            <w:hideMark/>
          </w:tcPr>
          <w:p w14:paraId="6D6F6E92"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40%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0CC77A4C" w14:textId="77777777" w:rsidTr="00795C38">
        <w:trPr>
          <w:trHeight w:val="894"/>
        </w:trPr>
        <w:tc>
          <w:tcPr>
            <w:tcW w:w="3510" w:type="dxa"/>
            <w:tcBorders>
              <w:top w:val="nil"/>
              <w:left w:val="nil"/>
              <w:bottom w:val="nil"/>
              <w:right w:val="nil"/>
            </w:tcBorders>
            <w:hideMark/>
          </w:tcPr>
          <w:p w14:paraId="6600C119"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Normal Control group</w:t>
            </w:r>
          </w:p>
        </w:tc>
        <w:tc>
          <w:tcPr>
            <w:tcW w:w="5760" w:type="dxa"/>
            <w:tcBorders>
              <w:top w:val="nil"/>
              <w:left w:val="nil"/>
              <w:bottom w:val="nil"/>
              <w:right w:val="nil"/>
            </w:tcBorders>
            <w:hideMark/>
          </w:tcPr>
          <w:p w14:paraId="45FCC2BC"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Received normal rat chow and water throughout the experimental period.</w:t>
            </w:r>
          </w:p>
        </w:tc>
      </w:tr>
      <w:tr w:rsidR="00795C38" w14:paraId="31C6A478" w14:textId="77777777" w:rsidTr="00795C38">
        <w:trPr>
          <w:trHeight w:val="883"/>
        </w:trPr>
        <w:tc>
          <w:tcPr>
            <w:tcW w:w="3510" w:type="dxa"/>
            <w:tcBorders>
              <w:top w:val="nil"/>
              <w:left w:val="nil"/>
              <w:bottom w:val="single" w:sz="4" w:space="0" w:color="auto"/>
              <w:right w:val="nil"/>
            </w:tcBorders>
            <w:hideMark/>
          </w:tcPr>
          <w:p w14:paraId="5BAB5A79"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Negative Control group</w:t>
            </w:r>
          </w:p>
        </w:tc>
        <w:tc>
          <w:tcPr>
            <w:tcW w:w="5760" w:type="dxa"/>
            <w:tcBorders>
              <w:top w:val="nil"/>
              <w:left w:val="nil"/>
              <w:bottom w:val="single" w:sz="4" w:space="0" w:color="auto"/>
              <w:right w:val="nil"/>
            </w:tcBorders>
            <w:hideMark/>
          </w:tcPr>
          <w:p w14:paraId="57BABBE2"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Induced with cadmium chloride (5mg/kg body weight) and received normal rat chow and water</w:t>
            </w:r>
          </w:p>
        </w:tc>
      </w:tr>
    </w:tbl>
    <w:p w14:paraId="2CA0617E" w14:textId="77777777" w:rsidR="00795C38" w:rsidRPr="001D5755" w:rsidRDefault="00795C38" w:rsidP="00795C38">
      <w:pPr>
        <w:pStyle w:val="Heading4"/>
        <w:spacing w:before="0" w:line="480" w:lineRule="auto"/>
        <w:jc w:val="both"/>
        <w:rPr>
          <w:rStyle w:val="Strong"/>
          <w:i w:val="0"/>
          <w:color w:val="000000" w:themeColor="text1"/>
        </w:rPr>
      </w:pPr>
      <w:r w:rsidRPr="001D5755">
        <w:rPr>
          <w:rStyle w:val="Strong"/>
          <w:b w:val="0"/>
          <w:i w:val="0"/>
          <w:color w:val="000000" w:themeColor="text1"/>
          <w:sz w:val="24"/>
          <w:szCs w:val="24"/>
        </w:rPr>
        <w:lastRenderedPageBreak/>
        <w:t xml:space="preserve">All animals except those in the normal control group were orally administered cadmium chloride at a dose of </w:t>
      </w:r>
      <w:r w:rsidRPr="001D5755">
        <w:rPr>
          <w:rFonts w:ascii="Times New Roman" w:hAnsi="Times New Roman" w:cs="Times New Roman"/>
          <w:i w:val="0"/>
          <w:color w:val="000000" w:themeColor="text1"/>
          <w:sz w:val="24"/>
          <w:szCs w:val="24"/>
        </w:rPr>
        <w:t xml:space="preserve">5mg/kg body weight for 14 consecutive days to induce toxicity. Following induction, rats in groups PS1, PS2 and PS3 were fed diet containing 10%, 20% and 40% </w:t>
      </w:r>
      <w:r w:rsidRPr="001D5755">
        <w:rPr>
          <w:rStyle w:val="Emphasis"/>
          <w:color w:val="000000" w:themeColor="text1"/>
          <w:sz w:val="24"/>
          <w:szCs w:val="24"/>
        </w:rPr>
        <w:t xml:space="preserve">Pterocarpus </w:t>
      </w:r>
      <w:proofErr w:type="spellStart"/>
      <w:r w:rsidRPr="001D5755">
        <w:rPr>
          <w:rStyle w:val="Emphasis"/>
          <w:color w:val="000000" w:themeColor="text1"/>
          <w:sz w:val="24"/>
          <w:szCs w:val="24"/>
        </w:rPr>
        <w:t>santalinoides</w:t>
      </w:r>
      <w:proofErr w:type="spellEnd"/>
      <w:r w:rsidRPr="001D5755">
        <w:rPr>
          <w:rStyle w:val="Emphasis"/>
          <w:color w:val="000000" w:themeColor="text1"/>
          <w:sz w:val="24"/>
          <w:szCs w:val="24"/>
        </w:rPr>
        <w:t xml:space="preserve"> leaf meal </w:t>
      </w:r>
      <w:r w:rsidRPr="001D5755">
        <w:rPr>
          <w:rFonts w:ascii="Times New Roman" w:hAnsi="Times New Roman" w:cs="Times New Roman"/>
          <w:i w:val="0"/>
          <w:color w:val="000000" w:themeColor="text1"/>
          <w:sz w:val="24"/>
          <w:szCs w:val="24"/>
        </w:rPr>
        <w:t>respectively for 21 consecutive days</w:t>
      </w:r>
      <w:r w:rsidR="001D5755">
        <w:rPr>
          <w:rFonts w:ascii="Times New Roman" w:hAnsi="Times New Roman" w:cs="Times New Roman"/>
          <w:i w:val="0"/>
          <w:color w:val="000000" w:themeColor="text1"/>
          <w:sz w:val="24"/>
          <w:szCs w:val="24"/>
        </w:rPr>
        <w:t>.</w:t>
      </w:r>
    </w:p>
    <w:p w14:paraId="1FC8E6B5" w14:textId="77777777" w:rsidR="00795C38" w:rsidRDefault="00795C38" w:rsidP="00795C38">
      <w:pPr>
        <w:pStyle w:val="Heading4"/>
        <w:spacing w:before="0" w:line="480" w:lineRule="auto"/>
        <w:jc w:val="both"/>
        <w:rPr>
          <w:bCs/>
          <w:sz w:val="22"/>
          <w:szCs w:val="22"/>
        </w:rPr>
      </w:pPr>
      <w:r w:rsidRPr="001D5755">
        <w:rPr>
          <w:rStyle w:val="Strong"/>
          <w:b w:val="0"/>
          <w:i w:val="0"/>
          <w:color w:val="000000" w:themeColor="text1"/>
          <w:sz w:val="24"/>
          <w:szCs w:val="24"/>
        </w:rPr>
        <w:t>Induction of Cadmium Toxicity</w:t>
      </w:r>
    </w:p>
    <w:p w14:paraId="79476F9D"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 xml:space="preserve">Cadmium toxicity was induced by oral administration of cadmium chloride at a dose of 5mg/kg body weight for 14 consecutive days before commencement of the diet administration. </w:t>
      </w:r>
    </w:p>
    <w:p w14:paraId="4491CD46" w14:textId="77777777" w:rsidR="00795C38" w:rsidRDefault="00795C38" w:rsidP="00795C38">
      <w:pPr>
        <w:pStyle w:val="Heading4"/>
        <w:spacing w:before="0" w:line="480" w:lineRule="auto"/>
        <w:jc w:val="both"/>
        <w:rPr>
          <w:rStyle w:val="Strong"/>
          <w:i w:val="0"/>
          <w:sz w:val="24"/>
          <w:szCs w:val="24"/>
        </w:rPr>
      </w:pPr>
      <w:r w:rsidRPr="001D5755">
        <w:rPr>
          <w:rStyle w:val="Strong"/>
          <w:b w:val="0"/>
          <w:i w:val="0"/>
          <w:color w:val="000000" w:themeColor="text1"/>
          <w:sz w:val="24"/>
          <w:szCs w:val="24"/>
        </w:rPr>
        <w:t>Administration of supplemented diet</w:t>
      </w:r>
    </w:p>
    <w:p w14:paraId="287CDE5B" w14:textId="77777777" w:rsidR="00795C38" w:rsidRDefault="00795C38" w:rsidP="00795C38">
      <w:pPr>
        <w:pStyle w:val="NormalWeb"/>
        <w:spacing w:before="0" w:beforeAutospacing="0" w:after="0" w:afterAutospacing="0" w:line="480" w:lineRule="auto"/>
        <w:ind w:firstLine="720"/>
        <w:jc w:val="both"/>
      </w:pPr>
      <w:r>
        <w:rPr>
          <w:color w:val="000000" w:themeColor="text1"/>
        </w:rPr>
        <w:t>After cadmium induction, the supplemented diet was administered orally (10%, 20% and 40%) for 21 consecutive days. The control received water and rat chow</w:t>
      </w:r>
      <w:r w:rsidR="001D5755">
        <w:rPr>
          <w:color w:val="000000" w:themeColor="text1"/>
        </w:rPr>
        <w:t>,</w:t>
      </w:r>
      <w:r>
        <w:rPr>
          <w:color w:val="000000" w:themeColor="text1"/>
        </w:rPr>
        <w:t xml:space="preserve"> and the cadmium-only groups </w:t>
      </w:r>
      <w:r w:rsidR="001D5755">
        <w:rPr>
          <w:color w:val="000000" w:themeColor="text1"/>
        </w:rPr>
        <w:t>were</w:t>
      </w:r>
      <w:r>
        <w:rPr>
          <w:color w:val="000000" w:themeColor="text1"/>
        </w:rPr>
        <w:t xml:space="preserve"> exposed to cadmium chloride without treatment (5mg/kg body weight).</w:t>
      </w:r>
    </w:p>
    <w:p w14:paraId="596B206C" w14:textId="77777777" w:rsid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1D5755">
        <w:rPr>
          <w:rStyle w:val="Strong"/>
          <w:b w:val="0"/>
          <w:i w:val="0"/>
          <w:color w:val="000000" w:themeColor="text1"/>
          <w:sz w:val="24"/>
          <w:szCs w:val="24"/>
        </w:rPr>
        <w:t>Collection of Blood Samples</w:t>
      </w:r>
    </w:p>
    <w:p w14:paraId="7DC7C77E"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 xml:space="preserve">At the end of the experimental period, the animals were anesthetized with ketamine. Serum and blood samples were collected via cardiac puncture using sterile syringes. Samples were divided into two portions: One portion in EDTA tubes for </w:t>
      </w:r>
      <w:proofErr w:type="spellStart"/>
      <w:r>
        <w:rPr>
          <w:color w:val="000000" w:themeColor="text1"/>
        </w:rPr>
        <w:t>haematological</w:t>
      </w:r>
      <w:proofErr w:type="spellEnd"/>
      <w:r>
        <w:rPr>
          <w:color w:val="000000" w:themeColor="text1"/>
        </w:rPr>
        <w:t xml:space="preserve"> analysis, and the other portion in plain tubes for serum preparation (centrifuged at 3,000rpm for 10minutes).</w:t>
      </w:r>
    </w:p>
    <w:p w14:paraId="743D1B11" w14:textId="77777777" w:rsidR="00795C38" w:rsidRPr="001D5755" w:rsidRDefault="00795C38" w:rsidP="00795C38">
      <w:pPr>
        <w:pStyle w:val="NormalWeb"/>
        <w:spacing w:before="0" w:beforeAutospacing="0" w:after="0" w:afterAutospacing="0" w:line="480" w:lineRule="auto"/>
        <w:jc w:val="both"/>
        <w:rPr>
          <w:rStyle w:val="Strong"/>
          <w:b w:val="0"/>
        </w:rPr>
      </w:pPr>
      <w:r w:rsidRPr="001D5755">
        <w:rPr>
          <w:rStyle w:val="Strong"/>
          <w:b w:val="0"/>
          <w:color w:val="000000" w:themeColor="text1"/>
        </w:rPr>
        <w:t>Biochemical Assay</w:t>
      </w:r>
    </w:p>
    <w:p w14:paraId="67444366" w14:textId="77777777" w:rsidR="00795C38" w:rsidRDefault="00795C38" w:rsidP="00795C38">
      <w:pPr>
        <w:pStyle w:val="NormalWeb"/>
        <w:spacing w:before="0" w:beforeAutospacing="0" w:after="0" w:afterAutospacing="0" w:line="480" w:lineRule="auto"/>
        <w:jc w:val="both"/>
      </w:pPr>
      <w:r>
        <w:t xml:space="preserve">Kidney function indices </w:t>
      </w:r>
      <w:r>
        <w:rPr>
          <w:color w:val="000000" w:themeColor="text1"/>
        </w:rPr>
        <w:t xml:space="preserve">and </w:t>
      </w:r>
      <w:r>
        <w:t xml:space="preserve">antioxidant enzyme activity </w:t>
      </w:r>
      <w:r>
        <w:rPr>
          <w:color w:val="000000" w:themeColor="text1"/>
        </w:rPr>
        <w:t xml:space="preserve">assay </w:t>
      </w:r>
    </w:p>
    <w:p w14:paraId="40DA935F" w14:textId="77777777" w:rsidR="00795C38" w:rsidRDefault="00795C38" w:rsidP="00795C38">
      <w:pPr>
        <w:pStyle w:val="NormalWeb"/>
        <w:spacing w:before="0" w:beforeAutospacing="0" w:after="0" w:afterAutospacing="0" w:line="480" w:lineRule="auto"/>
        <w:jc w:val="both"/>
        <w:rPr>
          <w:color w:val="000000" w:themeColor="text1"/>
        </w:rPr>
      </w:pPr>
      <w:r>
        <w:rPr>
          <w:color w:val="000000" w:themeColor="text1"/>
        </w:rPr>
        <w:t xml:space="preserve">Serum was collected for </w:t>
      </w:r>
      <w:r>
        <w:t xml:space="preserve">selected kidney function indices </w:t>
      </w:r>
      <w:r>
        <w:rPr>
          <w:color w:val="000000" w:themeColor="text1"/>
        </w:rPr>
        <w:t>(</w:t>
      </w:r>
      <w:r>
        <w:t>serum urea and creatinine</w:t>
      </w:r>
      <w:r>
        <w:rPr>
          <w:color w:val="000000" w:themeColor="text1"/>
        </w:rPr>
        <w:t xml:space="preserve">) and for </w:t>
      </w:r>
      <w:r>
        <w:t>antioxidant enzyme activity</w:t>
      </w:r>
      <w:r>
        <w:rPr>
          <w:color w:val="000000" w:themeColor="text1"/>
        </w:rPr>
        <w:t xml:space="preserve"> </w:t>
      </w:r>
      <w:r w:rsidR="001D5755">
        <w:rPr>
          <w:color w:val="000000" w:themeColor="text1"/>
        </w:rPr>
        <w:t>tests</w:t>
      </w:r>
      <w:r>
        <w:rPr>
          <w:color w:val="000000" w:themeColor="text1"/>
        </w:rPr>
        <w:t xml:space="preserve"> (</w:t>
      </w:r>
      <w:r>
        <w:t>superoxide dismutase and catalase</w:t>
      </w:r>
      <w:r>
        <w:rPr>
          <w:color w:val="000000" w:themeColor="text1"/>
        </w:rPr>
        <w:t xml:space="preserve">) using </w:t>
      </w:r>
      <w:r w:rsidR="001D5755">
        <w:rPr>
          <w:color w:val="000000" w:themeColor="text1"/>
        </w:rPr>
        <w:t>the random</w:t>
      </w:r>
      <w:r>
        <w:rPr>
          <w:color w:val="000000" w:themeColor="text1"/>
        </w:rPr>
        <w:t xml:space="preserve"> test kits method (</w:t>
      </w:r>
      <w:r>
        <w:rPr>
          <w:color w:val="000000" w:themeColor="text1"/>
          <w:shd w:val="clear" w:color="auto" w:fill="FFFFFF"/>
        </w:rPr>
        <w:t>Kathak et al., 2022</w:t>
      </w:r>
      <w:r>
        <w:rPr>
          <w:color w:val="000000" w:themeColor="text1"/>
        </w:rPr>
        <w:t>).</w:t>
      </w:r>
    </w:p>
    <w:p w14:paraId="1C546BE5" w14:textId="77777777" w:rsidR="00795C38" w:rsidRDefault="00795C38" w:rsidP="00795C38">
      <w:pPr>
        <w:pStyle w:val="NormalWeb"/>
        <w:spacing w:before="0" w:beforeAutospacing="0" w:after="0" w:afterAutospacing="0" w:line="480" w:lineRule="auto"/>
        <w:jc w:val="both"/>
        <w:rPr>
          <w:rStyle w:val="Strong"/>
        </w:rPr>
      </w:pPr>
      <w:proofErr w:type="spellStart"/>
      <w:r w:rsidRPr="001D5755">
        <w:rPr>
          <w:rStyle w:val="Strong"/>
          <w:b w:val="0"/>
          <w:color w:val="000000" w:themeColor="text1"/>
        </w:rPr>
        <w:t>Haematological</w:t>
      </w:r>
      <w:proofErr w:type="spellEnd"/>
      <w:r w:rsidRPr="001D5755">
        <w:rPr>
          <w:rStyle w:val="Strong"/>
          <w:b w:val="0"/>
          <w:color w:val="000000" w:themeColor="text1"/>
        </w:rPr>
        <w:t xml:space="preserve"> Assay</w:t>
      </w:r>
    </w:p>
    <w:p w14:paraId="6DBBF57F" w14:textId="77777777" w:rsidR="00795C38" w:rsidRDefault="00795C38" w:rsidP="00795C38">
      <w:pPr>
        <w:pStyle w:val="NormalWeb"/>
        <w:spacing w:before="0" w:beforeAutospacing="0" w:after="0" w:afterAutospacing="0" w:line="480" w:lineRule="auto"/>
        <w:jc w:val="both"/>
        <w:rPr>
          <w:i/>
        </w:rPr>
      </w:pPr>
      <w:r>
        <w:rPr>
          <w:color w:val="000000" w:themeColor="text1"/>
        </w:rPr>
        <w:t xml:space="preserve">Blood was collected for </w:t>
      </w:r>
      <w:proofErr w:type="spellStart"/>
      <w:r>
        <w:t>haematological</w:t>
      </w:r>
      <w:proofErr w:type="spellEnd"/>
      <w:r>
        <w:t xml:space="preserve"> parameter </w:t>
      </w:r>
      <w:r w:rsidR="001D5755">
        <w:t>tests</w:t>
      </w:r>
      <w:r>
        <w:t xml:space="preserve"> (white blood cell count, red blood cell count, platelet count</w:t>
      </w:r>
      <w:r w:rsidR="001D5755">
        <w:t>,</w:t>
      </w:r>
      <w:r>
        <w:t xml:space="preserve"> and packed cell volume) and </w:t>
      </w:r>
      <w:proofErr w:type="spellStart"/>
      <w:r>
        <w:t>haemoglobin</w:t>
      </w:r>
      <w:proofErr w:type="spellEnd"/>
      <w:r>
        <w:t xml:space="preserve"> concentration using </w:t>
      </w:r>
      <w:r w:rsidR="001D5755">
        <w:t xml:space="preserve">an </w:t>
      </w:r>
      <w:r>
        <w:t>automated hematological analyzer.</w:t>
      </w:r>
    </w:p>
    <w:p w14:paraId="5EC60A03" w14:textId="77777777" w:rsidR="00795C38" w:rsidRPr="001D5755" w:rsidRDefault="00795C38" w:rsidP="00795C38">
      <w:pPr>
        <w:pStyle w:val="Heading4"/>
        <w:spacing w:before="0" w:line="480" w:lineRule="auto"/>
        <w:jc w:val="both"/>
        <w:rPr>
          <w:rFonts w:ascii="Times New Roman" w:hAnsi="Times New Roman" w:cs="Times New Roman"/>
          <w:b/>
          <w:bCs/>
          <w:i w:val="0"/>
          <w:color w:val="000000" w:themeColor="text1"/>
          <w:sz w:val="24"/>
          <w:szCs w:val="24"/>
        </w:rPr>
      </w:pPr>
      <w:r w:rsidRPr="001D5755">
        <w:rPr>
          <w:rStyle w:val="Strong"/>
          <w:b w:val="0"/>
          <w:i w:val="0"/>
          <w:color w:val="000000" w:themeColor="text1"/>
          <w:sz w:val="24"/>
          <w:szCs w:val="24"/>
        </w:rPr>
        <w:t>Statistical Analysis</w:t>
      </w:r>
    </w:p>
    <w:p w14:paraId="6E7AFF1C" w14:textId="77777777" w:rsidR="00AA74E0" w:rsidRPr="001D5755" w:rsidRDefault="00795C38" w:rsidP="00795C38">
      <w:pPr>
        <w:pStyle w:val="Body"/>
        <w:spacing w:after="0"/>
        <w:rPr>
          <w:rFonts w:ascii="Times New Roman" w:hAnsi="Times New Roman"/>
          <w:sz w:val="24"/>
          <w:szCs w:val="24"/>
        </w:rPr>
      </w:pPr>
      <w:r w:rsidRPr="001D5755">
        <w:rPr>
          <w:rFonts w:ascii="Times New Roman" w:hAnsi="Times New Roman"/>
          <w:color w:val="000000" w:themeColor="text1"/>
          <w:sz w:val="24"/>
          <w:szCs w:val="24"/>
        </w:rPr>
        <w:t>All results were expressed as mean ± standard deviation (SD). Data were analyzed using one-way analysis of variance (ANOVA) test for multiple comparisons. Statistical significance was considered at (p&lt;0.05).</w:t>
      </w:r>
      <w:r w:rsidR="00AA74E0" w:rsidRPr="001D5755">
        <w:rPr>
          <w:rFonts w:ascii="Times New Roman" w:hAnsi="Times New Roman"/>
          <w:sz w:val="24"/>
          <w:szCs w:val="24"/>
        </w:rPr>
        <w:t xml:space="preserve"> </w:t>
      </w:r>
    </w:p>
    <w:p w14:paraId="7F99D632" w14:textId="77777777" w:rsidR="00790ADA" w:rsidRPr="00FB3A86" w:rsidRDefault="00790ADA" w:rsidP="00441B6F">
      <w:pPr>
        <w:pStyle w:val="Body"/>
        <w:spacing w:after="0"/>
        <w:rPr>
          <w:rFonts w:ascii="Arial" w:hAnsi="Arial" w:cs="Arial"/>
        </w:rPr>
      </w:pPr>
    </w:p>
    <w:p w14:paraId="4BBB3446" w14:textId="77777777" w:rsidR="00902823" w:rsidRDefault="00000F8F" w:rsidP="00441B6F">
      <w:pPr>
        <w:pStyle w:val="Head1"/>
        <w:spacing w:after="0"/>
        <w:jc w:val="both"/>
        <w:rPr>
          <w:rFonts w:ascii="Arial" w:hAnsi="Arial" w:cs="Arial"/>
        </w:rPr>
      </w:pPr>
      <w:r>
        <w:rPr>
          <w:rFonts w:ascii="Arial" w:hAnsi="Arial" w:cs="Arial"/>
        </w:rPr>
        <w:t>results and discussion</w:t>
      </w:r>
    </w:p>
    <w:p w14:paraId="67D141DC" w14:textId="77777777" w:rsidR="001D5755" w:rsidRPr="001D5755" w:rsidRDefault="001D5755" w:rsidP="001D5755">
      <w:pPr>
        <w:spacing w:line="480" w:lineRule="auto"/>
        <w:rPr>
          <w:rFonts w:ascii="Times New Roman" w:hAnsi="Times New Roman"/>
          <w:sz w:val="24"/>
          <w:szCs w:val="24"/>
        </w:rPr>
      </w:pPr>
      <w:r w:rsidRPr="001D5755">
        <w:rPr>
          <w:rFonts w:ascii="Times New Roman" w:hAnsi="Times New Roman"/>
          <w:sz w:val="24"/>
          <w:szCs w:val="24"/>
        </w:rPr>
        <w:t>Results</w:t>
      </w:r>
    </w:p>
    <w:p w14:paraId="61D88C5B" w14:textId="77777777" w:rsidR="001D5755" w:rsidRPr="001D5755" w:rsidRDefault="001D5755" w:rsidP="001D5755">
      <w:pPr>
        <w:spacing w:line="480" w:lineRule="auto"/>
        <w:rPr>
          <w:rFonts w:ascii="Times New Roman" w:hAnsi="Times New Roman"/>
          <w:sz w:val="24"/>
          <w:szCs w:val="24"/>
        </w:rPr>
      </w:pPr>
      <w:r w:rsidRPr="001D5755">
        <w:rPr>
          <w:rFonts w:ascii="Times New Roman" w:hAnsi="Times New Roman"/>
          <w:sz w:val="24"/>
          <w:szCs w:val="24"/>
        </w:rPr>
        <w:t xml:space="preserve">Table 1: Effect of </w:t>
      </w:r>
      <w:r w:rsidRPr="001D5755">
        <w:rPr>
          <w:rFonts w:ascii="Times New Roman" w:hAnsi="Times New Roman"/>
          <w:bCs/>
          <w:i/>
          <w:iCs/>
          <w:sz w:val="24"/>
          <w:szCs w:val="24"/>
        </w:rPr>
        <w:t xml:space="preserve">Pterocarpus </w:t>
      </w:r>
      <w:proofErr w:type="spellStart"/>
      <w:r w:rsidRPr="001D5755">
        <w:rPr>
          <w:rFonts w:ascii="Times New Roman" w:hAnsi="Times New Roman"/>
          <w:bCs/>
          <w:i/>
          <w:iCs/>
          <w:sz w:val="24"/>
          <w:szCs w:val="24"/>
        </w:rPr>
        <w:t>santalinoides</w:t>
      </w:r>
      <w:proofErr w:type="spellEnd"/>
      <w:r w:rsidRPr="001D5755">
        <w:rPr>
          <w:rFonts w:ascii="Times New Roman" w:hAnsi="Times New Roman"/>
          <w:sz w:val="24"/>
          <w:szCs w:val="24"/>
        </w:rPr>
        <w:t xml:space="preserve"> Leaf Diet on Selected Kidney Function </w:t>
      </w:r>
      <w:r>
        <w:rPr>
          <w:rFonts w:ascii="Times New Roman" w:hAnsi="Times New Roman"/>
          <w:sz w:val="24"/>
          <w:szCs w:val="24"/>
        </w:rPr>
        <w:t>Indices</w:t>
      </w:r>
      <w:r w:rsidRPr="001D5755">
        <w:rPr>
          <w:rFonts w:ascii="Times New Roman" w:hAnsi="Times New Roman"/>
          <w:sz w:val="24"/>
          <w:szCs w:val="24"/>
        </w:rPr>
        <w:t xml:space="preserve"> and </w:t>
      </w:r>
      <w:r>
        <w:rPr>
          <w:rFonts w:ascii="Times New Roman" w:hAnsi="Times New Roman"/>
          <w:sz w:val="24"/>
          <w:szCs w:val="24"/>
        </w:rPr>
        <w:t>Some</w:t>
      </w:r>
      <w:r w:rsidRPr="001D5755">
        <w:rPr>
          <w:rFonts w:ascii="Times New Roman" w:hAnsi="Times New Roman"/>
          <w:sz w:val="24"/>
          <w:szCs w:val="24"/>
        </w:rPr>
        <w:t xml:space="preserve"> Antioxidant Enzymes in Wistar rats Exposed to Cadmium</w:t>
      </w:r>
    </w:p>
    <w:tbl>
      <w:tblPr>
        <w:tblStyle w:val="TableGrid"/>
        <w:tblW w:w="98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44"/>
        <w:gridCol w:w="1943"/>
        <w:gridCol w:w="2013"/>
        <w:gridCol w:w="1894"/>
      </w:tblGrid>
      <w:tr w:rsidR="001D5755" w14:paraId="02D49123" w14:textId="77777777" w:rsidTr="001D5755">
        <w:trPr>
          <w:trHeight w:val="565"/>
        </w:trPr>
        <w:tc>
          <w:tcPr>
            <w:tcW w:w="2268" w:type="dxa"/>
            <w:tcBorders>
              <w:top w:val="single" w:sz="4" w:space="0" w:color="auto"/>
              <w:left w:val="nil"/>
              <w:bottom w:val="single" w:sz="4" w:space="0" w:color="auto"/>
              <w:right w:val="nil"/>
            </w:tcBorders>
            <w:vAlign w:val="center"/>
            <w:hideMark/>
          </w:tcPr>
          <w:p w14:paraId="4B8D6D6D" w14:textId="77777777" w:rsidR="001D5755" w:rsidRDefault="001D5755">
            <w:pPr>
              <w:jc w:val="center"/>
              <w:rPr>
                <w:rFonts w:asciiTheme="minorHAnsi" w:hAnsiTheme="minorHAnsi" w:cstheme="minorBidi"/>
                <w:sz w:val="24"/>
                <w:szCs w:val="24"/>
              </w:rPr>
            </w:pPr>
            <w:r>
              <w:rPr>
                <w:rFonts w:ascii="Times New Roman" w:eastAsia="Times New Roman" w:hAnsi="Times New Roman"/>
                <w:b/>
                <w:bCs/>
                <w:sz w:val="24"/>
                <w:szCs w:val="24"/>
              </w:rPr>
              <w:t>Groups</w:t>
            </w:r>
          </w:p>
        </w:tc>
        <w:tc>
          <w:tcPr>
            <w:tcW w:w="1744" w:type="dxa"/>
            <w:tcBorders>
              <w:top w:val="single" w:sz="4" w:space="0" w:color="auto"/>
              <w:left w:val="nil"/>
              <w:bottom w:val="single" w:sz="4" w:space="0" w:color="auto"/>
              <w:right w:val="nil"/>
            </w:tcBorders>
            <w:vAlign w:val="center"/>
          </w:tcPr>
          <w:p w14:paraId="0BABDDC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Urea </w:t>
            </w:r>
          </w:p>
          <w:p w14:paraId="5B687D8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3.0 ± 7.0</w:t>
            </w:r>
            <w:r>
              <w:rPr>
                <w:rFonts w:ascii="Times New Roman" w:eastAsia="Times New Roman" w:hAnsi="Times New Roman"/>
                <w:sz w:val="24"/>
                <w:szCs w:val="24"/>
              </w:rPr>
              <w:t xml:space="preserve"> </w:t>
            </w:r>
            <w:r>
              <w:rPr>
                <w:rFonts w:ascii="Times New Roman" w:eastAsia="Times New Roman" w:hAnsi="Times New Roman"/>
                <w:b/>
                <w:bCs/>
                <w:sz w:val="24"/>
                <w:szCs w:val="24"/>
              </w:rPr>
              <w:t>(mmol/L)</w:t>
            </w:r>
          </w:p>
          <w:p w14:paraId="52A37FA6" w14:textId="77777777" w:rsidR="001D5755" w:rsidRDefault="001D5755">
            <w:pPr>
              <w:jc w:val="center"/>
              <w:rPr>
                <w:rFonts w:asciiTheme="minorHAnsi" w:eastAsiaTheme="minorHAnsi" w:hAnsiTheme="minorHAnsi" w:cstheme="minorBidi"/>
                <w:sz w:val="24"/>
                <w:szCs w:val="24"/>
              </w:rPr>
            </w:pPr>
          </w:p>
        </w:tc>
        <w:tc>
          <w:tcPr>
            <w:tcW w:w="1943" w:type="dxa"/>
            <w:tcBorders>
              <w:top w:val="single" w:sz="4" w:space="0" w:color="auto"/>
              <w:left w:val="nil"/>
              <w:bottom w:val="single" w:sz="4" w:space="0" w:color="auto"/>
              <w:right w:val="nil"/>
            </w:tcBorders>
            <w:vAlign w:val="center"/>
            <w:hideMark/>
          </w:tcPr>
          <w:p w14:paraId="6564EF93"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Creatinine </w:t>
            </w:r>
          </w:p>
          <w:p w14:paraId="6C47C64C"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0.2 ± 0.8</w:t>
            </w:r>
          </w:p>
          <w:p w14:paraId="188F4108" w14:textId="77777777" w:rsidR="001D5755" w:rsidRDefault="001D5755">
            <w:pPr>
              <w:jc w:val="center"/>
              <w:rPr>
                <w:rFonts w:asciiTheme="minorHAnsi" w:eastAsiaTheme="minorHAnsi" w:hAnsiTheme="minorHAnsi" w:cstheme="minorBidi"/>
                <w:sz w:val="24"/>
                <w:szCs w:val="24"/>
              </w:rPr>
            </w:pPr>
            <w:r>
              <w:rPr>
                <w:rFonts w:ascii="Times New Roman" w:eastAsia="Times New Roman" w:hAnsi="Times New Roman"/>
                <w:b/>
                <w:bCs/>
                <w:sz w:val="24"/>
                <w:szCs w:val="24"/>
              </w:rPr>
              <w:t>(mg/dL)</w:t>
            </w:r>
          </w:p>
        </w:tc>
        <w:tc>
          <w:tcPr>
            <w:tcW w:w="2013" w:type="dxa"/>
            <w:tcBorders>
              <w:top w:val="single" w:sz="4" w:space="0" w:color="auto"/>
              <w:left w:val="nil"/>
              <w:bottom w:val="single" w:sz="4" w:space="0" w:color="auto"/>
              <w:right w:val="nil"/>
            </w:tcBorders>
            <w:vAlign w:val="center"/>
            <w:hideMark/>
          </w:tcPr>
          <w:p w14:paraId="4ABE8747"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SOD (U/mg protein)</w:t>
            </w:r>
          </w:p>
        </w:tc>
        <w:tc>
          <w:tcPr>
            <w:tcW w:w="1894" w:type="dxa"/>
            <w:tcBorders>
              <w:top w:val="single" w:sz="4" w:space="0" w:color="auto"/>
              <w:left w:val="nil"/>
              <w:bottom w:val="single" w:sz="4" w:space="0" w:color="auto"/>
              <w:right w:val="nil"/>
            </w:tcBorders>
            <w:vAlign w:val="center"/>
            <w:hideMark/>
          </w:tcPr>
          <w:p w14:paraId="0A58918D"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Catalase (U/mg protein)</w:t>
            </w:r>
          </w:p>
        </w:tc>
      </w:tr>
      <w:tr w:rsidR="001D5755" w14:paraId="0F715AB0" w14:textId="77777777" w:rsidTr="001D5755">
        <w:trPr>
          <w:trHeight w:val="534"/>
        </w:trPr>
        <w:tc>
          <w:tcPr>
            <w:tcW w:w="2268" w:type="dxa"/>
            <w:tcBorders>
              <w:top w:val="single" w:sz="4" w:space="0" w:color="auto"/>
              <w:left w:val="nil"/>
              <w:bottom w:val="nil"/>
              <w:right w:val="nil"/>
            </w:tcBorders>
            <w:vAlign w:val="center"/>
            <w:hideMark/>
          </w:tcPr>
          <w:p w14:paraId="2FD0A70F"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744" w:type="dxa"/>
            <w:tcBorders>
              <w:top w:val="single" w:sz="4" w:space="0" w:color="auto"/>
              <w:left w:val="nil"/>
              <w:bottom w:val="nil"/>
              <w:right w:val="nil"/>
            </w:tcBorders>
            <w:vAlign w:val="center"/>
            <w:hideMark/>
          </w:tcPr>
          <w:p w14:paraId="72A5BEE5" w14:textId="77777777" w:rsidR="001D5755" w:rsidRDefault="001D5755">
            <w:pPr>
              <w:spacing w:line="480" w:lineRule="auto"/>
              <w:jc w:val="center"/>
              <w:rPr>
                <w:sz w:val="24"/>
                <w:szCs w:val="24"/>
              </w:rPr>
            </w:pPr>
            <w:r>
              <w:rPr>
                <w:rFonts w:ascii="Times New Roman" w:eastAsia="Times New Roman" w:hAnsi="Times New Roman"/>
                <w:sz w:val="24"/>
                <w:szCs w:val="24"/>
              </w:rPr>
              <w:t>6.10 ± 0.42ᵇ</w:t>
            </w:r>
          </w:p>
        </w:tc>
        <w:tc>
          <w:tcPr>
            <w:tcW w:w="1943" w:type="dxa"/>
            <w:tcBorders>
              <w:top w:val="single" w:sz="4" w:space="0" w:color="auto"/>
              <w:left w:val="nil"/>
              <w:bottom w:val="nil"/>
              <w:right w:val="nil"/>
            </w:tcBorders>
            <w:vAlign w:val="center"/>
            <w:hideMark/>
          </w:tcPr>
          <w:p w14:paraId="5B993CDE" w14:textId="77777777" w:rsidR="001D5755" w:rsidRDefault="001D5755">
            <w:pPr>
              <w:spacing w:line="480" w:lineRule="auto"/>
              <w:jc w:val="center"/>
              <w:rPr>
                <w:sz w:val="24"/>
                <w:szCs w:val="24"/>
              </w:rPr>
            </w:pPr>
            <w:r>
              <w:rPr>
                <w:rFonts w:ascii="Times New Roman" w:eastAsia="Times New Roman" w:hAnsi="Times New Roman"/>
                <w:sz w:val="24"/>
                <w:szCs w:val="24"/>
              </w:rPr>
              <w:t>0.88 ± 0.06ᵇ</w:t>
            </w:r>
          </w:p>
        </w:tc>
        <w:tc>
          <w:tcPr>
            <w:tcW w:w="2013" w:type="dxa"/>
            <w:tcBorders>
              <w:top w:val="single" w:sz="4" w:space="0" w:color="auto"/>
              <w:left w:val="nil"/>
              <w:bottom w:val="nil"/>
              <w:right w:val="nil"/>
            </w:tcBorders>
            <w:vAlign w:val="center"/>
            <w:hideMark/>
          </w:tcPr>
          <w:p w14:paraId="20C0FD39"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18.6 ± 1.5ᶜ</w:t>
            </w:r>
          </w:p>
        </w:tc>
        <w:tc>
          <w:tcPr>
            <w:tcW w:w="1894" w:type="dxa"/>
            <w:tcBorders>
              <w:top w:val="single" w:sz="4" w:space="0" w:color="auto"/>
              <w:left w:val="nil"/>
              <w:bottom w:val="nil"/>
              <w:right w:val="nil"/>
            </w:tcBorders>
            <w:vAlign w:val="center"/>
            <w:hideMark/>
          </w:tcPr>
          <w:p w14:paraId="26BF2EC1"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32.4 ± 2.6ᶜ</w:t>
            </w:r>
          </w:p>
        </w:tc>
      </w:tr>
      <w:tr w:rsidR="001D5755" w14:paraId="40651E7F" w14:textId="77777777" w:rsidTr="001D5755">
        <w:trPr>
          <w:trHeight w:val="565"/>
        </w:trPr>
        <w:tc>
          <w:tcPr>
            <w:tcW w:w="2268" w:type="dxa"/>
            <w:vAlign w:val="center"/>
            <w:hideMark/>
          </w:tcPr>
          <w:p w14:paraId="0AB0CABD"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744" w:type="dxa"/>
            <w:vAlign w:val="center"/>
            <w:hideMark/>
          </w:tcPr>
          <w:p w14:paraId="3B5E5C00" w14:textId="77777777" w:rsidR="001D5755" w:rsidRDefault="001D5755">
            <w:pPr>
              <w:spacing w:line="480" w:lineRule="auto"/>
              <w:jc w:val="center"/>
              <w:rPr>
                <w:sz w:val="24"/>
                <w:szCs w:val="24"/>
              </w:rPr>
            </w:pPr>
            <w:r>
              <w:rPr>
                <w:rFonts w:ascii="Times New Roman" w:eastAsia="Times New Roman" w:hAnsi="Times New Roman"/>
                <w:sz w:val="24"/>
                <w:szCs w:val="24"/>
              </w:rPr>
              <w:t>5.24 ± 0.38ᶜ</w:t>
            </w:r>
          </w:p>
        </w:tc>
        <w:tc>
          <w:tcPr>
            <w:tcW w:w="1943" w:type="dxa"/>
            <w:vAlign w:val="center"/>
            <w:hideMark/>
          </w:tcPr>
          <w:p w14:paraId="2DFC2D57" w14:textId="77777777" w:rsidR="001D5755" w:rsidRDefault="001D5755">
            <w:pPr>
              <w:spacing w:line="480" w:lineRule="auto"/>
              <w:jc w:val="center"/>
              <w:rPr>
                <w:sz w:val="24"/>
                <w:szCs w:val="24"/>
              </w:rPr>
            </w:pPr>
            <w:r>
              <w:rPr>
                <w:rFonts w:ascii="Times New Roman" w:eastAsia="Times New Roman" w:hAnsi="Times New Roman"/>
                <w:sz w:val="24"/>
                <w:szCs w:val="24"/>
              </w:rPr>
              <w:t>0.74 ± 0.05ᶜ</w:t>
            </w:r>
          </w:p>
        </w:tc>
        <w:tc>
          <w:tcPr>
            <w:tcW w:w="2013" w:type="dxa"/>
            <w:vAlign w:val="center"/>
            <w:hideMark/>
          </w:tcPr>
          <w:p w14:paraId="3E642511"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23.8 ± 1.8ᵇ</w:t>
            </w:r>
          </w:p>
        </w:tc>
        <w:tc>
          <w:tcPr>
            <w:tcW w:w="1894" w:type="dxa"/>
            <w:vAlign w:val="center"/>
            <w:hideMark/>
          </w:tcPr>
          <w:p w14:paraId="22EEDB70"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40.6 ± 3.1ᵇ</w:t>
            </w:r>
          </w:p>
        </w:tc>
      </w:tr>
      <w:tr w:rsidR="001D5755" w14:paraId="1CEFE3B5" w14:textId="77777777" w:rsidTr="001D5755">
        <w:trPr>
          <w:trHeight w:val="565"/>
        </w:trPr>
        <w:tc>
          <w:tcPr>
            <w:tcW w:w="2268" w:type="dxa"/>
            <w:vAlign w:val="center"/>
            <w:hideMark/>
          </w:tcPr>
          <w:p w14:paraId="024FBA91"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744" w:type="dxa"/>
            <w:vAlign w:val="center"/>
            <w:hideMark/>
          </w:tcPr>
          <w:p w14:paraId="47B50AA4" w14:textId="77777777" w:rsidR="001D5755" w:rsidRDefault="001D5755">
            <w:pPr>
              <w:spacing w:line="480" w:lineRule="auto"/>
              <w:jc w:val="center"/>
              <w:rPr>
                <w:sz w:val="24"/>
                <w:szCs w:val="24"/>
              </w:rPr>
            </w:pPr>
            <w:r>
              <w:rPr>
                <w:rFonts w:ascii="Times New Roman" w:eastAsia="Times New Roman" w:hAnsi="Times New Roman"/>
                <w:sz w:val="24"/>
                <w:szCs w:val="24"/>
              </w:rPr>
              <w:t>4.42 ± 0.31ᵈ</w:t>
            </w:r>
          </w:p>
        </w:tc>
        <w:tc>
          <w:tcPr>
            <w:tcW w:w="1943" w:type="dxa"/>
            <w:vAlign w:val="center"/>
            <w:hideMark/>
          </w:tcPr>
          <w:p w14:paraId="076617BE" w14:textId="77777777" w:rsidR="001D5755" w:rsidRDefault="001D5755">
            <w:pPr>
              <w:spacing w:line="480" w:lineRule="auto"/>
              <w:jc w:val="center"/>
              <w:rPr>
                <w:sz w:val="24"/>
                <w:szCs w:val="24"/>
              </w:rPr>
            </w:pPr>
            <w:r>
              <w:rPr>
                <w:rFonts w:ascii="Times New Roman" w:eastAsia="Times New Roman" w:hAnsi="Times New Roman"/>
                <w:sz w:val="24"/>
                <w:szCs w:val="24"/>
              </w:rPr>
              <w:t>0.61 ± 0.04ᵈ</w:t>
            </w:r>
          </w:p>
        </w:tc>
        <w:tc>
          <w:tcPr>
            <w:tcW w:w="2013" w:type="dxa"/>
            <w:vAlign w:val="center"/>
            <w:hideMark/>
          </w:tcPr>
          <w:p w14:paraId="72A97630"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29.4 ± 2.2ᵃ</w:t>
            </w:r>
          </w:p>
        </w:tc>
        <w:tc>
          <w:tcPr>
            <w:tcW w:w="1894" w:type="dxa"/>
            <w:vAlign w:val="center"/>
            <w:hideMark/>
          </w:tcPr>
          <w:p w14:paraId="6A28090B"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48.8 ± 3.5ᵃ</w:t>
            </w:r>
          </w:p>
        </w:tc>
      </w:tr>
      <w:tr w:rsidR="001D5755" w14:paraId="2FBE60EE" w14:textId="77777777" w:rsidTr="001D5755">
        <w:trPr>
          <w:trHeight w:val="534"/>
        </w:trPr>
        <w:tc>
          <w:tcPr>
            <w:tcW w:w="2268" w:type="dxa"/>
            <w:vAlign w:val="center"/>
            <w:hideMark/>
          </w:tcPr>
          <w:p w14:paraId="39FF6222"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Negative Control</w:t>
            </w:r>
          </w:p>
        </w:tc>
        <w:tc>
          <w:tcPr>
            <w:tcW w:w="1744" w:type="dxa"/>
            <w:vAlign w:val="center"/>
            <w:hideMark/>
          </w:tcPr>
          <w:p w14:paraId="156481DA" w14:textId="77777777" w:rsidR="001D5755" w:rsidRDefault="001D5755">
            <w:pPr>
              <w:spacing w:line="480" w:lineRule="auto"/>
              <w:jc w:val="center"/>
              <w:rPr>
                <w:sz w:val="24"/>
                <w:szCs w:val="24"/>
              </w:rPr>
            </w:pPr>
            <w:r>
              <w:rPr>
                <w:rFonts w:ascii="Times New Roman" w:eastAsia="Times New Roman" w:hAnsi="Times New Roman"/>
                <w:sz w:val="24"/>
                <w:szCs w:val="24"/>
              </w:rPr>
              <w:t>8.86 ± 0.57ᵃ</w:t>
            </w:r>
          </w:p>
        </w:tc>
        <w:tc>
          <w:tcPr>
            <w:tcW w:w="1943" w:type="dxa"/>
            <w:vAlign w:val="center"/>
            <w:hideMark/>
          </w:tcPr>
          <w:p w14:paraId="4BD65752" w14:textId="77777777" w:rsidR="001D5755" w:rsidRDefault="001D5755">
            <w:pPr>
              <w:spacing w:line="480" w:lineRule="auto"/>
              <w:jc w:val="center"/>
              <w:rPr>
                <w:sz w:val="24"/>
                <w:szCs w:val="24"/>
              </w:rPr>
            </w:pPr>
            <w:r>
              <w:rPr>
                <w:rFonts w:ascii="Times New Roman" w:eastAsia="Times New Roman" w:hAnsi="Times New Roman"/>
                <w:sz w:val="24"/>
                <w:szCs w:val="24"/>
              </w:rPr>
              <w:t>1.26 ± 0.08ᵃ</w:t>
            </w:r>
          </w:p>
        </w:tc>
        <w:tc>
          <w:tcPr>
            <w:tcW w:w="2013" w:type="dxa"/>
            <w:vAlign w:val="center"/>
            <w:hideMark/>
          </w:tcPr>
          <w:p w14:paraId="78E0B76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10.2 ± 0.9ᵈ</w:t>
            </w:r>
          </w:p>
        </w:tc>
        <w:tc>
          <w:tcPr>
            <w:tcW w:w="1894" w:type="dxa"/>
            <w:vAlign w:val="center"/>
            <w:hideMark/>
          </w:tcPr>
          <w:p w14:paraId="5FEA0493"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21.3 ± 1.8ᵈ</w:t>
            </w:r>
          </w:p>
        </w:tc>
      </w:tr>
      <w:tr w:rsidR="001D5755" w14:paraId="2C86D366" w14:textId="77777777" w:rsidTr="001D5755">
        <w:trPr>
          <w:trHeight w:val="565"/>
        </w:trPr>
        <w:tc>
          <w:tcPr>
            <w:tcW w:w="2268" w:type="dxa"/>
            <w:tcBorders>
              <w:top w:val="nil"/>
              <w:left w:val="nil"/>
              <w:bottom w:val="single" w:sz="4" w:space="0" w:color="auto"/>
              <w:right w:val="nil"/>
            </w:tcBorders>
            <w:vAlign w:val="center"/>
            <w:hideMark/>
          </w:tcPr>
          <w:p w14:paraId="35996905"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Normal Control</w:t>
            </w:r>
          </w:p>
        </w:tc>
        <w:tc>
          <w:tcPr>
            <w:tcW w:w="1744" w:type="dxa"/>
            <w:tcBorders>
              <w:top w:val="nil"/>
              <w:left w:val="nil"/>
              <w:bottom w:val="single" w:sz="4" w:space="0" w:color="auto"/>
              <w:right w:val="nil"/>
            </w:tcBorders>
            <w:vAlign w:val="center"/>
            <w:hideMark/>
          </w:tcPr>
          <w:p w14:paraId="595EC77F" w14:textId="77777777" w:rsidR="001D5755" w:rsidRDefault="001D5755">
            <w:pPr>
              <w:spacing w:line="480" w:lineRule="auto"/>
              <w:jc w:val="center"/>
              <w:rPr>
                <w:sz w:val="24"/>
                <w:szCs w:val="24"/>
              </w:rPr>
            </w:pPr>
            <w:r>
              <w:rPr>
                <w:rFonts w:ascii="Times New Roman" w:eastAsia="Times New Roman" w:hAnsi="Times New Roman"/>
                <w:sz w:val="24"/>
                <w:szCs w:val="24"/>
              </w:rPr>
              <w:t>3.92 ± 0.28ᵉ</w:t>
            </w:r>
          </w:p>
        </w:tc>
        <w:tc>
          <w:tcPr>
            <w:tcW w:w="1943" w:type="dxa"/>
            <w:tcBorders>
              <w:top w:val="nil"/>
              <w:left w:val="nil"/>
              <w:bottom w:val="single" w:sz="4" w:space="0" w:color="auto"/>
              <w:right w:val="nil"/>
            </w:tcBorders>
            <w:vAlign w:val="center"/>
            <w:hideMark/>
          </w:tcPr>
          <w:p w14:paraId="24183572" w14:textId="77777777" w:rsidR="001D5755" w:rsidRDefault="001D5755">
            <w:pPr>
              <w:spacing w:line="480" w:lineRule="auto"/>
              <w:jc w:val="center"/>
              <w:rPr>
                <w:sz w:val="24"/>
                <w:szCs w:val="24"/>
              </w:rPr>
            </w:pPr>
            <w:r>
              <w:rPr>
                <w:rFonts w:ascii="Times New Roman" w:eastAsia="Times New Roman" w:hAnsi="Times New Roman"/>
                <w:sz w:val="24"/>
                <w:szCs w:val="24"/>
              </w:rPr>
              <w:t>0.52 ± 0.03ᵉ</w:t>
            </w:r>
          </w:p>
        </w:tc>
        <w:tc>
          <w:tcPr>
            <w:tcW w:w="2013" w:type="dxa"/>
            <w:tcBorders>
              <w:top w:val="nil"/>
              <w:left w:val="nil"/>
              <w:bottom w:val="single" w:sz="4" w:space="0" w:color="auto"/>
              <w:right w:val="nil"/>
            </w:tcBorders>
            <w:vAlign w:val="center"/>
            <w:hideMark/>
          </w:tcPr>
          <w:p w14:paraId="4FC715E1"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31.6 ± 2.4ᵃ</w:t>
            </w:r>
          </w:p>
        </w:tc>
        <w:tc>
          <w:tcPr>
            <w:tcW w:w="1894" w:type="dxa"/>
            <w:tcBorders>
              <w:top w:val="nil"/>
              <w:left w:val="nil"/>
              <w:bottom w:val="single" w:sz="4" w:space="0" w:color="auto"/>
              <w:right w:val="nil"/>
            </w:tcBorders>
            <w:vAlign w:val="center"/>
            <w:hideMark/>
          </w:tcPr>
          <w:p w14:paraId="239F2CC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52.1 ± 3.8ᵃ</w:t>
            </w:r>
          </w:p>
        </w:tc>
      </w:tr>
    </w:tbl>
    <w:p w14:paraId="4B68AD7F" w14:textId="77777777" w:rsidR="001D5755" w:rsidRPr="001D5755" w:rsidRDefault="001D5755" w:rsidP="001D5755">
      <w:pPr>
        <w:spacing w:line="480" w:lineRule="auto"/>
        <w:rPr>
          <w:rFonts w:ascii="Times New Roman" w:hAnsi="Times New Roman"/>
          <w:sz w:val="24"/>
          <w:szCs w:val="24"/>
        </w:rPr>
      </w:pPr>
      <w:r>
        <w:rPr>
          <w:rFonts w:ascii="Times New Roman" w:hAnsi="Times New Roman"/>
          <w:i/>
          <w:iCs/>
          <w:sz w:val="24"/>
          <w:szCs w:val="24"/>
        </w:rPr>
        <w:t>Values are presented as mean ± SD (n = 5). Values with different superscripts in the same column are significantly different (p &lt; 0.05).</w:t>
      </w:r>
    </w:p>
    <w:p w14:paraId="09D4B8E2" w14:textId="77777777" w:rsidR="001D5755" w:rsidRPr="001D5755" w:rsidRDefault="001D5755" w:rsidP="001D5755">
      <w:pPr>
        <w:spacing w:line="480" w:lineRule="auto"/>
        <w:jc w:val="both"/>
        <w:rPr>
          <w:rFonts w:ascii="Times New Roman" w:hAnsi="Times New Roman"/>
          <w:bCs/>
          <w:sz w:val="24"/>
          <w:szCs w:val="24"/>
        </w:rPr>
      </w:pPr>
      <w:r w:rsidRPr="001D5755">
        <w:rPr>
          <w:rFonts w:ascii="Times New Roman" w:hAnsi="Times New Roman"/>
          <w:bCs/>
          <w:sz w:val="24"/>
          <w:szCs w:val="24"/>
        </w:rPr>
        <w:t xml:space="preserve">Effect of </w:t>
      </w:r>
      <w:r w:rsidRPr="001D5755">
        <w:rPr>
          <w:rFonts w:ascii="Times New Roman" w:hAnsi="Times New Roman"/>
          <w:bCs/>
          <w:i/>
          <w:sz w:val="24"/>
          <w:szCs w:val="24"/>
        </w:rPr>
        <w:t xml:space="preserve">Pterocarpus </w:t>
      </w:r>
      <w:proofErr w:type="spellStart"/>
      <w:r w:rsidRPr="001D5755">
        <w:rPr>
          <w:rFonts w:ascii="Times New Roman" w:hAnsi="Times New Roman"/>
          <w:bCs/>
          <w:i/>
          <w:sz w:val="24"/>
          <w:szCs w:val="24"/>
        </w:rPr>
        <w:t>santalinoides</w:t>
      </w:r>
      <w:proofErr w:type="spellEnd"/>
      <w:r w:rsidRPr="001D5755">
        <w:rPr>
          <w:rFonts w:ascii="Times New Roman" w:hAnsi="Times New Roman"/>
          <w:bCs/>
          <w:sz w:val="24"/>
          <w:szCs w:val="24"/>
        </w:rPr>
        <w:t xml:space="preserve"> Leaf </w:t>
      </w:r>
      <w:r w:rsidRPr="001D5755">
        <w:rPr>
          <w:rFonts w:ascii="Times New Roman" w:hAnsi="Times New Roman"/>
          <w:sz w:val="24"/>
          <w:szCs w:val="24"/>
        </w:rPr>
        <w:t xml:space="preserve">Diet </w:t>
      </w:r>
      <w:r w:rsidRPr="001D5755">
        <w:rPr>
          <w:rFonts w:ascii="Times New Roman" w:hAnsi="Times New Roman"/>
          <w:bCs/>
          <w:sz w:val="24"/>
          <w:szCs w:val="24"/>
        </w:rPr>
        <w:t>on Selected Kidney Function Indices and Some Antioxidant Enzymes in Wistar Rats Exposed to Cadmium</w:t>
      </w:r>
      <w:r>
        <w:rPr>
          <w:rFonts w:ascii="Times New Roman" w:hAnsi="Times New Roman"/>
          <w:bCs/>
          <w:sz w:val="24"/>
          <w:szCs w:val="24"/>
        </w:rPr>
        <w:t>.</w:t>
      </w:r>
    </w:p>
    <w:p w14:paraId="40C55E1D" w14:textId="77777777" w:rsidR="001D5755" w:rsidRP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effect of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on kidney function indices and </w:t>
      </w:r>
      <w:r>
        <w:rPr>
          <w:rFonts w:ascii="Times New Roman" w:hAnsi="Times New Roman"/>
          <w:bCs/>
          <w:sz w:val="24"/>
          <w:szCs w:val="24"/>
        </w:rPr>
        <w:t>some</w:t>
      </w:r>
      <w:r>
        <w:rPr>
          <w:rFonts w:ascii="Times New Roman" w:hAnsi="Times New Roman"/>
          <w:b/>
          <w:bCs/>
          <w:sz w:val="24"/>
          <w:szCs w:val="24"/>
        </w:rPr>
        <w:t xml:space="preserve"> </w:t>
      </w:r>
      <w:r>
        <w:rPr>
          <w:rFonts w:ascii="Times New Roman" w:hAnsi="Times New Roman"/>
          <w:bCs/>
          <w:sz w:val="24"/>
          <w:szCs w:val="24"/>
        </w:rPr>
        <w:t>antioxidant enzymes</w:t>
      </w:r>
      <w:r>
        <w:rPr>
          <w:rFonts w:ascii="Times New Roman" w:hAnsi="Times New Roman"/>
          <w:sz w:val="24"/>
          <w:szCs w:val="24"/>
        </w:rPr>
        <w:t xml:space="preserve"> of cadmium-exposed Wistar rats is presented in Table 1. The parameters evaluated were serum urea and creatinine concentrations, which are important indicators of renal function. The results showed that the negative control group recorded the highest urea concentration (8.86 ± 0.57 mmol/L), which was significantly higher (p &lt; 0.05) than the values observed in all treatment groups and the normal control. This elevation suggests that exposure to cadmium adversely affected renal function, resulting in impaired excretion of nitrogenous waste products and subsequent accumulation of urea in the blood. The administration of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resulted in a dose-dependent reduction in serum urea levels. The low-dose group </w:t>
      </w:r>
      <w:r>
        <w:rPr>
          <w:rFonts w:ascii="Times New Roman" w:hAnsi="Times New Roman"/>
          <w:i/>
          <w:sz w:val="24"/>
          <w:szCs w:val="24"/>
        </w:rPr>
        <w:t>(PS1)</w:t>
      </w:r>
      <w:r>
        <w:rPr>
          <w:rFonts w:ascii="Times New Roman" w:hAnsi="Times New Roman"/>
          <w:sz w:val="24"/>
          <w:szCs w:val="24"/>
        </w:rPr>
        <w:t xml:space="preserve"> recorded a urea value of (6.10 ± 0.42 mmol/L), while the medium-dose group </w:t>
      </w:r>
      <w:r>
        <w:rPr>
          <w:rFonts w:ascii="Times New Roman" w:hAnsi="Times New Roman"/>
          <w:i/>
          <w:sz w:val="24"/>
          <w:szCs w:val="24"/>
        </w:rPr>
        <w:t>(PS2)</w:t>
      </w:r>
      <w:r>
        <w:rPr>
          <w:rFonts w:ascii="Times New Roman" w:hAnsi="Times New Roman"/>
          <w:sz w:val="24"/>
          <w:szCs w:val="24"/>
        </w:rPr>
        <w:t xml:space="preserve"> had a lower value of (5.24 ± 0.38 mmol/L). The high-dose group </w:t>
      </w:r>
      <w:r>
        <w:rPr>
          <w:rFonts w:ascii="Times New Roman" w:hAnsi="Times New Roman"/>
          <w:i/>
          <w:sz w:val="24"/>
          <w:szCs w:val="24"/>
        </w:rPr>
        <w:t>(PS3)</w:t>
      </w:r>
      <w:r>
        <w:rPr>
          <w:rFonts w:ascii="Times New Roman" w:hAnsi="Times New Roman"/>
          <w:sz w:val="24"/>
          <w:szCs w:val="24"/>
        </w:rPr>
        <w:t xml:space="preserve"> exhibited a further reduction to (4.42 ± 0.31 mmol/L). These progressive decreases indicate </w:t>
      </w:r>
      <w:r>
        <w:rPr>
          <w:rFonts w:ascii="Times New Roman" w:hAnsi="Times New Roman"/>
          <w:sz w:val="24"/>
          <w:szCs w:val="24"/>
        </w:rPr>
        <w:lastRenderedPageBreak/>
        <w:t xml:space="preserve">that increasing doses of the </w:t>
      </w:r>
      <w:r>
        <w:rPr>
          <w:rFonts w:ascii="Times New Roman" w:hAnsi="Times New Roman"/>
          <w:bCs/>
          <w:sz w:val="24"/>
          <w:szCs w:val="24"/>
        </w:rPr>
        <w:t xml:space="preserve">leaf diet </w:t>
      </w:r>
      <w:r>
        <w:rPr>
          <w:rFonts w:ascii="Times New Roman" w:hAnsi="Times New Roman"/>
          <w:sz w:val="24"/>
          <w:szCs w:val="24"/>
        </w:rPr>
        <w:t xml:space="preserve">improved the ability of the kidneys to eliminate metabolic waste products. The urea concentration in the high-dose group was close to that of the normal control group (3.92 ± 0.28 mmol/L), suggesting substantial restoration of renal function following treatment with the </w:t>
      </w:r>
      <w:r>
        <w:rPr>
          <w:rFonts w:ascii="Times New Roman" w:hAnsi="Times New Roman"/>
          <w:bCs/>
          <w:sz w:val="24"/>
          <w:szCs w:val="24"/>
        </w:rPr>
        <w:t>leaf diet</w:t>
      </w:r>
      <w:r>
        <w:rPr>
          <w:rFonts w:ascii="Times New Roman" w:hAnsi="Times New Roman"/>
          <w:sz w:val="24"/>
          <w:szCs w:val="24"/>
        </w:rPr>
        <w:t xml:space="preserve">. A similar pattern was observed for serum creatinine levels. The negative control group recorded the highest creatinine concentration (1.26 ± 0.08 mg/dL), which was significantly different (p &lt; 0.05) from the treated groups and normal control. Elevated creatinine levels are generally associated with reduced glomerular filtration efficiency and impaired kidney function. The results revealed that the negative control group recorded the lowest SOD activity (10.2 ± 0.9 U/mg protein), which was significantly lower (p &lt; 0.05) than the values obtained in the treatment groups and normal control. The reduction in SOD activity suggests that cadmium exposure induced oxidative stress, leading to depletion of endogenous antioxidant defenses. Since SOD plays a critical role in converting superoxide radicals into less harmful molecules, decreased activity indicates an increased burden of reactive oxygen species within the tissues. Treatment with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produced significant increases in SOD activity in a dose-dependent manner. The low-dose group </w:t>
      </w:r>
      <w:r>
        <w:rPr>
          <w:rFonts w:ascii="Times New Roman" w:hAnsi="Times New Roman"/>
          <w:i/>
          <w:sz w:val="24"/>
          <w:szCs w:val="24"/>
        </w:rPr>
        <w:t>(PS1)</w:t>
      </w:r>
      <w:r>
        <w:rPr>
          <w:rFonts w:ascii="Times New Roman" w:hAnsi="Times New Roman"/>
          <w:sz w:val="24"/>
          <w:szCs w:val="24"/>
        </w:rPr>
        <w:t xml:space="preserve"> recorded an SOD activity of (18.6 ± 1.5 U/mg protein), while the medium-dose group </w:t>
      </w:r>
      <w:r>
        <w:rPr>
          <w:rFonts w:ascii="Times New Roman" w:hAnsi="Times New Roman"/>
          <w:i/>
          <w:sz w:val="24"/>
          <w:szCs w:val="24"/>
        </w:rPr>
        <w:t>(PS2)</w:t>
      </w:r>
      <w:r>
        <w:rPr>
          <w:rFonts w:ascii="Times New Roman" w:hAnsi="Times New Roman"/>
          <w:sz w:val="24"/>
          <w:szCs w:val="24"/>
        </w:rPr>
        <w:t xml:space="preserve"> exhibited a higher value of (23.8 ± 1.8 U/mg protein). The highest activity among the treated groups was observed in the high-dose group </w:t>
      </w:r>
      <w:r>
        <w:rPr>
          <w:rFonts w:ascii="Times New Roman" w:hAnsi="Times New Roman"/>
          <w:i/>
          <w:sz w:val="24"/>
          <w:szCs w:val="24"/>
        </w:rPr>
        <w:t>(PS3)</w:t>
      </w:r>
      <w:r>
        <w:rPr>
          <w:rFonts w:ascii="Times New Roman" w:hAnsi="Times New Roman"/>
          <w:sz w:val="24"/>
          <w:szCs w:val="24"/>
        </w:rPr>
        <w:t xml:space="preserve"> (29.4 ± 2.2 U/mg protein). Although this value remained slightly lower than that of the normal control group (31.6 ± 2.4 U/mg protein), which indicates a substantial restoration of antioxidant defense mechanisms following administration of the </w:t>
      </w:r>
      <w:r>
        <w:rPr>
          <w:rFonts w:ascii="Times New Roman" w:hAnsi="Times New Roman"/>
          <w:bCs/>
          <w:sz w:val="24"/>
          <w:szCs w:val="24"/>
        </w:rPr>
        <w:t>leaf diet</w:t>
      </w:r>
      <w:r>
        <w:rPr>
          <w:rFonts w:ascii="Times New Roman" w:hAnsi="Times New Roman"/>
          <w:sz w:val="24"/>
          <w:szCs w:val="24"/>
        </w:rPr>
        <w:t xml:space="preserve">. Catalase activity followed a similar trend. The negative control group recorded the lowest catalase activity (21.3 ± 1.8 U/mg protein), suggesting severe oxidative stress and reduced capacity to detoxify hydrogen peroxide generated during cellular metabolism. The significantly reduced catalase activity observed in this group further confirms the oxidative damage induced by cadmium exposure. Administration of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significantly increased catalase activity across all treatment groups. The low-dose group recorded a catalase activity of (32.4 ± 2.6 U/mg protein), representing a notable improvement over the negative control. Further increases were observed in the medium-dose group (40.6 ± 3.1 U/mg protein) and high-dose group (48.8 ± 3.5 U/mg protein).</w:t>
      </w:r>
    </w:p>
    <w:p w14:paraId="6EB85839" w14:textId="77777777" w:rsidR="001D5755" w:rsidRDefault="001D5755" w:rsidP="001D5755">
      <w:pPr>
        <w:spacing w:line="480" w:lineRule="auto"/>
        <w:rPr>
          <w:rFonts w:ascii="Times New Roman" w:hAnsi="Times New Roman"/>
          <w:b/>
          <w:sz w:val="24"/>
          <w:szCs w:val="24"/>
        </w:rPr>
      </w:pPr>
      <w:r w:rsidRPr="001D5755">
        <w:rPr>
          <w:rFonts w:ascii="Times New Roman" w:hAnsi="Times New Roman"/>
          <w:sz w:val="24"/>
          <w:szCs w:val="24"/>
        </w:rPr>
        <w:lastRenderedPageBreak/>
        <w:t>Table 2:</w:t>
      </w:r>
      <w:r>
        <w:rPr>
          <w:rFonts w:ascii="Times New Roman" w:hAnsi="Times New Roman"/>
          <w:b/>
          <w:sz w:val="24"/>
          <w:szCs w:val="24"/>
        </w:rPr>
        <w:t xml:space="preserve"> </w:t>
      </w:r>
      <w:r w:rsidRPr="001D5755">
        <w:rPr>
          <w:rFonts w:ascii="Times New Roman" w:hAnsi="Times New Roman"/>
          <w:sz w:val="24"/>
          <w:szCs w:val="24"/>
        </w:rPr>
        <w:t xml:space="preserve">Effect of </w:t>
      </w:r>
      <w:bookmarkStart w:id="0" w:name="_Hlk238649272"/>
      <w:r w:rsidRPr="001D5755">
        <w:rPr>
          <w:rFonts w:ascii="Times New Roman" w:hAnsi="Times New Roman"/>
          <w:bCs/>
          <w:i/>
          <w:iCs/>
          <w:sz w:val="24"/>
          <w:szCs w:val="24"/>
        </w:rPr>
        <w:t xml:space="preserve">Pterocarpus </w:t>
      </w:r>
      <w:proofErr w:type="spellStart"/>
      <w:r w:rsidRPr="001D5755">
        <w:rPr>
          <w:rFonts w:ascii="Times New Roman" w:hAnsi="Times New Roman"/>
          <w:bCs/>
          <w:i/>
          <w:iCs/>
          <w:sz w:val="24"/>
          <w:szCs w:val="24"/>
        </w:rPr>
        <w:t>santalinoides</w:t>
      </w:r>
      <w:proofErr w:type="spellEnd"/>
      <w:r w:rsidRPr="001D5755">
        <w:rPr>
          <w:rFonts w:ascii="Times New Roman" w:hAnsi="Times New Roman"/>
          <w:bCs/>
          <w:i/>
          <w:iCs/>
          <w:sz w:val="24"/>
          <w:szCs w:val="24"/>
        </w:rPr>
        <w:t xml:space="preserve"> </w:t>
      </w:r>
      <w:bookmarkEnd w:id="0"/>
      <w:r w:rsidRPr="001D5755">
        <w:rPr>
          <w:rFonts w:ascii="Times New Roman" w:hAnsi="Times New Roman"/>
          <w:sz w:val="24"/>
          <w:szCs w:val="24"/>
        </w:rPr>
        <w:t xml:space="preserve">Leaf Diet On some </w:t>
      </w:r>
      <w:proofErr w:type="spellStart"/>
      <w:r w:rsidRPr="001D5755">
        <w:rPr>
          <w:rFonts w:ascii="Times New Roman" w:hAnsi="Times New Roman"/>
          <w:sz w:val="24"/>
          <w:szCs w:val="24"/>
        </w:rPr>
        <w:t>Haematological</w:t>
      </w:r>
      <w:proofErr w:type="spellEnd"/>
      <w:r w:rsidRPr="001D5755">
        <w:rPr>
          <w:rFonts w:ascii="Times New Roman" w:hAnsi="Times New Roman"/>
          <w:sz w:val="24"/>
          <w:szCs w:val="24"/>
        </w:rPr>
        <w:t xml:space="preserve"> Indices in Wistar rats Exposed to Cadmium</w:t>
      </w:r>
    </w:p>
    <w:tbl>
      <w:tblPr>
        <w:tblStyle w:val="TableGrid"/>
        <w:tblW w:w="90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1498"/>
        <w:gridCol w:w="1520"/>
        <w:gridCol w:w="1508"/>
        <w:gridCol w:w="1402"/>
        <w:gridCol w:w="1590"/>
      </w:tblGrid>
      <w:tr w:rsidR="001D5755" w14:paraId="6713FAE5" w14:textId="77777777" w:rsidTr="001D5755">
        <w:trPr>
          <w:trHeight w:val="653"/>
        </w:trPr>
        <w:tc>
          <w:tcPr>
            <w:tcW w:w="1548" w:type="dxa"/>
            <w:tcBorders>
              <w:top w:val="single" w:sz="4" w:space="0" w:color="auto"/>
              <w:left w:val="nil"/>
              <w:bottom w:val="single" w:sz="4" w:space="0" w:color="auto"/>
              <w:right w:val="nil"/>
            </w:tcBorders>
            <w:vAlign w:val="center"/>
            <w:hideMark/>
          </w:tcPr>
          <w:p w14:paraId="311D6CCF" w14:textId="77777777" w:rsidR="001D5755" w:rsidRDefault="001D5755">
            <w:pPr>
              <w:jc w:val="center"/>
              <w:rPr>
                <w:rFonts w:ascii="Times New Roman" w:eastAsia="Times New Roman" w:hAnsi="Times New Roman"/>
                <w:sz w:val="24"/>
                <w:szCs w:val="24"/>
              </w:rPr>
            </w:pPr>
            <w:r>
              <w:rPr>
                <w:rFonts w:ascii="Times New Roman" w:eastAsia="Times New Roman" w:hAnsi="Times New Roman"/>
                <w:b/>
                <w:bCs/>
                <w:sz w:val="24"/>
                <w:szCs w:val="24"/>
              </w:rPr>
              <w:t>Groups</w:t>
            </w:r>
          </w:p>
        </w:tc>
        <w:tc>
          <w:tcPr>
            <w:tcW w:w="1541" w:type="dxa"/>
            <w:tcBorders>
              <w:top w:val="single" w:sz="4" w:space="0" w:color="auto"/>
              <w:left w:val="nil"/>
              <w:bottom w:val="single" w:sz="4" w:space="0" w:color="auto"/>
              <w:right w:val="nil"/>
            </w:tcBorders>
            <w:vAlign w:val="center"/>
            <w:hideMark/>
          </w:tcPr>
          <w:p w14:paraId="50E3FC77"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WBC </w:t>
            </w:r>
          </w:p>
          <w:p w14:paraId="55595512"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4.0 ± 17.8</w:t>
            </w:r>
          </w:p>
          <w:p w14:paraId="5F216655"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558" w:type="dxa"/>
            <w:tcBorders>
              <w:top w:val="single" w:sz="4" w:space="0" w:color="auto"/>
              <w:left w:val="nil"/>
              <w:bottom w:val="single" w:sz="4" w:space="0" w:color="auto"/>
              <w:right w:val="nil"/>
            </w:tcBorders>
            <w:vAlign w:val="center"/>
            <w:hideMark/>
          </w:tcPr>
          <w:p w14:paraId="1F5FC012"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RBC </w:t>
            </w:r>
          </w:p>
          <w:p w14:paraId="3758295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5.79 ± 9.25</w:t>
            </w:r>
          </w:p>
          <w:p w14:paraId="4C35B36F"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(×10¹²/L)</w:t>
            </w:r>
          </w:p>
        </w:tc>
        <w:tc>
          <w:tcPr>
            <w:tcW w:w="1549" w:type="dxa"/>
            <w:tcBorders>
              <w:top w:val="single" w:sz="4" w:space="0" w:color="auto"/>
              <w:left w:val="nil"/>
              <w:bottom w:val="single" w:sz="4" w:space="0" w:color="auto"/>
              <w:right w:val="nil"/>
            </w:tcBorders>
            <w:vAlign w:val="center"/>
            <w:hideMark/>
          </w:tcPr>
          <w:p w14:paraId="43318D34"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Platelets </w:t>
            </w:r>
          </w:p>
          <w:p w14:paraId="5F02E299"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600 ± 1500</w:t>
            </w:r>
          </w:p>
          <w:p w14:paraId="0CBBF834"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468" w:type="dxa"/>
            <w:tcBorders>
              <w:top w:val="single" w:sz="4" w:space="0" w:color="auto"/>
              <w:left w:val="nil"/>
              <w:bottom w:val="single" w:sz="4" w:space="0" w:color="auto"/>
              <w:right w:val="nil"/>
            </w:tcBorders>
            <w:vAlign w:val="center"/>
            <w:hideMark/>
          </w:tcPr>
          <w:p w14:paraId="222D9698"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PCV 36-49</w:t>
            </w:r>
          </w:p>
          <w:p w14:paraId="49F7056F"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1362" w:type="dxa"/>
            <w:tcBorders>
              <w:top w:val="single" w:sz="4" w:space="0" w:color="auto"/>
              <w:left w:val="nil"/>
              <w:bottom w:val="single" w:sz="4" w:space="0" w:color="auto"/>
              <w:right w:val="nil"/>
            </w:tcBorders>
            <w:hideMark/>
          </w:tcPr>
          <w:p w14:paraId="2498405A" w14:textId="77777777" w:rsidR="001D5755" w:rsidRDefault="001D5755">
            <w:pPr>
              <w:jc w:val="center"/>
              <w:rPr>
                <w:rFonts w:ascii="Times New Roman" w:eastAsia="Times New Roman" w:hAnsi="Times New Roman"/>
                <w:b/>
                <w:bCs/>
                <w:sz w:val="24"/>
                <w:szCs w:val="24"/>
              </w:rPr>
            </w:pPr>
            <w:proofErr w:type="spellStart"/>
            <w:r>
              <w:rPr>
                <w:rFonts w:ascii="Times New Roman" w:eastAsia="Times New Roman" w:hAnsi="Times New Roman"/>
                <w:b/>
                <w:bCs/>
                <w:sz w:val="24"/>
                <w:szCs w:val="24"/>
              </w:rPr>
              <w:t>Haemoglobin</w:t>
            </w:r>
            <w:proofErr w:type="spellEnd"/>
          </w:p>
          <w:p w14:paraId="7FE98C0A"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11-18</w:t>
            </w:r>
          </w:p>
          <w:p w14:paraId="3DAE698C"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(g/dl)</w:t>
            </w:r>
          </w:p>
        </w:tc>
      </w:tr>
      <w:tr w:rsidR="001D5755" w14:paraId="35A5E102" w14:textId="77777777" w:rsidTr="001D5755">
        <w:trPr>
          <w:trHeight w:val="307"/>
        </w:trPr>
        <w:tc>
          <w:tcPr>
            <w:tcW w:w="1548" w:type="dxa"/>
            <w:tcBorders>
              <w:top w:val="single" w:sz="4" w:space="0" w:color="auto"/>
              <w:left w:val="nil"/>
              <w:bottom w:val="nil"/>
              <w:right w:val="nil"/>
            </w:tcBorders>
            <w:vAlign w:val="center"/>
            <w:hideMark/>
          </w:tcPr>
          <w:p w14:paraId="048D17A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541" w:type="dxa"/>
            <w:tcBorders>
              <w:top w:val="single" w:sz="4" w:space="0" w:color="auto"/>
              <w:left w:val="nil"/>
              <w:bottom w:val="nil"/>
              <w:right w:val="nil"/>
            </w:tcBorders>
            <w:vAlign w:val="center"/>
          </w:tcPr>
          <w:p w14:paraId="33D05FAB" w14:textId="77777777" w:rsidR="001D5755" w:rsidRDefault="001D5755">
            <w:pPr>
              <w:spacing w:line="360" w:lineRule="auto"/>
              <w:jc w:val="center"/>
              <w:rPr>
                <w:rFonts w:ascii="Times New Roman" w:eastAsia="Times New Roman" w:hAnsi="Times New Roman"/>
                <w:sz w:val="24"/>
                <w:szCs w:val="24"/>
              </w:rPr>
            </w:pPr>
          </w:p>
          <w:p w14:paraId="5BF2F757"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7.8 ± 0.6ᶜ</w:t>
            </w:r>
          </w:p>
        </w:tc>
        <w:tc>
          <w:tcPr>
            <w:tcW w:w="1558" w:type="dxa"/>
            <w:tcBorders>
              <w:top w:val="single" w:sz="4" w:space="0" w:color="auto"/>
              <w:left w:val="nil"/>
              <w:bottom w:val="nil"/>
              <w:right w:val="nil"/>
            </w:tcBorders>
            <w:vAlign w:val="center"/>
          </w:tcPr>
          <w:p w14:paraId="1307A4BE" w14:textId="77777777" w:rsidR="001D5755" w:rsidRDefault="001D5755">
            <w:pPr>
              <w:spacing w:line="360" w:lineRule="auto"/>
              <w:jc w:val="center"/>
              <w:rPr>
                <w:rFonts w:ascii="Times New Roman" w:eastAsia="Times New Roman" w:hAnsi="Times New Roman"/>
                <w:sz w:val="24"/>
                <w:szCs w:val="24"/>
              </w:rPr>
            </w:pPr>
          </w:p>
          <w:p w14:paraId="2747C23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 ± 0.4ᶜ</w:t>
            </w:r>
          </w:p>
        </w:tc>
        <w:tc>
          <w:tcPr>
            <w:tcW w:w="1549" w:type="dxa"/>
            <w:tcBorders>
              <w:top w:val="single" w:sz="4" w:space="0" w:color="auto"/>
              <w:left w:val="nil"/>
              <w:bottom w:val="nil"/>
              <w:right w:val="nil"/>
            </w:tcBorders>
            <w:vAlign w:val="center"/>
          </w:tcPr>
          <w:p w14:paraId="06F2DD33" w14:textId="77777777" w:rsidR="001D5755" w:rsidRDefault="001D5755">
            <w:pPr>
              <w:spacing w:line="360" w:lineRule="auto"/>
              <w:jc w:val="center"/>
              <w:rPr>
                <w:rFonts w:ascii="Times New Roman" w:eastAsia="Times New Roman" w:hAnsi="Times New Roman"/>
                <w:sz w:val="24"/>
                <w:szCs w:val="24"/>
              </w:rPr>
            </w:pPr>
          </w:p>
          <w:p w14:paraId="2E1CB4D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510 ± 28ᶜ</w:t>
            </w:r>
          </w:p>
        </w:tc>
        <w:tc>
          <w:tcPr>
            <w:tcW w:w="1468" w:type="dxa"/>
            <w:tcBorders>
              <w:top w:val="single" w:sz="4" w:space="0" w:color="auto"/>
              <w:left w:val="nil"/>
              <w:bottom w:val="nil"/>
              <w:right w:val="nil"/>
            </w:tcBorders>
            <w:vAlign w:val="center"/>
          </w:tcPr>
          <w:p w14:paraId="1E5332C4" w14:textId="77777777" w:rsidR="001D5755" w:rsidRDefault="001D5755">
            <w:pPr>
              <w:spacing w:line="360" w:lineRule="auto"/>
              <w:jc w:val="center"/>
              <w:rPr>
                <w:rFonts w:ascii="Times New Roman" w:eastAsia="Times New Roman" w:hAnsi="Times New Roman"/>
                <w:sz w:val="24"/>
                <w:szCs w:val="24"/>
              </w:rPr>
            </w:pPr>
          </w:p>
          <w:p w14:paraId="78CF50AE"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38.6 ± 2.1ᶜ</w:t>
            </w:r>
          </w:p>
        </w:tc>
        <w:tc>
          <w:tcPr>
            <w:tcW w:w="1362" w:type="dxa"/>
            <w:tcBorders>
              <w:top w:val="single" w:sz="4" w:space="0" w:color="auto"/>
              <w:left w:val="nil"/>
              <w:bottom w:val="nil"/>
              <w:right w:val="nil"/>
            </w:tcBorders>
          </w:tcPr>
          <w:p w14:paraId="44572E5A" w14:textId="77777777" w:rsidR="001D5755" w:rsidRDefault="001D5755">
            <w:pPr>
              <w:spacing w:line="360" w:lineRule="auto"/>
              <w:jc w:val="center"/>
              <w:rPr>
                <w:rFonts w:ascii="Times New Roman" w:eastAsia="Times New Roman" w:hAnsi="Times New Roman"/>
                <w:sz w:val="24"/>
                <w:szCs w:val="24"/>
              </w:rPr>
            </w:pPr>
          </w:p>
          <w:p w14:paraId="5F9A185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12.8 ± 0.7</w:t>
            </w:r>
            <w:r>
              <w:rPr>
                <w:rFonts w:ascii="Times New Roman" w:eastAsia="Times New Roman" w:hAnsi="Times New Roman"/>
                <w:sz w:val="24"/>
                <w:szCs w:val="24"/>
                <w:vertAlign w:val="superscript"/>
              </w:rPr>
              <w:t>e</w:t>
            </w:r>
          </w:p>
        </w:tc>
      </w:tr>
      <w:tr w:rsidR="001D5755" w14:paraId="1142B501" w14:textId="77777777" w:rsidTr="001D5755">
        <w:trPr>
          <w:trHeight w:val="653"/>
        </w:trPr>
        <w:tc>
          <w:tcPr>
            <w:tcW w:w="1548" w:type="dxa"/>
            <w:tcBorders>
              <w:top w:val="nil"/>
              <w:left w:val="nil"/>
              <w:bottom w:val="nil"/>
              <w:right w:val="nil"/>
            </w:tcBorders>
            <w:vAlign w:val="center"/>
            <w:hideMark/>
          </w:tcPr>
          <w:p w14:paraId="37B5E42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57FF0250" w14:textId="77777777" w:rsidR="001D5755" w:rsidRDefault="001D5755">
            <w:pPr>
              <w:spacing w:line="360" w:lineRule="auto"/>
              <w:jc w:val="center"/>
              <w:rPr>
                <w:rFonts w:ascii="Times New Roman" w:eastAsia="Times New Roman" w:hAnsi="Times New Roman"/>
                <w:sz w:val="24"/>
                <w:szCs w:val="24"/>
              </w:rPr>
            </w:pPr>
          </w:p>
          <w:p w14:paraId="6D0895D8"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8.6 ± 0.7ᵇ</w:t>
            </w:r>
          </w:p>
        </w:tc>
        <w:tc>
          <w:tcPr>
            <w:tcW w:w="1558" w:type="dxa"/>
            <w:tcBorders>
              <w:top w:val="nil"/>
              <w:left w:val="nil"/>
              <w:bottom w:val="nil"/>
              <w:right w:val="nil"/>
            </w:tcBorders>
            <w:vAlign w:val="center"/>
          </w:tcPr>
          <w:p w14:paraId="7D69770D" w14:textId="77777777" w:rsidR="001D5755" w:rsidRDefault="001D5755">
            <w:pPr>
              <w:spacing w:line="360" w:lineRule="auto"/>
              <w:jc w:val="center"/>
              <w:rPr>
                <w:rFonts w:ascii="Times New Roman" w:eastAsia="Times New Roman" w:hAnsi="Times New Roman"/>
                <w:sz w:val="24"/>
                <w:szCs w:val="24"/>
              </w:rPr>
            </w:pPr>
          </w:p>
          <w:p w14:paraId="52092A07"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6.8 ± 0.5ᵇ</w:t>
            </w:r>
          </w:p>
        </w:tc>
        <w:tc>
          <w:tcPr>
            <w:tcW w:w="1549" w:type="dxa"/>
            <w:tcBorders>
              <w:top w:val="nil"/>
              <w:left w:val="nil"/>
              <w:bottom w:val="nil"/>
              <w:right w:val="nil"/>
            </w:tcBorders>
            <w:vAlign w:val="center"/>
          </w:tcPr>
          <w:p w14:paraId="449E3592" w14:textId="77777777" w:rsidR="001D5755" w:rsidRDefault="001D5755">
            <w:pPr>
              <w:spacing w:line="360" w:lineRule="auto"/>
              <w:jc w:val="center"/>
              <w:rPr>
                <w:rFonts w:ascii="Times New Roman" w:eastAsia="Times New Roman" w:hAnsi="Times New Roman"/>
                <w:sz w:val="24"/>
                <w:szCs w:val="24"/>
              </w:rPr>
            </w:pPr>
          </w:p>
          <w:p w14:paraId="0479F28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566 ± 31ᵇ</w:t>
            </w:r>
          </w:p>
        </w:tc>
        <w:tc>
          <w:tcPr>
            <w:tcW w:w="1468" w:type="dxa"/>
            <w:tcBorders>
              <w:top w:val="nil"/>
              <w:left w:val="nil"/>
              <w:bottom w:val="nil"/>
              <w:right w:val="nil"/>
            </w:tcBorders>
            <w:vAlign w:val="center"/>
          </w:tcPr>
          <w:p w14:paraId="55596893" w14:textId="77777777" w:rsidR="001D5755" w:rsidRDefault="001D5755">
            <w:pPr>
              <w:spacing w:line="360" w:lineRule="auto"/>
              <w:jc w:val="center"/>
              <w:rPr>
                <w:rFonts w:ascii="Times New Roman" w:eastAsia="Times New Roman" w:hAnsi="Times New Roman"/>
                <w:sz w:val="24"/>
                <w:szCs w:val="24"/>
              </w:rPr>
            </w:pPr>
          </w:p>
          <w:p w14:paraId="620DB933"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42.4 ± 2.5ᵇ</w:t>
            </w:r>
          </w:p>
        </w:tc>
        <w:tc>
          <w:tcPr>
            <w:tcW w:w="1362" w:type="dxa"/>
            <w:tcBorders>
              <w:top w:val="nil"/>
              <w:left w:val="nil"/>
              <w:bottom w:val="nil"/>
              <w:right w:val="nil"/>
            </w:tcBorders>
          </w:tcPr>
          <w:p w14:paraId="4386C5A6" w14:textId="77777777" w:rsidR="001D5755" w:rsidRDefault="001D5755">
            <w:pPr>
              <w:spacing w:line="360" w:lineRule="auto"/>
              <w:jc w:val="center"/>
              <w:rPr>
                <w:rFonts w:ascii="Times New Roman" w:eastAsia="Times New Roman" w:hAnsi="Times New Roman"/>
                <w:sz w:val="24"/>
                <w:szCs w:val="24"/>
              </w:rPr>
            </w:pPr>
          </w:p>
          <w:p w14:paraId="24594F4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14.1 ± 0.8</w:t>
            </w:r>
            <w:r>
              <w:rPr>
                <w:rFonts w:ascii="Times New Roman" w:eastAsia="Times New Roman" w:hAnsi="Times New Roman"/>
                <w:sz w:val="24"/>
                <w:szCs w:val="24"/>
                <w:vertAlign w:val="superscript"/>
              </w:rPr>
              <w:t>b</w:t>
            </w:r>
          </w:p>
        </w:tc>
      </w:tr>
      <w:tr w:rsidR="001D5755" w14:paraId="51A49792" w14:textId="77777777" w:rsidTr="001D5755">
        <w:trPr>
          <w:trHeight w:val="325"/>
        </w:trPr>
        <w:tc>
          <w:tcPr>
            <w:tcW w:w="1548" w:type="dxa"/>
            <w:tcBorders>
              <w:top w:val="nil"/>
              <w:left w:val="nil"/>
              <w:bottom w:val="nil"/>
              <w:right w:val="nil"/>
            </w:tcBorders>
            <w:vAlign w:val="center"/>
            <w:hideMark/>
          </w:tcPr>
          <w:p w14:paraId="47269DE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2F84D67A" w14:textId="77777777" w:rsidR="001D5755" w:rsidRDefault="001D5755">
            <w:pPr>
              <w:spacing w:line="360" w:lineRule="auto"/>
              <w:jc w:val="center"/>
              <w:rPr>
                <w:rFonts w:ascii="Times New Roman" w:eastAsia="Times New Roman" w:hAnsi="Times New Roman"/>
                <w:sz w:val="24"/>
                <w:szCs w:val="24"/>
              </w:rPr>
            </w:pPr>
          </w:p>
          <w:p w14:paraId="1624D03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9.4 ± 0.8ᵃ</w:t>
            </w:r>
          </w:p>
        </w:tc>
        <w:tc>
          <w:tcPr>
            <w:tcW w:w="1558" w:type="dxa"/>
            <w:tcBorders>
              <w:top w:val="nil"/>
              <w:left w:val="nil"/>
              <w:bottom w:val="nil"/>
              <w:right w:val="nil"/>
            </w:tcBorders>
            <w:vAlign w:val="center"/>
          </w:tcPr>
          <w:p w14:paraId="1D54121D" w14:textId="77777777" w:rsidR="001D5755" w:rsidRDefault="001D5755">
            <w:pPr>
              <w:spacing w:line="360" w:lineRule="auto"/>
              <w:jc w:val="center"/>
              <w:rPr>
                <w:rFonts w:ascii="Times New Roman" w:eastAsia="Times New Roman" w:hAnsi="Times New Roman"/>
                <w:sz w:val="24"/>
                <w:szCs w:val="24"/>
              </w:rPr>
            </w:pPr>
          </w:p>
          <w:p w14:paraId="3D47B75B"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7.4 ± 0.5ᵃ</w:t>
            </w:r>
          </w:p>
        </w:tc>
        <w:tc>
          <w:tcPr>
            <w:tcW w:w="1549" w:type="dxa"/>
            <w:tcBorders>
              <w:top w:val="nil"/>
              <w:left w:val="nil"/>
              <w:bottom w:val="nil"/>
              <w:right w:val="nil"/>
            </w:tcBorders>
            <w:vAlign w:val="center"/>
          </w:tcPr>
          <w:p w14:paraId="0351E937" w14:textId="77777777" w:rsidR="001D5755" w:rsidRDefault="001D5755">
            <w:pPr>
              <w:spacing w:line="360" w:lineRule="auto"/>
              <w:jc w:val="center"/>
              <w:rPr>
                <w:rFonts w:ascii="Times New Roman" w:eastAsia="Times New Roman" w:hAnsi="Times New Roman"/>
                <w:sz w:val="24"/>
                <w:szCs w:val="24"/>
              </w:rPr>
            </w:pPr>
          </w:p>
          <w:p w14:paraId="786C9D9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618 ± 35ᵃ</w:t>
            </w:r>
          </w:p>
        </w:tc>
        <w:tc>
          <w:tcPr>
            <w:tcW w:w="1468" w:type="dxa"/>
            <w:tcBorders>
              <w:top w:val="nil"/>
              <w:left w:val="nil"/>
              <w:bottom w:val="nil"/>
              <w:right w:val="nil"/>
            </w:tcBorders>
            <w:vAlign w:val="center"/>
          </w:tcPr>
          <w:p w14:paraId="79E5EBE4" w14:textId="77777777" w:rsidR="001D5755" w:rsidRDefault="001D5755">
            <w:pPr>
              <w:spacing w:line="360" w:lineRule="auto"/>
              <w:jc w:val="center"/>
              <w:rPr>
                <w:rFonts w:ascii="Times New Roman" w:eastAsia="Times New Roman" w:hAnsi="Times New Roman"/>
                <w:sz w:val="24"/>
                <w:szCs w:val="24"/>
              </w:rPr>
            </w:pPr>
          </w:p>
          <w:p w14:paraId="0497725B"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46.2 ± 2.8ᵃ</w:t>
            </w:r>
          </w:p>
        </w:tc>
        <w:tc>
          <w:tcPr>
            <w:tcW w:w="1362" w:type="dxa"/>
            <w:tcBorders>
              <w:top w:val="nil"/>
              <w:left w:val="nil"/>
              <w:bottom w:val="nil"/>
              <w:right w:val="nil"/>
            </w:tcBorders>
          </w:tcPr>
          <w:p w14:paraId="410ACF85" w14:textId="77777777" w:rsidR="001D5755" w:rsidRDefault="001D5755">
            <w:pPr>
              <w:spacing w:line="360" w:lineRule="auto"/>
              <w:jc w:val="center"/>
              <w:rPr>
                <w:rFonts w:ascii="Times New Roman" w:eastAsia="Times New Roman" w:hAnsi="Times New Roman"/>
                <w:sz w:val="24"/>
                <w:szCs w:val="24"/>
              </w:rPr>
            </w:pPr>
          </w:p>
          <w:p w14:paraId="56C7FF93"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15.4 ± 0.9</w:t>
            </w:r>
            <w:r>
              <w:rPr>
                <w:rFonts w:ascii="Times New Roman" w:eastAsia="Times New Roman" w:hAnsi="Times New Roman"/>
                <w:sz w:val="24"/>
                <w:szCs w:val="24"/>
                <w:vertAlign w:val="superscript"/>
              </w:rPr>
              <w:t>a</w:t>
            </w:r>
          </w:p>
        </w:tc>
      </w:tr>
      <w:tr w:rsidR="001D5755" w14:paraId="02CED543" w14:textId="77777777" w:rsidTr="001D5755">
        <w:trPr>
          <w:trHeight w:val="636"/>
        </w:trPr>
        <w:tc>
          <w:tcPr>
            <w:tcW w:w="1548" w:type="dxa"/>
            <w:tcBorders>
              <w:top w:val="nil"/>
              <w:left w:val="nil"/>
              <w:bottom w:val="nil"/>
              <w:right w:val="nil"/>
            </w:tcBorders>
            <w:vAlign w:val="center"/>
            <w:hideMark/>
          </w:tcPr>
          <w:p w14:paraId="3257AED5"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Negative Control</w:t>
            </w:r>
          </w:p>
        </w:tc>
        <w:tc>
          <w:tcPr>
            <w:tcW w:w="1541" w:type="dxa"/>
            <w:tcBorders>
              <w:top w:val="nil"/>
              <w:left w:val="nil"/>
              <w:bottom w:val="nil"/>
              <w:right w:val="nil"/>
            </w:tcBorders>
            <w:vAlign w:val="center"/>
          </w:tcPr>
          <w:p w14:paraId="68DADF58" w14:textId="77777777" w:rsidR="001D5755" w:rsidRDefault="001D5755">
            <w:pPr>
              <w:spacing w:line="360" w:lineRule="auto"/>
              <w:jc w:val="center"/>
              <w:rPr>
                <w:rFonts w:ascii="Times New Roman" w:eastAsia="Times New Roman" w:hAnsi="Times New Roman"/>
                <w:sz w:val="24"/>
                <w:szCs w:val="24"/>
              </w:rPr>
            </w:pPr>
          </w:p>
          <w:p w14:paraId="2FB71520"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5.2 ± 0.4ᵈ</w:t>
            </w:r>
          </w:p>
        </w:tc>
        <w:tc>
          <w:tcPr>
            <w:tcW w:w="1558" w:type="dxa"/>
            <w:tcBorders>
              <w:top w:val="nil"/>
              <w:left w:val="nil"/>
              <w:bottom w:val="nil"/>
              <w:right w:val="nil"/>
            </w:tcBorders>
            <w:vAlign w:val="center"/>
          </w:tcPr>
          <w:p w14:paraId="1DB24485" w14:textId="77777777" w:rsidR="001D5755" w:rsidRDefault="001D5755">
            <w:pPr>
              <w:spacing w:line="360" w:lineRule="auto"/>
              <w:jc w:val="center"/>
              <w:rPr>
                <w:rFonts w:ascii="Times New Roman" w:eastAsia="Times New Roman" w:hAnsi="Times New Roman"/>
                <w:sz w:val="24"/>
                <w:szCs w:val="24"/>
              </w:rPr>
            </w:pPr>
          </w:p>
          <w:p w14:paraId="5AFB5843"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4.8 ± 0.3ᵈ</w:t>
            </w:r>
          </w:p>
        </w:tc>
        <w:tc>
          <w:tcPr>
            <w:tcW w:w="1549" w:type="dxa"/>
            <w:tcBorders>
              <w:top w:val="nil"/>
              <w:left w:val="nil"/>
              <w:bottom w:val="nil"/>
              <w:right w:val="nil"/>
            </w:tcBorders>
            <w:vAlign w:val="center"/>
          </w:tcPr>
          <w:p w14:paraId="7775FA26" w14:textId="77777777" w:rsidR="001D5755" w:rsidRDefault="001D5755">
            <w:pPr>
              <w:spacing w:line="360" w:lineRule="auto"/>
              <w:jc w:val="center"/>
              <w:rPr>
                <w:rFonts w:ascii="Times New Roman" w:eastAsia="Times New Roman" w:hAnsi="Times New Roman"/>
                <w:sz w:val="24"/>
                <w:szCs w:val="24"/>
              </w:rPr>
            </w:pPr>
          </w:p>
          <w:p w14:paraId="040A6EA8"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402 ± 24ᵈ</w:t>
            </w:r>
          </w:p>
        </w:tc>
        <w:tc>
          <w:tcPr>
            <w:tcW w:w="1468" w:type="dxa"/>
            <w:tcBorders>
              <w:top w:val="nil"/>
              <w:left w:val="nil"/>
              <w:bottom w:val="nil"/>
              <w:right w:val="nil"/>
            </w:tcBorders>
            <w:vAlign w:val="center"/>
          </w:tcPr>
          <w:p w14:paraId="1F43D769" w14:textId="77777777" w:rsidR="001D5755" w:rsidRDefault="001D5755">
            <w:pPr>
              <w:spacing w:line="360" w:lineRule="auto"/>
              <w:jc w:val="center"/>
              <w:rPr>
                <w:rFonts w:ascii="Times New Roman" w:eastAsia="Times New Roman" w:hAnsi="Times New Roman"/>
                <w:sz w:val="24"/>
                <w:szCs w:val="24"/>
              </w:rPr>
            </w:pPr>
          </w:p>
          <w:p w14:paraId="08AB895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31.8 ± 1.9ᵈ</w:t>
            </w:r>
          </w:p>
        </w:tc>
        <w:tc>
          <w:tcPr>
            <w:tcW w:w="1362" w:type="dxa"/>
            <w:tcBorders>
              <w:top w:val="nil"/>
              <w:left w:val="nil"/>
              <w:bottom w:val="nil"/>
              <w:right w:val="nil"/>
            </w:tcBorders>
          </w:tcPr>
          <w:p w14:paraId="37C0E9A2" w14:textId="77777777" w:rsidR="001D5755" w:rsidRDefault="001D5755">
            <w:pPr>
              <w:spacing w:line="360" w:lineRule="auto"/>
              <w:jc w:val="center"/>
              <w:rPr>
                <w:rFonts w:ascii="Times New Roman" w:eastAsia="Times New Roman" w:hAnsi="Times New Roman"/>
                <w:sz w:val="24"/>
                <w:szCs w:val="24"/>
              </w:rPr>
            </w:pPr>
          </w:p>
          <w:p w14:paraId="7ECFBE9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10.5 ± 0.6</w:t>
            </w:r>
            <w:r>
              <w:rPr>
                <w:rFonts w:ascii="Times New Roman" w:eastAsia="Times New Roman" w:hAnsi="Times New Roman"/>
                <w:sz w:val="24"/>
                <w:szCs w:val="24"/>
                <w:vertAlign w:val="superscript"/>
              </w:rPr>
              <w:t>d</w:t>
            </w:r>
          </w:p>
        </w:tc>
      </w:tr>
      <w:tr w:rsidR="001D5755" w14:paraId="7D15882A" w14:textId="77777777" w:rsidTr="001D5755">
        <w:trPr>
          <w:trHeight w:val="325"/>
        </w:trPr>
        <w:tc>
          <w:tcPr>
            <w:tcW w:w="1548" w:type="dxa"/>
            <w:tcBorders>
              <w:top w:val="nil"/>
              <w:left w:val="nil"/>
              <w:bottom w:val="single" w:sz="4" w:space="0" w:color="auto"/>
              <w:right w:val="nil"/>
            </w:tcBorders>
            <w:vAlign w:val="center"/>
            <w:hideMark/>
          </w:tcPr>
          <w:p w14:paraId="53D8264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Normal Control</w:t>
            </w:r>
          </w:p>
        </w:tc>
        <w:tc>
          <w:tcPr>
            <w:tcW w:w="1541" w:type="dxa"/>
            <w:tcBorders>
              <w:top w:val="nil"/>
              <w:left w:val="nil"/>
              <w:bottom w:val="single" w:sz="4" w:space="0" w:color="auto"/>
              <w:right w:val="nil"/>
            </w:tcBorders>
            <w:vAlign w:val="center"/>
          </w:tcPr>
          <w:p w14:paraId="26427CAB" w14:textId="77777777" w:rsidR="001D5755" w:rsidRDefault="001D5755">
            <w:pPr>
              <w:spacing w:line="360" w:lineRule="auto"/>
              <w:jc w:val="center"/>
              <w:rPr>
                <w:rFonts w:ascii="Times New Roman" w:eastAsia="Times New Roman" w:hAnsi="Times New Roman"/>
                <w:sz w:val="24"/>
                <w:szCs w:val="24"/>
              </w:rPr>
            </w:pPr>
          </w:p>
          <w:p w14:paraId="5FB5800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9.8 ± 0.8ᵃ</w:t>
            </w:r>
          </w:p>
        </w:tc>
        <w:tc>
          <w:tcPr>
            <w:tcW w:w="1558" w:type="dxa"/>
            <w:tcBorders>
              <w:top w:val="nil"/>
              <w:left w:val="nil"/>
              <w:bottom w:val="single" w:sz="4" w:space="0" w:color="auto"/>
              <w:right w:val="nil"/>
            </w:tcBorders>
            <w:vAlign w:val="center"/>
          </w:tcPr>
          <w:p w14:paraId="50FDEA41" w14:textId="77777777" w:rsidR="001D5755" w:rsidRDefault="001D5755">
            <w:pPr>
              <w:spacing w:line="360" w:lineRule="auto"/>
              <w:jc w:val="center"/>
              <w:rPr>
                <w:rFonts w:ascii="Times New Roman" w:eastAsia="Times New Roman" w:hAnsi="Times New Roman"/>
                <w:sz w:val="24"/>
                <w:szCs w:val="24"/>
              </w:rPr>
            </w:pPr>
          </w:p>
          <w:p w14:paraId="3810ABA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7.7 ± 0.6ᵃ</w:t>
            </w:r>
          </w:p>
        </w:tc>
        <w:tc>
          <w:tcPr>
            <w:tcW w:w="1549" w:type="dxa"/>
            <w:tcBorders>
              <w:top w:val="nil"/>
              <w:left w:val="nil"/>
              <w:bottom w:val="single" w:sz="4" w:space="0" w:color="auto"/>
              <w:right w:val="nil"/>
            </w:tcBorders>
            <w:vAlign w:val="center"/>
          </w:tcPr>
          <w:p w14:paraId="72964962" w14:textId="77777777" w:rsidR="001D5755" w:rsidRDefault="001D5755">
            <w:pPr>
              <w:spacing w:line="360" w:lineRule="auto"/>
              <w:jc w:val="center"/>
              <w:rPr>
                <w:rFonts w:ascii="Times New Roman" w:eastAsia="Times New Roman" w:hAnsi="Times New Roman"/>
                <w:sz w:val="24"/>
                <w:szCs w:val="24"/>
              </w:rPr>
            </w:pPr>
          </w:p>
          <w:p w14:paraId="0A8A3063"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640 ± 36ᵃ</w:t>
            </w:r>
          </w:p>
        </w:tc>
        <w:tc>
          <w:tcPr>
            <w:tcW w:w="1468" w:type="dxa"/>
            <w:tcBorders>
              <w:top w:val="nil"/>
              <w:left w:val="nil"/>
              <w:bottom w:val="single" w:sz="4" w:space="0" w:color="auto"/>
              <w:right w:val="nil"/>
            </w:tcBorders>
            <w:vAlign w:val="center"/>
          </w:tcPr>
          <w:p w14:paraId="726EFC23" w14:textId="77777777" w:rsidR="001D5755" w:rsidRDefault="001D5755">
            <w:pPr>
              <w:spacing w:line="360" w:lineRule="auto"/>
              <w:jc w:val="center"/>
              <w:rPr>
                <w:rFonts w:ascii="Times New Roman" w:eastAsia="Times New Roman" w:hAnsi="Times New Roman"/>
                <w:sz w:val="24"/>
                <w:szCs w:val="24"/>
              </w:rPr>
            </w:pPr>
          </w:p>
          <w:p w14:paraId="26CBB11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47.8 ± 2.9ᵃ</w:t>
            </w:r>
          </w:p>
        </w:tc>
        <w:tc>
          <w:tcPr>
            <w:tcW w:w="1362" w:type="dxa"/>
            <w:tcBorders>
              <w:top w:val="nil"/>
              <w:left w:val="nil"/>
              <w:bottom w:val="single" w:sz="4" w:space="0" w:color="auto"/>
              <w:right w:val="nil"/>
            </w:tcBorders>
          </w:tcPr>
          <w:p w14:paraId="6F54B7CF" w14:textId="77777777" w:rsidR="001D5755" w:rsidRDefault="001D5755">
            <w:pPr>
              <w:spacing w:line="360" w:lineRule="auto"/>
              <w:jc w:val="center"/>
              <w:rPr>
                <w:rFonts w:ascii="Times New Roman" w:eastAsia="Times New Roman" w:hAnsi="Times New Roman"/>
                <w:sz w:val="24"/>
                <w:szCs w:val="24"/>
              </w:rPr>
            </w:pPr>
          </w:p>
          <w:p w14:paraId="201C69D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15.9 ± 0.9</w:t>
            </w:r>
          </w:p>
        </w:tc>
      </w:tr>
    </w:tbl>
    <w:p w14:paraId="3E15A766" w14:textId="77777777" w:rsidR="001D5755" w:rsidRDefault="001D5755" w:rsidP="001D5755">
      <w:pPr>
        <w:spacing w:line="480" w:lineRule="auto"/>
        <w:rPr>
          <w:rFonts w:ascii="Times New Roman" w:hAnsi="Times New Roman"/>
          <w:i/>
          <w:sz w:val="24"/>
          <w:szCs w:val="24"/>
        </w:rPr>
      </w:pPr>
      <w:r>
        <w:rPr>
          <w:rFonts w:ascii="Times New Roman" w:hAnsi="Times New Roman"/>
          <w:i/>
          <w:sz w:val="24"/>
          <w:szCs w:val="24"/>
        </w:rPr>
        <w:t>Values are presented as mean ± SD (n = 5). Values with different superscripts within the same column are significantly different (</w:t>
      </w:r>
      <w:r>
        <w:rPr>
          <w:rFonts w:ascii="Times New Roman" w:hAnsi="Times New Roman"/>
          <w:i/>
          <w:iCs/>
          <w:sz w:val="24"/>
          <w:szCs w:val="24"/>
        </w:rPr>
        <w:t>p</w:t>
      </w:r>
      <w:r>
        <w:rPr>
          <w:rFonts w:ascii="Times New Roman" w:hAnsi="Times New Roman"/>
          <w:i/>
          <w:sz w:val="24"/>
          <w:szCs w:val="24"/>
        </w:rPr>
        <w:t xml:space="preserve"> &lt; 0.05).</w:t>
      </w:r>
    </w:p>
    <w:p w14:paraId="5FC3BC82" w14:textId="77777777" w:rsidR="001D5755" w:rsidRPr="001D5755" w:rsidRDefault="001D5755" w:rsidP="001D5755">
      <w:pPr>
        <w:spacing w:line="480" w:lineRule="auto"/>
        <w:jc w:val="both"/>
        <w:rPr>
          <w:rFonts w:ascii="Times New Roman" w:hAnsi="Times New Roman"/>
          <w:sz w:val="24"/>
          <w:szCs w:val="24"/>
        </w:rPr>
      </w:pPr>
      <w:r w:rsidRPr="001D5755">
        <w:rPr>
          <w:rFonts w:ascii="Times New Roman" w:hAnsi="Times New Roman"/>
          <w:sz w:val="24"/>
          <w:szCs w:val="24"/>
        </w:rPr>
        <w:t xml:space="preserve">Effect of </w:t>
      </w:r>
      <w:r w:rsidRPr="001D5755">
        <w:rPr>
          <w:rFonts w:ascii="Times New Roman" w:hAnsi="Times New Roman"/>
          <w:i/>
          <w:sz w:val="24"/>
          <w:szCs w:val="24"/>
        </w:rPr>
        <w:t xml:space="preserve">Pterocarpus </w:t>
      </w:r>
      <w:proofErr w:type="spellStart"/>
      <w:r w:rsidRPr="001D5755">
        <w:rPr>
          <w:rFonts w:ascii="Times New Roman" w:hAnsi="Times New Roman"/>
          <w:i/>
          <w:sz w:val="24"/>
          <w:szCs w:val="24"/>
        </w:rPr>
        <w:t>santalinoides</w:t>
      </w:r>
      <w:proofErr w:type="spellEnd"/>
      <w:r w:rsidRPr="001D5755">
        <w:rPr>
          <w:rFonts w:ascii="Times New Roman" w:hAnsi="Times New Roman"/>
          <w:sz w:val="24"/>
          <w:szCs w:val="24"/>
        </w:rPr>
        <w:t xml:space="preserve"> Leaf Diet </w:t>
      </w:r>
      <w:r>
        <w:rPr>
          <w:rFonts w:ascii="Times New Roman" w:hAnsi="Times New Roman"/>
          <w:sz w:val="24"/>
          <w:szCs w:val="24"/>
        </w:rPr>
        <w:t xml:space="preserve">on </w:t>
      </w:r>
      <w:r w:rsidRPr="001D5755">
        <w:rPr>
          <w:rFonts w:ascii="Times New Roman" w:hAnsi="Times New Roman"/>
          <w:sz w:val="24"/>
          <w:szCs w:val="24"/>
        </w:rPr>
        <w:t xml:space="preserve">Some </w:t>
      </w:r>
      <w:proofErr w:type="spellStart"/>
      <w:r w:rsidRPr="001D5755">
        <w:rPr>
          <w:rFonts w:ascii="Times New Roman" w:hAnsi="Times New Roman"/>
          <w:sz w:val="24"/>
          <w:szCs w:val="24"/>
        </w:rPr>
        <w:t>Haematological</w:t>
      </w:r>
      <w:proofErr w:type="spellEnd"/>
      <w:r w:rsidRPr="001D5755">
        <w:rPr>
          <w:rFonts w:ascii="Times New Roman" w:hAnsi="Times New Roman"/>
          <w:sz w:val="24"/>
          <w:szCs w:val="24"/>
        </w:rPr>
        <w:t xml:space="preserve"> Indices in Wistar Rats Exposed to Cadmium</w:t>
      </w:r>
      <w:r>
        <w:rPr>
          <w:rFonts w:ascii="Times New Roman" w:hAnsi="Times New Roman"/>
          <w:sz w:val="24"/>
          <w:szCs w:val="24"/>
        </w:rPr>
        <w:t>.</w:t>
      </w:r>
    </w:p>
    <w:p w14:paraId="7323B9DD" w14:textId="77777777" w:rsidR="001D5755" w:rsidRDefault="001D5755" w:rsidP="001D5755">
      <w:pPr>
        <w:spacing w:line="480" w:lineRule="auto"/>
        <w:ind w:firstLine="720"/>
        <w:jc w:val="both"/>
        <w:rPr>
          <w:rFonts w:ascii="Times New Roman" w:hAnsi="Times New Roman"/>
          <w:bCs/>
          <w:sz w:val="24"/>
          <w:szCs w:val="24"/>
        </w:rPr>
      </w:pPr>
      <w:r>
        <w:rPr>
          <w:rFonts w:ascii="Times New Roman" w:hAnsi="Times New Roman"/>
          <w:bCs/>
          <w:sz w:val="24"/>
          <w:szCs w:val="24"/>
        </w:rPr>
        <w:t xml:space="preserve">The effect of </w:t>
      </w:r>
      <w:r>
        <w:rPr>
          <w:rFonts w:ascii="Times New Roman" w:hAnsi="Times New Roman"/>
          <w:bCs/>
          <w:i/>
          <w:sz w:val="24"/>
          <w:szCs w:val="24"/>
        </w:rPr>
        <w:t xml:space="preserve">Pterocarpus </w:t>
      </w:r>
      <w:proofErr w:type="spellStart"/>
      <w:r>
        <w:rPr>
          <w:rFonts w:ascii="Times New Roman" w:hAnsi="Times New Roman"/>
          <w:bCs/>
          <w:i/>
          <w:sz w:val="24"/>
          <w:szCs w:val="24"/>
        </w:rPr>
        <w:t>santalinoides</w:t>
      </w:r>
      <w:proofErr w:type="spellEnd"/>
      <w:r>
        <w:rPr>
          <w:rFonts w:ascii="Times New Roman" w:hAnsi="Times New Roman"/>
          <w:bCs/>
          <w:i/>
          <w:sz w:val="24"/>
          <w:szCs w:val="24"/>
        </w:rPr>
        <w:t xml:space="preserve"> </w:t>
      </w:r>
      <w:r>
        <w:rPr>
          <w:rFonts w:ascii="Times New Roman" w:hAnsi="Times New Roman"/>
          <w:bCs/>
          <w:sz w:val="24"/>
          <w:szCs w:val="24"/>
        </w:rPr>
        <w:t xml:space="preserve">leaf diet on selected </w:t>
      </w:r>
      <w:proofErr w:type="spellStart"/>
      <w:r>
        <w:rPr>
          <w:rFonts w:ascii="Times New Roman" w:hAnsi="Times New Roman"/>
          <w:bCs/>
          <w:sz w:val="24"/>
          <w:szCs w:val="24"/>
        </w:rPr>
        <w:t>haematological</w:t>
      </w:r>
      <w:proofErr w:type="spellEnd"/>
      <w:r>
        <w:rPr>
          <w:rFonts w:ascii="Times New Roman" w:hAnsi="Times New Roman"/>
          <w:bCs/>
          <w:sz w:val="24"/>
          <w:szCs w:val="24"/>
        </w:rPr>
        <w:t xml:space="preserve"> parameters of cadmium-exposed Wistar rats is shown in Table 2. The parameters evaluated included white blood cell count (WBC), red blood cell count (RBC), platelet count, packed cell volume (PCV), and </w:t>
      </w:r>
      <w:proofErr w:type="spellStart"/>
      <w:r>
        <w:rPr>
          <w:rFonts w:ascii="Times New Roman" w:hAnsi="Times New Roman"/>
          <w:bCs/>
          <w:sz w:val="24"/>
          <w:szCs w:val="24"/>
        </w:rPr>
        <w:t>Haemoglobin</w:t>
      </w:r>
      <w:proofErr w:type="spellEnd"/>
      <w:r>
        <w:rPr>
          <w:rFonts w:ascii="Times New Roman" w:hAnsi="Times New Roman"/>
          <w:bCs/>
          <w:sz w:val="24"/>
          <w:szCs w:val="24"/>
        </w:rPr>
        <w:t xml:space="preserve"> (HB). The negative control group recorded the lowest values for all </w:t>
      </w:r>
      <w:proofErr w:type="spellStart"/>
      <w:r>
        <w:rPr>
          <w:rFonts w:ascii="Times New Roman" w:hAnsi="Times New Roman"/>
          <w:bCs/>
          <w:sz w:val="24"/>
          <w:szCs w:val="24"/>
        </w:rPr>
        <w:t>haematological</w:t>
      </w:r>
      <w:proofErr w:type="spellEnd"/>
      <w:r>
        <w:rPr>
          <w:rFonts w:ascii="Times New Roman" w:hAnsi="Times New Roman"/>
          <w:bCs/>
          <w:sz w:val="24"/>
          <w:szCs w:val="24"/>
        </w:rPr>
        <w:t xml:space="preserve"> parameters measured. WBC count in the negative control was (5.2 ± 0.4 ×10⁹/L), significantly lower (p &lt; 0.05) than the values observed in the treatment groups and normal control. This reduction suggests suppression of immune function following cadmium exposure. Cadmium toxicity may interfere with the production and maturation of leukocytes, thereby reducing the body’s ability to mount an effective immune response. Treatment with </w:t>
      </w:r>
      <w:r>
        <w:rPr>
          <w:rFonts w:ascii="Times New Roman" w:hAnsi="Times New Roman"/>
          <w:bCs/>
          <w:i/>
          <w:sz w:val="24"/>
          <w:szCs w:val="24"/>
        </w:rPr>
        <w:t xml:space="preserve">Pterocarpus </w:t>
      </w:r>
      <w:proofErr w:type="spellStart"/>
      <w:r>
        <w:rPr>
          <w:rFonts w:ascii="Times New Roman" w:hAnsi="Times New Roman"/>
          <w:bCs/>
          <w:i/>
          <w:sz w:val="24"/>
          <w:szCs w:val="24"/>
        </w:rPr>
        <w:t>santalinoides</w:t>
      </w:r>
      <w:proofErr w:type="spellEnd"/>
      <w:r>
        <w:rPr>
          <w:rFonts w:ascii="Times New Roman" w:hAnsi="Times New Roman"/>
          <w:bCs/>
          <w:i/>
          <w:sz w:val="24"/>
          <w:szCs w:val="24"/>
        </w:rPr>
        <w:t xml:space="preserve"> </w:t>
      </w:r>
      <w:r>
        <w:rPr>
          <w:rFonts w:ascii="Times New Roman" w:hAnsi="Times New Roman"/>
          <w:bCs/>
          <w:sz w:val="24"/>
          <w:szCs w:val="24"/>
        </w:rPr>
        <w:t xml:space="preserve">leaf diet resulted in a dose-dependent increase in WBC count. Values increased from (7.8 ± 0.6 ×10⁹/L) in the low-dose group to (8.6 ± 0.7 ×10⁹/L) in the medium-dose group and (9.4 ± 0.8 ×10⁹/L) in the high-dose group. The WBC value recorded in the high-dose </w:t>
      </w:r>
      <w:r>
        <w:rPr>
          <w:rFonts w:ascii="Times New Roman" w:hAnsi="Times New Roman"/>
          <w:bCs/>
          <w:sz w:val="24"/>
          <w:szCs w:val="24"/>
        </w:rPr>
        <w:lastRenderedPageBreak/>
        <w:t xml:space="preserve">group was very close to that of the normal control (9.8 ± 0.8 ×10⁹/L), indicating marked improvement in immune competence following treatment. A similar trend was observed for RBC count. The negative control group had the lowest RBC value (4.8 ± 0.3 ×10¹²/L), indicating that cadmium exposure may have impaired erythropoiesis or increased red cell destruction. Administration of the leaf diet progressively increased RBC counts to (6.1 ± 0.4 ×10¹²/L, 6.8 ± 0.5 ×10¹²/L), and (7.4 ± 0.5 ×10¹²/L) in the low, medium, and high-dose groups, respectively. These values approached the normal control value of (7.7 ± 0.6 ×10¹²/L), suggesting improved red blood cell production and maintenance. Platelet count also showed significant variation among the experimental groups. The negative control group recorded the lowest platelet count (402 ± 24 ×10⁹/L), whereas the normal control group exhibited the highest value (640 ± 36 ×10⁹/L). Administration of </w:t>
      </w:r>
      <w:r>
        <w:rPr>
          <w:rFonts w:ascii="Times New Roman" w:hAnsi="Times New Roman"/>
          <w:bCs/>
          <w:i/>
          <w:sz w:val="24"/>
          <w:szCs w:val="24"/>
        </w:rPr>
        <w:t xml:space="preserve">Pterocarpus </w:t>
      </w:r>
      <w:proofErr w:type="spellStart"/>
      <w:r>
        <w:rPr>
          <w:rFonts w:ascii="Times New Roman" w:hAnsi="Times New Roman"/>
          <w:bCs/>
          <w:i/>
          <w:sz w:val="24"/>
          <w:szCs w:val="24"/>
        </w:rPr>
        <w:t>santalinoides</w:t>
      </w:r>
      <w:proofErr w:type="spellEnd"/>
      <w:r>
        <w:rPr>
          <w:rFonts w:ascii="Times New Roman" w:hAnsi="Times New Roman"/>
          <w:bCs/>
          <w:sz w:val="24"/>
          <w:szCs w:val="24"/>
        </w:rPr>
        <w:t xml:space="preserve"> lead diet increased platelet counts in a dose-dependent manner, with values of (510 ± 28 ×10⁹/L), (566 ± 31 ×10⁹/L, and 618 ± 35 ×10⁹/L) for the low, medium, and high-dose groups, respectively. The packed cell volume (PCV) values followed the same pattern. The negative control group recorded the lowest PCV value (31.8 ± 1.9%), while the normal control group recorded the highest value (47.8 ± 2.9%). Treatment with the leaf diet significantly increased PCV values from (38.6 ± 2.1%) in the low-dose group to (42.4 ± 2.5%) in the medium-dose group and (46.2 ± 2.8%) in the high-dose group. </w:t>
      </w:r>
    </w:p>
    <w:p w14:paraId="3C9E500B" w14:textId="77777777" w:rsidR="001D5755" w:rsidRDefault="00C30A0F" w:rsidP="001D5755">
      <w:pPr>
        <w:spacing w:line="480" w:lineRule="auto"/>
        <w:rPr>
          <w:rFonts w:ascii="Times New Roman" w:hAnsi="Times New Roman"/>
          <w:b/>
          <w:bCs/>
          <w:sz w:val="24"/>
          <w:szCs w:val="24"/>
        </w:rPr>
      </w:pPr>
      <w:r w:rsidRPr="00FB3A86">
        <w:rPr>
          <w:rFonts w:ascii="Arial" w:hAnsi="Arial" w:cs="Arial"/>
        </w:rPr>
        <w:t xml:space="preserve"> </w:t>
      </w:r>
      <w:r w:rsidR="001D5755">
        <w:rPr>
          <w:rFonts w:ascii="Times New Roman" w:hAnsi="Times New Roman"/>
          <w:b/>
          <w:bCs/>
          <w:sz w:val="24"/>
          <w:szCs w:val="24"/>
        </w:rPr>
        <w:t>Discussion</w:t>
      </w:r>
    </w:p>
    <w:p w14:paraId="20717A1C"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Nutritional plants have long been recognized for their dual role as sources of nutrients and bioactive compounds capable of protecting the body against various toxins. Many plant leaves contain phytochemicals such as flavonoids, tannins, phenolic compounds, alkaloids, and vitamins that possess antioxidant and therapeutic properties (</w:t>
      </w:r>
      <w:proofErr w:type="spellStart"/>
      <w:r>
        <w:rPr>
          <w:rFonts w:ascii="Times New Roman" w:hAnsi="Times New Roman"/>
          <w:sz w:val="24"/>
          <w:szCs w:val="24"/>
        </w:rPr>
        <w:t>Akinmoladun</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2007). These bioactive constituents contribute to the prevention of oxidative stress, maintenance of normal physiological functions, and protection against tissue damage caused by environmental pollutants and toxic metals. Consequently, the use of nutritional plants </w:t>
      </w:r>
      <w:r w:rsidR="008B42CA">
        <w:rPr>
          <w:rFonts w:ascii="Times New Roman" w:hAnsi="Times New Roman"/>
          <w:sz w:val="24"/>
          <w:szCs w:val="24"/>
        </w:rPr>
        <w:t>in</w:t>
      </w:r>
      <w:r>
        <w:rPr>
          <w:rFonts w:ascii="Times New Roman" w:hAnsi="Times New Roman"/>
          <w:sz w:val="24"/>
          <w:szCs w:val="24"/>
        </w:rPr>
        <w:t xml:space="preserve"> animal </w:t>
      </w:r>
      <w:r w:rsidR="008B42CA">
        <w:rPr>
          <w:rFonts w:ascii="Times New Roman" w:hAnsi="Times New Roman"/>
          <w:sz w:val="24"/>
          <w:szCs w:val="24"/>
        </w:rPr>
        <w:t>diets</w:t>
      </w:r>
      <w:r>
        <w:rPr>
          <w:rFonts w:ascii="Times New Roman" w:hAnsi="Times New Roman"/>
          <w:sz w:val="24"/>
          <w:szCs w:val="24"/>
        </w:rPr>
        <w:t xml:space="preserve"> has gained considerable attention as a strategy for mitigating toxic effects associated with heavy metal exposure (</w:t>
      </w:r>
      <w:proofErr w:type="spellStart"/>
      <w:r>
        <w:rPr>
          <w:rFonts w:ascii="Times New Roman" w:hAnsi="Times New Roman"/>
          <w:sz w:val="24"/>
          <w:szCs w:val="24"/>
        </w:rPr>
        <w:t>Akinmoladun</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2007). Heavy metals such as cadmium are among the most hazardous environmental contaminants because of their persistence, bioaccumulation, and toxicity. Cadmium has been reported to induce </w:t>
      </w:r>
      <w:r>
        <w:rPr>
          <w:rFonts w:ascii="Times New Roman" w:hAnsi="Times New Roman"/>
          <w:sz w:val="24"/>
          <w:szCs w:val="24"/>
        </w:rPr>
        <w:lastRenderedPageBreak/>
        <w:t xml:space="preserve">oxidative stress, disrupt cellular metabolism, impair organ function, and alter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in both humans and experimental animals (Jaishankar </w:t>
      </w:r>
      <w:r>
        <w:rPr>
          <w:rFonts w:ascii="Times New Roman" w:hAnsi="Times New Roman"/>
          <w:i/>
          <w:sz w:val="24"/>
          <w:szCs w:val="24"/>
        </w:rPr>
        <w:t>et al.,</w:t>
      </w:r>
      <w:r>
        <w:rPr>
          <w:rFonts w:ascii="Times New Roman" w:hAnsi="Times New Roman"/>
          <w:sz w:val="24"/>
          <w:szCs w:val="24"/>
        </w:rPr>
        <w:t xml:space="preserve"> 2014). The kidney is particularly susceptible to cadmium toxicity due to its role in metal accumulation and excretion. In addition, cadmium exposure promotes the generation of reactive oxygen species (ROS), resulting in oxidative damage to cellular components and impairment of antioxidant defense systems (</w:t>
      </w:r>
      <w:proofErr w:type="spellStart"/>
      <w:r>
        <w:rPr>
          <w:rFonts w:ascii="Times New Roman" w:hAnsi="Times New Roman"/>
          <w:sz w:val="24"/>
          <w:szCs w:val="24"/>
        </w:rPr>
        <w:t>Thevenod</w:t>
      </w:r>
      <w:proofErr w:type="spellEnd"/>
      <w:r>
        <w:rPr>
          <w:rFonts w:ascii="Times New Roman" w:hAnsi="Times New Roman"/>
          <w:sz w:val="24"/>
          <w:szCs w:val="24"/>
        </w:rPr>
        <w:t xml:space="preserve">, 2009). The findings of the study therefore provide important insights into the protective potential of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against cadmium-induced biochemical and </w:t>
      </w:r>
      <w:proofErr w:type="spellStart"/>
      <w:r>
        <w:rPr>
          <w:rFonts w:ascii="Times New Roman" w:hAnsi="Times New Roman"/>
          <w:sz w:val="24"/>
          <w:szCs w:val="24"/>
        </w:rPr>
        <w:t>haematological</w:t>
      </w:r>
      <w:proofErr w:type="spellEnd"/>
      <w:r>
        <w:rPr>
          <w:rFonts w:ascii="Times New Roman" w:hAnsi="Times New Roman"/>
          <w:sz w:val="24"/>
          <w:szCs w:val="24"/>
        </w:rPr>
        <w:t xml:space="preserve"> alterations.</w:t>
      </w:r>
    </w:p>
    <w:p w14:paraId="3C663BEB"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The results of the kidney function indices revealed that cadmium exposure significantly elevated serum urea and creatinine concentrations in the negative control group compared to the normal control group. Increased levels of these parameters are classical indicators of renal dysfunction and suggest impairment of glomerular filtration resulting from cadmium-induced nephrotoxicity. This observation agrees with the findings of El-</w:t>
      </w:r>
      <w:proofErr w:type="spellStart"/>
      <w:r>
        <w:rPr>
          <w:rFonts w:ascii="Times New Roman" w:hAnsi="Times New Roman"/>
          <w:sz w:val="24"/>
          <w:szCs w:val="24"/>
        </w:rPr>
        <w:t>Demerdash</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(2004) who reported significant increases in serum urea and creatinine levels following cadmium exposure in experimental animals. Similarly, </w:t>
      </w:r>
      <w:proofErr w:type="spellStart"/>
      <w:r>
        <w:rPr>
          <w:rFonts w:ascii="Times New Roman" w:hAnsi="Times New Roman"/>
          <w:sz w:val="24"/>
          <w:szCs w:val="24"/>
        </w:rPr>
        <w:t>Renugadevi</w:t>
      </w:r>
      <w:proofErr w:type="spellEnd"/>
      <w:r>
        <w:rPr>
          <w:rFonts w:ascii="Times New Roman" w:hAnsi="Times New Roman"/>
          <w:sz w:val="24"/>
          <w:szCs w:val="24"/>
        </w:rPr>
        <w:t xml:space="preserve"> &amp; Prabu (2010), observed that cadmium administration caused marked renal damage accompanied by elevated urea and creatinine concentrations. Dietary supplementation with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i/>
          <w:sz w:val="24"/>
          <w:szCs w:val="24"/>
        </w:rPr>
        <w:t xml:space="preserve"> </w:t>
      </w:r>
      <w:r>
        <w:rPr>
          <w:rFonts w:ascii="Times New Roman" w:hAnsi="Times New Roman"/>
          <w:sz w:val="24"/>
          <w:szCs w:val="24"/>
        </w:rPr>
        <w:t xml:space="preserve">leaves significantly reduced serum urea (LD 6.10 ± 0.42, MD 5.24 ± 0.38, HD 4.42 ± 0.31) and creatinine levels (LD 0.88 ± 0.06, MD 0.74 ± 0.05, HD 0.61 ± 0.04) in a dose-dependent manner. The progressive decline observed from the low-dose to the high-dose groups suggests an improvement in kidney function and a reduction in cadmium-induced renal injury. The values recorded in the high-dose group approached those of the normal control, indicating substantial restoration of renal integrity. This protective effect may be attributed to the presence of antioxidant phytochemicals capable of scavenging free radicals and preventing oxidative damage to renal tissues. The findings are in line with the reports of Olagunju </w:t>
      </w:r>
      <w:r>
        <w:rPr>
          <w:rFonts w:ascii="Times New Roman" w:hAnsi="Times New Roman"/>
          <w:i/>
          <w:sz w:val="24"/>
          <w:szCs w:val="24"/>
        </w:rPr>
        <w:t>et al.,</w:t>
      </w:r>
      <w:r>
        <w:rPr>
          <w:rFonts w:ascii="Times New Roman" w:hAnsi="Times New Roman"/>
          <w:sz w:val="24"/>
          <w:szCs w:val="24"/>
        </w:rPr>
        <w:t xml:space="preserve"> (2017), who demonstrated that plant-based diets rich in antioxidant compounds improved renal function in toxicant-exposed animals.</w:t>
      </w:r>
    </w:p>
    <w:p w14:paraId="3915859B"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 xml:space="preserve">The antioxidant enzyme results showed that cadmium exposure significantly reduced the activities of superoxide dismutase (SOD) and catalase in the negative control group. This reduction indicates depletion of </w:t>
      </w:r>
      <w:r>
        <w:rPr>
          <w:rFonts w:ascii="Times New Roman" w:hAnsi="Times New Roman"/>
          <w:sz w:val="24"/>
          <w:szCs w:val="24"/>
        </w:rPr>
        <w:lastRenderedPageBreak/>
        <w:t xml:space="preserve">endogenous antioxidant defenses due to excessive generation of reactive oxygen species. SOD and catalase constitute major components of the cellular antioxidant system and play crucial roles in neutralizing free radicals and preventing oxidative injury (Halliwell &amp; Gutteridge, 2015). The observed decrease in antioxidant enzyme activities is therefore indicative of severe oxidative stress induced by cadmium toxicity. The administration of </w:t>
      </w:r>
      <w:proofErr w:type="spellStart"/>
      <w:r>
        <w:rPr>
          <w:rFonts w:ascii="Times New Roman" w:hAnsi="Times New Roman"/>
          <w:i/>
          <w:sz w:val="24"/>
          <w:szCs w:val="24"/>
        </w:rPr>
        <w:t>pterocarpus</w:t>
      </w:r>
      <w:proofErr w:type="spellEnd"/>
      <w:r>
        <w:rPr>
          <w:rFonts w:ascii="Times New Roman" w:hAnsi="Times New Roman"/>
          <w:i/>
          <w:sz w:val="24"/>
          <w:szCs w:val="24"/>
        </w:rPr>
        <w:t xml:space="preserve"> </w:t>
      </w:r>
      <w:proofErr w:type="spellStart"/>
      <w:r>
        <w:rPr>
          <w:rFonts w:ascii="Times New Roman" w:hAnsi="Times New Roman"/>
          <w:i/>
          <w:sz w:val="24"/>
          <w:szCs w:val="24"/>
        </w:rPr>
        <w:t>santalinoides</w:t>
      </w:r>
      <w:proofErr w:type="spellEnd"/>
      <w:r>
        <w:rPr>
          <w:rFonts w:ascii="Times New Roman" w:hAnsi="Times New Roman"/>
          <w:i/>
          <w:sz w:val="24"/>
          <w:szCs w:val="24"/>
        </w:rPr>
        <w:t xml:space="preserve"> </w:t>
      </w:r>
      <w:r>
        <w:rPr>
          <w:rFonts w:ascii="Times New Roman" w:hAnsi="Times New Roman"/>
          <w:sz w:val="24"/>
          <w:szCs w:val="24"/>
        </w:rPr>
        <w:t xml:space="preserve">leaf diet significantly enhanced SOD and catalase activities in all treated groups, with the highest values recorded in the high-dose group. These findings suggest that the leaf diet strengthened the antioxidant defense system and improved the capacity of the animals to counteract oxidative stress. The restoration of antioxidant enzyme activities observed in the treated groups supports the hypothesis that the leaves contain antioxidant phytochemicals capable of reducing free radical accumulation. Similar findings were reported by Flora </w:t>
      </w:r>
      <w:r>
        <w:rPr>
          <w:rFonts w:ascii="Times New Roman" w:hAnsi="Times New Roman"/>
          <w:i/>
          <w:sz w:val="24"/>
          <w:szCs w:val="24"/>
        </w:rPr>
        <w:t>et al.,</w:t>
      </w:r>
      <w:r>
        <w:rPr>
          <w:rFonts w:ascii="Times New Roman" w:hAnsi="Times New Roman"/>
          <w:sz w:val="24"/>
          <w:szCs w:val="24"/>
        </w:rPr>
        <w:t xml:space="preserve"> (2012), who observed that plant-derived antioxidants effectively restored antioxidant enzyme activities in heavy metal-exposed animals. Likewise, </w:t>
      </w:r>
      <w:proofErr w:type="spellStart"/>
      <w:r>
        <w:rPr>
          <w:rFonts w:ascii="Times New Roman" w:hAnsi="Times New Roman"/>
          <w:sz w:val="24"/>
          <w:szCs w:val="24"/>
        </w:rPr>
        <w:t>Adedara</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(2015), reported significant improvements in antioxidant status following dietary administration of phytochemical-rich plant materials in rats subjected to toxins.</w:t>
      </w:r>
    </w:p>
    <w:p w14:paraId="09B35FFB"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haematological</w:t>
      </w:r>
      <w:proofErr w:type="spellEnd"/>
      <w:r>
        <w:rPr>
          <w:rFonts w:ascii="Times New Roman" w:hAnsi="Times New Roman"/>
          <w:sz w:val="24"/>
          <w:szCs w:val="24"/>
        </w:rPr>
        <w:t xml:space="preserve"> findings demonstrated that cadmium exposure significantly reduced white blood cell count, red blood cell count, platelet count, and packed cell volume in the negative control group. These reductions indicate </w:t>
      </w:r>
      <w:proofErr w:type="spellStart"/>
      <w:r>
        <w:rPr>
          <w:rFonts w:ascii="Times New Roman" w:hAnsi="Times New Roman"/>
          <w:sz w:val="24"/>
          <w:szCs w:val="24"/>
        </w:rPr>
        <w:t>hematotoxic</w:t>
      </w:r>
      <w:proofErr w:type="spellEnd"/>
      <w:r>
        <w:rPr>
          <w:rFonts w:ascii="Times New Roman" w:hAnsi="Times New Roman"/>
          <w:sz w:val="24"/>
          <w:szCs w:val="24"/>
        </w:rPr>
        <w:t xml:space="preserve"> effects of cadmium and suggest suppression of hematopoiesis. Cadmium has been reported to interfere with erythrocyte production, induce membrane damage, and disrupt normal blood cell formation, resulting in anemia and immunosuppression (Patra </w:t>
      </w:r>
      <w:r>
        <w:rPr>
          <w:rFonts w:ascii="Times New Roman" w:hAnsi="Times New Roman"/>
          <w:i/>
          <w:sz w:val="24"/>
          <w:szCs w:val="24"/>
        </w:rPr>
        <w:t>et al.,</w:t>
      </w:r>
      <w:r>
        <w:rPr>
          <w:rFonts w:ascii="Times New Roman" w:hAnsi="Times New Roman"/>
          <w:sz w:val="24"/>
          <w:szCs w:val="24"/>
        </w:rPr>
        <w:t xml:space="preserve"> 2011). The low values recorded in the negative control group therefore reflect the detrimental effects of cadmium on blood physiology. Dietary inclusion of </w:t>
      </w:r>
      <w:proofErr w:type="spellStart"/>
      <w:r>
        <w:rPr>
          <w:rFonts w:ascii="Times New Roman" w:hAnsi="Times New Roman"/>
          <w:i/>
          <w:sz w:val="24"/>
          <w:szCs w:val="24"/>
        </w:rPr>
        <w:t>pterocarpus</w:t>
      </w:r>
      <w:proofErr w:type="spellEnd"/>
      <w:r>
        <w:rPr>
          <w:rFonts w:ascii="Times New Roman" w:hAnsi="Times New Roman"/>
          <w:i/>
          <w:sz w:val="24"/>
          <w:szCs w:val="24"/>
        </w:rPr>
        <w:t xml:space="preserve">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leaves significantly improved all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measured. White blood cell counts increased progressively with increasing dietary levels of the leaves, indicating enhanced immune competence. The observed increase may be associated with improved leukocyte production and reduced oxidative damage to immune cells. Similar observations were reported by Valko </w:t>
      </w:r>
      <w:r>
        <w:rPr>
          <w:rFonts w:ascii="Times New Roman" w:hAnsi="Times New Roman"/>
          <w:i/>
          <w:sz w:val="24"/>
          <w:szCs w:val="24"/>
        </w:rPr>
        <w:t>et al.,</w:t>
      </w:r>
      <w:r>
        <w:rPr>
          <w:rFonts w:ascii="Times New Roman" w:hAnsi="Times New Roman"/>
          <w:sz w:val="24"/>
          <w:szCs w:val="24"/>
        </w:rPr>
        <w:t xml:space="preserve"> (2006), who found that phytochemical-rich plant diets enhanced immune-related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in experimental animals exposed to toxic substances. The increase in red blood cell count and packed cell volume observed in the treated groups suggests </w:t>
      </w:r>
      <w:r>
        <w:rPr>
          <w:rFonts w:ascii="Times New Roman" w:hAnsi="Times New Roman"/>
          <w:sz w:val="24"/>
          <w:szCs w:val="24"/>
        </w:rPr>
        <w:lastRenderedPageBreak/>
        <w:t xml:space="preserve">improved erythropoietic activity and enhanced oxygen-carrying capacity of the blood. These findings indicate that the leaf diet may have contributed to the protection of erythrocytes from oxidative destruction while supporting red blood cell synthesis. The results are in agreement with those of Yuan </w:t>
      </w:r>
      <w:r>
        <w:rPr>
          <w:rFonts w:ascii="Times New Roman" w:hAnsi="Times New Roman"/>
          <w:i/>
          <w:sz w:val="24"/>
          <w:szCs w:val="24"/>
        </w:rPr>
        <w:t>et al.,</w:t>
      </w:r>
      <w:r>
        <w:rPr>
          <w:rFonts w:ascii="Times New Roman" w:hAnsi="Times New Roman"/>
          <w:sz w:val="24"/>
          <w:szCs w:val="24"/>
        </w:rPr>
        <w:t xml:space="preserve"> (2014), who reported improvements in erythrocytic indices following dietary administration of medicinal plant leaves in laboratory animals. Similarly, platelet counts increased significantly in the treated groups compared with the negative control group. Since platelets are essential for blood clotting and vascular integrity, the observed increase indicates recovery from cadmium-induced </w:t>
      </w:r>
      <w:proofErr w:type="spellStart"/>
      <w:r>
        <w:rPr>
          <w:rFonts w:ascii="Times New Roman" w:hAnsi="Times New Roman"/>
          <w:sz w:val="24"/>
          <w:szCs w:val="24"/>
        </w:rPr>
        <w:t>haematological</w:t>
      </w:r>
      <w:proofErr w:type="spellEnd"/>
      <w:r>
        <w:rPr>
          <w:rFonts w:ascii="Times New Roman" w:hAnsi="Times New Roman"/>
          <w:sz w:val="24"/>
          <w:szCs w:val="24"/>
        </w:rPr>
        <w:t xml:space="preserve"> suppression. The restoration of platelet levels further supports the protective role of </w:t>
      </w:r>
      <w:proofErr w:type="spellStart"/>
      <w:r>
        <w:rPr>
          <w:rFonts w:ascii="Times New Roman" w:hAnsi="Times New Roman"/>
          <w:i/>
          <w:sz w:val="24"/>
          <w:szCs w:val="24"/>
        </w:rPr>
        <w:t>pterocarpus</w:t>
      </w:r>
      <w:proofErr w:type="spellEnd"/>
      <w:r>
        <w:rPr>
          <w:rFonts w:ascii="Times New Roman" w:hAnsi="Times New Roman"/>
          <w:i/>
          <w:sz w:val="24"/>
          <w:szCs w:val="24"/>
        </w:rPr>
        <w:t xml:space="preserve">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diet in maintaining normal hematopoietic functions. Comparable findings have been reported in studies evaluating the protective effects of medicinal plants against heavy metal toxicity, where plant-derived antioxidants were found to improve platelet production and overall blood health (Valko </w:t>
      </w:r>
      <w:r>
        <w:rPr>
          <w:rFonts w:ascii="Times New Roman" w:hAnsi="Times New Roman"/>
          <w:i/>
          <w:sz w:val="24"/>
          <w:szCs w:val="24"/>
        </w:rPr>
        <w:t>et al.,</w:t>
      </w:r>
      <w:r>
        <w:rPr>
          <w:rFonts w:ascii="Times New Roman" w:hAnsi="Times New Roman"/>
          <w:sz w:val="24"/>
          <w:szCs w:val="24"/>
        </w:rPr>
        <w:t xml:space="preserve"> 2006).</w:t>
      </w:r>
    </w:p>
    <w:p w14:paraId="4175DD66" w14:textId="77777777" w:rsid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dose-dependent improvements observed in kidney function indices, antioxidant enzyme activities, and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suggest that increasing dietary levels of </w:t>
      </w:r>
      <w:proofErr w:type="spellStart"/>
      <w:r>
        <w:rPr>
          <w:rFonts w:ascii="Times New Roman" w:hAnsi="Times New Roman"/>
          <w:i/>
          <w:sz w:val="24"/>
          <w:szCs w:val="24"/>
        </w:rPr>
        <w:t>pterocarpus</w:t>
      </w:r>
      <w:proofErr w:type="spellEnd"/>
      <w:r>
        <w:rPr>
          <w:rFonts w:ascii="Times New Roman" w:hAnsi="Times New Roman"/>
          <w:i/>
          <w:sz w:val="24"/>
          <w:szCs w:val="24"/>
        </w:rPr>
        <w:t xml:space="preserve">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leaves enhanced the protective response against cadmium toxicity. The high-dose group consistently exhibited values closest to those of the normal control group, indicating a greater capacity of the leaf diet to ameliorate cadmium-induced biochemical and </w:t>
      </w:r>
      <w:proofErr w:type="spellStart"/>
      <w:r>
        <w:rPr>
          <w:rFonts w:ascii="Times New Roman" w:hAnsi="Times New Roman"/>
          <w:sz w:val="24"/>
          <w:szCs w:val="24"/>
        </w:rPr>
        <w:t>haematological</w:t>
      </w:r>
      <w:proofErr w:type="spellEnd"/>
      <w:r>
        <w:rPr>
          <w:rFonts w:ascii="Times New Roman" w:hAnsi="Times New Roman"/>
          <w:sz w:val="24"/>
          <w:szCs w:val="24"/>
        </w:rPr>
        <w:t xml:space="preserve"> disturbances. These findings support the growing body of evidence that nutritionally and phytochemically rich plant leaves can serve as effective dietary interventions against heavy metal-induced toxicity</w:t>
      </w:r>
      <w:r>
        <w:rPr>
          <w:sz w:val="24"/>
          <w:szCs w:val="24"/>
        </w:rPr>
        <w:t xml:space="preserve">. </w:t>
      </w:r>
    </w:p>
    <w:p w14:paraId="61BB7B41" w14:textId="77777777" w:rsidR="00790ADA" w:rsidRPr="001D5755" w:rsidRDefault="001D5755" w:rsidP="001D5755">
      <w:pPr>
        <w:spacing w:line="480" w:lineRule="auto"/>
        <w:jc w:val="both"/>
        <w:rPr>
          <w:rFonts w:ascii="Times New Roman" w:hAnsi="Times New Roman"/>
          <w:sz w:val="24"/>
          <w:szCs w:val="24"/>
        </w:rPr>
      </w:pPr>
      <w:r>
        <w:rPr>
          <w:rFonts w:ascii="Times New Roman" w:hAnsi="Times New Roman"/>
          <w:sz w:val="24"/>
          <w:szCs w:val="24"/>
        </w:rPr>
        <w:t xml:space="preserve">The increase in </w:t>
      </w:r>
      <w:proofErr w:type="spellStart"/>
      <w:r>
        <w:rPr>
          <w:rFonts w:ascii="Times New Roman" w:hAnsi="Times New Roman"/>
          <w:sz w:val="24"/>
          <w:szCs w:val="24"/>
        </w:rPr>
        <w:t>haemoglobin</w:t>
      </w:r>
      <w:proofErr w:type="spellEnd"/>
      <w:r>
        <w:rPr>
          <w:rFonts w:ascii="Times New Roman" w:hAnsi="Times New Roman"/>
          <w:sz w:val="24"/>
          <w:szCs w:val="24"/>
        </w:rPr>
        <w:t xml:space="preserve"> concentration observed with </w:t>
      </w:r>
      <w:r>
        <w:rPr>
          <w:rFonts w:ascii="Times New Roman" w:hAnsi="Times New Roman"/>
          <w:bCs/>
          <w:i/>
          <w:iCs/>
          <w:sz w:val="24"/>
          <w:szCs w:val="24"/>
        </w:rPr>
        <w:t xml:space="preserve">Pterocarpus </w:t>
      </w:r>
      <w:proofErr w:type="spellStart"/>
      <w:r>
        <w:rPr>
          <w:rFonts w:ascii="Times New Roman" w:hAnsi="Times New Roman"/>
          <w:bCs/>
          <w:i/>
          <w:iCs/>
          <w:sz w:val="24"/>
          <w:szCs w:val="24"/>
        </w:rPr>
        <w:t>santalinoides</w:t>
      </w:r>
      <w:proofErr w:type="spellEnd"/>
      <w:r>
        <w:rPr>
          <w:rFonts w:ascii="Times New Roman" w:hAnsi="Times New Roman"/>
          <w:b/>
          <w:bCs/>
          <w:i/>
          <w:iCs/>
          <w:sz w:val="24"/>
          <w:szCs w:val="24"/>
        </w:rPr>
        <w:t xml:space="preserve"> </w:t>
      </w:r>
      <w:r>
        <w:rPr>
          <w:rFonts w:ascii="Times New Roman" w:hAnsi="Times New Roman"/>
          <w:bCs/>
          <w:iCs/>
          <w:sz w:val="24"/>
          <w:szCs w:val="24"/>
        </w:rPr>
        <w:t xml:space="preserve">leaf diet suggest an improvement in erythrocyte function in the cadmium exposed rats. The low negative control (10.5 </w:t>
      </w:r>
      <w:r>
        <w:rPr>
          <w:rFonts w:ascii="Times New Roman" w:hAnsi="Times New Roman"/>
          <w:sz w:val="24"/>
          <w:szCs w:val="24"/>
        </w:rPr>
        <w:t>± 0.6 g/dl</w:t>
      </w:r>
      <w:r>
        <w:rPr>
          <w:rFonts w:ascii="Times New Roman" w:hAnsi="Times New Roman"/>
          <w:bCs/>
          <w:iCs/>
          <w:sz w:val="24"/>
          <w:szCs w:val="24"/>
        </w:rPr>
        <w:t xml:space="preserve">) may indicate increase electrolyte damage. IN contrast the progressive increase in </w:t>
      </w:r>
      <w:proofErr w:type="spellStart"/>
      <w:r>
        <w:rPr>
          <w:rFonts w:ascii="Times New Roman" w:hAnsi="Times New Roman"/>
          <w:bCs/>
          <w:iCs/>
          <w:sz w:val="24"/>
          <w:szCs w:val="24"/>
        </w:rPr>
        <w:t>haemoglobin</w:t>
      </w:r>
      <w:proofErr w:type="spellEnd"/>
      <w:r>
        <w:rPr>
          <w:rFonts w:ascii="Times New Roman" w:hAnsi="Times New Roman"/>
          <w:bCs/>
          <w:iCs/>
          <w:sz w:val="24"/>
          <w:szCs w:val="24"/>
        </w:rPr>
        <w:t xml:space="preserve"> </w:t>
      </w:r>
      <w:proofErr w:type="gramStart"/>
      <w:r>
        <w:rPr>
          <w:rFonts w:ascii="Times New Roman" w:hAnsi="Times New Roman"/>
          <w:bCs/>
          <w:iCs/>
          <w:sz w:val="24"/>
          <w:szCs w:val="24"/>
        </w:rPr>
        <w:t>suggest</w:t>
      </w:r>
      <w:proofErr w:type="gramEnd"/>
      <w:r>
        <w:rPr>
          <w:rFonts w:ascii="Times New Roman" w:hAnsi="Times New Roman"/>
          <w:bCs/>
          <w:iCs/>
          <w:sz w:val="24"/>
          <w:szCs w:val="24"/>
        </w:rPr>
        <w:t xml:space="preserve"> a dose-delated improvement. Cadmium exposed has been associated with disturbances in erythrocyte integrity and </w:t>
      </w:r>
      <w:proofErr w:type="spellStart"/>
      <w:r>
        <w:rPr>
          <w:rFonts w:ascii="Times New Roman" w:hAnsi="Times New Roman"/>
          <w:bCs/>
          <w:iCs/>
          <w:sz w:val="24"/>
          <w:szCs w:val="24"/>
        </w:rPr>
        <w:t>haem</w:t>
      </w:r>
      <w:proofErr w:type="spellEnd"/>
      <w:r>
        <w:rPr>
          <w:rFonts w:ascii="Times New Roman" w:hAnsi="Times New Roman"/>
          <w:bCs/>
          <w:iCs/>
          <w:sz w:val="24"/>
          <w:szCs w:val="24"/>
        </w:rPr>
        <w:t xml:space="preserve"> synthesis, while plant derived bioactive compound may help mitigate oxidative damage and support normal </w:t>
      </w:r>
      <w:proofErr w:type="spellStart"/>
      <w:r>
        <w:rPr>
          <w:rFonts w:ascii="Times New Roman" w:hAnsi="Times New Roman"/>
          <w:bCs/>
          <w:iCs/>
          <w:sz w:val="24"/>
          <w:szCs w:val="24"/>
        </w:rPr>
        <w:t>haematological</w:t>
      </w:r>
      <w:proofErr w:type="spellEnd"/>
      <w:r>
        <w:rPr>
          <w:rFonts w:ascii="Times New Roman" w:hAnsi="Times New Roman"/>
          <w:bCs/>
          <w:iCs/>
          <w:sz w:val="24"/>
          <w:szCs w:val="24"/>
        </w:rPr>
        <w:t xml:space="preserve"> function (Genchi </w:t>
      </w:r>
      <w:r>
        <w:rPr>
          <w:rFonts w:ascii="Times New Roman" w:hAnsi="Times New Roman"/>
          <w:bCs/>
          <w:i/>
          <w:iCs/>
          <w:sz w:val="24"/>
          <w:szCs w:val="24"/>
        </w:rPr>
        <w:t>et al</w:t>
      </w:r>
      <w:r>
        <w:rPr>
          <w:rFonts w:ascii="Times New Roman" w:hAnsi="Times New Roman"/>
          <w:bCs/>
          <w:iCs/>
          <w:sz w:val="24"/>
          <w:szCs w:val="24"/>
        </w:rPr>
        <w:t xml:space="preserve">., 2020; </w:t>
      </w:r>
      <w:proofErr w:type="spellStart"/>
      <w:r>
        <w:rPr>
          <w:rFonts w:ascii="Times New Roman" w:hAnsi="Times New Roman"/>
          <w:bCs/>
          <w:iCs/>
          <w:sz w:val="24"/>
          <w:szCs w:val="24"/>
        </w:rPr>
        <w:t>Thevenode</w:t>
      </w:r>
      <w:proofErr w:type="spellEnd"/>
      <w:r>
        <w:rPr>
          <w:rFonts w:ascii="Times New Roman" w:hAnsi="Times New Roman"/>
          <w:bCs/>
          <w:iCs/>
          <w:sz w:val="24"/>
          <w:szCs w:val="24"/>
        </w:rPr>
        <w:t xml:space="preserve"> &amp; Lee, 2013).</w:t>
      </w:r>
    </w:p>
    <w:p w14:paraId="70744759" w14:textId="77777777" w:rsidR="00B01FCD" w:rsidRDefault="00B01FCD" w:rsidP="00441B6F">
      <w:pPr>
        <w:pStyle w:val="ConcHead"/>
        <w:spacing w:after="0"/>
        <w:jc w:val="both"/>
        <w:rPr>
          <w:rFonts w:ascii="Arial" w:hAnsi="Arial" w:cs="Arial"/>
        </w:rPr>
      </w:pPr>
      <w:r w:rsidRPr="00FB3A86">
        <w:rPr>
          <w:rFonts w:ascii="Arial" w:hAnsi="Arial" w:cs="Arial"/>
        </w:rPr>
        <w:lastRenderedPageBreak/>
        <w:t>Conclusion</w:t>
      </w:r>
    </w:p>
    <w:p w14:paraId="37E22043" w14:textId="77777777" w:rsidR="00790ADA" w:rsidRPr="00FB3A86" w:rsidRDefault="00790ADA" w:rsidP="00441B6F">
      <w:pPr>
        <w:pStyle w:val="ConcHead"/>
        <w:spacing w:after="0"/>
        <w:jc w:val="both"/>
        <w:rPr>
          <w:rFonts w:ascii="Arial" w:hAnsi="Arial" w:cs="Arial"/>
        </w:rPr>
      </w:pPr>
    </w:p>
    <w:p w14:paraId="78FC78C9" w14:textId="77777777" w:rsidR="008B42CA" w:rsidRDefault="008B42CA" w:rsidP="008B42CA">
      <w:pPr>
        <w:spacing w:line="480" w:lineRule="auto"/>
        <w:ind w:firstLine="720"/>
        <w:jc w:val="both"/>
        <w:rPr>
          <w:rFonts w:ascii="Times New Roman" w:hAnsi="Times New Roman"/>
          <w:sz w:val="24"/>
          <w:szCs w:val="24"/>
        </w:rPr>
      </w:pPr>
      <w:r>
        <w:rPr>
          <w:rFonts w:ascii="Times New Roman" w:hAnsi="Times New Roman"/>
          <w:sz w:val="24"/>
          <w:szCs w:val="24"/>
        </w:rPr>
        <w:t xml:space="preserve">Dietary supplementation with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significantly improved these </w:t>
      </w:r>
      <w:proofErr w:type="spellStart"/>
      <w:r>
        <w:rPr>
          <w:rFonts w:ascii="Times New Roman" w:hAnsi="Times New Roman"/>
          <w:sz w:val="24"/>
          <w:szCs w:val="24"/>
        </w:rPr>
        <w:t>haematological</w:t>
      </w:r>
      <w:proofErr w:type="spellEnd"/>
      <w:r>
        <w:rPr>
          <w:rFonts w:ascii="Times New Roman" w:hAnsi="Times New Roman"/>
          <w:sz w:val="24"/>
          <w:szCs w:val="24"/>
        </w:rPr>
        <w:t xml:space="preserve"> indices, suggesting enhanced blood cell production, improved immune competence, and restoration of normal </w:t>
      </w:r>
      <w:proofErr w:type="spellStart"/>
      <w:r>
        <w:rPr>
          <w:rFonts w:ascii="Times New Roman" w:hAnsi="Times New Roman"/>
          <w:sz w:val="24"/>
          <w:szCs w:val="24"/>
        </w:rPr>
        <w:t>haematological</w:t>
      </w:r>
      <w:proofErr w:type="spellEnd"/>
      <w:r>
        <w:rPr>
          <w:rFonts w:ascii="Times New Roman" w:hAnsi="Times New Roman"/>
          <w:sz w:val="24"/>
          <w:szCs w:val="24"/>
        </w:rPr>
        <w:t xml:space="preserve"> functions. The progressive improvements observed with increasing levels of dietary inclusion further indicate a dose-dependent protective effect of the plant. More so, the findings of this study demonstrate that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possess significant protective properties against cadmium-induced biochemical and </w:t>
      </w:r>
      <w:proofErr w:type="spellStart"/>
      <w:r>
        <w:rPr>
          <w:rFonts w:ascii="Times New Roman" w:hAnsi="Times New Roman"/>
          <w:sz w:val="24"/>
          <w:szCs w:val="24"/>
        </w:rPr>
        <w:t>haematological</w:t>
      </w:r>
      <w:proofErr w:type="spellEnd"/>
      <w:r>
        <w:rPr>
          <w:rFonts w:ascii="Times New Roman" w:hAnsi="Times New Roman"/>
          <w:sz w:val="24"/>
          <w:szCs w:val="24"/>
        </w:rPr>
        <w:t xml:space="preserve"> alterations. The observed improvements in kidney function, antioxidant status, and </w:t>
      </w:r>
      <w:proofErr w:type="spellStart"/>
      <w:r>
        <w:rPr>
          <w:rFonts w:ascii="Times New Roman" w:hAnsi="Times New Roman"/>
          <w:sz w:val="24"/>
          <w:szCs w:val="24"/>
        </w:rPr>
        <w:t>haematological</w:t>
      </w:r>
      <w:proofErr w:type="spellEnd"/>
      <w:r>
        <w:rPr>
          <w:rFonts w:ascii="Times New Roman" w:hAnsi="Times New Roman"/>
          <w:sz w:val="24"/>
          <w:szCs w:val="24"/>
        </w:rPr>
        <w:t xml:space="preserve"> parameters suggest that the leaf diet can effectively ameliorate the toxic effects associated with cadmium exposure. These enhanced effects may be attributed to the rich phytochemical composition of the plant, which enhances antioxidant defenses and supports normal physiological processes. Therefore, the study establishes that dietary incorporation of </w:t>
      </w:r>
      <w:r>
        <w:rPr>
          <w:rFonts w:ascii="Times New Roman" w:hAnsi="Times New Roman"/>
          <w:i/>
          <w:sz w:val="24"/>
          <w:szCs w:val="24"/>
        </w:rPr>
        <w:t xml:space="preserve">Pterocarpus </w:t>
      </w:r>
      <w:proofErr w:type="spellStart"/>
      <w:r>
        <w:rPr>
          <w:rFonts w:ascii="Times New Roman" w:hAnsi="Times New Roman"/>
          <w:i/>
          <w:sz w:val="24"/>
          <w:szCs w:val="24"/>
        </w:rPr>
        <w:t>santalinoides</w:t>
      </w:r>
      <w:proofErr w:type="spellEnd"/>
      <w:r>
        <w:rPr>
          <w:rFonts w:ascii="Times New Roman" w:hAnsi="Times New Roman"/>
          <w:sz w:val="24"/>
          <w:szCs w:val="24"/>
        </w:rPr>
        <w:t xml:space="preserve"> leaf has considerable potential as a natural nutritional intervention for reducing the adverse effects of cadmium toxicity and promoting overall health. Also, the plant may serve as a valuable source of bioactive compounds capable of protecting biological systems against oxidative stress and heavy metal-induced damage.</w:t>
      </w:r>
    </w:p>
    <w:p w14:paraId="1EFFE16C"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5977ADF2" w14:textId="77777777" w:rsidR="008B42CA" w:rsidRDefault="008B42CA" w:rsidP="008B42CA">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1FA77A70" w14:textId="77777777" w:rsidR="00863101" w:rsidRDefault="00863101" w:rsidP="00441B6F">
      <w:pPr>
        <w:pStyle w:val="ReferHead"/>
        <w:spacing w:after="0"/>
        <w:jc w:val="both"/>
        <w:rPr>
          <w:rFonts w:ascii="Arial" w:hAnsi="Arial" w:cs="Arial"/>
          <w:b w:val="0"/>
          <w:caps w:val="0"/>
          <w:sz w:val="20"/>
        </w:rPr>
      </w:pPr>
    </w:p>
    <w:p w14:paraId="1525050E" w14:textId="77777777" w:rsidR="00863101" w:rsidRDefault="00863101" w:rsidP="00441B6F">
      <w:pPr>
        <w:pStyle w:val="ReferHead"/>
        <w:spacing w:after="0"/>
        <w:jc w:val="both"/>
        <w:rPr>
          <w:rFonts w:ascii="Arial" w:hAnsi="Arial" w:cs="Arial"/>
          <w:b w:val="0"/>
          <w:caps w:val="0"/>
          <w:sz w:val="20"/>
        </w:rPr>
      </w:pPr>
    </w:p>
    <w:p w14:paraId="39DDA845" w14:textId="77777777" w:rsidR="00863101" w:rsidRDefault="00863101" w:rsidP="00863101">
      <w:pPr>
        <w:rPr>
          <w:rFonts w:ascii="Times New Roman" w:hAnsi="Times New Roman"/>
          <w:b/>
        </w:rPr>
      </w:pPr>
      <w:r w:rsidRPr="000839CE">
        <w:rPr>
          <w:rFonts w:ascii="Times New Roman" w:hAnsi="Times New Roman"/>
          <w:b/>
        </w:rPr>
        <w:t>Declaration of AI Use</w:t>
      </w:r>
    </w:p>
    <w:p w14:paraId="078D1FF5" w14:textId="77777777" w:rsidR="00863101" w:rsidRDefault="00863101" w:rsidP="00863101">
      <w:pPr>
        <w:rPr>
          <w:rFonts w:ascii="Times New Roman" w:hAnsi="Times New Roman"/>
          <w:b/>
        </w:rPr>
      </w:pPr>
    </w:p>
    <w:p w14:paraId="4C0FB905" w14:textId="77777777" w:rsidR="00863101" w:rsidRDefault="00863101" w:rsidP="00863101">
      <w:pPr>
        <w:rPr>
          <w:rFonts w:ascii="Times New Roman" w:hAnsi="Times New Roman"/>
          <w:b/>
        </w:rPr>
      </w:pPr>
    </w:p>
    <w:p w14:paraId="1239C571" w14:textId="77777777" w:rsidR="00863101" w:rsidRDefault="00863101" w:rsidP="00863101">
      <w:pPr>
        <w:rPr>
          <w:rFonts w:ascii="Times New Roman" w:hAnsi="Times New Roman"/>
          <w:b/>
        </w:rPr>
      </w:pPr>
    </w:p>
    <w:p w14:paraId="4D58449C" w14:textId="77777777" w:rsidR="00863101" w:rsidRPr="002D08AC" w:rsidRDefault="00863101" w:rsidP="0086310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5BBDB7" w14:textId="77777777" w:rsidR="00863101" w:rsidRDefault="00863101" w:rsidP="00441B6F">
      <w:pPr>
        <w:pStyle w:val="ReferHead"/>
        <w:spacing w:after="0"/>
        <w:jc w:val="both"/>
        <w:rPr>
          <w:rFonts w:ascii="Arial" w:hAnsi="Arial" w:cs="Arial"/>
        </w:rPr>
      </w:pPr>
    </w:p>
    <w:p w14:paraId="58446921"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53820236" w14:textId="77777777" w:rsidR="00151356" w:rsidRDefault="00151356" w:rsidP="00151356">
      <w:pPr>
        <w:pStyle w:val="Body"/>
      </w:pPr>
      <w:proofErr w:type="spellStart"/>
      <w:r>
        <w:t>Adedara</w:t>
      </w:r>
      <w:proofErr w:type="spellEnd"/>
      <w:r>
        <w:t xml:space="preserve">, I. A., Awogbindin, I. O., </w:t>
      </w:r>
      <w:proofErr w:type="spellStart"/>
      <w:r>
        <w:t>Anamelechi</w:t>
      </w:r>
      <w:proofErr w:type="spellEnd"/>
      <w:r>
        <w:t xml:space="preserve">, J. P., &amp; </w:t>
      </w:r>
      <w:proofErr w:type="spellStart"/>
      <w:r>
        <w:t>Farombi</w:t>
      </w:r>
      <w:proofErr w:type="spellEnd"/>
      <w:r>
        <w:t xml:space="preserve">, E. O. (2015). </w:t>
      </w:r>
      <w:proofErr w:type="spellStart"/>
      <w:r>
        <w:t>Kolaviron</w:t>
      </w:r>
      <w:proofErr w:type="spellEnd"/>
      <w:r>
        <w:t xml:space="preserve"> protects against benzo[a]pyrene-induced hepatic and testicular oxidative stress in rats. </w:t>
      </w:r>
      <w:proofErr w:type="spellStart"/>
      <w:r>
        <w:t>Andrologia</w:t>
      </w:r>
      <w:proofErr w:type="spellEnd"/>
      <w:r>
        <w:t>, 47(8), 928–935.</w:t>
      </w:r>
    </w:p>
    <w:p w14:paraId="3D9BA8AF" w14:textId="77777777" w:rsidR="00151356" w:rsidRDefault="00151356" w:rsidP="00151356">
      <w:pPr>
        <w:pStyle w:val="Body"/>
      </w:pPr>
      <w:proofErr w:type="spellStart"/>
      <w:r>
        <w:t>Akinmoladun</w:t>
      </w:r>
      <w:proofErr w:type="spellEnd"/>
      <w:r>
        <w:t xml:space="preserve">, A. C., Ibukun, E. O., </w:t>
      </w:r>
      <w:proofErr w:type="spellStart"/>
      <w:r>
        <w:t>Afor</w:t>
      </w:r>
      <w:proofErr w:type="spellEnd"/>
      <w:r>
        <w:t xml:space="preserve">, E., </w:t>
      </w:r>
      <w:proofErr w:type="spellStart"/>
      <w:r>
        <w:t>Obuotor</w:t>
      </w:r>
      <w:proofErr w:type="spellEnd"/>
      <w:r>
        <w:t xml:space="preserve">, E. M., &amp; </w:t>
      </w:r>
      <w:proofErr w:type="spellStart"/>
      <w:r>
        <w:t>Farombi</w:t>
      </w:r>
      <w:proofErr w:type="spellEnd"/>
      <w:r>
        <w:t xml:space="preserve">, E. O. (2007). Phytochemical constituent and antioxidant activity of extract from the leaves of Ocimum </w:t>
      </w:r>
      <w:proofErr w:type="spellStart"/>
      <w:r>
        <w:t>gratissimum</w:t>
      </w:r>
      <w:proofErr w:type="spellEnd"/>
      <w:r>
        <w:t>. Scientific Research and Essay, 2(5), 163–166.</w:t>
      </w:r>
    </w:p>
    <w:p w14:paraId="17A31DF7" w14:textId="77777777" w:rsidR="00151356" w:rsidRDefault="00151356" w:rsidP="00151356">
      <w:pPr>
        <w:pStyle w:val="Body"/>
      </w:pPr>
      <w:r>
        <w:t xml:space="preserve">Cuypers, A., </w:t>
      </w:r>
      <w:proofErr w:type="spellStart"/>
      <w:r>
        <w:t>Plusquin</w:t>
      </w:r>
      <w:proofErr w:type="spellEnd"/>
      <w:r>
        <w:t xml:space="preserve">, M., Remans, T., Jozefczak, M., Keunen, E., Gielen, H., </w:t>
      </w:r>
      <w:proofErr w:type="spellStart"/>
      <w:r>
        <w:t>Opdenakker</w:t>
      </w:r>
      <w:proofErr w:type="spellEnd"/>
      <w:r>
        <w:t xml:space="preserve">, K., Nair, A. R., Munters, E., Artois, T., &amp; Nawrot, T. (2016). Cadmium stress: An oxidative challenge. </w:t>
      </w:r>
      <w:proofErr w:type="spellStart"/>
      <w:r>
        <w:t>BioMetals</w:t>
      </w:r>
      <w:proofErr w:type="spellEnd"/>
      <w:r>
        <w:t>, 29(1), 1–24.</w:t>
      </w:r>
    </w:p>
    <w:p w14:paraId="67C13EC8" w14:textId="77777777" w:rsidR="00151356" w:rsidRDefault="00151356" w:rsidP="00151356">
      <w:pPr>
        <w:pStyle w:val="Body"/>
      </w:pPr>
      <w:proofErr w:type="spellStart"/>
      <w:r>
        <w:t>Ekor</w:t>
      </w:r>
      <w:proofErr w:type="spellEnd"/>
      <w:r>
        <w:t>, M. (2014). The growing use of herbal medicines: Issues relating to adverse reactions and challenges in monitoring safety. Frontiers in Pharmacology, 5, 177.</w:t>
      </w:r>
    </w:p>
    <w:p w14:paraId="7B926561" w14:textId="77777777" w:rsidR="00151356" w:rsidRDefault="00151356" w:rsidP="00151356">
      <w:pPr>
        <w:pStyle w:val="Body"/>
      </w:pPr>
      <w:r>
        <w:lastRenderedPageBreak/>
        <w:t>El-</w:t>
      </w:r>
      <w:proofErr w:type="spellStart"/>
      <w:r>
        <w:t>Boshy</w:t>
      </w:r>
      <w:proofErr w:type="spellEnd"/>
      <w:r>
        <w:t xml:space="preserve">, M., </w:t>
      </w:r>
      <w:proofErr w:type="spellStart"/>
      <w:r>
        <w:t>Ashshi</w:t>
      </w:r>
      <w:proofErr w:type="spellEnd"/>
      <w:r>
        <w:t xml:space="preserve">, A., Gaith, M., </w:t>
      </w:r>
      <w:proofErr w:type="spellStart"/>
      <w:r>
        <w:t>Qusty</w:t>
      </w:r>
      <w:proofErr w:type="spellEnd"/>
      <w:r>
        <w:t xml:space="preserve">, N., Bokhary, T., </w:t>
      </w:r>
      <w:proofErr w:type="spellStart"/>
      <w:r>
        <w:t>AlTaweel</w:t>
      </w:r>
      <w:proofErr w:type="spellEnd"/>
      <w:r>
        <w:t>, N., &amp; Abdelhady, M. (2015). Studies on the protective effect of artichoke (Cynara scolymus) against cadmium toxicity in rats. BMC Complementary and Alternative Medicine, 15, 348.</w:t>
      </w:r>
    </w:p>
    <w:p w14:paraId="3A483B91" w14:textId="77777777" w:rsidR="00151356" w:rsidRDefault="00151356" w:rsidP="00151356">
      <w:pPr>
        <w:pStyle w:val="Body"/>
      </w:pPr>
      <w:r>
        <w:t>El-</w:t>
      </w:r>
      <w:proofErr w:type="spellStart"/>
      <w:r>
        <w:t>Demerdash</w:t>
      </w:r>
      <w:proofErr w:type="spellEnd"/>
      <w:r>
        <w:t xml:space="preserve">, F. M., Yousef, M. I., </w:t>
      </w:r>
      <w:proofErr w:type="spellStart"/>
      <w:r>
        <w:t>Kedwany</w:t>
      </w:r>
      <w:proofErr w:type="spellEnd"/>
      <w:r>
        <w:t>, F. S., &amp; Baghdadi, H. H. (2004). Cadmium-induced changes in lipid peroxidation, blood hematology, biochemical parameters and semen quality of male rats: Protective role of vitamin E and β-carotene. Food and Chemical Toxicology, 42(10), 1563–1571.</w:t>
      </w:r>
    </w:p>
    <w:p w14:paraId="0021F0F0" w14:textId="77777777" w:rsidR="00151356" w:rsidRDefault="00151356" w:rsidP="00151356">
      <w:pPr>
        <w:pStyle w:val="Body"/>
      </w:pPr>
      <w:r>
        <w:t>Flora, S. J. S., Mittal, M., &amp; Mehta, A. (2012). Heavy metal induced oxidative stress and its possible reversal by chelation therapy. Indian Journal of Medical Research, 128(4), 501–523.</w:t>
      </w:r>
    </w:p>
    <w:p w14:paraId="3124D0B3" w14:textId="77777777" w:rsidR="00151356" w:rsidRDefault="00151356" w:rsidP="00151356">
      <w:pPr>
        <w:pStyle w:val="Body"/>
      </w:pPr>
      <w:r>
        <w:t>Genchi, G., Sinicropi, M. S., Lauria, G., Carocci, A., &amp; Catalano, A. (2020). The effects of cadmium toxicity. International Journal of Environmental Research and Public Health, 17(11), 3782.</w:t>
      </w:r>
    </w:p>
    <w:p w14:paraId="6C672EA1" w14:textId="77777777" w:rsidR="00151356" w:rsidRDefault="00151356" w:rsidP="00151356">
      <w:pPr>
        <w:pStyle w:val="Body"/>
      </w:pPr>
      <w:proofErr w:type="spellStart"/>
      <w:r>
        <w:t>Gulcin</w:t>
      </w:r>
      <w:proofErr w:type="spellEnd"/>
      <w:r>
        <w:t>, İ. (2020). Antioxidants and antioxidant methods: An updated overview. Archives of Toxicology, 94(3), 651–715.</w:t>
      </w:r>
    </w:p>
    <w:p w14:paraId="4D74C947" w14:textId="77777777" w:rsidR="00151356" w:rsidRDefault="00151356" w:rsidP="00151356">
      <w:pPr>
        <w:pStyle w:val="Body"/>
      </w:pPr>
      <w:r>
        <w:t>Halliwell, B., &amp; Gutteridge, J. M. C. (2015). Free radicals in biology and medicine (5th ed.). Oxford University Press.</w:t>
      </w:r>
    </w:p>
    <w:p w14:paraId="145A8D20" w14:textId="77777777" w:rsidR="00151356" w:rsidRDefault="00151356" w:rsidP="00151356">
      <w:pPr>
        <w:pStyle w:val="Body"/>
      </w:pPr>
      <w:r>
        <w:t xml:space="preserve">Ighodaro, O. M., &amp; </w:t>
      </w:r>
      <w:proofErr w:type="spellStart"/>
      <w:r>
        <w:t>Akinloye</w:t>
      </w:r>
      <w:proofErr w:type="spellEnd"/>
      <w:r>
        <w:t>, O. A. (2018). First line defense antioxidants—Superoxide dismutase (SOD), catalase (CAT), and glutathione peroxidase (</w:t>
      </w:r>
      <w:proofErr w:type="spellStart"/>
      <w:r>
        <w:t>GPx</w:t>
      </w:r>
      <w:proofErr w:type="spellEnd"/>
      <w:r>
        <w:t>): Their fundamental role in the entire antioxidant defense grid. Alexandria Journal of Medicine, 54(4), 287–293.</w:t>
      </w:r>
    </w:p>
    <w:p w14:paraId="70E4C06A" w14:textId="77777777" w:rsidR="00151356" w:rsidRDefault="00151356" w:rsidP="00151356">
      <w:pPr>
        <w:pStyle w:val="Body"/>
      </w:pPr>
      <w:proofErr w:type="spellStart"/>
      <w:r>
        <w:t>Ihedioha</w:t>
      </w:r>
      <w:proofErr w:type="spellEnd"/>
      <w:r>
        <w:t xml:space="preserve">, T. E., </w:t>
      </w:r>
      <w:proofErr w:type="spellStart"/>
      <w:r>
        <w:t>Asuzu</w:t>
      </w:r>
      <w:proofErr w:type="spellEnd"/>
      <w:r>
        <w:t xml:space="preserve">, I. U., Anaga, A. O., &amp; </w:t>
      </w:r>
      <w:proofErr w:type="spellStart"/>
      <w:r>
        <w:t>Ihedioha</w:t>
      </w:r>
      <w:proofErr w:type="spellEnd"/>
      <w:r>
        <w:t xml:space="preserve">, J. I. (2019). Hepatoprotective and antioxidant activities of Pterocarpus </w:t>
      </w:r>
      <w:proofErr w:type="spellStart"/>
      <w:r>
        <w:t>santalinoides</w:t>
      </w:r>
      <w:proofErr w:type="spellEnd"/>
      <w:r>
        <w:t xml:space="preserve"> methanol leaf extract in carbon tetrachloride-induced hepatotoxicity in rats. Journal of Complementary and Integrative Medicine, 16(4), 1–10.</w:t>
      </w:r>
    </w:p>
    <w:p w14:paraId="12B6A0C4" w14:textId="77777777" w:rsidR="00151356" w:rsidRDefault="00151356" w:rsidP="00151356">
      <w:pPr>
        <w:pStyle w:val="Body"/>
      </w:pPr>
      <w:r>
        <w:t xml:space="preserve">Jaishankar, M., Tseten, T., Anbalagan, N., Mathew, B. B., &amp; </w:t>
      </w:r>
      <w:proofErr w:type="spellStart"/>
      <w:r>
        <w:t>Beeregowda</w:t>
      </w:r>
      <w:proofErr w:type="spellEnd"/>
      <w:r>
        <w:t>, K. N. (2014). Toxicity, mechanism and health effects of some heavy metals. Interdisciplinary Toxicology, 7(2), 60–72.</w:t>
      </w:r>
    </w:p>
    <w:p w14:paraId="0342353B" w14:textId="77777777" w:rsidR="00151356" w:rsidRDefault="00151356" w:rsidP="00151356">
      <w:pPr>
        <w:pStyle w:val="Body"/>
      </w:pPr>
      <w:r>
        <w:t xml:space="preserve">Olagunju, H. T., </w:t>
      </w:r>
      <w:proofErr w:type="spellStart"/>
      <w:r>
        <w:t>Oruambo</w:t>
      </w:r>
      <w:proofErr w:type="spellEnd"/>
      <w:r>
        <w:t>, I. F., Oyelowo, H. O., &amp; Obediah, G. A. (2017). Effects of some selected solvent extracts of avocado pear (</w:t>
      </w:r>
      <w:proofErr w:type="spellStart"/>
      <w:r>
        <w:t>Persea</w:t>
      </w:r>
      <w:proofErr w:type="spellEnd"/>
      <w:r>
        <w:t xml:space="preserve"> americana) on cholesterol/HDL ratio in albino rats. Biochemistry and Analytical Biochemistry, 6(</w:t>
      </w:r>
      <w:proofErr w:type="gramStart"/>
      <w:r>
        <w:t>3)*</w:t>
      </w:r>
      <w:proofErr w:type="gramEnd"/>
      <w:r>
        <w:t>, 1000326.</w:t>
      </w:r>
    </w:p>
    <w:p w14:paraId="1E00CA7D" w14:textId="77777777" w:rsidR="00151356" w:rsidRDefault="00151356" w:rsidP="00151356">
      <w:pPr>
        <w:pStyle w:val="Body"/>
      </w:pPr>
      <w:proofErr w:type="spellStart"/>
      <w:r>
        <w:t>Olorunnisola</w:t>
      </w:r>
      <w:proofErr w:type="spellEnd"/>
      <w:r>
        <w:t>, O. S., Adetutu, A., &amp; Balogun, E. A. (2019). Phytochemical constituents and antioxidant activities of selected Nigerian medicinal plants. Journal of Medicinal Plants Research, 13(8), 182–191.</w:t>
      </w:r>
    </w:p>
    <w:p w14:paraId="1F64DDC7" w14:textId="77777777" w:rsidR="00151356" w:rsidRDefault="00151356" w:rsidP="00151356">
      <w:pPr>
        <w:pStyle w:val="Body"/>
      </w:pPr>
      <w:r>
        <w:t>Patra, R. C., Rautray, A. K., &amp; Swarup, D. (2011). Oxidative stress in lead and cadmium toxicity and its amelioration. Veterinary Medicine International, 457327, 9 pages.</w:t>
      </w:r>
    </w:p>
    <w:p w14:paraId="7B9CE6E4" w14:textId="77777777" w:rsidR="00151356" w:rsidRDefault="00151356" w:rsidP="00151356">
      <w:pPr>
        <w:pStyle w:val="Body"/>
      </w:pPr>
      <w:proofErr w:type="spellStart"/>
      <w:r>
        <w:t>Renugadevi</w:t>
      </w:r>
      <w:proofErr w:type="spellEnd"/>
      <w:r>
        <w:t>, J., &amp; Prabu, S. M. (2010). Cadmium-induced hepatotoxicity in rats and the protective effect of naringenin. Experimental and Toxicologic Pathology, 62(2), 171–181.</w:t>
      </w:r>
    </w:p>
    <w:p w14:paraId="4D52C398" w14:textId="77777777" w:rsidR="00151356" w:rsidRDefault="00151356" w:rsidP="00151356">
      <w:pPr>
        <w:pStyle w:val="Body"/>
      </w:pPr>
      <w:r>
        <w:t>Sies, H., Berndt, C., &amp; Jones, D. P. (2017). Oxidative stress. Annual Review of Biochemistry, 86, 715–748.</w:t>
      </w:r>
    </w:p>
    <w:p w14:paraId="7B268757" w14:textId="77777777" w:rsidR="00151356" w:rsidRDefault="00151356" w:rsidP="00151356">
      <w:pPr>
        <w:pStyle w:val="Body"/>
      </w:pPr>
      <w:proofErr w:type="spellStart"/>
      <w:r>
        <w:t>Tchounwou</w:t>
      </w:r>
      <w:proofErr w:type="spellEnd"/>
      <w:r>
        <w:t xml:space="preserve">, P. B., </w:t>
      </w:r>
      <w:proofErr w:type="spellStart"/>
      <w:r>
        <w:t>Yedjou</w:t>
      </w:r>
      <w:proofErr w:type="spellEnd"/>
      <w:r>
        <w:t>, C. G., Patlolla, A. K., &amp; Sutton, D. J. (2014). Heavy metal toxicity and the environment. EXS, 101, 133–164.</w:t>
      </w:r>
    </w:p>
    <w:p w14:paraId="10230EBE" w14:textId="77777777" w:rsidR="00151356" w:rsidRDefault="00151356" w:rsidP="00151356">
      <w:pPr>
        <w:pStyle w:val="Body"/>
      </w:pPr>
      <w:proofErr w:type="spellStart"/>
      <w:r>
        <w:t>Thevenod</w:t>
      </w:r>
      <w:proofErr w:type="spellEnd"/>
      <w:r>
        <w:t>, F. (2009). Cadmium and cellular signal</w:t>
      </w:r>
      <w:r w:rsidR="00B1037E">
        <w:t xml:space="preserve">ing cascades: </w:t>
      </w:r>
      <w:r>
        <w:t>Toxicology and Applied Pharmacology, 238(3), 221–239.</w:t>
      </w:r>
    </w:p>
    <w:p w14:paraId="2BF9457F" w14:textId="77777777" w:rsidR="00151356" w:rsidRDefault="00151356" w:rsidP="00151356">
      <w:pPr>
        <w:pStyle w:val="Body"/>
      </w:pPr>
      <w:proofErr w:type="spellStart"/>
      <w:r>
        <w:t>Thevenod</w:t>
      </w:r>
      <w:proofErr w:type="spellEnd"/>
      <w:r>
        <w:t xml:space="preserve">, F., &amp; Lee, W. K. (2013). Toxicology of cadmium and its damage to mammalian organs. </w:t>
      </w:r>
      <w:proofErr w:type="spellStart"/>
      <w:r>
        <w:t>Metallomics</w:t>
      </w:r>
      <w:proofErr w:type="spellEnd"/>
      <w:r>
        <w:t>, 5(9), 1120–1136.</w:t>
      </w:r>
    </w:p>
    <w:p w14:paraId="14EBF500" w14:textId="77777777" w:rsidR="00151356" w:rsidRDefault="00151356" w:rsidP="00151356">
      <w:pPr>
        <w:pStyle w:val="Body"/>
      </w:pPr>
      <w:proofErr w:type="spellStart"/>
      <w:r>
        <w:t>Unsal</w:t>
      </w:r>
      <w:proofErr w:type="spellEnd"/>
      <w:r>
        <w:t xml:space="preserve">, V., Dalkiran, T., Cicek, M., &amp; </w:t>
      </w:r>
      <w:proofErr w:type="spellStart"/>
      <w:r>
        <w:t>Kolukcu</w:t>
      </w:r>
      <w:proofErr w:type="spellEnd"/>
      <w:r>
        <w:t>, E. (2020). The role of natural antioxidants against reactive oxygen species produced by cadmium toxicity: A review. Advanced Pharmaceutical Bulletin, 10(2), 184–202.</w:t>
      </w:r>
    </w:p>
    <w:p w14:paraId="3B22CF00" w14:textId="77777777" w:rsidR="00151356" w:rsidRDefault="00151356" w:rsidP="00151356">
      <w:pPr>
        <w:pStyle w:val="Body"/>
      </w:pPr>
      <w:r>
        <w:t xml:space="preserve">Valko, M., Rhodes, C. J., </w:t>
      </w:r>
      <w:proofErr w:type="spellStart"/>
      <w:r>
        <w:t>Moncol</w:t>
      </w:r>
      <w:proofErr w:type="spellEnd"/>
      <w:r>
        <w:t xml:space="preserve">, J., </w:t>
      </w:r>
      <w:proofErr w:type="spellStart"/>
      <w:r>
        <w:t>Izakovic</w:t>
      </w:r>
      <w:proofErr w:type="spellEnd"/>
      <w:r>
        <w:t xml:space="preserve">, M., &amp; Mazur, M. (2006). Free radicals, metals and antioxidants in oxidative stress-induced cancer. </w:t>
      </w:r>
      <w:proofErr w:type="spellStart"/>
      <w:r>
        <w:t>Chemico</w:t>
      </w:r>
      <w:proofErr w:type="spellEnd"/>
      <w:r>
        <w:t>-Biological Interactions, 160(1), 1–40.</w:t>
      </w:r>
    </w:p>
    <w:p w14:paraId="416C1036" w14:textId="77777777" w:rsidR="00441B6F" w:rsidRDefault="00151356" w:rsidP="00151356">
      <w:pPr>
        <w:pStyle w:val="Body"/>
        <w:spacing w:after="0"/>
        <w:jc w:val="left"/>
      </w:pPr>
      <w:r>
        <w:lastRenderedPageBreak/>
        <w:t>Yuan, G., Dai, S., Yin, Z., Lu, H., Jia, R., Xu, J., Song, X., Li, L., &amp; Shu, Y. (2014). Toxicological assessment of combined lead and cadmium: Acute and sub-chronic toxicity study in rats. Food and Chemical Toxicology, 65, 260–268.</w:t>
      </w:r>
    </w:p>
    <w:p w14:paraId="69B6BFF5" w14:textId="77777777" w:rsidR="00441B6F" w:rsidRDefault="00441B6F" w:rsidP="00441B6F">
      <w:pPr>
        <w:pStyle w:val="Body"/>
        <w:spacing w:after="0"/>
        <w:jc w:val="left"/>
        <w:rPr>
          <w:rFonts w:ascii="Arial" w:hAnsi="Arial" w:cs="Arial"/>
        </w:rPr>
      </w:pPr>
    </w:p>
    <w:p w14:paraId="22EEF9C4" w14:textId="77777777" w:rsidR="00B01FCD" w:rsidRPr="00FB3A86" w:rsidRDefault="00B01FCD" w:rsidP="00441B6F">
      <w:pPr>
        <w:pStyle w:val="Reference"/>
        <w:numPr>
          <w:ilvl w:val="0"/>
          <w:numId w:val="0"/>
        </w:numPr>
        <w:spacing w:line="240" w:lineRule="auto"/>
        <w:rPr>
          <w:rFonts w:ascii="Arial" w:hAnsi="Arial" w:cs="Arial"/>
        </w:rPr>
      </w:pPr>
    </w:p>
    <w:p w14:paraId="7C27C030" w14:textId="77777777" w:rsidR="00B01FCD" w:rsidRPr="00FB3A86" w:rsidRDefault="00B01FCD" w:rsidP="00441B6F">
      <w:pPr>
        <w:pStyle w:val="Appendix"/>
        <w:spacing w:after="0"/>
        <w:jc w:val="both"/>
        <w:rPr>
          <w:rFonts w:ascii="Arial" w:hAnsi="Arial" w:cs="Arial"/>
          <w:b w:val="0"/>
        </w:rPr>
      </w:pPr>
    </w:p>
    <w:sectPr w:rsidR="00B01FCD" w:rsidRPr="00FB3A86" w:rsidSect="00DD66B3">
      <w:headerReference w:type="even" r:id="rId14"/>
      <w:headerReference w:type="default" r:id="rId15"/>
      <w:footerReference w:type="default" r:id="rId16"/>
      <w:headerReference w:type="first" r:id="rId17"/>
      <w:type w:val="nextPag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799C" w14:textId="77777777" w:rsidR="00253FB1" w:rsidRDefault="00253FB1" w:rsidP="00C37E61">
      <w:r>
        <w:separator/>
      </w:r>
    </w:p>
  </w:endnote>
  <w:endnote w:type="continuationSeparator" w:id="0">
    <w:p w14:paraId="71D63258" w14:textId="77777777" w:rsidR="00253FB1" w:rsidRDefault="00253FB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188D" w14:textId="77777777" w:rsidR="00DD66B3" w:rsidRDefault="00DD6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D9E6" w14:textId="77777777" w:rsidR="00DD66B3" w:rsidRDefault="00DD66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6248" w14:textId="5C88B61B" w:rsidR="00754C9A" w:rsidRPr="00DD66B3" w:rsidRDefault="00754C9A" w:rsidP="00DD66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F54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A1DB" w14:textId="77777777" w:rsidR="00253FB1" w:rsidRDefault="00253FB1" w:rsidP="00C37E61">
      <w:r>
        <w:separator/>
      </w:r>
    </w:p>
  </w:footnote>
  <w:footnote w:type="continuationSeparator" w:id="0">
    <w:p w14:paraId="0E23F494" w14:textId="77777777" w:rsidR="00253FB1" w:rsidRDefault="00253FB1"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EFF2" w14:textId="51DDEA99" w:rsidR="00DD66B3" w:rsidRDefault="00DD66B3">
    <w:pPr>
      <w:pStyle w:val="Header"/>
    </w:pPr>
    <w:r>
      <w:rPr>
        <w:noProof/>
      </w:rPr>
      <w:pict w14:anchorId="3D5A7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172" w14:textId="47B7DD6E" w:rsidR="00DD66B3" w:rsidRDefault="00DD66B3">
    <w:pPr>
      <w:pStyle w:val="Header"/>
    </w:pPr>
    <w:r>
      <w:rPr>
        <w:noProof/>
      </w:rPr>
      <w:pict w14:anchorId="26F95E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E0D4" w14:textId="47280B50" w:rsidR="00296529" w:rsidRPr="00296529" w:rsidRDefault="00DD66B3" w:rsidP="00296529">
    <w:pPr>
      <w:ind w:left="2160"/>
      <w:jc w:val="center"/>
      <w:rPr>
        <w:rFonts w:ascii="Times New Roman" w:eastAsia="Calibri" w:hAnsi="Times New Roman"/>
        <w:i/>
        <w:sz w:val="18"/>
        <w:szCs w:val="22"/>
      </w:rPr>
    </w:pPr>
    <w:r>
      <w:rPr>
        <w:noProof/>
      </w:rPr>
      <w:pict w14:anchorId="7F06E9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09"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B90163B"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1B1C0F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B44439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4E1772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8A6079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47CEFB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49F9" w14:textId="646C64F7" w:rsidR="00DD66B3" w:rsidRDefault="00DD66B3">
    <w:pPr>
      <w:pStyle w:val="Header"/>
    </w:pPr>
    <w:r>
      <w:rPr>
        <w:noProof/>
      </w:rPr>
      <w:pict w14:anchorId="77DC95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3"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424F87A">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0FFA" w14:textId="4763D900" w:rsidR="00DD66B3" w:rsidRDefault="00DD66B3">
    <w:pPr>
      <w:pStyle w:val="Header"/>
    </w:pPr>
    <w:r>
      <w:rPr>
        <w:noProof/>
      </w:rPr>
      <w:pict w14:anchorId="63517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4"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DAA334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D22C" w14:textId="0BC606E4" w:rsidR="00DD66B3" w:rsidRPr="00296529" w:rsidRDefault="00DD66B3" w:rsidP="00296529">
    <w:pPr>
      <w:ind w:left="2160"/>
      <w:jc w:val="center"/>
      <w:rPr>
        <w:rFonts w:ascii="Times New Roman" w:eastAsia="Calibri" w:hAnsi="Times New Roman"/>
        <w:i/>
        <w:sz w:val="18"/>
        <w:szCs w:val="22"/>
      </w:rPr>
    </w:pPr>
    <w:r>
      <w:rPr>
        <w:noProof/>
      </w:rPr>
      <w:pict w14:anchorId="14228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2"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59BF826">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E0AD24D" w14:textId="77777777" w:rsidR="00DD66B3" w:rsidRPr="00296529" w:rsidRDefault="00DD66B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032B89A" w14:textId="77777777" w:rsidR="00DD66B3" w:rsidRPr="00296529" w:rsidRDefault="00DD66B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E0C39C" w14:textId="77777777" w:rsidR="00DD66B3" w:rsidRPr="00296529" w:rsidRDefault="00DD66B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DBD2570" w14:textId="77777777" w:rsidR="00DD66B3" w:rsidRDefault="00DD66B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C523DF0" w14:textId="77777777" w:rsidR="00DD66B3" w:rsidRDefault="00DD66B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1EEA97" w14:textId="77777777" w:rsidR="00DD66B3" w:rsidRDefault="00DD66B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560746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05168276">
    <w:abstractNumId w:val="15"/>
  </w:num>
  <w:num w:numId="3" w16cid:durableId="882013031">
    <w:abstractNumId w:val="23"/>
  </w:num>
  <w:num w:numId="4" w16cid:durableId="70486786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47874243">
    <w:abstractNumId w:val="7"/>
  </w:num>
  <w:num w:numId="6" w16cid:durableId="1846895341">
    <w:abstractNumId w:val="6"/>
  </w:num>
  <w:num w:numId="7" w16cid:durableId="1083338930">
    <w:abstractNumId w:val="1"/>
  </w:num>
  <w:num w:numId="8" w16cid:durableId="168566743">
    <w:abstractNumId w:val="12"/>
  </w:num>
  <w:num w:numId="9" w16cid:durableId="2036301278">
    <w:abstractNumId w:val="25"/>
  </w:num>
  <w:num w:numId="10" w16cid:durableId="868295618">
    <w:abstractNumId w:val="2"/>
  </w:num>
  <w:num w:numId="11" w16cid:durableId="652878168">
    <w:abstractNumId w:val="18"/>
  </w:num>
  <w:num w:numId="12" w16cid:durableId="1306396978">
    <w:abstractNumId w:val="3"/>
  </w:num>
  <w:num w:numId="13" w16cid:durableId="542058698">
    <w:abstractNumId w:val="17"/>
  </w:num>
  <w:num w:numId="14" w16cid:durableId="1811091786">
    <w:abstractNumId w:val="8"/>
  </w:num>
  <w:num w:numId="15" w16cid:durableId="690909908">
    <w:abstractNumId w:val="21"/>
  </w:num>
  <w:num w:numId="16" w16cid:durableId="709838274">
    <w:abstractNumId w:val="5"/>
  </w:num>
  <w:num w:numId="17" w16cid:durableId="1067416494">
    <w:abstractNumId w:val="22"/>
  </w:num>
  <w:num w:numId="18" w16cid:durableId="606348878">
    <w:abstractNumId w:val="14"/>
  </w:num>
  <w:num w:numId="19" w16cid:durableId="1602302030">
    <w:abstractNumId w:val="28"/>
  </w:num>
  <w:num w:numId="20" w16cid:durableId="1382097968">
    <w:abstractNumId w:val="11"/>
  </w:num>
  <w:num w:numId="21" w16cid:durableId="891232018">
    <w:abstractNumId w:val="9"/>
  </w:num>
  <w:num w:numId="22" w16cid:durableId="1013842372">
    <w:abstractNumId w:val="13"/>
  </w:num>
  <w:num w:numId="23" w16cid:durableId="1640647388">
    <w:abstractNumId w:val="19"/>
  </w:num>
  <w:num w:numId="24" w16cid:durableId="109472257">
    <w:abstractNumId w:val="26"/>
  </w:num>
  <w:num w:numId="25" w16cid:durableId="723601239">
    <w:abstractNumId w:val="4"/>
  </w:num>
  <w:num w:numId="26" w16cid:durableId="212230447">
    <w:abstractNumId w:val="16"/>
  </w:num>
  <w:num w:numId="27" w16cid:durableId="1546409968">
    <w:abstractNumId w:val="20"/>
  </w:num>
  <w:num w:numId="28" w16cid:durableId="661854511">
    <w:abstractNumId w:val="27"/>
  </w:num>
  <w:num w:numId="29" w16cid:durableId="581107849">
    <w:abstractNumId w:val="24"/>
  </w:num>
  <w:num w:numId="30" w16cid:durableId="1766532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604A"/>
    <w:rsid w:val="00030174"/>
    <w:rsid w:val="0004579C"/>
    <w:rsid w:val="000A47FA"/>
    <w:rsid w:val="000A65D3"/>
    <w:rsid w:val="000B1E33"/>
    <w:rsid w:val="000D689F"/>
    <w:rsid w:val="000E7B7B"/>
    <w:rsid w:val="000E7D62"/>
    <w:rsid w:val="000F3887"/>
    <w:rsid w:val="0010136E"/>
    <w:rsid w:val="00103357"/>
    <w:rsid w:val="00123C9F"/>
    <w:rsid w:val="00126190"/>
    <w:rsid w:val="00130F17"/>
    <w:rsid w:val="001320BF"/>
    <w:rsid w:val="00151356"/>
    <w:rsid w:val="00163BC4"/>
    <w:rsid w:val="00191062"/>
    <w:rsid w:val="00192B72"/>
    <w:rsid w:val="001A29D8"/>
    <w:rsid w:val="001A5CAA"/>
    <w:rsid w:val="001B0427"/>
    <w:rsid w:val="001C19E3"/>
    <w:rsid w:val="001D3A51"/>
    <w:rsid w:val="001D5755"/>
    <w:rsid w:val="001E10D2"/>
    <w:rsid w:val="001E25B4"/>
    <w:rsid w:val="001E44FE"/>
    <w:rsid w:val="00200595"/>
    <w:rsid w:val="00204835"/>
    <w:rsid w:val="00231920"/>
    <w:rsid w:val="0023195C"/>
    <w:rsid w:val="0024282C"/>
    <w:rsid w:val="002460DC"/>
    <w:rsid w:val="00250985"/>
    <w:rsid w:val="00253FB1"/>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70844"/>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B5B4F"/>
    <w:rsid w:val="006D30FF"/>
    <w:rsid w:val="006D6940"/>
    <w:rsid w:val="006F11EC"/>
    <w:rsid w:val="0070082C"/>
    <w:rsid w:val="007369E6"/>
    <w:rsid w:val="00746E59"/>
    <w:rsid w:val="00754C9A"/>
    <w:rsid w:val="0075599A"/>
    <w:rsid w:val="00761D52"/>
    <w:rsid w:val="0077749E"/>
    <w:rsid w:val="00790ADA"/>
    <w:rsid w:val="00795C38"/>
    <w:rsid w:val="007D2288"/>
    <w:rsid w:val="007E088F"/>
    <w:rsid w:val="007F7B32"/>
    <w:rsid w:val="00804BC2"/>
    <w:rsid w:val="0081431A"/>
    <w:rsid w:val="00826C9D"/>
    <w:rsid w:val="0083216F"/>
    <w:rsid w:val="00860000"/>
    <w:rsid w:val="00863101"/>
    <w:rsid w:val="00863BD3"/>
    <w:rsid w:val="008641ED"/>
    <w:rsid w:val="00866D66"/>
    <w:rsid w:val="008671C6"/>
    <w:rsid w:val="00875803"/>
    <w:rsid w:val="008B42CA"/>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74AA0"/>
    <w:rsid w:val="00A94063"/>
    <w:rsid w:val="00AA6219"/>
    <w:rsid w:val="00AA74E0"/>
    <w:rsid w:val="00AB703F"/>
    <w:rsid w:val="00AC6BB8"/>
    <w:rsid w:val="00AE008F"/>
    <w:rsid w:val="00B01FCD"/>
    <w:rsid w:val="00B1037E"/>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1452"/>
    <w:rsid w:val="00CD6755"/>
    <w:rsid w:val="00CD6856"/>
    <w:rsid w:val="00CE0089"/>
    <w:rsid w:val="00CE793C"/>
    <w:rsid w:val="00CF193C"/>
    <w:rsid w:val="00D173F1"/>
    <w:rsid w:val="00D3102B"/>
    <w:rsid w:val="00D74CB0"/>
    <w:rsid w:val="00D82822"/>
    <w:rsid w:val="00D8295D"/>
    <w:rsid w:val="00D94C63"/>
    <w:rsid w:val="00DC2A65"/>
    <w:rsid w:val="00DD66B3"/>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85BA9"/>
    <w:rsid w:val="00EA012C"/>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760B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795C3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795C3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795C3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795C38"/>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795C38"/>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95C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2288327">
      <w:bodyDiv w:val="1"/>
      <w:marLeft w:val="0"/>
      <w:marRight w:val="0"/>
      <w:marTop w:val="0"/>
      <w:marBottom w:val="0"/>
      <w:divBdr>
        <w:top w:val="none" w:sz="0" w:space="0" w:color="auto"/>
        <w:left w:val="none" w:sz="0" w:space="0" w:color="auto"/>
        <w:bottom w:val="none" w:sz="0" w:space="0" w:color="auto"/>
        <w:right w:val="none" w:sz="0" w:space="0" w:color="auto"/>
      </w:divBdr>
    </w:div>
    <w:div w:id="849620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548152085">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67244687">
      <w:bodyDiv w:val="1"/>
      <w:marLeft w:val="0"/>
      <w:marRight w:val="0"/>
      <w:marTop w:val="0"/>
      <w:marBottom w:val="0"/>
      <w:divBdr>
        <w:top w:val="none" w:sz="0" w:space="0" w:color="auto"/>
        <w:left w:val="none" w:sz="0" w:space="0" w:color="auto"/>
        <w:bottom w:val="none" w:sz="0" w:space="0" w:color="auto"/>
        <w:right w:val="none" w:sz="0" w:space="0" w:color="auto"/>
      </w:divBdr>
    </w:div>
    <w:div w:id="721246758">
      <w:bodyDiv w:val="1"/>
      <w:marLeft w:val="0"/>
      <w:marRight w:val="0"/>
      <w:marTop w:val="0"/>
      <w:marBottom w:val="0"/>
      <w:divBdr>
        <w:top w:val="none" w:sz="0" w:space="0" w:color="auto"/>
        <w:left w:val="none" w:sz="0" w:space="0" w:color="auto"/>
        <w:bottom w:val="none" w:sz="0" w:space="0" w:color="auto"/>
        <w:right w:val="none" w:sz="0" w:space="0" w:color="auto"/>
      </w:divBdr>
    </w:div>
    <w:div w:id="734625484">
      <w:bodyDiv w:val="1"/>
      <w:marLeft w:val="0"/>
      <w:marRight w:val="0"/>
      <w:marTop w:val="0"/>
      <w:marBottom w:val="0"/>
      <w:divBdr>
        <w:top w:val="none" w:sz="0" w:space="0" w:color="auto"/>
        <w:left w:val="none" w:sz="0" w:space="0" w:color="auto"/>
        <w:bottom w:val="none" w:sz="0" w:space="0" w:color="auto"/>
        <w:right w:val="none" w:sz="0" w:space="0" w:color="auto"/>
      </w:divBdr>
    </w:div>
    <w:div w:id="8902694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43485619">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44107101">
      <w:bodyDiv w:val="1"/>
      <w:marLeft w:val="0"/>
      <w:marRight w:val="0"/>
      <w:marTop w:val="0"/>
      <w:marBottom w:val="0"/>
      <w:divBdr>
        <w:top w:val="none" w:sz="0" w:space="0" w:color="auto"/>
        <w:left w:val="none" w:sz="0" w:space="0" w:color="auto"/>
        <w:bottom w:val="none" w:sz="0" w:space="0" w:color="auto"/>
        <w:right w:val="none" w:sz="0" w:space="0" w:color="auto"/>
      </w:divBdr>
    </w:div>
    <w:div w:id="1476147450">
      <w:bodyDiv w:val="1"/>
      <w:marLeft w:val="0"/>
      <w:marRight w:val="0"/>
      <w:marTop w:val="0"/>
      <w:marBottom w:val="0"/>
      <w:divBdr>
        <w:top w:val="none" w:sz="0" w:space="0" w:color="auto"/>
        <w:left w:val="none" w:sz="0" w:space="0" w:color="auto"/>
        <w:bottom w:val="none" w:sz="0" w:space="0" w:color="auto"/>
        <w:right w:val="none" w:sz="0" w:space="0" w:color="auto"/>
      </w:divBdr>
    </w:div>
    <w:div w:id="164975087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949219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58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B0F4B-F84D-4674-9950-E270DFC7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67</TotalTime>
  <Pages>16</Pages>
  <Words>5480</Words>
  <Characters>31239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36646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8</cp:revision>
  <cp:lastPrinted>1999-07-06T11:00:00Z</cp:lastPrinted>
  <dcterms:created xsi:type="dcterms:W3CDTF">2026-09-05T06:14:00Z</dcterms:created>
  <dcterms:modified xsi:type="dcterms:W3CDTF">2026-09-07T09:57:00Z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0852e936-bbbf-45a7-ba0f-c2d607fe201a</vt:lpwstr>
  </property>
</Properties>
</file>