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1B767" w14:textId="77777777" w:rsidR="00163BC4" w:rsidRPr="00163BC4" w:rsidRDefault="006044A6" w:rsidP="006044A6">
      <w:pPr>
        <w:pStyle w:val="Author"/>
        <w:spacing w:line="240" w:lineRule="auto"/>
        <w:jc w:val="left"/>
        <w:rPr>
          <w:rFonts w:ascii="Arial" w:hAnsi="Arial" w:cs="Arial"/>
          <w:bCs/>
          <w:iCs/>
          <w:kern w:val="28"/>
          <w:sz w:val="36"/>
        </w:rPr>
      </w:pPr>
      <w:r>
        <w:t xml:space="preserve">Protective Effects of </w:t>
      </w:r>
      <w:r>
        <w:rPr>
          <w:rStyle w:val="Emphasis"/>
        </w:rPr>
        <w:t xml:space="preserve">Pterocarpus </w:t>
      </w:r>
      <w:proofErr w:type="spellStart"/>
      <w:r>
        <w:rPr>
          <w:rStyle w:val="Emphasis"/>
        </w:rPr>
        <w:t>santalinoides</w:t>
      </w:r>
      <w:proofErr w:type="spellEnd"/>
      <w:r>
        <w:t xml:space="preserve"> Leaf Diet on Liver Enzymes and Lipid Profil</w:t>
      </w:r>
      <w:r w:rsidR="005F50B1">
        <w:t>e</w:t>
      </w:r>
    </w:p>
    <w:p w14:paraId="0C85C695" w14:textId="77777777" w:rsidR="006044A6" w:rsidRDefault="006044A6" w:rsidP="006044A6">
      <w:pPr>
        <w:pStyle w:val="Author"/>
        <w:spacing w:line="240" w:lineRule="auto"/>
        <w:jc w:val="left"/>
        <w:rPr>
          <w:rFonts w:ascii="Arial" w:hAnsi="Arial" w:cs="Arial"/>
          <w:sz w:val="36"/>
        </w:rPr>
      </w:pPr>
    </w:p>
    <w:p w14:paraId="2003B081" w14:textId="77777777" w:rsidR="00B01FCD" w:rsidRPr="00FB3A86" w:rsidRDefault="00670BD4" w:rsidP="00441B6F">
      <w:pPr>
        <w:pStyle w:val="Copyright"/>
        <w:spacing w:after="0" w:line="240" w:lineRule="auto"/>
        <w:jc w:val="both"/>
        <w:rPr>
          <w:rFonts w:ascii="Arial" w:hAnsi="Arial" w:cs="Arial"/>
        </w:rPr>
        <w:sectPr w:rsidR="00B01FCD" w:rsidRPr="00FB3A86" w:rsidSect="00EA4C8E">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3083ECA2" wp14:editId="5019D892">
                <wp:extent cx="5303520" cy="635"/>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925684D"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FB3A86">
        <w:rPr>
          <w:rFonts w:ascii="Arial" w:hAnsi="Arial" w:cs="Arial"/>
        </w:rPr>
        <w:t>.</w:t>
      </w:r>
    </w:p>
    <w:p w14:paraId="489713EA"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66E3C3AF" w14:textId="77777777" w:rsidR="00B52896" w:rsidRDefault="002770DC" w:rsidP="00441B6F">
      <w:pPr>
        <w:pStyle w:val="Body"/>
        <w:spacing w:after="0"/>
      </w:pPr>
      <w:r>
        <w:t xml:space="preserve">Heavy metal toxicity, particularly cadmium toxicity, remains a major public health concern because of its ability to induce oxidative stress, disrupt lipid metabolism, and cause hepatic damage. This study evaluated the protective effects of </w:t>
      </w:r>
      <w:r>
        <w:rPr>
          <w:rStyle w:val="Emphasis"/>
        </w:rPr>
        <w:t xml:space="preserve">Pterocarpus </w:t>
      </w:r>
      <w:proofErr w:type="spellStart"/>
      <w:r>
        <w:rPr>
          <w:rStyle w:val="Emphasis"/>
        </w:rPr>
        <w:t>santalinoides</w:t>
      </w:r>
      <w:proofErr w:type="spellEnd"/>
      <w:r>
        <w:t xml:space="preserve"> leaf diet against cadmium-induced biochemical alterations in Wistar rats. Thirty-six Wistar rats were randomly divided into six groups of six rats each. Groups 1, 2, and 3 were exposed to cadmium and treated with </w:t>
      </w:r>
      <w:r>
        <w:rPr>
          <w:rStyle w:val="Emphasis"/>
        </w:rPr>
        <w:t xml:space="preserve">P. </w:t>
      </w:r>
      <w:proofErr w:type="spellStart"/>
      <w:r>
        <w:rPr>
          <w:rStyle w:val="Emphasis"/>
        </w:rPr>
        <w:t>santalinoides</w:t>
      </w:r>
      <w:proofErr w:type="spellEnd"/>
      <w:r>
        <w:t xml:space="preserve"> leaf diets at 10% (Ps1), 20% (Ps2), and 40% (Ps3), respectively. Group 4 served as the negative control and received cadmium without treatment, while Group 5 served as the normal control and received feed and water only. Group 6 served as the standard control and received Vitamin E. At the end of the experimental period, blood samples were collected for biochemical analysis. Lipid profile parameters, including HDL-c, LDL-c, VLDL-c, and triacylglycerol, were determined, while liver function markers, including AST, ALT, ALP, and GGT, were analyzed using standard laboratory procedures. Cadmium exposure significantly altered lipid metabolism and liver enzyme activities. The negative control showed elevated LDL-c, VLDL-c, and triacylglycerol levels, together with increased AST, ALT, ALP, and GGT activities, indicating lipid abnormalities and hepatic injury. Treatment with </w:t>
      </w:r>
      <w:r>
        <w:rPr>
          <w:rStyle w:val="Emphasis"/>
        </w:rPr>
        <w:t xml:space="preserve">P. </w:t>
      </w:r>
      <w:proofErr w:type="spellStart"/>
      <w:r>
        <w:rPr>
          <w:rStyle w:val="Emphasis"/>
        </w:rPr>
        <w:t>santalinoides</w:t>
      </w:r>
      <w:proofErr w:type="spellEnd"/>
      <w:r>
        <w:t xml:space="preserve"> leaf diet improved these biochemical parameters, with reductions in LDL-c, VLDL-c, triacylglycerol, AST, ALT, ALP, and GGT, alongside improved HDL-c levels. The Ps3 group generally demonstrated the greatest improvement, suggesting enhanced protective activity at the higher treatment level. These findings indicate that </w:t>
      </w:r>
      <w:r>
        <w:rPr>
          <w:rStyle w:val="Emphasis"/>
        </w:rPr>
        <w:t xml:space="preserve">P. </w:t>
      </w:r>
      <w:proofErr w:type="spellStart"/>
      <w:r>
        <w:rPr>
          <w:rStyle w:val="Emphasis"/>
        </w:rPr>
        <w:t>santalinoides</w:t>
      </w:r>
      <w:proofErr w:type="spellEnd"/>
      <w:r>
        <w:t xml:space="preserve"> leaf diet may protect against cadmium-induced lipid abnormalities and hepatic damage, possibly through its antioxidant and bioactive constituents. The plant may therefore have potential as a natural therapeutic agent against cadmium-related toxicity and associated biochemical disorders.</w:t>
      </w:r>
    </w:p>
    <w:p w14:paraId="4AD6FBF2" w14:textId="77777777" w:rsidR="002770DC" w:rsidRPr="002770DC" w:rsidRDefault="002770DC" w:rsidP="002770DC">
      <w:pPr>
        <w:pStyle w:val="Body"/>
      </w:pPr>
      <w:r>
        <w:t xml:space="preserve">Keywords: </w:t>
      </w:r>
      <w:r w:rsidRPr="002770DC">
        <w:rPr>
          <w:bCs/>
          <w:i/>
          <w:iCs/>
        </w:rPr>
        <w:t>Pterocarpus santalinoides</w:t>
      </w:r>
      <w:r w:rsidRPr="002770DC">
        <w:rPr>
          <w:bCs/>
        </w:rPr>
        <w:t>; Wista</w:t>
      </w:r>
      <w:r>
        <w:rPr>
          <w:bCs/>
        </w:rPr>
        <w:t>r rats; lipid profile</w:t>
      </w:r>
      <w:r w:rsidRPr="002770DC">
        <w:rPr>
          <w:bCs/>
        </w:rPr>
        <w:t>; oxidative stress; liver enzymes; antioxidant activity; phytochemicals; hepatoprotection.</w:t>
      </w:r>
    </w:p>
    <w:p w14:paraId="348C57EB" w14:textId="77777777" w:rsidR="007F7B32" w:rsidRDefault="00902823" w:rsidP="00441B6F">
      <w:pPr>
        <w:pStyle w:val="AbstHead"/>
        <w:spacing w:after="0"/>
        <w:jc w:val="both"/>
        <w:rPr>
          <w:rFonts w:ascii="Arial" w:hAnsi="Arial" w:cs="Arial"/>
        </w:rPr>
      </w:pPr>
      <w:r>
        <w:rPr>
          <w:rFonts w:ascii="Arial" w:hAnsi="Arial" w:cs="Arial"/>
        </w:rPr>
        <w:t xml:space="preserve"> </w:t>
      </w:r>
      <w:r w:rsidR="00B01FCD" w:rsidRPr="00FB3A86">
        <w:rPr>
          <w:rFonts w:ascii="Arial" w:hAnsi="Arial" w:cs="Arial"/>
        </w:rPr>
        <w:t>INTRODUCTION</w:t>
      </w:r>
      <w:r w:rsidR="00335E4D">
        <w:rPr>
          <w:rFonts w:ascii="Arial" w:hAnsi="Arial" w:cs="Arial"/>
        </w:rPr>
        <w:t xml:space="preserve"> </w:t>
      </w:r>
    </w:p>
    <w:p w14:paraId="0715A685" w14:textId="77777777" w:rsidR="00335E4D" w:rsidRDefault="00335E4D" w:rsidP="00335E4D">
      <w:pPr>
        <w:spacing w:line="480" w:lineRule="auto"/>
        <w:jc w:val="both"/>
        <w:rPr>
          <w:rFonts w:ascii="Times New Roman" w:hAnsi="Times New Roman"/>
          <w:color w:val="000000" w:themeColor="text1"/>
          <w:sz w:val="24"/>
          <w:szCs w:val="24"/>
        </w:rPr>
      </w:pPr>
      <w:r w:rsidRPr="00B84EA9">
        <w:rPr>
          <w:rFonts w:ascii="Times New Roman" w:hAnsi="Times New Roman"/>
          <w:i/>
          <w:iCs/>
          <w:color w:val="000000" w:themeColor="text1"/>
          <w:sz w:val="24"/>
          <w:szCs w:val="24"/>
        </w:rPr>
        <w:t xml:space="preserve">Pterocarpus </w:t>
      </w:r>
      <w:proofErr w:type="spellStart"/>
      <w:r w:rsidRPr="00B84EA9">
        <w:rPr>
          <w:rFonts w:ascii="Times New Roman" w:hAnsi="Times New Roman"/>
          <w:i/>
          <w:iCs/>
          <w:color w:val="000000" w:themeColor="text1"/>
          <w:sz w:val="24"/>
          <w:szCs w:val="24"/>
        </w:rPr>
        <w:t>santalinoides</w:t>
      </w:r>
      <w:proofErr w:type="spellEnd"/>
      <w:r w:rsidRPr="00B84EA9">
        <w:rPr>
          <w:rFonts w:ascii="Times New Roman" w:hAnsi="Times New Roman"/>
          <w:color w:val="000000" w:themeColor="text1"/>
          <w:sz w:val="24"/>
          <w:szCs w:val="24"/>
        </w:rPr>
        <w:t xml:space="preserve"> has been described as a shade-tolerant tree that is </w:t>
      </w:r>
      <w:r>
        <w:rPr>
          <w:rFonts w:ascii="Times New Roman" w:hAnsi="Times New Roman"/>
          <w:color w:val="000000" w:themeColor="text1"/>
          <w:sz w:val="24"/>
          <w:szCs w:val="24"/>
        </w:rPr>
        <w:t>9- 12 m</w:t>
      </w:r>
      <w:r w:rsidRPr="00B84EA9">
        <w:rPr>
          <w:rFonts w:ascii="Times New Roman" w:hAnsi="Times New Roman"/>
          <w:color w:val="000000" w:themeColor="text1"/>
          <w:sz w:val="24"/>
          <w:szCs w:val="24"/>
        </w:rPr>
        <w:t xml:space="preserve"> tall, with low</w:t>
      </w:r>
      <w:r>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straggling branches, commonly found along riverine forests in Africa and tropical South America. The plant is commonly referred to as Red </w:t>
      </w:r>
      <w:r>
        <w:rPr>
          <w:rFonts w:ascii="Times New Roman" w:hAnsi="Times New Roman"/>
          <w:color w:val="000000" w:themeColor="text1"/>
          <w:sz w:val="24"/>
          <w:szCs w:val="24"/>
        </w:rPr>
        <w:t>Sandalwood</w:t>
      </w:r>
      <w:r w:rsidRPr="00B84EA9">
        <w:rPr>
          <w:rFonts w:ascii="Times New Roman" w:hAnsi="Times New Roman"/>
          <w:color w:val="000000" w:themeColor="text1"/>
          <w:sz w:val="24"/>
          <w:szCs w:val="24"/>
        </w:rPr>
        <w:t xml:space="preserve"> in English, </w:t>
      </w:r>
      <w:proofErr w:type="spellStart"/>
      <w:r w:rsidRPr="00B84EA9">
        <w:rPr>
          <w:rFonts w:ascii="Times New Roman" w:hAnsi="Times New Roman"/>
          <w:color w:val="000000" w:themeColor="text1"/>
          <w:sz w:val="24"/>
          <w:szCs w:val="24"/>
        </w:rPr>
        <w:t>Gunduru</w:t>
      </w:r>
      <w:proofErr w:type="spellEnd"/>
      <w:r w:rsidRPr="00B84EA9">
        <w:rPr>
          <w:rFonts w:ascii="Times New Roman" w:hAnsi="Times New Roman"/>
          <w:color w:val="000000" w:themeColor="text1"/>
          <w:sz w:val="24"/>
          <w:szCs w:val="24"/>
        </w:rPr>
        <w:t xml:space="preserve"> </w:t>
      </w:r>
      <w:proofErr w:type="spellStart"/>
      <w:r w:rsidRPr="00B84EA9">
        <w:rPr>
          <w:rFonts w:ascii="Times New Roman" w:hAnsi="Times New Roman"/>
          <w:color w:val="000000" w:themeColor="text1"/>
          <w:sz w:val="24"/>
          <w:szCs w:val="24"/>
        </w:rPr>
        <w:t>gyadar</w:t>
      </w:r>
      <w:proofErr w:type="spellEnd"/>
      <w:r w:rsidRPr="00B84EA9">
        <w:rPr>
          <w:rFonts w:ascii="Times New Roman" w:hAnsi="Times New Roman"/>
          <w:color w:val="000000" w:themeColor="text1"/>
          <w:sz w:val="24"/>
          <w:szCs w:val="24"/>
        </w:rPr>
        <w:t xml:space="preserve"> Kurmi in Hausa, </w:t>
      </w:r>
      <w:proofErr w:type="spellStart"/>
      <w:r w:rsidRPr="00B84EA9">
        <w:rPr>
          <w:rFonts w:ascii="Times New Roman" w:hAnsi="Times New Roman"/>
          <w:color w:val="000000" w:themeColor="text1"/>
          <w:sz w:val="24"/>
          <w:szCs w:val="24"/>
        </w:rPr>
        <w:t>Uturukpa</w:t>
      </w:r>
      <w:proofErr w:type="spellEnd"/>
      <w:r w:rsidRPr="00B84EA9">
        <w:rPr>
          <w:rFonts w:ascii="Times New Roman" w:hAnsi="Times New Roman"/>
          <w:color w:val="000000" w:themeColor="text1"/>
          <w:sz w:val="24"/>
          <w:szCs w:val="24"/>
        </w:rPr>
        <w:t xml:space="preserve"> in Igbo</w:t>
      </w:r>
      <w:r>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and </w:t>
      </w:r>
      <w:proofErr w:type="spellStart"/>
      <w:r w:rsidRPr="00B84EA9">
        <w:rPr>
          <w:rFonts w:ascii="Times New Roman" w:hAnsi="Times New Roman"/>
          <w:color w:val="000000" w:themeColor="text1"/>
          <w:sz w:val="24"/>
          <w:szCs w:val="24"/>
        </w:rPr>
        <w:t>Gbenghe</w:t>
      </w:r>
      <w:proofErr w:type="spellEnd"/>
      <w:r w:rsidRPr="00B84EA9">
        <w:rPr>
          <w:rFonts w:ascii="Times New Roman" w:hAnsi="Times New Roman"/>
          <w:color w:val="000000" w:themeColor="text1"/>
          <w:sz w:val="24"/>
          <w:szCs w:val="24"/>
        </w:rPr>
        <w:t xml:space="preserve"> in Yoruba (Okpo </w:t>
      </w:r>
      <w:r w:rsidRPr="0044042F">
        <w:rPr>
          <w:rFonts w:ascii="Times New Roman" w:hAnsi="Times New Roman"/>
          <w:i/>
          <w:iCs/>
          <w:color w:val="000000" w:themeColor="text1"/>
          <w:sz w:val="24"/>
          <w:szCs w:val="24"/>
        </w:rPr>
        <w:t>et al</w:t>
      </w:r>
      <w:r w:rsidRPr="00B84EA9">
        <w:rPr>
          <w:rFonts w:ascii="Times New Roman" w:hAnsi="Times New Roman"/>
          <w:i/>
          <w:iCs/>
          <w:color w:val="000000" w:themeColor="text1"/>
          <w:sz w:val="24"/>
          <w:szCs w:val="24"/>
        </w:rPr>
        <w:t>.,</w:t>
      </w:r>
      <w:r w:rsidRPr="00B84EA9">
        <w:rPr>
          <w:rFonts w:ascii="Times New Roman" w:hAnsi="Times New Roman"/>
          <w:color w:val="000000" w:themeColor="text1"/>
          <w:sz w:val="24"/>
          <w:szCs w:val="24"/>
        </w:rPr>
        <w:t xml:space="preserve"> 2011)</w:t>
      </w:r>
      <w:r>
        <w:rPr>
          <w:rFonts w:ascii="Times New Roman" w:hAnsi="Times New Roman"/>
          <w:color w:val="000000" w:themeColor="text1"/>
          <w:sz w:val="24"/>
          <w:szCs w:val="24"/>
        </w:rPr>
        <w:t>.</w:t>
      </w:r>
    </w:p>
    <w:p w14:paraId="64A1EF1E" w14:textId="77777777" w:rsidR="00335E4D" w:rsidRDefault="00335E4D" w:rsidP="00335E4D">
      <w:pPr>
        <w:spacing w:line="480" w:lineRule="auto"/>
        <w:jc w:val="both"/>
        <w:rPr>
          <w:rFonts w:ascii="Times New Roman" w:hAnsi="Times New Roman"/>
          <w:color w:val="000000" w:themeColor="text1"/>
          <w:sz w:val="24"/>
          <w:szCs w:val="24"/>
        </w:rPr>
      </w:pPr>
      <w:r w:rsidRPr="00B84EA9">
        <w:rPr>
          <w:rFonts w:ascii="Times New Roman" w:hAnsi="Times New Roman"/>
          <w:color w:val="000000" w:themeColor="text1"/>
          <w:sz w:val="24"/>
          <w:szCs w:val="24"/>
        </w:rPr>
        <w:t xml:space="preserve">Various </w:t>
      </w:r>
      <w:r>
        <w:rPr>
          <w:rFonts w:ascii="Times New Roman" w:hAnsi="Times New Roman"/>
          <w:color w:val="000000" w:themeColor="text1"/>
          <w:sz w:val="24"/>
          <w:szCs w:val="24"/>
        </w:rPr>
        <w:t xml:space="preserve">parts of </w:t>
      </w:r>
      <w:r w:rsidRPr="00335E4D">
        <w:rPr>
          <w:rFonts w:ascii="Times New Roman" w:hAnsi="Times New Roman"/>
          <w:i/>
          <w:color w:val="000000" w:themeColor="text1"/>
          <w:sz w:val="24"/>
          <w:szCs w:val="24"/>
        </w:rPr>
        <w:t xml:space="preserve">Pterocarpus </w:t>
      </w:r>
      <w:proofErr w:type="spellStart"/>
      <w:r w:rsidRPr="00335E4D">
        <w:rPr>
          <w:rFonts w:ascii="Times New Roman" w:hAnsi="Times New Roman"/>
          <w:i/>
          <w:color w:val="000000" w:themeColor="text1"/>
          <w:sz w:val="24"/>
          <w:szCs w:val="24"/>
        </w:rPr>
        <w:t>santalinoides</w:t>
      </w:r>
      <w:proofErr w:type="spellEnd"/>
      <w:r>
        <w:rPr>
          <w:rFonts w:ascii="Times New Roman" w:hAnsi="Times New Roman"/>
          <w:color w:val="000000" w:themeColor="text1"/>
          <w:sz w:val="24"/>
          <w:szCs w:val="24"/>
        </w:rPr>
        <w:t xml:space="preserve"> are used in ethnomedicine across many African countries to treat a range</w:t>
      </w:r>
      <w:r w:rsidRPr="00B84EA9">
        <w:rPr>
          <w:rFonts w:ascii="Times New Roman" w:hAnsi="Times New Roman"/>
          <w:color w:val="000000" w:themeColor="text1"/>
          <w:sz w:val="24"/>
          <w:szCs w:val="24"/>
        </w:rPr>
        <w:t xml:space="preserve"> of human ailments. The ethnomedical use of leaves of </w:t>
      </w:r>
      <w:r w:rsidRPr="00B84EA9">
        <w:rPr>
          <w:rFonts w:ascii="Times New Roman" w:hAnsi="Times New Roman"/>
          <w:i/>
          <w:iCs/>
          <w:color w:val="000000" w:themeColor="text1"/>
          <w:sz w:val="24"/>
          <w:szCs w:val="24"/>
        </w:rPr>
        <w:t xml:space="preserve">Pterocarpus </w:t>
      </w:r>
      <w:proofErr w:type="spellStart"/>
      <w:r w:rsidRPr="00B84EA9">
        <w:rPr>
          <w:rFonts w:ascii="Times New Roman" w:hAnsi="Times New Roman"/>
          <w:i/>
          <w:iCs/>
          <w:color w:val="000000" w:themeColor="text1"/>
          <w:sz w:val="24"/>
          <w:szCs w:val="24"/>
        </w:rPr>
        <w:t>santalinoides</w:t>
      </w:r>
      <w:proofErr w:type="spellEnd"/>
      <w:r w:rsidRPr="00B84EA9">
        <w:rPr>
          <w:rFonts w:ascii="Times New Roman" w:hAnsi="Times New Roman"/>
          <w:i/>
          <w:iCs/>
          <w:color w:val="000000" w:themeColor="text1"/>
          <w:sz w:val="24"/>
          <w:szCs w:val="24"/>
        </w:rPr>
        <w:t xml:space="preserve"> </w:t>
      </w:r>
      <w:r w:rsidRPr="00B84EA9">
        <w:rPr>
          <w:rFonts w:ascii="Times New Roman" w:hAnsi="Times New Roman"/>
          <w:color w:val="000000" w:themeColor="text1"/>
          <w:sz w:val="24"/>
          <w:szCs w:val="24"/>
        </w:rPr>
        <w:t xml:space="preserve">in the treatment of diarrhea and other gastrointestinal disorders has been scientifically </w:t>
      </w:r>
      <w:r>
        <w:rPr>
          <w:rFonts w:ascii="Times New Roman" w:hAnsi="Times New Roman"/>
          <w:color w:val="000000" w:themeColor="text1"/>
          <w:sz w:val="24"/>
          <w:szCs w:val="24"/>
        </w:rPr>
        <w:t>proven</w:t>
      </w:r>
      <w:r w:rsidRPr="00B84EA9">
        <w:rPr>
          <w:rFonts w:ascii="Times New Roman" w:hAnsi="Times New Roman"/>
          <w:color w:val="000000" w:themeColor="text1"/>
          <w:sz w:val="24"/>
          <w:szCs w:val="24"/>
        </w:rPr>
        <w:t xml:space="preserve"> (</w:t>
      </w:r>
      <w:proofErr w:type="spellStart"/>
      <w:r w:rsidR="008A496A" w:rsidRPr="008A496A">
        <w:rPr>
          <w:rFonts w:ascii="Times New Roman" w:hAnsi="Times New Roman"/>
          <w:color w:val="000000" w:themeColor="text1"/>
          <w:sz w:val="24"/>
          <w:szCs w:val="24"/>
        </w:rPr>
        <w:t>Ayéna</w:t>
      </w:r>
      <w:proofErr w:type="spellEnd"/>
      <w:r w:rsidR="008A496A">
        <w:rPr>
          <w:rFonts w:ascii="Times New Roman" w:hAnsi="Times New Roman"/>
          <w:color w:val="000000" w:themeColor="text1"/>
          <w:sz w:val="24"/>
          <w:szCs w:val="24"/>
        </w:rPr>
        <w:t xml:space="preserve"> </w:t>
      </w:r>
      <w:r w:rsidRPr="0044042F">
        <w:rPr>
          <w:rFonts w:ascii="Times New Roman" w:hAnsi="Times New Roman"/>
          <w:i/>
          <w:iCs/>
          <w:color w:val="000000" w:themeColor="text1"/>
          <w:sz w:val="24"/>
          <w:szCs w:val="24"/>
        </w:rPr>
        <w:t>et al</w:t>
      </w:r>
      <w:r w:rsidRPr="00B84EA9">
        <w:rPr>
          <w:rFonts w:ascii="Times New Roman" w:hAnsi="Times New Roman"/>
          <w:i/>
          <w:iCs/>
          <w:color w:val="000000" w:themeColor="text1"/>
          <w:sz w:val="24"/>
          <w:szCs w:val="24"/>
        </w:rPr>
        <w:t>.,</w:t>
      </w:r>
      <w:r w:rsidRPr="00B84EA9">
        <w:rPr>
          <w:rFonts w:ascii="Times New Roman" w:hAnsi="Times New Roman"/>
          <w:color w:val="000000" w:themeColor="text1"/>
          <w:sz w:val="24"/>
          <w:szCs w:val="24"/>
        </w:rPr>
        <w:t xml:space="preserve"> 20</w:t>
      </w:r>
      <w:r w:rsidR="008A496A">
        <w:rPr>
          <w:rFonts w:ascii="Times New Roman" w:hAnsi="Times New Roman"/>
          <w:color w:val="000000" w:themeColor="text1"/>
          <w:sz w:val="24"/>
          <w:szCs w:val="24"/>
        </w:rPr>
        <w:t>21</w:t>
      </w:r>
      <w:r w:rsidRPr="00B84EA9">
        <w:rPr>
          <w:rFonts w:ascii="Times New Roman" w:hAnsi="Times New Roman"/>
          <w:color w:val="000000" w:themeColor="text1"/>
          <w:sz w:val="24"/>
          <w:szCs w:val="24"/>
        </w:rPr>
        <w:t xml:space="preserve">). The </w:t>
      </w:r>
      <w:r>
        <w:rPr>
          <w:rFonts w:ascii="Times New Roman" w:hAnsi="Times New Roman"/>
          <w:color w:val="000000" w:themeColor="text1"/>
          <w:sz w:val="24"/>
          <w:szCs w:val="24"/>
        </w:rPr>
        <w:t>triglyceride</w:t>
      </w:r>
      <w:r w:rsidRPr="00B84EA9">
        <w:rPr>
          <w:rFonts w:ascii="Times New Roman" w:hAnsi="Times New Roman"/>
          <w:color w:val="000000" w:themeColor="text1"/>
          <w:sz w:val="24"/>
          <w:szCs w:val="24"/>
        </w:rPr>
        <w:t xml:space="preserve"> and </w:t>
      </w:r>
      <w:r>
        <w:rPr>
          <w:rFonts w:ascii="Times New Roman" w:hAnsi="Times New Roman"/>
          <w:color w:val="000000" w:themeColor="text1"/>
          <w:sz w:val="24"/>
          <w:szCs w:val="24"/>
        </w:rPr>
        <w:t>glucose-lowering</w:t>
      </w:r>
      <w:r w:rsidRPr="00B84EA9">
        <w:rPr>
          <w:rFonts w:ascii="Times New Roman" w:hAnsi="Times New Roman"/>
          <w:color w:val="000000" w:themeColor="text1"/>
          <w:sz w:val="24"/>
          <w:szCs w:val="24"/>
        </w:rPr>
        <w:t xml:space="preserve"> properties of </w:t>
      </w:r>
      <w:r w:rsidRPr="00B84EA9">
        <w:rPr>
          <w:rFonts w:ascii="Times New Roman" w:hAnsi="Times New Roman"/>
          <w:i/>
          <w:iCs/>
          <w:color w:val="000000" w:themeColor="text1"/>
          <w:sz w:val="24"/>
          <w:szCs w:val="24"/>
        </w:rPr>
        <w:t xml:space="preserve">Pterocarpus </w:t>
      </w:r>
      <w:proofErr w:type="spellStart"/>
      <w:r w:rsidRPr="00B84EA9">
        <w:rPr>
          <w:rFonts w:ascii="Times New Roman" w:hAnsi="Times New Roman"/>
          <w:i/>
          <w:iCs/>
          <w:color w:val="000000" w:themeColor="text1"/>
          <w:sz w:val="24"/>
          <w:szCs w:val="24"/>
        </w:rPr>
        <w:t>santalinoides</w:t>
      </w:r>
      <w:proofErr w:type="spellEnd"/>
      <w:r w:rsidRPr="00B84EA9">
        <w:rPr>
          <w:rFonts w:ascii="Times New Roman" w:hAnsi="Times New Roman"/>
          <w:i/>
          <w:iCs/>
          <w:color w:val="000000" w:themeColor="text1"/>
          <w:sz w:val="24"/>
          <w:szCs w:val="24"/>
        </w:rPr>
        <w:t xml:space="preserve"> </w:t>
      </w:r>
      <w:r>
        <w:rPr>
          <w:rFonts w:ascii="Times New Roman" w:hAnsi="Times New Roman"/>
          <w:color w:val="000000" w:themeColor="text1"/>
          <w:sz w:val="24"/>
          <w:szCs w:val="24"/>
        </w:rPr>
        <w:t>have</w:t>
      </w:r>
      <w:r w:rsidRPr="00B84EA9">
        <w:rPr>
          <w:rFonts w:ascii="Times New Roman" w:hAnsi="Times New Roman"/>
          <w:color w:val="000000" w:themeColor="text1"/>
          <w:sz w:val="24"/>
          <w:szCs w:val="24"/>
        </w:rPr>
        <w:t xml:space="preserve"> been ascertained and</w:t>
      </w:r>
      <w:r>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as such, </w:t>
      </w:r>
      <w:r>
        <w:rPr>
          <w:rFonts w:ascii="Times New Roman" w:hAnsi="Times New Roman"/>
          <w:color w:val="000000" w:themeColor="text1"/>
          <w:sz w:val="24"/>
          <w:szCs w:val="24"/>
        </w:rPr>
        <w:t>lend</w:t>
      </w:r>
      <w:r w:rsidRPr="00B84EA9">
        <w:rPr>
          <w:rFonts w:ascii="Times New Roman" w:hAnsi="Times New Roman"/>
          <w:color w:val="000000" w:themeColor="text1"/>
          <w:sz w:val="24"/>
          <w:szCs w:val="24"/>
        </w:rPr>
        <w:t xml:space="preserve"> credence to its folkloric use in </w:t>
      </w:r>
      <w:r>
        <w:rPr>
          <w:rFonts w:ascii="Times New Roman" w:hAnsi="Times New Roman"/>
          <w:color w:val="000000" w:themeColor="text1"/>
          <w:sz w:val="24"/>
          <w:szCs w:val="24"/>
        </w:rPr>
        <w:t xml:space="preserve">the </w:t>
      </w:r>
      <w:r w:rsidRPr="00B84EA9">
        <w:rPr>
          <w:rFonts w:ascii="Times New Roman" w:hAnsi="Times New Roman"/>
          <w:color w:val="000000" w:themeColor="text1"/>
          <w:sz w:val="24"/>
          <w:szCs w:val="24"/>
        </w:rPr>
        <w:t>management of diabetic syndrome. It has also been documented that the bark and leaves of the plant possess anti-malarial, anti-infective</w:t>
      </w:r>
      <w:r>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and anti-abortive properties (</w:t>
      </w:r>
      <w:proofErr w:type="spellStart"/>
      <w:r w:rsidRPr="00B84EA9">
        <w:rPr>
          <w:rFonts w:ascii="Times New Roman" w:hAnsi="Times New Roman"/>
          <w:color w:val="000000" w:themeColor="text1"/>
          <w:sz w:val="24"/>
          <w:szCs w:val="24"/>
        </w:rPr>
        <w:t>Okwuosa</w:t>
      </w:r>
      <w:proofErr w:type="spellEnd"/>
      <w:r w:rsidRPr="00B84EA9">
        <w:rPr>
          <w:rFonts w:ascii="Times New Roman" w:hAnsi="Times New Roman"/>
          <w:color w:val="000000" w:themeColor="text1"/>
          <w:sz w:val="24"/>
          <w:szCs w:val="24"/>
        </w:rPr>
        <w:t xml:space="preserve"> </w:t>
      </w:r>
      <w:r w:rsidRPr="0044042F">
        <w:rPr>
          <w:rFonts w:ascii="Times New Roman" w:hAnsi="Times New Roman"/>
          <w:i/>
          <w:iCs/>
          <w:color w:val="000000" w:themeColor="text1"/>
          <w:sz w:val="24"/>
          <w:szCs w:val="24"/>
        </w:rPr>
        <w:t>et al</w:t>
      </w:r>
      <w:r w:rsidRPr="00B84EA9">
        <w:rPr>
          <w:rFonts w:ascii="Times New Roman" w:hAnsi="Times New Roman"/>
          <w:i/>
          <w:iCs/>
          <w:color w:val="000000" w:themeColor="text1"/>
          <w:sz w:val="24"/>
          <w:szCs w:val="24"/>
        </w:rPr>
        <w:t>.,</w:t>
      </w:r>
      <w:r w:rsidRPr="00B84EA9">
        <w:rPr>
          <w:rFonts w:ascii="Times New Roman" w:hAnsi="Times New Roman"/>
          <w:color w:val="000000" w:themeColor="text1"/>
          <w:sz w:val="24"/>
          <w:szCs w:val="24"/>
        </w:rPr>
        <w:t xml:space="preserve"> 2011). </w:t>
      </w:r>
      <w:r>
        <w:rPr>
          <w:rFonts w:ascii="Times New Roman" w:hAnsi="Times New Roman"/>
          <w:color w:val="000000" w:themeColor="text1"/>
          <w:sz w:val="24"/>
          <w:szCs w:val="24"/>
        </w:rPr>
        <w:lastRenderedPageBreak/>
        <w:t>Ethnomedicinally</w:t>
      </w:r>
      <w:r w:rsidRPr="00B84EA9">
        <w:rPr>
          <w:rFonts w:ascii="Times New Roman" w:hAnsi="Times New Roman"/>
          <w:color w:val="000000" w:themeColor="text1"/>
          <w:sz w:val="24"/>
          <w:szCs w:val="24"/>
        </w:rPr>
        <w:t xml:space="preserve">, the leaf extract of </w:t>
      </w:r>
      <w:r w:rsidRPr="00B84EA9">
        <w:rPr>
          <w:rFonts w:ascii="Times New Roman" w:hAnsi="Times New Roman"/>
          <w:i/>
          <w:iCs/>
          <w:color w:val="000000" w:themeColor="text1"/>
          <w:sz w:val="24"/>
          <w:szCs w:val="24"/>
        </w:rPr>
        <w:t xml:space="preserve">Pterocarpus </w:t>
      </w:r>
      <w:proofErr w:type="spellStart"/>
      <w:r w:rsidRPr="00B84EA9">
        <w:rPr>
          <w:rFonts w:ascii="Times New Roman" w:hAnsi="Times New Roman"/>
          <w:i/>
          <w:iCs/>
          <w:color w:val="000000" w:themeColor="text1"/>
          <w:sz w:val="24"/>
          <w:szCs w:val="24"/>
        </w:rPr>
        <w:t>santalinoides</w:t>
      </w:r>
      <w:proofErr w:type="spellEnd"/>
      <w:r w:rsidRPr="00B84EA9">
        <w:rPr>
          <w:rFonts w:ascii="Times New Roman" w:hAnsi="Times New Roman"/>
          <w:i/>
          <w:iCs/>
          <w:color w:val="000000" w:themeColor="text1"/>
          <w:sz w:val="24"/>
          <w:szCs w:val="24"/>
        </w:rPr>
        <w:t xml:space="preserve"> </w:t>
      </w:r>
      <w:r w:rsidRPr="00B84EA9">
        <w:rPr>
          <w:rFonts w:ascii="Times New Roman" w:hAnsi="Times New Roman"/>
          <w:color w:val="000000" w:themeColor="text1"/>
          <w:sz w:val="24"/>
          <w:szCs w:val="24"/>
        </w:rPr>
        <w:t xml:space="preserve">is used in the management of high blood pressure among the </w:t>
      </w:r>
      <w:proofErr w:type="spellStart"/>
      <w:r w:rsidRPr="00B84EA9">
        <w:rPr>
          <w:rFonts w:ascii="Times New Roman" w:hAnsi="Times New Roman"/>
          <w:color w:val="000000" w:themeColor="text1"/>
          <w:sz w:val="24"/>
          <w:szCs w:val="24"/>
        </w:rPr>
        <w:t>Igede</w:t>
      </w:r>
      <w:proofErr w:type="spellEnd"/>
      <w:r w:rsidRPr="00B84EA9">
        <w:rPr>
          <w:rFonts w:ascii="Times New Roman" w:hAnsi="Times New Roman"/>
          <w:color w:val="000000" w:themeColor="text1"/>
          <w:sz w:val="24"/>
          <w:szCs w:val="24"/>
        </w:rPr>
        <w:t xml:space="preserve"> tribe in central Nigeria (</w:t>
      </w:r>
      <w:proofErr w:type="spellStart"/>
      <w:r w:rsidRPr="00335E4D">
        <w:rPr>
          <w:rFonts w:ascii="Times New Roman" w:hAnsi="Times New Roman"/>
          <w:sz w:val="24"/>
          <w:szCs w:val="24"/>
        </w:rPr>
        <w:t>Anyam</w:t>
      </w:r>
      <w:proofErr w:type="spellEnd"/>
      <w:r>
        <w:t xml:space="preserve"> </w:t>
      </w:r>
      <w:r w:rsidRPr="0044042F">
        <w:rPr>
          <w:rFonts w:ascii="Times New Roman" w:hAnsi="Times New Roman"/>
          <w:i/>
          <w:iCs/>
          <w:color w:val="000000" w:themeColor="text1"/>
          <w:sz w:val="24"/>
          <w:szCs w:val="24"/>
        </w:rPr>
        <w:t>et al</w:t>
      </w:r>
      <w:r w:rsidRPr="00B84EA9">
        <w:rPr>
          <w:rFonts w:ascii="Times New Roman" w:hAnsi="Times New Roman"/>
          <w:i/>
          <w:iCs/>
          <w:color w:val="000000" w:themeColor="text1"/>
          <w:sz w:val="24"/>
          <w:szCs w:val="24"/>
        </w:rPr>
        <w:t>.,</w:t>
      </w:r>
      <w:r w:rsidRPr="00B84EA9">
        <w:rPr>
          <w:rFonts w:ascii="Times New Roman" w:hAnsi="Times New Roman"/>
          <w:color w:val="000000" w:themeColor="text1"/>
          <w:sz w:val="24"/>
          <w:szCs w:val="24"/>
        </w:rPr>
        <w:t xml:space="preserve"> 20</w:t>
      </w:r>
      <w:r>
        <w:rPr>
          <w:rFonts w:ascii="Times New Roman" w:hAnsi="Times New Roman"/>
          <w:color w:val="000000" w:themeColor="text1"/>
          <w:sz w:val="24"/>
          <w:szCs w:val="24"/>
        </w:rPr>
        <w:t>2</w:t>
      </w:r>
      <w:r w:rsidRPr="00B84EA9">
        <w:rPr>
          <w:rFonts w:ascii="Times New Roman" w:hAnsi="Times New Roman"/>
          <w:color w:val="000000" w:themeColor="text1"/>
          <w:sz w:val="24"/>
          <w:szCs w:val="24"/>
        </w:rPr>
        <w:t>5).</w:t>
      </w:r>
    </w:p>
    <w:p w14:paraId="335F3195" w14:textId="77777777" w:rsidR="00335E4D" w:rsidRDefault="00335E4D" w:rsidP="00335E4D">
      <w:pPr>
        <w:spacing w:line="480" w:lineRule="auto"/>
        <w:jc w:val="both"/>
        <w:rPr>
          <w:rFonts w:ascii="Times New Roman" w:hAnsi="Times New Roman"/>
          <w:color w:val="000000" w:themeColor="text1"/>
          <w:sz w:val="24"/>
          <w:szCs w:val="24"/>
        </w:rPr>
      </w:pPr>
      <w:r w:rsidRPr="00B84EA9">
        <w:rPr>
          <w:rFonts w:ascii="Times New Roman" w:hAnsi="Times New Roman"/>
          <w:color w:val="000000" w:themeColor="text1"/>
          <w:sz w:val="24"/>
          <w:szCs w:val="24"/>
        </w:rPr>
        <w:t>Lipid markers such as Low-density lipoprotein, triglycerides</w:t>
      </w:r>
      <w:r>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and High-density lipoprotein are key indicators of </w:t>
      </w:r>
      <w:r w:rsidRPr="00B84EA9">
        <w:rPr>
          <w:rFonts w:ascii="Times New Roman" w:hAnsi="Times New Roman"/>
          <w:color w:val="000000" w:themeColor="text1"/>
          <w:sz w:val="24"/>
          <w:szCs w:val="24"/>
          <w:shd w:val="clear" w:color="auto" w:fill="FFFFFF"/>
        </w:rPr>
        <w:t xml:space="preserve">Cardiovascular </w:t>
      </w:r>
      <w:r w:rsidRPr="00B84EA9">
        <w:rPr>
          <w:rFonts w:ascii="Times New Roman" w:hAnsi="Times New Roman"/>
          <w:color w:val="000000" w:themeColor="text1"/>
          <w:sz w:val="24"/>
          <w:szCs w:val="24"/>
        </w:rPr>
        <w:t>risk, as they reflect the levels of fats in the blood that can contribute to the development of atherosclerosis and other heart-related conditions. Also, the role of environmental pollutants such as heavy metals in worsening cardiovascular risk has gathered increasing attention (</w:t>
      </w:r>
      <w:r w:rsidRPr="00B84EA9">
        <w:rPr>
          <w:rFonts w:ascii="Times New Roman" w:hAnsi="Times New Roman"/>
          <w:color w:val="000000" w:themeColor="text1"/>
          <w:sz w:val="24"/>
          <w:szCs w:val="24"/>
          <w:shd w:val="clear" w:color="auto" w:fill="FFFFFF"/>
        </w:rPr>
        <w:t xml:space="preserve">Nigra </w:t>
      </w:r>
      <w:r w:rsidRPr="0044042F">
        <w:rPr>
          <w:rFonts w:ascii="Times New Roman" w:hAnsi="Times New Roman"/>
          <w:i/>
          <w:iCs/>
          <w:color w:val="000000" w:themeColor="text1"/>
          <w:sz w:val="24"/>
          <w:szCs w:val="24"/>
          <w:shd w:val="clear" w:color="auto" w:fill="FFFFFF"/>
        </w:rPr>
        <w:t>et al</w:t>
      </w:r>
      <w:r w:rsidRPr="00B84EA9">
        <w:rPr>
          <w:rFonts w:ascii="Times New Roman" w:hAnsi="Times New Roman"/>
          <w:i/>
          <w:iCs/>
          <w:color w:val="000000" w:themeColor="text1"/>
          <w:sz w:val="24"/>
          <w:szCs w:val="24"/>
          <w:shd w:val="clear" w:color="auto" w:fill="FFFFFF"/>
        </w:rPr>
        <w:t>.,</w:t>
      </w:r>
      <w:r w:rsidRPr="00B84EA9">
        <w:rPr>
          <w:rFonts w:ascii="Times New Roman" w:hAnsi="Times New Roman"/>
          <w:color w:val="000000" w:themeColor="text1"/>
          <w:sz w:val="24"/>
          <w:szCs w:val="24"/>
          <w:shd w:val="clear" w:color="auto" w:fill="FFFFFF"/>
        </w:rPr>
        <w:t xml:space="preserve"> 2016</w:t>
      </w:r>
      <w:r w:rsidRPr="00B84EA9">
        <w:rPr>
          <w:rFonts w:ascii="Times New Roman" w:hAnsi="Times New Roman"/>
          <w:color w:val="000000" w:themeColor="text1"/>
          <w:sz w:val="24"/>
          <w:szCs w:val="24"/>
        </w:rPr>
        <w:t>). Lead and cadmium are common environmental contaminants with overlapping exposure sources</w:t>
      </w:r>
      <w:r>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as lead is often found in lead-based paints, contaminated soil, water from lead pipes</w:t>
      </w:r>
      <w:r>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and industrial emissions, while cadmium exposure commonly occurs through tobacco smoke and food grown in contaminated soil </w:t>
      </w:r>
      <w:r w:rsidRPr="00B84EA9">
        <w:rPr>
          <w:rFonts w:ascii="Times New Roman" w:hAnsi="Times New Roman"/>
          <w:color w:val="000000" w:themeColor="text1"/>
          <w:sz w:val="24"/>
          <w:szCs w:val="24"/>
          <w:shd w:val="clear" w:color="auto" w:fill="FFFFFF"/>
        </w:rPr>
        <w:t>(</w:t>
      </w:r>
      <w:proofErr w:type="spellStart"/>
      <w:r w:rsidRPr="00B84EA9">
        <w:rPr>
          <w:rFonts w:ascii="Times New Roman" w:hAnsi="Times New Roman"/>
          <w:color w:val="000000" w:themeColor="text1"/>
          <w:sz w:val="24"/>
          <w:szCs w:val="24"/>
          <w:shd w:val="clear" w:color="auto" w:fill="FFFFFF"/>
        </w:rPr>
        <w:t>Satarug</w:t>
      </w:r>
      <w:proofErr w:type="spellEnd"/>
      <w:r w:rsidRPr="00B84EA9">
        <w:rPr>
          <w:rFonts w:ascii="Times New Roman" w:hAnsi="Times New Roman"/>
          <w:color w:val="000000" w:themeColor="text1"/>
          <w:sz w:val="24"/>
          <w:szCs w:val="24"/>
          <w:shd w:val="clear" w:color="auto" w:fill="FFFFFF"/>
        </w:rPr>
        <w:t>, 2019)</w:t>
      </w:r>
      <w:r w:rsidRPr="00B84EA9">
        <w:rPr>
          <w:rFonts w:ascii="Times New Roman" w:hAnsi="Times New Roman"/>
          <w:color w:val="000000" w:themeColor="text1"/>
          <w:sz w:val="24"/>
          <w:szCs w:val="24"/>
        </w:rPr>
        <w:t>. Both metals co-occur near industrial sites, smelting facilities</w:t>
      </w:r>
      <w:r>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and mining operations, contaminating soil, water</w:t>
      </w:r>
      <w:r>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and air</w:t>
      </w:r>
      <w:r>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which underscores the importance of studying their health effects </w:t>
      </w:r>
      <w:r w:rsidRPr="00B84EA9">
        <w:rPr>
          <w:rFonts w:ascii="Times New Roman" w:hAnsi="Times New Roman"/>
          <w:color w:val="000000" w:themeColor="text1"/>
          <w:sz w:val="24"/>
          <w:szCs w:val="24"/>
          <w:shd w:val="clear" w:color="auto" w:fill="FFFFFF"/>
        </w:rPr>
        <w:t xml:space="preserve">(Chen </w:t>
      </w:r>
      <w:r w:rsidRPr="0044042F">
        <w:rPr>
          <w:rFonts w:ascii="Times New Roman" w:hAnsi="Times New Roman"/>
          <w:i/>
          <w:iCs/>
          <w:color w:val="000000" w:themeColor="text1"/>
          <w:sz w:val="24"/>
          <w:szCs w:val="24"/>
          <w:shd w:val="clear" w:color="auto" w:fill="FFFFFF"/>
        </w:rPr>
        <w:t>et al</w:t>
      </w:r>
      <w:r w:rsidRPr="00B84EA9">
        <w:rPr>
          <w:rFonts w:ascii="Times New Roman" w:hAnsi="Times New Roman"/>
          <w:i/>
          <w:iCs/>
          <w:color w:val="000000" w:themeColor="text1"/>
          <w:sz w:val="24"/>
          <w:szCs w:val="24"/>
          <w:shd w:val="clear" w:color="auto" w:fill="FFFFFF"/>
        </w:rPr>
        <w:t>.,</w:t>
      </w:r>
      <w:r w:rsidRPr="00B84EA9">
        <w:rPr>
          <w:rFonts w:ascii="Times New Roman" w:hAnsi="Times New Roman"/>
          <w:color w:val="000000" w:themeColor="text1"/>
          <w:sz w:val="24"/>
          <w:szCs w:val="24"/>
          <w:shd w:val="clear" w:color="auto" w:fill="FFFFFF"/>
        </w:rPr>
        <w:t xml:space="preserve"> 2019)</w:t>
      </w:r>
      <w:r w:rsidRPr="00B84EA9">
        <w:rPr>
          <w:rFonts w:ascii="Times New Roman" w:hAnsi="Times New Roman"/>
          <w:color w:val="000000" w:themeColor="text1"/>
          <w:sz w:val="24"/>
          <w:szCs w:val="24"/>
        </w:rPr>
        <w:t>.</w:t>
      </w:r>
    </w:p>
    <w:p w14:paraId="65FDF93E" w14:textId="77777777" w:rsidR="00335E4D" w:rsidRDefault="00335E4D" w:rsidP="00335E4D">
      <w:pPr>
        <w:spacing w:line="480" w:lineRule="auto"/>
        <w:jc w:val="both"/>
        <w:rPr>
          <w:rFonts w:ascii="Times New Roman" w:hAnsi="Times New Roman"/>
          <w:color w:val="000000" w:themeColor="text1"/>
          <w:sz w:val="24"/>
          <w:szCs w:val="24"/>
        </w:rPr>
      </w:pPr>
      <w:r w:rsidRPr="00B84EA9">
        <w:rPr>
          <w:rFonts w:ascii="Times New Roman" w:hAnsi="Times New Roman"/>
          <w:color w:val="000000" w:themeColor="text1"/>
          <w:sz w:val="24"/>
          <w:szCs w:val="24"/>
        </w:rPr>
        <w:t xml:space="preserve">Cadmium has a much longer half-life in blood, approximately three to four months, due to its accumulation in organs such as the kidneys and liver, from </w:t>
      </w:r>
      <w:r>
        <w:rPr>
          <w:rFonts w:ascii="Times New Roman" w:hAnsi="Times New Roman"/>
          <w:color w:val="000000" w:themeColor="text1"/>
          <w:sz w:val="24"/>
          <w:szCs w:val="24"/>
        </w:rPr>
        <w:t>which</w:t>
      </w:r>
      <w:r w:rsidRPr="00B84EA9">
        <w:rPr>
          <w:rFonts w:ascii="Times New Roman" w:hAnsi="Times New Roman"/>
          <w:color w:val="000000" w:themeColor="text1"/>
          <w:sz w:val="24"/>
          <w:szCs w:val="24"/>
        </w:rPr>
        <w:t xml:space="preserve"> it is slowly released. This half-life indicates that blood levels can provide insight into both recent and cumulative exposure </w:t>
      </w:r>
      <w:r w:rsidRPr="00B84EA9">
        <w:rPr>
          <w:rFonts w:ascii="Times New Roman" w:hAnsi="Times New Roman"/>
          <w:color w:val="000000" w:themeColor="text1"/>
          <w:sz w:val="24"/>
          <w:szCs w:val="24"/>
          <w:shd w:val="clear" w:color="auto" w:fill="FFFFFF"/>
        </w:rPr>
        <w:t>(</w:t>
      </w:r>
      <w:proofErr w:type="spellStart"/>
      <w:r w:rsidRPr="00B84EA9">
        <w:rPr>
          <w:rFonts w:ascii="Times New Roman" w:hAnsi="Times New Roman"/>
          <w:color w:val="000000" w:themeColor="text1"/>
          <w:sz w:val="24"/>
          <w:szCs w:val="24"/>
          <w:shd w:val="clear" w:color="auto" w:fill="FFFFFF"/>
        </w:rPr>
        <w:t>Magelsir</w:t>
      </w:r>
      <w:proofErr w:type="spellEnd"/>
      <w:r w:rsidRPr="00B84EA9">
        <w:rPr>
          <w:rFonts w:ascii="Times New Roman" w:hAnsi="Times New Roman"/>
          <w:color w:val="000000" w:themeColor="text1"/>
          <w:sz w:val="24"/>
          <w:szCs w:val="24"/>
          <w:shd w:val="clear" w:color="auto" w:fill="FFFFFF"/>
        </w:rPr>
        <w:t>, 2016)</w:t>
      </w:r>
      <w:r w:rsidRPr="00B84EA9">
        <w:rPr>
          <w:rFonts w:ascii="Times New Roman" w:hAnsi="Times New Roman"/>
          <w:color w:val="000000" w:themeColor="text1"/>
          <w:sz w:val="24"/>
          <w:szCs w:val="24"/>
        </w:rPr>
        <w:t>. Exposure to metals primarily occurs via inhalation and ingestion, with inhalation being more common in occupational settings, such as smelting and manufacturing, and ingestion being more common from contaminated food, water</w:t>
      </w:r>
      <w:r>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and soil. More so, dermal absorption is generally less significant</w:t>
      </w:r>
      <w:r w:rsidR="008A496A">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though it can contribute in specific cases, such as handling contaminated material</w:t>
      </w:r>
      <w:r>
        <w:rPr>
          <w:rFonts w:ascii="Times New Roman" w:hAnsi="Times New Roman"/>
          <w:color w:val="000000" w:themeColor="text1"/>
          <w:sz w:val="24"/>
          <w:szCs w:val="24"/>
        </w:rPr>
        <w:t>s without protective equipment.</w:t>
      </w:r>
    </w:p>
    <w:p w14:paraId="5B4FB0BD" w14:textId="77777777" w:rsidR="00335E4D" w:rsidRDefault="00335E4D" w:rsidP="00335E4D">
      <w:pPr>
        <w:spacing w:line="480" w:lineRule="auto"/>
        <w:jc w:val="both"/>
        <w:rPr>
          <w:rFonts w:ascii="Times New Roman" w:hAnsi="Times New Roman"/>
          <w:color w:val="000000" w:themeColor="text1"/>
          <w:sz w:val="24"/>
          <w:szCs w:val="24"/>
        </w:rPr>
      </w:pPr>
      <w:r w:rsidRPr="00B84EA9">
        <w:rPr>
          <w:rFonts w:ascii="Times New Roman" w:hAnsi="Times New Roman"/>
          <w:color w:val="000000" w:themeColor="text1"/>
          <w:sz w:val="24"/>
          <w:szCs w:val="24"/>
        </w:rPr>
        <w:t>Cadmium</w:t>
      </w:r>
      <w:r w:rsidR="008A496A">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being a pervasive environmental contaminant, </w:t>
      </w:r>
      <w:r w:rsidR="008A496A">
        <w:rPr>
          <w:rFonts w:ascii="Times New Roman" w:hAnsi="Times New Roman"/>
          <w:color w:val="000000" w:themeColor="text1"/>
          <w:sz w:val="24"/>
          <w:szCs w:val="24"/>
        </w:rPr>
        <w:t>has</w:t>
      </w:r>
      <w:r w:rsidRPr="00B84EA9">
        <w:rPr>
          <w:rFonts w:ascii="Times New Roman" w:hAnsi="Times New Roman"/>
          <w:color w:val="000000" w:themeColor="text1"/>
          <w:sz w:val="24"/>
          <w:szCs w:val="24"/>
        </w:rPr>
        <w:t xml:space="preserve"> been implicated in a range of adverse health outcomes, including hypertension, atherosclerosis</w:t>
      </w:r>
      <w:r w:rsidR="008A496A">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and dyslipidemia </w:t>
      </w:r>
      <w:r w:rsidRPr="00B84EA9">
        <w:rPr>
          <w:rFonts w:ascii="Times New Roman" w:hAnsi="Times New Roman"/>
          <w:color w:val="000000" w:themeColor="text1"/>
          <w:sz w:val="24"/>
          <w:szCs w:val="24"/>
          <w:shd w:val="clear" w:color="auto" w:fill="FFFFFF"/>
        </w:rPr>
        <w:t xml:space="preserve">(Lamas </w:t>
      </w:r>
      <w:r w:rsidRPr="0044042F">
        <w:rPr>
          <w:rFonts w:ascii="Times New Roman" w:hAnsi="Times New Roman"/>
          <w:i/>
          <w:iCs/>
          <w:color w:val="000000" w:themeColor="text1"/>
          <w:sz w:val="24"/>
          <w:szCs w:val="24"/>
          <w:shd w:val="clear" w:color="auto" w:fill="FFFFFF"/>
        </w:rPr>
        <w:t>et al</w:t>
      </w:r>
      <w:r w:rsidRPr="00B84EA9">
        <w:rPr>
          <w:rFonts w:ascii="Times New Roman" w:hAnsi="Times New Roman"/>
          <w:i/>
          <w:iCs/>
          <w:color w:val="000000" w:themeColor="text1"/>
          <w:sz w:val="24"/>
          <w:szCs w:val="24"/>
          <w:shd w:val="clear" w:color="auto" w:fill="FFFFFF"/>
        </w:rPr>
        <w:t>.,</w:t>
      </w:r>
      <w:r w:rsidRPr="00B84EA9">
        <w:rPr>
          <w:rFonts w:ascii="Times New Roman" w:hAnsi="Times New Roman"/>
          <w:color w:val="000000" w:themeColor="text1"/>
          <w:sz w:val="24"/>
          <w:szCs w:val="24"/>
          <w:shd w:val="clear" w:color="auto" w:fill="FFFFFF"/>
        </w:rPr>
        <w:t xml:space="preserve"> 2021)</w:t>
      </w:r>
      <w:r w:rsidR="008A496A">
        <w:rPr>
          <w:rFonts w:ascii="Times New Roman" w:hAnsi="Times New Roman"/>
          <w:color w:val="000000" w:themeColor="text1"/>
          <w:sz w:val="24"/>
          <w:szCs w:val="24"/>
          <w:shd w:val="clear" w:color="auto" w:fill="FFFFFF"/>
        </w:rPr>
        <w:t>,</w:t>
      </w:r>
      <w:r w:rsidRPr="00B84EA9">
        <w:rPr>
          <w:rFonts w:ascii="Times New Roman" w:hAnsi="Times New Roman"/>
          <w:color w:val="000000" w:themeColor="text1"/>
          <w:sz w:val="24"/>
          <w:szCs w:val="24"/>
          <w:shd w:val="clear" w:color="auto" w:fill="FFFFFF"/>
        </w:rPr>
        <w:t xml:space="preserve"> and t</w:t>
      </w:r>
      <w:r w:rsidRPr="00B84EA9">
        <w:rPr>
          <w:rFonts w:ascii="Times New Roman" w:hAnsi="Times New Roman"/>
          <w:color w:val="000000" w:themeColor="text1"/>
          <w:sz w:val="24"/>
          <w:szCs w:val="24"/>
        </w:rPr>
        <w:t xml:space="preserve">he blood cadmium reference normal value </w:t>
      </w:r>
      <w:r w:rsidR="008A496A">
        <w:rPr>
          <w:rFonts w:ascii="Times New Roman" w:hAnsi="Times New Roman"/>
          <w:color w:val="000000" w:themeColor="text1"/>
          <w:sz w:val="24"/>
          <w:szCs w:val="24"/>
        </w:rPr>
        <w:t>concentration is</w:t>
      </w:r>
      <w:r w:rsidRPr="00B84EA9">
        <w:rPr>
          <w:rFonts w:ascii="Times New Roman" w:hAnsi="Times New Roman"/>
          <w:color w:val="000000" w:themeColor="text1"/>
          <w:sz w:val="24"/>
          <w:szCs w:val="24"/>
        </w:rPr>
        <w:t xml:space="preserve"> less than 5.0ppb, with typical levels ranging from 0.5-2.0ppb (</w:t>
      </w:r>
      <w:r w:rsidRPr="00B84EA9">
        <w:rPr>
          <w:rFonts w:ascii="Times New Roman" w:hAnsi="Times New Roman"/>
          <w:color w:val="000000" w:themeColor="text1"/>
          <w:sz w:val="24"/>
          <w:szCs w:val="24"/>
          <w:shd w:val="clear" w:color="auto" w:fill="FFFFFF"/>
        </w:rPr>
        <w:t>Burtis and Bruns, 2014)</w:t>
      </w:r>
      <w:r w:rsidRPr="00B84EA9">
        <w:rPr>
          <w:rFonts w:ascii="Times New Roman" w:hAnsi="Times New Roman"/>
          <w:color w:val="000000" w:themeColor="text1"/>
          <w:sz w:val="24"/>
          <w:szCs w:val="24"/>
        </w:rPr>
        <w:t>. Acute toxicity is observed when blood cadmium exceeds 50ppb. Smokers generally have blood cadmium levels of 1-4ppb, significantly higher than non-smokers, whose levels are usually below 0.5ppb (</w:t>
      </w:r>
      <w:r w:rsidR="008A496A" w:rsidRPr="008A496A">
        <w:rPr>
          <w:rFonts w:ascii="Times New Roman" w:hAnsi="Times New Roman"/>
          <w:color w:val="000000" w:themeColor="text1"/>
          <w:sz w:val="24"/>
          <w:szCs w:val="24"/>
          <w:shd w:val="clear" w:color="auto" w:fill="FFFFFF"/>
        </w:rPr>
        <w:t>Lamkarkach</w:t>
      </w:r>
      <w:r w:rsidR="008A496A">
        <w:rPr>
          <w:rFonts w:ascii="Times New Roman" w:hAnsi="Times New Roman"/>
          <w:color w:val="000000" w:themeColor="text1"/>
          <w:sz w:val="24"/>
          <w:szCs w:val="24"/>
          <w:shd w:val="clear" w:color="auto" w:fill="FFFFFF"/>
        </w:rPr>
        <w:t xml:space="preserve"> </w:t>
      </w:r>
      <w:r w:rsidRPr="0044042F">
        <w:rPr>
          <w:rFonts w:ascii="Times New Roman" w:hAnsi="Times New Roman"/>
          <w:i/>
          <w:iCs/>
          <w:color w:val="000000" w:themeColor="text1"/>
          <w:sz w:val="24"/>
          <w:szCs w:val="24"/>
          <w:shd w:val="clear" w:color="auto" w:fill="FFFFFF"/>
        </w:rPr>
        <w:t>et al</w:t>
      </w:r>
      <w:r w:rsidRPr="00B84EA9">
        <w:rPr>
          <w:rFonts w:ascii="Times New Roman" w:hAnsi="Times New Roman"/>
          <w:i/>
          <w:iCs/>
          <w:color w:val="000000" w:themeColor="text1"/>
          <w:sz w:val="24"/>
          <w:szCs w:val="24"/>
          <w:shd w:val="clear" w:color="auto" w:fill="FFFFFF"/>
        </w:rPr>
        <w:t>.,</w:t>
      </w:r>
      <w:r w:rsidRPr="00B84EA9">
        <w:rPr>
          <w:rFonts w:ascii="Times New Roman" w:hAnsi="Times New Roman"/>
          <w:color w:val="000000" w:themeColor="text1"/>
          <w:sz w:val="24"/>
          <w:szCs w:val="24"/>
          <w:shd w:val="clear" w:color="auto" w:fill="FFFFFF"/>
        </w:rPr>
        <w:t xml:space="preserve"> </w:t>
      </w:r>
      <w:r w:rsidR="008A496A">
        <w:rPr>
          <w:rFonts w:ascii="Times New Roman" w:hAnsi="Times New Roman"/>
          <w:color w:val="000000" w:themeColor="text1"/>
          <w:sz w:val="24"/>
          <w:szCs w:val="24"/>
          <w:shd w:val="clear" w:color="auto" w:fill="FFFFFF"/>
        </w:rPr>
        <w:t>2021</w:t>
      </w:r>
      <w:r w:rsidRPr="00B84EA9">
        <w:rPr>
          <w:rFonts w:ascii="Times New Roman" w:hAnsi="Times New Roman"/>
          <w:color w:val="000000" w:themeColor="text1"/>
          <w:sz w:val="24"/>
          <w:szCs w:val="24"/>
          <w:shd w:val="clear" w:color="auto" w:fill="FFFFFF"/>
        </w:rPr>
        <w:t>)</w:t>
      </w:r>
      <w:r w:rsidR="008A496A">
        <w:rPr>
          <w:rFonts w:ascii="Times New Roman" w:hAnsi="Times New Roman"/>
          <w:color w:val="000000" w:themeColor="text1"/>
          <w:sz w:val="24"/>
          <w:szCs w:val="24"/>
        </w:rPr>
        <w:t>.</w:t>
      </w:r>
    </w:p>
    <w:p w14:paraId="1B3C2E1C" w14:textId="77777777" w:rsidR="00335E4D" w:rsidRDefault="00335E4D" w:rsidP="00335E4D">
      <w:pPr>
        <w:spacing w:line="480" w:lineRule="auto"/>
        <w:jc w:val="both"/>
        <w:rPr>
          <w:rFonts w:ascii="Times New Roman" w:hAnsi="Times New Roman"/>
          <w:color w:val="000000" w:themeColor="text1"/>
          <w:sz w:val="24"/>
          <w:szCs w:val="24"/>
        </w:rPr>
      </w:pPr>
      <w:r w:rsidRPr="00B84EA9">
        <w:rPr>
          <w:rFonts w:ascii="Times New Roman" w:hAnsi="Times New Roman"/>
          <w:color w:val="000000" w:themeColor="text1"/>
          <w:sz w:val="24"/>
          <w:szCs w:val="24"/>
        </w:rPr>
        <w:lastRenderedPageBreak/>
        <w:t xml:space="preserve">The liver is a significant organ for metal accumulation and metabolism (Kalantzi </w:t>
      </w:r>
      <w:r w:rsidRPr="0044042F">
        <w:rPr>
          <w:rFonts w:ascii="Times New Roman" w:hAnsi="Times New Roman"/>
          <w:i/>
          <w:iCs/>
          <w:color w:val="000000" w:themeColor="text1"/>
          <w:sz w:val="24"/>
          <w:szCs w:val="24"/>
        </w:rPr>
        <w:t>et al</w:t>
      </w:r>
      <w:r w:rsidRPr="00B84EA9">
        <w:rPr>
          <w:rFonts w:ascii="Times New Roman" w:hAnsi="Times New Roman"/>
          <w:i/>
          <w:iCs/>
          <w:color w:val="000000" w:themeColor="text1"/>
          <w:sz w:val="24"/>
          <w:szCs w:val="24"/>
        </w:rPr>
        <w:t>.,</w:t>
      </w:r>
      <w:r w:rsidRPr="00B84EA9">
        <w:rPr>
          <w:rFonts w:ascii="Times New Roman" w:hAnsi="Times New Roman"/>
          <w:color w:val="000000" w:themeColor="text1"/>
          <w:sz w:val="24"/>
          <w:szCs w:val="24"/>
        </w:rPr>
        <w:t xml:space="preserve"> 2016). Liver function abnormalities are </w:t>
      </w:r>
      <w:r>
        <w:rPr>
          <w:rFonts w:ascii="Times New Roman" w:hAnsi="Times New Roman"/>
          <w:color w:val="000000" w:themeColor="text1"/>
          <w:sz w:val="24"/>
          <w:szCs w:val="24"/>
        </w:rPr>
        <w:t>major</w:t>
      </w:r>
      <w:r w:rsidRPr="00B84EA9">
        <w:rPr>
          <w:rFonts w:ascii="Times New Roman" w:hAnsi="Times New Roman"/>
          <w:color w:val="000000" w:themeColor="text1"/>
          <w:sz w:val="24"/>
          <w:szCs w:val="24"/>
        </w:rPr>
        <w:t xml:space="preserve"> risk factors </w:t>
      </w:r>
      <w:r w:rsidR="008A496A">
        <w:rPr>
          <w:rFonts w:ascii="Times New Roman" w:hAnsi="Times New Roman"/>
          <w:color w:val="000000" w:themeColor="text1"/>
          <w:sz w:val="24"/>
          <w:szCs w:val="24"/>
        </w:rPr>
        <w:t>for</w:t>
      </w:r>
      <w:r w:rsidRPr="00B84EA9">
        <w:rPr>
          <w:rFonts w:ascii="Times New Roman" w:hAnsi="Times New Roman"/>
          <w:color w:val="000000" w:themeColor="text1"/>
          <w:sz w:val="24"/>
          <w:szCs w:val="24"/>
        </w:rPr>
        <w:t xml:space="preserve"> liver disease</w:t>
      </w:r>
      <w:r w:rsidR="008A496A">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including cirrhosis, fatty liver disease</w:t>
      </w:r>
      <w:r w:rsidR="008A496A">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and liver cancer</w:t>
      </w:r>
      <w:r>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and </w:t>
      </w:r>
      <w:r>
        <w:rPr>
          <w:rFonts w:ascii="Times New Roman" w:hAnsi="Times New Roman"/>
          <w:color w:val="000000" w:themeColor="text1"/>
          <w:sz w:val="24"/>
          <w:szCs w:val="24"/>
        </w:rPr>
        <w:t>account</w:t>
      </w:r>
      <w:r w:rsidRPr="00B84EA9">
        <w:rPr>
          <w:rFonts w:ascii="Times New Roman" w:hAnsi="Times New Roman"/>
          <w:color w:val="000000" w:themeColor="text1"/>
          <w:sz w:val="24"/>
          <w:szCs w:val="24"/>
        </w:rPr>
        <w:t xml:space="preserve"> for two million deaths annually (</w:t>
      </w:r>
      <w:proofErr w:type="spellStart"/>
      <w:r w:rsidRPr="00B84EA9">
        <w:rPr>
          <w:rFonts w:ascii="Times New Roman" w:hAnsi="Times New Roman"/>
          <w:color w:val="000000" w:themeColor="text1"/>
          <w:sz w:val="24"/>
          <w:szCs w:val="24"/>
        </w:rPr>
        <w:t>Devarbhavi</w:t>
      </w:r>
      <w:proofErr w:type="spellEnd"/>
      <w:r w:rsidRPr="00B84EA9">
        <w:rPr>
          <w:rFonts w:ascii="Times New Roman" w:hAnsi="Times New Roman"/>
          <w:color w:val="000000" w:themeColor="text1"/>
          <w:sz w:val="24"/>
          <w:szCs w:val="24"/>
        </w:rPr>
        <w:t xml:space="preserve"> </w:t>
      </w:r>
      <w:r w:rsidRPr="0044042F">
        <w:rPr>
          <w:rFonts w:ascii="Times New Roman" w:hAnsi="Times New Roman"/>
          <w:i/>
          <w:iCs/>
          <w:color w:val="000000" w:themeColor="text1"/>
          <w:sz w:val="24"/>
          <w:szCs w:val="24"/>
        </w:rPr>
        <w:t>et al</w:t>
      </w:r>
      <w:r w:rsidRPr="00B84EA9">
        <w:rPr>
          <w:rFonts w:ascii="Times New Roman" w:hAnsi="Times New Roman"/>
          <w:i/>
          <w:iCs/>
          <w:color w:val="000000" w:themeColor="text1"/>
          <w:sz w:val="24"/>
          <w:szCs w:val="24"/>
        </w:rPr>
        <w:t>.,</w:t>
      </w:r>
      <w:r w:rsidRPr="00B84EA9">
        <w:rPr>
          <w:rFonts w:ascii="Times New Roman" w:hAnsi="Times New Roman"/>
          <w:color w:val="000000" w:themeColor="text1"/>
          <w:sz w:val="24"/>
          <w:szCs w:val="24"/>
        </w:rPr>
        <w:t xml:space="preserve"> 2023).</w:t>
      </w:r>
    </w:p>
    <w:p w14:paraId="6EC1ADC7" w14:textId="77777777" w:rsidR="00B01FCD" w:rsidRDefault="00335E4D" w:rsidP="00335E4D">
      <w:pPr>
        <w:pStyle w:val="Body"/>
        <w:spacing w:after="0"/>
        <w:rPr>
          <w:rFonts w:ascii="Arial" w:hAnsi="Arial" w:cs="Arial"/>
        </w:rPr>
      </w:pPr>
      <w:r w:rsidRPr="00B84EA9">
        <w:rPr>
          <w:rFonts w:ascii="Times New Roman" w:hAnsi="Times New Roman"/>
          <w:color w:val="000000" w:themeColor="text1"/>
          <w:sz w:val="24"/>
          <w:szCs w:val="24"/>
        </w:rPr>
        <w:t xml:space="preserve">A variety of proteins or enzymatic biomarkers in blood are specific and sensitive </w:t>
      </w:r>
      <w:r w:rsidR="0050343D">
        <w:rPr>
          <w:rFonts w:ascii="Times New Roman" w:hAnsi="Times New Roman"/>
          <w:color w:val="000000" w:themeColor="text1"/>
          <w:sz w:val="24"/>
          <w:szCs w:val="24"/>
        </w:rPr>
        <w:t>markers</w:t>
      </w:r>
      <w:r w:rsidRPr="00B84EA9">
        <w:rPr>
          <w:rFonts w:ascii="Times New Roman" w:hAnsi="Times New Roman"/>
          <w:color w:val="000000" w:themeColor="text1"/>
          <w:sz w:val="24"/>
          <w:szCs w:val="24"/>
        </w:rPr>
        <w:t xml:space="preserve"> of hepatic function</w:t>
      </w:r>
      <w:r w:rsidR="008475B0">
        <w:rPr>
          <w:rFonts w:ascii="Times New Roman" w:hAnsi="Times New Roman"/>
          <w:color w:val="000000" w:themeColor="text1"/>
          <w:sz w:val="24"/>
          <w:szCs w:val="24"/>
        </w:rPr>
        <w:t>. They are</w:t>
      </w:r>
      <w:r w:rsidRPr="00B84EA9">
        <w:rPr>
          <w:rFonts w:ascii="Times New Roman" w:hAnsi="Times New Roman"/>
          <w:color w:val="000000" w:themeColor="text1"/>
          <w:sz w:val="24"/>
          <w:szCs w:val="24"/>
        </w:rPr>
        <w:t xml:space="preserve"> commonly used to diagnose liver injury in clinical practice, such as aspartate aminotransferase (AST), alanine aminotransferase (ALT), direct bilirubin (DBIL), total bilirubin (TBIL), indirect bilirubin (IBIL), gamma-glutamyl </w:t>
      </w:r>
      <w:r w:rsidRPr="00B84EA9">
        <w:rPr>
          <w:rFonts w:ascii="Times New Roman" w:hAnsi="Times New Roman"/>
          <w:bCs/>
          <w:color w:val="000000" w:themeColor="text1"/>
          <w:sz w:val="24"/>
          <w:szCs w:val="24"/>
        </w:rPr>
        <w:t xml:space="preserve">transferase </w:t>
      </w:r>
      <w:r w:rsidRPr="00B84EA9">
        <w:rPr>
          <w:rFonts w:ascii="Times New Roman" w:hAnsi="Times New Roman"/>
          <w:color w:val="000000" w:themeColor="text1"/>
          <w:sz w:val="24"/>
          <w:szCs w:val="24"/>
        </w:rPr>
        <w:t>(GGT)</w:t>
      </w:r>
      <w:r w:rsidR="0050343D">
        <w:rPr>
          <w:rFonts w:ascii="Times New Roman" w:hAnsi="Times New Roman"/>
          <w:color w:val="000000" w:themeColor="text1"/>
          <w:sz w:val="24"/>
          <w:szCs w:val="24"/>
        </w:rPr>
        <w:t>,</w:t>
      </w:r>
      <w:r w:rsidRPr="00B84EA9">
        <w:rPr>
          <w:rFonts w:ascii="Times New Roman" w:hAnsi="Times New Roman"/>
          <w:color w:val="000000" w:themeColor="text1"/>
          <w:sz w:val="24"/>
          <w:szCs w:val="24"/>
        </w:rPr>
        <w:t xml:space="preserve"> and abnormal levels of albumin (ALB) (</w:t>
      </w:r>
      <w:proofErr w:type="spellStart"/>
      <w:r w:rsidRPr="00B84EA9">
        <w:rPr>
          <w:rFonts w:ascii="Times New Roman" w:hAnsi="Times New Roman"/>
          <w:color w:val="000000" w:themeColor="text1"/>
          <w:sz w:val="24"/>
          <w:szCs w:val="24"/>
        </w:rPr>
        <w:t>Leem</w:t>
      </w:r>
      <w:proofErr w:type="spellEnd"/>
      <w:r w:rsidRPr="00B84EA9">
        <w:rPr>
          <w:rFonts w:ascii="Times New Roman" w:hAnsi="Times New Roman"/>
          <w:color w:val="000000" w:themeColor="text1"/>
          <w:sz w:val="24"/>
          <w:szCs w:val="24"/>
        </w:rPr>
        <w:t xml:space="preserve"> </w:t>
      </w:r>
      <w:r w:rsidRPr="0044042F">
        <w:rPr>
          <w:rFonts w:ascii="Times New Roman" w:hAnsi="Times New Roman"/>
          <w:i/>
          <w:iCs/>
          <w:color w:val="000000" w:themeColor="text1"/>
          <w:sz w:val="24"/>
          <w:szCs w:val="24"/>
        </w:rPr>
        <w:t>et al</w:t>
      </w:r>
      <w:r w:rsidRPr="00B84EA9">
        <w:rPr>
          <w:rFonts w:ascii="Times New Roman" w:hAnsi="Times New Roman"/>
          <w:i/>
          <w:iCs/>
          <w:color w:val="000000" w:themeColor="text1"/>
          <w:sz w:val="24"/>
          <w:szCs w:val="24"/>
        </w:rPr>
        <w:t>.,</w:t>
      </w:r>
      <w:r w:rsidRPr="00B84EA9">
        <w:rPr>
          <w:rFonts w:ascii="Times New Roman" w:hAnsi="Times New Roman"/>
          <w:color w:val="000000" w:themeColor="text1"/>
          <w:sz w:val="24"/>
          <w:szCs w:val="24"/>
        </w:rPr>
        <w:t xml:space="preserve"> 2018). Growing epidemiological evidence </w:t>
      </w:r>
      <w:r w:rsidR="0050343D">
        <w:rPr>
          <w:rFonts w:ascii="Times New Roman" w:hAnsi="Times New Roman"/>
          <w:color w:val="000000" w:themeColor="text1"/>
          <w:sz w:val="24"/>
          <w:szCs w:val="24"/>
        </w:rPr>
        <w:t>suggests</w:t>
      </w:r>
      <w:r w:rsidRPr="00B84EA9">
        <w:rPr>
          <w:rFonts w:ascii="Times New Roman" w:hAnsi="Times New Roman"/>
          <w:color w:val="000000" w:themeColor="text1"/>
          <w:sz w:val="24"/>
          <w:szCs w:val="24"/>
        </w:rPr>
        <w:t xml:space="preserve"> links between metal exposure and</w:t>
      </w:r>
      <w:r>
        <w:rPr>
          <w:rFonts w:ascii="Times New Roman" w:hAnsi="Times New Roman"/>
          <w:color w:val="000000" w:themeColor="text1"/>
          <w:sz w:val="24"/>
          <w:szCs w:val="24"/>
        </w:rPr>
        <w:t xml:space="preserve"> abnormal liver function (ALF). </w:t>
      </w:r>
      <w:r w:rsidRPr="00B84EA9">
        <w:rPr>
          <w:rFonts w:ascii="Times New Roman" w:hAnsi="Times New Roman"/>
          <w:color w:val="000000" w:themeColor="text1"/>
          <w:sz w:val="24"/>
          <w:szCs w:val="24"/>
        </w:rPr>
        <w:t xml:space="preserve">Xu </w:t>
      </w:r>
      <w:r w:rsidRPr="0044042F">
        <w:rPr>
          <w:rFonts w:ascii="Times New Roman" w:hAnsi="Times New Roman"/>
          <w:i/>
          <w:iCs/>
          <w:color w:val="000000" w:themeColor="text1"/>
          <w:sz w:val="24"/>
          <w:szCs w:val="24"/>
        </w:rPr>
        <w:t>et al</w:t>
      </w:r>
      <w:r w:rsidRPr="00B84EA9">
        <w:rPr>
          <w:rFonts w:ascii="Times New Roman" w:hAnsi="Times New Roman"/>
          <w:i/>
          <w:iCs/>
          <w:color w:val="000000" w:themeColor="text1"/>
          <w:sz w:val="24"/>
          <w:szCs w:val="24"/>
        </w:rPr>
        <w:t>.</w:t>
      </w:r>
      <w:r w:rsidR="008475B0">
        <w:rPr>
          <w:rFonts w:ascii="Times New Roman" w:hAnsi="Times New Roman"/>
          <w:i/>
          <w:iCs/>
          <w:color w:val="000000" w:themeColor="text1"/>
          <w:sz w:val="24"/>
          <w:szCs w:val="24"/>
        </w:rPr>
        <w:t xml:space="preserve"> (2022) demonstrated a positive correlation between urinary cadmium and aberrant liver function, </w:t>
      </w:r>
      <w:r w:rsidRPr="00B84EA9">
        <w:rPr>
          <w:rFonts w:ascii="Times New Roman" w:hAnsi="Times New Roman"/>
          <w:color w:val="000000" w:themeColor="text1"/>
          <w:sz w:val="24"/>
          <w:szCs w:val="24"/>
        </w:rPr>
        <w:t xml:space="preserve">defined as elevated AST and ALT. Nonetheless, most studies only paid attention to the impact of individual or several metals, and as the populations are usually exposed to diverse metals in everyday life, the combined effects of metal mixture exposures on liver function still </w:t>
      </w:r>
      <w:r w:rsidR="0050343D">
        <w:rPr>
          <w:rFonts w:ascii="Times New Roman" w:hAnsi="Times New Roman"/>
          <w:color w:val="000000" w:themeColor="text1"/>
          <w:sz w:val="24"/>
          <w:szCs w:val="24"/>
        </w:rPr>
        <w:t>need</w:t>
      </w:r>
      <w:r w:rsidRPr="00B84EA9">
        <w:rPr>
          <w:rFonts w:ascii="Times New Roman" w:hAnsi="Times New Roman"/>
          <w:color w:val="000000" w:themeColor="text1"/>
          <w:sz w:val="24"/>
          <w:szCs w:val="24"/>
        </w:rPr>
        <w:t xml:space="preserve"> to be elucidated. Moreover, dyslipidemia, which induces hepatocellular fat accumulation and </w:t>
      </w:r>
      <w:r w:rsidR="0050343D">
        <w:rPr>
          <w:rFonts w:ascii="Times New Roman" w:hAnsi="Times New Roman"/>
          <w:color w:val="000000" w:themeColor="text1"/>
          <w:sz w:val="24"/>
          <w:szCs w:val="24"/>
        </w:rPr>
        <w:t>disrupts</w:t>
      </w:r>
      <w:r w:rsidRPr="00B84EA9">
        <w:rPr>
          <w:rFonts w:ascii="Times New Roman" w:hAnsi="Times New Roman"/>
          <w:color w:val="000000" w:themeColor="text1"/>
          <w:sz w:val="24"/>
          <w:szCs w:val="24"/>
        </w:rPr>
        <w:t xml:space="preserve"> the balance of lipid secretion and metabolism, was indicated to be involved in the pathogenesis related to ALF and liver diseases (Ipsen </w:t>
      </w:r>
      <w:r w:rsidRPr="0044042F">
        <w:rPr>
          <w:rFonts w:ascii="Times New Roman" w:hAnsi="Times New Roman"/>
          <w:i/>
          <w:iCs/>
          <w:color w:val="000000" w:themeColor="text1"/>
          <w:sz w:val="24"/>
          <w:szCs w:val="24"/>
        </w:rPr>
        <w:t>et al</w:t>
      </w:r>
      <w:r w:rsidRPr="00B84EA9">
        <w:rPr>
          <w:rFonts w:ascii="Times New Roman" w:hAnsi="Times New Roman"/>
          <w:i/>
          <w:iCs/>
          <w:color w:val="000000" w:themeColor="text1"/>
          <w:sz w:val="24"/>
          <w:szCs w:val="24"/>
        </w:rPr>
        <w:t>.,</w:t>
      </w:r>
      <w:r w:rsidRPr="00B84EA9">
        <w:rPr>
          <w:rFonts w:ascii="Times New Roman" w:hAnsi="Times New Roman"/>
          <w:color w:val="000000" w:themeColor="text1"/>
          <w:sz w:val="24"/>
          <w:szCs w:val="24"/>
        </w:rPr>
        <w:t xml:space="preserve"> 2018). Increasing evidence </w:t>
      </w:r>
      <w:r w:rsidR="0050343D">
        <w:rPr>
          <w:rFonts w:ascii="Times New Roman" w:hAnsi="Times New Roman"/>
          <w:color w:val="000000" w:themeColor="text1"/>
          <w:sz w:val="24"/>
          <w:szCs w:val="24"/>
        </w:rPr>
        <w:t>suggests</w:t>
      </w:r>
      <w:r w:rsidRPr="00B84EA9">
        <w:rPr>
          <w:rFonts w:ascii="Times New Roman" w:hAnsi="Times New Roman"/>
          <w:color w:val="000000" w:themeColor="text1"/>
          <w:sz w:val="24"/>
          <w:szCs w:val="24"/>
        </w:rPr>
        <w:t xml:space="preserve"> that metal exposures are connected with variation of blood lipids and dyslipidemia, also presuming that blood lipids could possibly play latent roles in ALF resulting from metal exposures (</w:t>
      </w:r>
      <w:r w:rsidRPr="00B84EA9">
        <w:rPr>
          <w:rFonts w:ascii="Times New Roman" w:hAnsi="Times New Roman"/>
          <w:color w:val="000000" w:themeColor="text1"/>
          <w:sz w:val="24"/>
          <w:szCs w:val="24"/>
          <w:shd w:val="clear" w:color="auto" w:fill="FFFFFF"/>
        </w:rPr>
        <w:t xml:space="preserve">Ranasinghe </w:t>
      </w:r>
      <w:r w:rsidRPr="0044042F">
        <w:rPr>
          <w:rFonts w:ascii="Times New Roman" w:hAnsi="Times New Roman"/>
          <w:i/>
          <w:iCs/>
          <w:color w:val="000000" w:themeColor="text1"/>
          <w:sz w:val="24"/>
          <w:szCs w:val="24"/>
          <w:shd w:val="clear" w:color="auto" w:fill="FFFFFF"/>
        </w:rPr>
        <w:t>et al</w:t>
      </w:r>
      <w:r w:rsidRPr="00B84EA9">
        <w:rPr>
          <w:rFonts w:ascii="Times New Roman" w:hAnsi="Times New Roman"/>
          <w:i/>
          <w:iCs/>
          <w:color w:val="000000" w:themeColor="text1"/>
          <w:sz w:val="24"/>
          <w:szCs w:val="24"/>
          <w:shd w:val="clear" w:color="auto" w:fill="FFFFFF"/>
        </w:rPr>
        <w:t>.,</w:t>
      </w:r>
      <w:r w:rsidRPr="00B84EA9">
        <w:rPr>
          <w:rFonts w:ascii="Times New Roman" w:hAnsi="Times New Roman"/>
          <w:color w:val="000000" w:themeColor="text1"/>
          <w:sz w:val="24"/>
          <w:szCs w:val="24"/>
        </w:rPr>
        <w:t xml:space="preserve"> 2015; Ledda </w:t>
      </w:r>
      <w:r w:rsidRPr="0044042F">
        <w:rPr>
          <w:rFonts w:ascii="Times New Roman" w:hAnsi="Times New Roman"/>
          <w:i/>
          <w:iCs/>
          <w:color w:val="000000" w:themeColor="text1"/>
          <w:sz w:val="24"/>
          <w:szCs w:val="24"/>
        </w:rPr>
        <w:t>et al</w:t>
      </w:r>
      <w:r w:rsidRPr="00B84EA9">
        <w:rPr>
          <w:rFonts w:ascii="Times New Roman" w:hAnsi="Times New Roman"/>
          <w:i/>
          <w:iCs/>
          <w:color w:val="000000" w:themeColor="text1"/>
          <w:sz w:val="24"/>
          <w:szCs w:val="24"/>
        </w:rPr>
        <w:t>.,</w:t>
      </w:r>
      <w:r w:rsidRPr="00B84EA9">
        <w:rPr>
          <w:rFonts w:ascii="Times New Roman" w:hAnsi="Times New Roman"/>
          <w:color w:val="000000" w:themeColor="text1"/>
          <w:sz w:val="24"/>
          <w:szCs w:val="24"/>
        </w:rPr>
        <w:t xml:space="preserve"> 2018; Buhari </w:t>
      </w:r>
      <w:r w:rsidRPr="0044042F">
        <w:rPr>
          <w:rFonts w:ascii="Times New Roman" w:hAnsi="Times New Roman"/>
          <w:i/>
          <w:iCs/>
          <w:color w:val="000000" w:themeColor="text1"/>
          <w:sz w:val="24"/>
          <w:szCs w:val="24"/>
        </w:rPr>
        <w:t>et al</w:t>
      </w:r>
      <w:r w:rsidRPr="00B84EA9">
        <w:rPr>
          <w:rFonts w:ascii="Times New Roman" w:hAnsi="Times New Roman"/>
          <w:i/>
          <w:iCs/>
          <w:color w:val="000000" w:themeColor="text1"/>
          <w:sz w:val="24"/>
          <w:szCs w:val="24"/>
        </w:rPr>
        <w:t>.,</w:t>
      </w:r>
      <w:r w:rsidRPr="00B84EA9">
        <w:rPr>
          <w:rFonts w:ascii="Times New Roman" w:hAnsi="Times New Roman"/>
          <w:color w:val="000000" w:themeColor="text1"/>
          <w:sz w:val="24"/>
          <w:szCs w:val="24"/>
        </w:rPr>
        <w:t xml:space="preserve"> 2020). </w:t>
      </w:r>
      <w:r w:rsidRPr="00B84EA9">
        <w:rPr>
          <w:rFonts w:ascii="Times New Roman" w:hAnsi="Times New Roman"/>
          <w:color w:val="000000" w:themeColor="text1"/>
          <w:sz w:val="24"/>
          <w:szCs w:val="24"/>
          <w:shd w:val="clear" w:color="auto" w:fill="FFFFFF"/>
        </w:rPr>
        <w:t xml:space="preserve">More recently, </w:t>
      </w:r>
      <w:proofErr w:type="spellStart"/>
      <w:r w:rsidRPr="00B84EA9">
        <w:rPr>
          <w:rFonts w:ascii="Times New Roman" w:hAnsi="Times New Roman"/>
          <w:color w:val="000000" w:themeColor="text1"/>
          <w:sz w:val="24"/>
          <w:szCs w:val="24"/>
          <w:shd w:val="clear" w:color="auto" w:fill="FFFFFF"/>
        </w:rPr>
        <w:t>Elhelaly</w:t>
      </w:r>
      <w:proofErr w:type="spellEnd"/>
      <w:r w:rsidRPr="00B84EA9">
        <w:rPr>
          <w:rFonts w:ascii="Times New Roman" w:hAnsi="Times New Roman"/>
          <w:color w:val="000000" w:themeColor="text1"/>
          <w:sz w:val="24"/>
          <w:szCs w:val="24"/>
          <w:shd w:val="clear" w:color="auto" w:fill="FFFFFF"/>
        </w:rPr>
        <w:t xml:space="preserve"> </w:t>
      </w:r>
      <w:r w:rsidRPr="0044042F">
        <w:rPr>
          <w:rFonts w:ascii="Times New Roman" w:hAnsi="Times New Roman"/>
          <w:i/>
          <w:iCs/>
          <w:color w:val="000000" w:themeColor="text1"/>
          <w:sz w:val="24"/>
          <w:szCs w:val="24"/>
          <w:shd w:val="clear" w:color="auto" w:fill="FFFFFF"/>
        </w:rPr>
        <w:t>et al</w:t>
      </w:r>
      <w:r>
        <w:rPr>
          <w:rFonts w:ascii="Times New Roman" w:hAnsi="Times New Roman"/>
          <w:i/>
          <w:iCs/>
          <w:color w:val="000000" w:themeColor="text1"/>
          <w:sz w:val="24"/>
          <w:szCs w:val="24"/>
          <w:shd w:val="clear" w:color="auto" w:fill="FFFFFF"/>
        </w:rPr>
        <w:t>.</w:t>
      </w:r>
      <w:r w:rsidRPr="00B84EA9">
        <w:rPr>
          <w:rFonts w:ascii="Times New Roman" w:hAnsi="Times New Roman"/>
          <w:color w:val="000000" w:themeColor="text1"/>
          <w:sz w:val="24"/>
          <w:szCs w:val="24"/>
          <w:shd w:val="clear" w:color="auto" w:fill="FFFFFF"/>
        </w:rPr>
        <w:t xml:space="preserve"> (2019</w:t>
      </w:r>
      <w:r w:rsidRPr="00B84EA9">
        <w:rPr>
          <w:rFonts w:ascii="Times New Roman" w:hAnsi="Times New Roman"/>
          <w:color w:val="000000" w:themeColor="text1"/>
          <w:sz w:val="24"/>
          <w:szCs w:val="24"/>
        </w:rPr>
        <w:t>)</w:t>
      </w:r>
      <w:r w:rsidR="0050343D">
        <w:rPr>
          <w:rFonts w:ascii="Times New Roman" w:hAnsi="Times New Roman"/>
          <w:color w:val="000000" w:themeColor="text1"/>
          <w:sz w:val="24"/>
          <w:szCs w:val="24"/>
          <w:shd w:val="clear" w:color="auto" w:fill="FFFFFF"/>
        </w:rPr>
        <w:t>.</w:t>
      </w:r>
    </w:p>
    <w:p w14:paraId="1734A1AF" w14:textId="6E5CC7D5" w:rsidR="007F7B32" w:rsidRDefault="00902823" w:rsidP="00441B6F">
      <w:pPr>
        <w:pStyle w:val="AbstHead"/>
        <w:spacing w:after="0"/>
        <w:jc w:val="both"/>
        <w:rPr>
          <w:rFonts w:ascii="Arial" w:hAnsi="Arial" w:cs="Arial"/>
        </w:rPr>
      </w:pPr>
      <w:r>
        <w:rPr>
          <w:rFonts w:ascii="Arial" w:hAnsi="Arial" w:cs="Arial"/>
        </w:rPr>
        <w:t>material and method</w:t>
      </w:r>
      <w:r w:rsidR="00000F8F">
        <w:rPr>
          <w:rFonts w:ascii="Arial" w:hAnsi="Arial" w:cs="Arial"/>
        </w:rPr>
        <w:t xml:space="preserve">s </w:t>
      </w:r>
    </w:p>
    <w:p w14:paraId="592B69C0" w14:textId="77777777" w:rsidR="0050343D" w:rsidRPr="0050343D" w:rsidRDefault="0050343D" w:rsidP="0050343D">
      <w:pPr>
        <w:pStyle w:val="Heading4"/>
        <w:spacing w:before="0" w:after="160" w:line="480" w:lineRule="auto"/>
        <w:jc w:val="both"/>
        <w:rPr>
          <w:rFonts w:ascii="Times New Roman" w:hAnsi="Times New Roman" w:cs="Times New Roman"/>
          <w:bCs/>
          <w:i w:val="0"/>
          <w:color w:val="000000" w:themeColor="text1"/>
          <w:sz w:val="24"/>
          <w:szCs w:val="24"/>
        </w:rPr>
      </w:pPr>
      <w:r w:rsidRPr="0050343D">
        <w:rPr>
          <w:rStyle w:val="Strong"/>
          <w:rFonts w:ascii="Times New Roman" w:hAnsi="Times New Roman" w:cs="Times New Roman"/>
          <w:i w:val="0"/>
          <w:color w:val="000000" w:themeColor="text1"/>
          <w:sz w:val="24"/>
          <w:szCs w:val="24"/>
        </w:rPr>
        <w:t>Chemicals and Reagents</w:t>
      </w:r>
    </w:p>
    <w:p w14:paraId="7184C6E9" w14:textId="77777777" w:rsidR="0050343D" w:rsidRPr="00B84EA9" w:rsidRDefault="0050343D" w:rsidP="0050343D">
      <w:pPr>
        <w:pStyle w:val="NormalWeb"/>
        <w:spacing w:before="0" w:beforeAutospacing="0" w:after="160" w:afterAutospacing="0" w:line="480" w:lineRule="auto"/>
        <w:jc w:val="both"/>
        <w:rPr>
          <w:color w:val="000000" w:themeColor="text1"/>
        </w:rPr>
      </w:pPr>
      <w:r w:rsidRPr="00B84EA9">
        <w:rPr>
          <w:color w:val="000000" w:themeColor="text1"/>
        </w:rPr>
        <w:t>Cadmium chloride (</w:t>
      </w:r>
      <w:proofErr w:type="spellStart"/>
      <w:r w:rsidRPr="00B84EA9">
        <w:rPr>
          <w:color w:val="000000" w:themeColor="text1"/>
        </w:rPr>
        <w:t>CdCl</w:t>
      </w:r>
      <w:proofErr w:type="spellEnd"/>
      <w:r w:rsidRPr="00B84EA9">
        <w:rPr>
          <w:color w:val="000000" w:themeColor="text1"/>
        </w:rPr>
        <w:t xml:space="preserve">₂) of analytical grade, </w:t>
      </w:r>
      <w:r>
        <w:rPr>
          <w:color w:val="000000" w:themeColor="text1"/>
        </w:rPr>
        <w:t>ketamine</w:t>
      </w:r>
      <w:r w:rsidRPr="00B84EA9">
        <w:rPr>
          <w:color w:val="000000" w:themeColor="text1"/>
        </w:rPr>
        <w:t xml:space="preserve">, </w:t>
      </w:r>
      <w:r>
        <w:rPr>
          <w:color w:val="000000" w:themeColor="text1"/>
        </w:rPr>
        <w:t>distilled</w:t>
      </w:r>
      <w:r w:rsidRPr="00B84EA9">
        <w:rPr>
          <w:color w:val="000000" w:themeColor="text1"/>
        </w:rPr>
        <w:t xml:space="preserve"> water, Random test kits for liver (ALT, AST, ALP, GGT) and </w:t>
      </w:r>
      <w:r>
        <w:rPr>
          <w:color w:val="000000" w:themeColor="text1"/>
        </w:rPr>
        <w:t>lipid</w:t>
      </w:r>
      <w:r w:rsidRPr="00B84EA9">
        <w:rPr>
          <w:color w:val="000000" w:themeColor="text1"/>
        </w:rPr>
        <w:t xml:space="preserve"> profile function tests (</w:t>
      </w:r>
      <w:r>
        <w:rPr>
          <w:color w:val="000000" w:themeColor="text1"/>
        </w:rPr>
        <w:t>TAG</w:t>
      </w:r>
      <w:r w:rsidRPr="00B84EA9">
        <w:rPr>
          <w:color w:val="000000" w:themeColor="text1"/>
        </w:rPr>
        <w:t>, HDL, LDL, VLDL). All other chemicals and reagents will be obtained from certified suppliers and will be of analytical grade.</w:t>
      </w:r>
    </w:p>
    <w:p w14:paraId="0DCFC286" w14:textId="77777777" w:rsidR="0050343D" w:rsidRPr="00B84EA9" w:rsidRDefault="0050343D" w:rsidP="0050343D">
      <w:pPr>
        <w:pStyle w:val="NormalWeb"/>
        <w:spacing w:before="0" w:beforeAutospacing="0" w:after="160" w:afterAutospacing="0" w:line="480" w:lineRule="auto"/>
        <w:jc w:val="both"/>
        <w:rPr>
          <w:b/>
          <w:bCs/>
          <w:color w:val="000000" w:themeColor="text1"/>
        </w:rPr>
      </w:pPr>
      <w:r w:rsidRPr="00B84EA9">
        <w:rPr>
          <w:b/>
          <w:bCs/>
          <w:color w:val="000000" w:themeColor="text1"/>
        </w:rPr>
        <w:t>Equipment’s/Apparatus</w:t>
      </w:r>
    </w:p>
    <w:p w14:paraId="7666351D" w14:textId="77777777" w:rsidR="0050343D" w:rsidRPr="00D03E19" w:rsidRDefault="0050343D" w:rsidP="0050343D">
      <w:pPr>
        <w:spacing w:line="480" w:lineRule="auto"/>
        <w:jc w:val="both"/>
        <w:rPr>
          <w:rStyle w:val="Strong"/>
          <w:rFonts w:ascii="Times New Roman" w:hAnsi="Times New Roman"/>
          <w:b w:val="0"/>
          <w:bCs w:val="0"/>
          <w:sz w:val="24"/>
          <w:szCs w:val="24"/>
        </w:rPr>
      </w:pPr>
      <w:r>
        <w:rPr>
          <w:rFonts w:ascii="Times New Roman" w:hAnsi="Times New Roman"/>
          <w:sz w:val="24"/>
          <w:szCs w:val="24"/>
        </w:rPr>
        <w:t xml:space="preserve">UV-Visible Spectrophotometer (UV-1800, Shimadzu Corporation, Japan), Centrifuge (80-2B Centrifuge, Changsha Xiangyi Centrifuge Instrument Co., China), Hot Air Oven (DHG-9053A Electric Thermostatic Drying Oven, Shanghai Yiheng Scientific Instrument Co., China), Electrical Blender (BLG-450 Blender, </w:t>
      </w:r>
      <w:proofErr w:type="spellStart"/>
      <w:r>
        <w:rPr>
          <w:rFonts w:ascii="Times New Roman" w:hAnsi="Times New Roman"/>
          <w:sz w:val="24"/>
          <w:szCs w:val="24"/>
        </w:rPr>
        <w:t>Binatone</w:t>
      </w:r>
      <w:proofErr w:type="spellEnd"/>
      <w:r>
        <w:rPr>
          <w:rFonts w:ascii="Times New Roman" w:hAnsi="Times New Roman"/>
          <w:sz w:val="24"/>
          <w:szCs w:val="24"/>
        </w:rPr>
        <w:t xml:space="preserve"> Electronics International Ltd.), Disposable Syringes (5mL and 10mL, Becton Dickinson, USA), EDTA Blood Collection Tubes (Vacutainer® K₂EDTA Tubes, Becton Dickinson, USA), Plain Blood Collection Tubes (Vacutainer® Plain Tubes, Becton Dickinson, USA), Latex Hand Gloves (Top Glove Corporation, Malaysia), Nose Masks (3-Ply Face Mask, </w:t>
      </w:r>
      <w:proofErr w:type="spellStart"/>
      <w:r>
        <w:rPr>
          <w:rFonts w:ascii="Times New Roman" w:hAnsi="Times New Roman"/>
          <w:sz w:val="24"/>
          <w:szCs w:val="24"/>
        </w:rPr>
        <w:t>Medcon</w:t>
      </w:r>
      <w:proofErr w:type="spellEnd"/>
      <w:r>
        <w:rPr>
          <w:rFonts w:ascii="Times New Roman" w:hAnsi="Times New Roman"/>
          <w:sz w:val="24"/>
          <w:szCs w:val="24"/>
        </w:rPr>
        <w:t xml:space="preserve"> Healthcare, China), Well-Ventilated Animal Cages.</w:t>
      </w:r>
    </w:p>
    <w:p w14:paraId="4A10A0B5" w14:textId="77777777" w:rsidR="0050343D" w:rsidRPr="0050343D" w:rsidRDefault="0050343D" w:rsidP="0050343D">
      <w:pPr>
        <w:pStyle w:val="Heading4"/>
        <w:spacing w:before="0" w:after="160" w:line="480" w:lineRule="auto"/>
        <w:jc w:val="both"/>
        <w:rPr>
          <w:rFonts w:ascii="Times New Roman" w:hAnsi="Times New Roman" w:cs="Times New Roman"/>
          <w:i w:val="0"/>
          <w:color w:val="000000" w:themeColor="text1"/>
          <w:sz w:val="24"/>
          <w:szCs w:val="24"/>
        </w:rPr>
      </w:pPr>
      <w:r w:rsidRPr="0050343D">
        <w:rPr>
          <w:rStyle w:val="Strong"/>
          <w:rFonts w:ascii="Times New Roman" w:hAnsi="Times New Roman" w:cs="Times New Roman"/>
          <w:i w:val="0"/>
          <w:color w:val="000000" w:themeColor="text1"/>
          <w:sz w:val="24"/>
          <w:szCs w:val="24"/>
        </w:rPr>
        <w:lastRenderedPageBreak/>
        <w:t>Plant Material Collection and Identification</w:t>
      </w:r>
    </w:p>
    <w:p w14:paraId="7AF20D4D" w14:textId="77777777" w:rsidR="0050343D" w:rsidRPr="00B84EA9" w:rsidRDefault="0050343D" w:rsidP="0050343D">
      <w:pPr>
        <w:pStyle w:val="NormalWeb"/>
        <w:spacing w:before="0" w:beforeAutospacing="0" w:after="160" w:afterAutospacing="0" w:line="480" w:lineRule="auto"/>
        <w:jc w:val="both"/>
        <w:rPr>
          <w:color w:val="000000" w:themeColor="text1"/>
        </w:rPr>
      </w:pPr>
      <w:r w:rsidRPr="00B84EA9">
        <w:rPr>
          <w:color w:val="000000" w:themeColor="text1"/>
        </w:rPr>
        <w:t xml:space="preserve">Fresh leaves of </w:t>
      </w:r>
      <w:r w:rsidRPr="00B84EA9">
        <w:rPr>
          <w:rStyle w:val="Emphasis"/>
          <w:color w:val="000000" w:themeColor="text1"/>
        </w:rPr>
        <w:t xml:space="preserve">Pterocarpus </w:t>
      </w:r>
      <w:proofErr w:type="spellStart"/>
      <w:r w:rsidRPr="00B84EA9">
        <w:rPr>
          <w:rStyle w:val="Emphasis"/>
          <w:color w:val="000000" w:themeColor="text1"/>
        </w:rPr>
        <w:t>santalinoides</w:t>
      </w:r>
      <w:proofErr w:type="spellEnd"/>
      <w:r w:rsidRPr="00B84EA9">
        <w:rPr>
          <w:rStyle w:val="Emphasis"/>
          <w:color w:val="000000" w:themeColor="text1"/>
        </w:rPr>
        <w:t xml:space="preserve"> </w:t>
      </w:r>
      <w:r w:rsidRPr="00B84EA9">
        <w:rPr>
          <w:color w:val="000000" w:themeColor="text1"/>
        </w:rPr>
        <w:t xml:space="preserve">were </w:t>
      </w:r>
      <w:r>
        <w:rPr>
          <w:color w:val="000000" w:themeColor="text1"/>
        </w:rPr>
        <w:t>obtained</w:t>
      </w:r>
      <w:r w:rsidRPr="00B84EA9">
        <w:rPr>
          <w:color w:val="000000" w:themeColor="text1"/>
        </w:rPr>
        <w:t xml:space="preserve"> from Calabar </w:t>
      </w:r>
      <w:r>
        <w:rPr>
          <w:color w:val="000000" w:themeColor="text1"/>
        </w:rPr>
        <w:t>South</w:t>
      </w:r>
      <w:r w:rsidRPr="00B84EA9">
        <w:rPr>
          <w:color w:val="000000" w:themeColor="text1"/>
        </w:rPr>
        <w:t xml:space="preserve"> LGA in Cross </w:t>
      </w:r>
      <w:r>
        <w:rPr>
          <w:color w:val="000000" w:themeColor="text1"/>
        </w:rPr>
        <w:t>River State</w:t>
      </w:r>
      <w:r w:rsidRPr="00B84EA9">
        <w:rPr>
          <w:color w:val="000000" w:themeColor="text1"/>
        </w:rPr>
        <w:t xml:space="preserve"> and authenticated by a plant taxonomist at the Department of </w:t>
      </w:r>
      <w:r>
        <w:rPr>
          <w:color w:val="000000" w:themeColor="text1"/>
        </w:rPr>
        <w:t>Plant Science</w:t>
      </w:r>
      <w:r w:rsidRPr="00B84EA9">
        <w:rPr>
          <w:color w:val="000000" w:themeColor="text1"/>
        </w:rPr>
        <w:t xml:space="preserve"> and </w:t>
      </w:r>
      <w:r>
        <w:rPr>
          <w:color w:val="000000" w:themeColor="text1"/>
        </w:rPr>
        <w:t>Biotechnology</w:t>
      </w:r>
      <w:r w:rsidRPr="00B84EA9">
        <w:rPr>
          <w:color w:val="000000" w:themeColor="text1"/>
        </w:rPr>
        <w:t xml:space="preserve">, UNICROSS, Calabar. </w:t>
      </w:r>
    </w:p>
    <w:p w14:paraId="32F5431A" w14:textId="77777777" w:rsidR="0050343D" w:rsidRPr="0050343D" w:rsidRDefault="0050343D" w:rsidP="0050343D">
      <w:pPr>
        <w:pStyle w:val="Heading3"/>
        <w:spacing w:before="0" w:after="160" w:line="480" w:lineRule="auto"/>
        <w:jc w:val="both"/>
        <w:rPr>
          <w:color w:val="000000" w:themeColor="text1"/>
        </w:rPr>
      </w:pPr>
      <w:r w:rsidRPr="0050343D">
        <w:rPr>
          <w:rStyle w:val="Strong"/>
          <w:color w:val="000000" w:themeColor="text1"/>
        </w:rPr>
        <w:t>Methodology</w:t>
      </w:r>
    </w:p>
    <w:p w14:paraId="061C074D" w14:textId="77777777" w:rsidR="0050343D" w:rsidRPr="0050343D" w:rsidRDefault="0050343D" w:rsidP="0050343D">
      <w:pPr>
        <w:pStyle w:val="Heading4"/>
        <w:spacing w:before="0" w:after="160" w:line="480" w:lineRule="auto"/>
        <w:jc w:val="both"/>
        <w:rPr>
          <w:rFonts w:ascii="Times New Roman" w:hAnsi="Times New Roman" w:cs="Times New Roman"/>
          <w:i w:val="0"/>
          <w:color w:val="000000" w:themeColor="text1"/>
          <w:sz w:val="24"/>
          <w:szCs w:val="24"/>
        </w:rPr>
      </w:pPr>
      <w:r w:rsidRPr="0050343D">
        <w:rPr>
          <w:rStyle w:val="Strong"/>
          <w:rFonts w:ascii="Times New Roman" w:hAnsi="Times New Roman" w:cs="Times New Roman"/>
          <w:i w:val="0"/>
          <w:color w:val="000000" w:themeColor="text1"/>
          <w:sz w:val="24"/>
          <w:szCs w:val="24"/>
        </w:rPr>
        <w:t>Experimental Animals</w:t>
      </w:r>
    </w:p>
    <w:p w14:paraId="7C50DA0E" w14:textId="77777777" w:rsidR="0050343D" w:rsidRPr="00B84EA9" w:rsidRDefault="0050343D" w:rsidP="0050343D">
      <w:pPr>
        <w:pStyle w:val="NormalWeb"/>
        <w:spacing w:before="0" w:beforeAutospacing="0" w:after="160" w:afterAutospacing="0" w:line="480" w:lineRule="auto"/>
        <w:jc w:val="both"/>
        <w:rPr>
          <w:color w:val="000000" w:themeColor="text1"/>
        </w:rPr>
      </w:pPr>
      <w:r>
        <w:rPr>
          <w:color w:val="000000" w:themeColor="text1"/>
        </w:rPr>
        <w:t>Thirty-six (36</w:t>
      </w:r>
      <w:r w:rsidRPr="00B84EA9">
        <w:rPr>
          <w:color w:val="000000" w:themeColor="text1"/>
        </w:rPr>
        <w:t>) healthy adult Wistar rats (</w:t>
      </w:r>
      <w:r>
        <w:rPr>
          <w:color w:val="000000" w:themeColor="text1"/>
        </w:rPr>
        <w:t>100- 180 g</w:t>
      </w:r>
      <w:r w:rsidRPr="00B84EA9">
        <w:rPr>
          <w:color w:val="000000" w:themeColor="text1"/>
        </w:rPr>
        <w:t xml:space="preserve">) were procured from the University of </w:t>
      </w:r>
      <w:proofErr w:type="spellStart"/>
      <w:r w:rsidRPr="00B84EA9">
        <w:rPr>
          <w:color w:val="000000" w:themeColor="text1"/>
        </w:rPr>
        <w:t>Uyo</w:t>
      </w:r>
      <w:proofErr w:type="spellEnd"/>
      <w:r w:rsidRPr="00B84EA9">
        <w:rPr>
          <w:color w:val="000000" w:themeColor="text1"/>
        </w:rPr>
        <w:t xml:space="preserve">. The rats were housed in well-ventilated cages under standard laboratory conditions (12-hour light/dark cycle, temperature 25 ± 2°C, and relative humidity 50-60%). They were fed standard rat chow and were given water ad libitum. The animals were allowed two </w:t>
      </w:r>
      <w:r>
        <w:rPr>
          <w:color w:val="000000" w:themeColor="text1"/>
        </w:rPr>
        <w:t>days</w:t>
      </w:r>
      <w:r w:rsidRPr="00B84EA9">
        <w:rPr>
          <w:color w:val="000000" w:themeColor="text1"/>
        </w:rPr>
        <w:t xml:space="preserve"> of acclimatization before the commencement of the experiment.</w:t>
      </w:r>
    </w:p>
    <w:p w14:paraId="44CA370F" w14:textId="77777777" w:rsidR="0050343D" w:rsidRPr="0050343D" w:rsidRDefault="0050343D" w:rsidP="0050343D">
      <w:pPr>
        <w:pStyle w:val="Heading4"/>
        <w:spacing w:before="0" w:after="160" w:line="480" w:lineRule="auto"/>
        <w:jc w:val="both"/>
        <w:rPr>
          <w:rFonts w:ascii="Times New Roman" w:hAnsi="Times New Roman" w:cs="Times New Roman"/>
          <w:i w:val="0"/>
          <w:color w:val="000000" w:themeColor="text1"/>
          <w:sz w:val="24"/>
          <w:szCs w:val="24"/>
        </w:rPr>
      </w:pPr>
      <w:r w:rsidRPr="0050343D">
        <w:rPr>
          <w:rStyle w:val="Strong"/>
          <w:rFonts w:ascii="Times New Roman" w:hAnsi="Times New Roman" w:cs="Times New Roman"/>
          <w:i w:val="0"/>
          <w:color w:val="000000" w:themeColor="text1"/>
          <w:sz w:val="24"/>
          <w:szCs w:val="24"/>
        </w:rPr>
        <w:t>Experimental Design</w:t>
      </w:r>
    </w:p>
    <w:p w14:paraId="1CAF0A8D" w14:textId="6E9C2217" w:rsidR="0050343D" w:rsidRDefault="00E0273A" w:rsidP="0050343D">
      <w:pPr>
        <w:pStyle w:val="NormalWeb"/>
        <w:spacing w:before="0" w:beforeAutospacing="0" w:after="160" w:afterAutospacing="0" w:line="480" w:lineRule="auto"/>
        <w:jc w:val="both"/>
        <w:rPr>
          <w:color w:val="000000" w:themeColor="text1"/>
        </w:rPr>
      </w:pPr>
      <w:r>
        <w:rPr>
          <w:color w:val="000000" w:themeColor="text1"/>
        </w:rPr>
        <w:t xml:space="preserve">List </w:t>
      </w:r>
      <w:proofErr w:type="gramStart"/>
      <w:r>
        <w:rPr>
          <w:color w:val="000000" w:themeColor="text1"/>
        </w:rPr>
        <w:t>1 :</w:t>
      </w:r>
      <w:proofErr w:type="gramEnd"/>
      <w:r>
        <w:rPr>
          <w:color w:val="000000" w:themeColor="text1"/>
        </w:rPr>
        <w:t xml:space="preserve"> </w:t>
      </w:r>
      <w:r w:rsidR="0050343D" w:rsidRPr="00B84EA9">
        <w:rPr>
          <w:color w:val="000000" w:themeColor="text1"/>
        </w:rPr>
        <w:t xml:space="preserve">The rats were randomly divided into </w:t>
      </w:r>
      <w:r w:rsidR="0050343D">
        <w:rPr>
          <w:color w:val="000000" w:themeColor="text1"/>
        </w:rPr>
        <w:t>six (6</w:t>
      </w:r>
      <w:r w:rsidR="0050343D" w:rsidRPr="00B84EA9">
        <w:rPr>
          <w:color w:val="000000" w:themeColor="text1"/>
        </w:rPr>
        <w:t xml:space="preserve">) groups of </w:t>
      </w:r>
      <w:r w:rsidR="0050343D">
        <w:rPr>
          <w:color w:val="000000" w:themeColor="text1"/>
        </w:rPr>
        <w:t>six (6)</w:t>
      </w:r>
      <w:r w:rsidR="0050343D" w:rsidRPr="00B84EA9">
        <w:rPr>
          <w:color w:val="000000" w:themeColor="text1"/>
        </w:rPr>
        <w:t xml:space="preserve"> animals each as follows</w:t>
      </w:r>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6327"/>
      </w:tblGrid>
      <w:tr w:rsidR="0050343D" w14:paraId="31AFB6B0" w14:textId="77777777" w:rsidTr="00E0273A">
        <w:trPr>
          <w:trHeight w:val="653"/>
        </w:trPr>
        <w:tc>
          <w:tcPr>
            <w:tcW w:w="2071" w:type="pct"/>
          </w:tcPr>
          <w:p w14:paraId="02347D5F" w14:textId="77777777" w:rsidR="0050343D" w:rsidRPr="0076787A" w:rsidRDefault="0050343D" w:rsidP="009C7526">
            <w:pPr>
              <w:pStyle w:val="NormalWeb"/>
              <w:spacing w:before="0" w:beforeAutospacing="0" w:after="160" w:afterAutospacing="0" w:line="360" w:lineRule="auto"/>
              <w:jc w:val="center"/>
              <w:rPr>
                <w:b/>
                <w:color w:val="000000" w:themeColor="text1"/>
              </w:rPr>
            </w:pPr>
            <w:r w:rsidRPr="0076787A">
              <w:rPr>
                <w:b/>
                <w:color w:val="000000" w:themeColor="text1"/>
              </w:rPr>
              <w:t>Groups</w:t>
            </w:r>
          </w:p>
        </w:tc>
        <w:tc>
          <w:tcPr>
            <w:tcW w:w="2929" w:type="pct"/>
          </w:tcPr>
          <w:p w14:paraId="32BA5731" w14:textId="77777777" w:rsidR="0050343D" w:rsidRPr="0076787A" w:rsidRDefault="0050343D" w:rsidP="009C7526">
            <w:pPr>
              <w:pStyle w:val="NormalWeb"/>
              <w:spacing w:before="0" w:beforeAutospacing="0" w:after="160" w:afterAutospacing="0" w:line="360" w:lineRule="auto"/>
              <w:jc w:val="center"/>
              <w:rPr>
                <w:b/>
                <w:color w:val="000000" w:themeColor="text1"/>
              </w:rPr>
            </w:pPr>
            <w:r>
              <w:rPr>
                <w:b/>
                <w:color w:val="000000" w:themeColor="text1"/>
              </w:rPr>
              <w:t>Treatment Administration</w:t>
            </w:r>
          </w:p>
        </w:tc>
      </w:tr>
      <w:tr w:rsidR="0050343D" w14:paraId="79C18BD3" w14:textId="77777777" w:rsidTr="00E0273A">
        <w:trPr>
          <w:trHeight w:val="1052"/>
        </w:trPr>
        <w:tc>
          <w:tcPr>
            <w:tcW w:w="2071" w:type="pct"/>
          </w:tcPr>
          <w:p w14:paraId="3D005E25" w14:textId="77777777" w:rsidR="0050343D" w:rsidRPr="0076787A" w:rsidRDefault="0050343D" w:rsidP="009C7526">
            <w:pPr>
              <w:pStyle w:val="NormalWeb"/>
              <w:spacing w:before="0" w:beforeAutospacing="0" w:after="160" w:afterAutospacing="0" w:line="360" w:lineRule="auto"/>
              <w:jc w:val="center"/>
              <w:rPr>
                <w:b/>
                <w:color w:val="000000" w:themeColor="text1"/>
              </w:rPr>
            </w:pPr>
            <w:r w:rsidRPr="0076787A">
              <w:rPr>
                <w:rStyle w:val="Strong"/>
                <w:rFonts w:eastAsiaTheme="majorEastAsia"/>
                <w:b w:val="0"/>
                <w:color w:val="000000" w:themeColor="text1"/>
              </w:rPr>
              <w:t>PS1</w:t>
            </w:r>
          </w:p>
        </w:tc>
        <w:tc>
          <w:tcPr>
            <w:tcW w:w="2929" w:type="pct"/>
          </w:tcPr>
          <w:p w14:paraId="522893F9" w14:textId="77777777" w:rsidR="0050343D" w:rsidRDefault="0050343D" w:rsidP="009C7526">
            <w:pPr>
              <w:pStyle w:val="NormalWeb"/>
              <w:spacing w:before="0" w:beforeAutospacing="0" w:after="160" w:afterAutospacing="0" w:line="360" w:lineRule="auto"/>
              <w:jc w:val="center"/>
              <w:rPr>
                <w:color w:val="000000" w:themeColor="text1"/>
              </w:rPr>
            </w:pPr>
            <w:r>
              <w:rPr>
                <w:color w:val="000000" w:themeColor="text1"/>
              </w:rPr>
              <w:t>Induced with</w:t>
            </w:r>
            <w:r w:rsidRPr="0076787A">
              <w:rPr>
                <w:color w:val="000000" w:themeColor="text1"/>
              </w:rPr>
              <w:t xml:space="preserve"> cadmium chloride</w:t>
            </w:r>
            <w:r>
              <w:rPr>
                <w:color w:val="000000" w:themeColor="text1"/>
              </w:rPr>
              <w:t xml:space="preserve"> (5mg/kg body weight)</w:t>
            </w:r>
            <w:r w:rsidRPr="0076787A">
              <w:rPr>
                <w:color w:val="000000" w:themeColor="text1"/>
              </w:rPr>
              <w:t xml:space="preserve">, and </w:t>
            </w:r>
            <w:r>
              <w:rPr>
                <w:color w:val="000000" w:themeColor="text1"/>
              </w:rPr>
              <w:t>fed diet</w:t>
            </w:r>
            <w:r w:rsidRPr="0076787A">
              <w:rPr>
                <w:color w:val="000000" w:themeColor="text1"/>
              </w:rPr>
              <w:t xml:space="preserve"> supplement</w:t>
            </w:r>
            <w:r>
              <w:rPr>
                <w:color w:val="000000" w:themeColor="text1"/>
              </w:rPr>
              <w:t xml:space="preserve">ed 10% </w:t>
            </w:r>
            <w:r w:rsidRPr="0076787A">
              <w:rPr>
                <w:rStyle w:val="Emphasis"/>
                <w:color w:val="000000" w:themeColor="text1"/>
              </w:rPr>
              <w:t xml:space="preserve">Pterocarpus </w:t>
            </w:r>
            <w:proofErr w:type="spellStart"/>
            <w:r w:rsidRPr="0076787A">
              <w:rPr>
                <w:rStyle w:val="Emphasis"/>
                <w:color w:val="000000" w:themeColor="text1"/>
              </w:rPr>
              <w:t>santalinoides</w:t>
            </w:r>
            <w:proofErr w:type="spellEnd"/>
            <w:r w:rsidRPr="0076787A">
              <w:rPr>
                <w:rStyle w:val="Emphasis"/>
                <w:color w:val="000000" w:themeColor="text1"/>
              </w:rPr>
              <w:t xml:space="preserve"> </w:t>
            </w:r>
            <w:r>
              <w:t>leaf meal</w:t>
            </w:r>
          </w:p>
        </w:tc>
      </w:tr>
      <w:tr w:rsidR="0050343D" w14:paraId="515C7327" w14:textId="77777777" w:rsidTr="00E0273A">
        <w:trPr>
          <w:trHeight w:val="1115"/>
        </w:trPr>
        <w:tc>
          <w:tcPr>
            <w:tcW w:w="2071" w:type="pct"/>
          </w:tcPr>
          <w:p w14:paraId="111E0BBA" w14:textId="77777777" w:rsidR="0050343D" w:rsidRPr="0076787A" w:rsidRDefault="0050343D" w:rsidP="009C7526">
            <w:pPr>
              <w:pStyle w:val="NormalWeb"/>
              <w:spacing w:before="0" w:beforeAutospacing="0" w:after="160" w:afterAutospacing="0" w:line="360" w:lineRule="auto"/>
              <w:jc w:val="center"/>
              <w:rPr>
                <w:b/>
                <w:color w:val="000000" w:themeColor="text1"/>
              </w:rPr>
            </w:pPr>
            <w:r w:rsidRPr="0076787A">
              <w:rPr>
                <w:rStyle w:val="Strong"/>
                <w:rFonts w:eastAsiaTheme="majorEastAsia"/>
                <w:b w:val="0"/>
              </w:rPr>
              <w:t>PS2</w:t>
            </w:r>
          </w:p>
        </w:tc>
        <w:tc>
          <w:tcPr>
            <w:tcW w:w="2929" w:type="pct"/>
          </w:tcPr>
          <w:p w14:paraId="48B48B9A" w14:textId="77777777" w:rsidR="0050343D" w:rsidRPr="0076787A" w:rsidRDefault="0050343D" w:rsidP="009C7526">
            <w:pPr>
              <w:pStyle w:val="NormalWeb"/>
              <w:spacing w:before="0" w:beforeAutospacing="0" w:after="160" w:afterAutospacing="0" w:line="360" w:lineRule="auto"/>
              <w:jc w:val="center"/>
              <w:rPr>
                <w:color w:val="000000" w:themeColor="text1"/>
              </w:rPr>
            </w:pPr>
            <w:r>
              <w:rPr>
                <w:color w:val="000000" w:themeColor="text1"/>
              </w:rPr>
              <w:t>Induced with</w:t>
            </w:r>
            <w:r w:rsidRPr="0076787A">
              <w:rPr>
                <w:color w:val="000000" w:themeColor="text1"/>
              </w:rPr>
              <w:t xml:space="preserve"> cadmium chloride</w:t>
            </w:r>
            <w:r>
              <w:rPr>
                <w:color w:val="000000" w:themeColor="text1"/>
              </w:rPr>
              <w:t xml:space="preserve"> (5mg/kg body weight)</w:t>
            </w:r>
            <w:r w:rsidRPr="0076787A">
              <w:rPr>
                <w:color w:val="000000" w:themeColor="text1"/>
              </w:rPr>
              <w:t xml:space="preserve">, and </w:t>
            </w:r>
            <w:r>
              <w:rPr>
                <w:color w:val="000000" w:themeColor="text1"/>
              </w:rPr>
              <w:t>fed diet</w:t>
            </w:r>
            <w:r w:rsidRPr="0076787A">
              <w:rPr>
                <w:color w:val="000000" w:themeColor="text1"/>
              </w:rPr>
              <w:t xml:space="preserve"> supplement</w:t>
            </w:r>
            <w:r>
              <w:rPr>
                <w:color w:val="000000" w:themeColor="text1"/>
              </w:rPr>
              <w:t xml:space="preserve">ed 20% </w:t>
            </w:r>
            <w:r w:rsidRPr="0076787A">
              <w:rPr>
                <w:rStyle w:val="Emphasis"/>
                <w:color w:val="000000" w:themeColor="text1"/>
              </w:rPr>
              <w:t xml:space="preserve">Pterocarpus </w:t>
            </w:r>
            <w:proofErr w:type="spellStart"/>
            <w:r w:rsidRPr="0076787A">
              <w:rPr>
                <w:rStyle w:val="Emphasis"/>
                <w:color w:val="000000" w:themeColor="text1"/>
              </w:rPr>
              <w:t>santalinoides</w:t>
            </w:r>
            <w:proofErr w:type="spellEnd"/>
            <w:r w:rsidRPr="0076787A">
              <w:rPr>
                <w:rStyle w:val="Emphasis"/>
                <w:color w:val="000000" w:themeColor="text1"/>
              </w:rPr>
              <w:t xml:space="preserve"> </w:t>
            </w:r>
            <w:r>
              <w:t>leaf meal</w:t>
            </w:r>
          </w:p>
        </w:tc>
      </w:tr>
      <w:tr w:rsidR="0050343D" w14:paraId="4FFA04C3" w14:textId="77777777" w:rsidTr="00E0273A">
        <w:trPr>
          <w:trHeight w:val="1115"/>
        </w:trPr>
        <w:tc>
          <w:tcPr>
            <w:tcW w:w="2071" w:type="pct"/>
          </w:tcPr>
          <w:p w14:paraId="62BA81B2" w14:textId="77777777" w:rsidR="0050343D" w:rsidRPr="00B14FBF" w:rsidRDefault="0050343D" w:rsidP="009C7526">
            <w:pPr>
              <w:pStyle w:val="NormalWeb"/>
              <w:spacing w:before="0" w:beforeAutospacing="0" w:after="160" w:afterAutospacing="0" w:line="360" w:lineRule="auto"/>
              <w:jc w:val="center"/>
              <w:rPr>
                <w:color w:val="000000" w:themeColor="text1"/>
              </w:rPr>
            </w:pPr>
            <w:r>
              <w:rPr>
                <w:rStyle w:val="Strong"/>
                <w:rFonts w:eastAsiaTheme="majorEastAsia"/>
                <w:b w:val="0"/>
              </w:rPr>
              <w:t>PS3</w:t>
            </w:r>
          </w:p>
        </w:tc>
        <w:tc>
          <w:tcPr>
            <w:tcW w:w="2929" w:type="pct"/>
          </w:tcPr>
          <w:p w14:paraId="280E8466" w14:textId="77777777" w:rsidR="0050343D" w:rsidRPr="00B14FBF" w:rsidRDefault="0050343D" w:rsidP="009C7526">
            <w:pPr>
              <w:pStyle w:val="NormalWeb"/>
              <w:spacing w:before="0" w:beforeAutospacing="0" w:after="160" w:afterAutospacing="0" w:line="360" w:lineRule="auto"/>
              <w:jc w:val="center"/>
              <w:rPr>
                <w:color w:val="000000" w:themeColor="text1"/>
              </w:rPr>
            </w:pPr>
            <w:r>
              <w:rPr>
                <w:color w:val="000000" w:themeColor="text1"/>
              </w:rPr>
              <w:t>Induced with</w:t>
            </w:r>
            <w:r w:rsidRPr="0076787A">
              <w:rPr>
                <w:color w:val="000000" w:themeColor="text1"/>
              </w:rPr>
              <w:t xml:space="preserve"> cadmium chloride</w:t>
            </w:r>
            <w:r>
              <w:rPr>
                <w:color w:val="000000" w:themeColor="text1"/>
              </w:rPr>
              <w:t xml:space="preserve"> (5mg/kg body weight)</w:t>
            </w:r>
            <w:r w:rsidRPr="0076787A">
              <w:rPr>
                <w:color w:val="000000" w:themeColor="text1"/>
              </w:rPr>
              <w:t xml:space="preserve">, and </w:t>
            </w:r>
            <w:r>
              <w:rPr>
                <w:color w:val="000000" w:themeColor="text1"/>
              </w:rPr>
              <w:t>fed diet</w:t>
            </w:r>
            <w:r w:rsidRPr="0076787A">
              <w:rPr>
                <w:color w:val="000000" w:themeColor="text1"/>
              </w:rPr>
              <w:t xml:space="preserve"> supplement</w:t>
            </w:r>
            <w:r>
              <w:rPr>
                <w:color w:val="000000" w:themeColor="text1"/>
              </w:rPr>
              <w:t xml:space="preserve">ed 40% </w:t>
            </w:r>
            <w:r w:rsidRPr="0076787A">
              <w:rPr>
                <w:rStyle w:val="Emphasis"/>
                <w:color w:val="000000" w:themeColor="text1"/>
              </w:rPr>
              <w:t xml:space="preserve">Pterocarpus </w:t>
            </w:r>
            <w:proofErr w:type="spellStart"/>
            <w:r w:rsidRPr="0076787A">
              <w:rPr>
                <w:rStyle w:val="Emphasis"/>
                <w:color w:val="000000" w:themeColor="text1"/>
              </w:rPr>
              <w:t>santalinoides</w:t>
            </w:r>
            <w:proofErr w:type="spellEnd"/>
            <w:r w:rsidRPr="0076787A">
              <w:rPr>
                <w:rStyle w:val="Emphasis"/>
                <w:color w:val="000000" w:themeColor="text1"/>
              </w:rPr>
              <w:t xml:space="preserve"> </w:t>
            </w:r>
            <w:r>
              <w:t>leaf meal</w:t>
            </w:r>
          </w:p>
        </w:tc>
      </w:tr>
      <w:tr w:rsidR="0050343D" w14:paraId="448DC501" w14:textId="77777777" w:rsidTr="00E0273A">
        <w:trPr>
          <w:trHeight w:val="1104"/>
        </w:trPr>
        <w:tc>
          <w:tcPr>
            <w:tcW w:w="2071" w:type="pct"/>
          </w:tcPr>
          <w:p w14:paraId="45958029" w14:textId="77777777" w:rsidR="0050343D" w:rsidRDefault="0050343D" w:rsidP="009C7526">
            <w:pPr>
              <w:pStyle w:val="NormalWeb"/>
              <w:spacing w:before="0" w:beforeAutospacing="0" w:after="160" w:afterAutospacing="0" w:line="360" w:lineRule="auto"/>
              <w:jc w:val="center"/>
              <w:rPr>
                <w:rStyle w:val="Strong"/>
                <w:rFonts w:eastAsiaTheme="majorEastAsia"/>
                <w:b w:val="0"/>
                <w:color w:val="000000" w:themeColor="text1"/>
              </w:rPr>
            </w:pPr>
            <w:r>
              <w:rPr>
                <w:rStyle w:val="Strong"/>
                <w:rFonts w:eastAsiaTheme="majorEastAsia"/>
                <w:b w:val="0"/>
                <w:color w:val="000000" w:themeColor="text1"/>
              </w:rPr>
              <w:t>Normal Control group</w:t>
            </w:r>
          </w:p>
        </w:tc>
        <w:tc>
          <w:tcPr>
            <w:tcW w:w="2929" w:type="pct"/>
          </w:tcPr>
          <w:p w14:paraId="13627E23" w14:textId="77777777" w:rsidR="0050343D" w:rsidRPr="00B84EA9" w:rsidRDefault="0050343D" w:rsidP="009C7526">
            <w:pPr>
              <w:pStyle w:val="NormalWeb"/>
              <w:spacing w:before="0" w:beforeAutospacing="0" w:after="160" w:afterAutospacing="0" w:line="360" w:lineRule="auto"/>
              <w:jc w:val="center"/>
              <w:rPr>
                <w:color w:val="000000" w:themeColor="text1"/>
              </w:rPr>
            </w:pPr>
            <w:r w:rsidRPr="00B84EA9">
              <w:rPr>
                <w:color w:val="000000" w:themeColor="text1"/>
              </w:rPr>
              <w:t xml:space="preserve">Received </w:t>
            </w:r>
            <w:r>
              <w:rPr>
                <w:color w:val="000000" w:themeColor="text1"/>
              </w:rPr>
              <w:t>normal</w:t>
            </w:r>
            <w:r w:rsidRPr="00B84EA9">
              <w:rPr>
                <w:color w:val="000000" w:themeColor="text1"/>
              </w:rPr>
              <w:t xml:space="preserve"> rat chow</w:t>
            </w:r>
            <w:r>
              <w:rPr>
                <w:color w:val="000000" w:themeColor="text1"/>
              </w:rPr>
              <w:t xml:space="preserve"> and water throughout the experimental period.</w:t>
            </w:r>
          </w:p>
        </w:tc>
      </w:tr>
      <w:tr w:rsidR="0050343D" w14:paraId="77A32F71" w14:textId="77777777" w:rsidTr="00E0273A">
        <w:trPr>
          <w:trHeight w:val="1984"/>
        </w:trPr>
        <w:tc>
          <w:tcPr>
            <w:tcW w:w="2071" w:type="pct"/>
          </w:tcPr>
          <w:p w14:paraId="0DCB8B5C" w14:textId="77777777" w:rsidR="0050343D" w:rsidRDefault="0050343D" w:rsidP="009C7526">
            <w:pPr>
              <w:pStyle w:val="NormalWeb"/>
              <w:spacing w:before="0" w:beforeAutospacing="0" w:after="160" w:afterAutospacing="0" w:line="360" w:lineRule="auto"/>
              <w:jc w:val="center"/>
              <w:rPr>
                <w:rStyle w:val="Strong"/>
                <w:rFonts w:eastAsiaTheme="majorEastAsia"/>
                <w:b w:val="0"/>
                <w:color w:val="000000" w:themeColor="text1"/>
              </w:rPr>
            </w:pPr>
            <w:r>
              <w:rPr>
                <w:rStyle w:val="Strong"/>
                <w:rFonts w:eastAsiaTheme="majorEastAsia"/>
                <w:b w:val="0"/>
                <w:color w:val="000000" w:themeColor="text1"/>
              </w:rPr>
              <w:lastRenderedPageBreak/>
              <w:t>Negative Control group</w:t>
            </w:r>
          </w:p>
          <w:p w14:paraId="54AE13A6" w14:textId="77777777" w:rsidR="0050343D" w:rsidRDefault="0050343D" w:rsidP="009C7526">
            <w:pPr>
              <w:pStyle w:val="NormalWeb"/>
              <w:spacing w:before="0" w:beforeAutospacing="0" w:after="160" w:afterAutospacing="0" w:line="360" w:lineRule="auto"/>
              <w:rPr>
                <w:rStyle w:val="Strong"/>
                <w:rFonts w:eastAsiaTheme="majorEastAsia"/>
                <w:b w:val="0"/>
                <w:color w:val="000000" w:themeColor="text1"/>
              </w:rPr>
            </w:pPr>
          </w:p>
          <w:p w14:paraId="3534AF3B" w14:textId="77777777" w:rsidR="0050343D" w:rsidRDefault="0050343D" w:rsidP="009C7526">
            <w:pPr>
              <w:pStyle w:val="NormalWeb"/>
              <w:spacing w:before="0" w:beforeAutospacing="0" w:after="160" w:afterAutospacing="0" w:line="360" w:lineRule="auto"/>
              <w:jc w:val="center"/>
              <w:rPr>
                <w:rStyle w:val="Strong"/>
                <w:rFonts w:eastAsiaTheme="majorEastAsia"/>
                <w:b w:val="0"/>
                <w:color w:val="000000" w:themeColor="text1"/>
              </w:rPr>
            </w:pPr>
            <w:r>
              <w:rPr>
                <w:rStyle w:val="Strong"/>
                <w:rFonts w:eastAsiaTheme="majorEastAsia"/>
                <w:b w:val="0"/>
                <w:color w:val="000000" w:themeColor="text1"/>
              </w:rPr>
              <w:t>Standard control group (vitamin E)</w:t>
            </w:r>
          </w:p>
        </w:tc>
        <w:tc>
          <w:tcPr>
            <w:tcW w:w="2929" w:type="pct"/>
          </w:tcPr>
          <w:p w14:paraId="413341CD" w14:textId="77777777" w:rsidR="0050343D" w:rsidRDefault="0050343D" w:rsidP="009C7526">
            <w:pPr>
              <w:pStyle w:val="NormalWeb"/>
              <w:spacing w:before="0" w:beforeAutospacing="0" w:after="160" w:afterAutospacing="0" w:line="360" w:lineRule="auto"/>
              <w:jc w:val="center"/>
              <w:rPr>
                <w:color w:val="000000" w:themeColor="text1"/>
              </w:rPr>
            </w:pPr>
            <w:r>
              <w:rPr>
                <w:color w:val="000000" w:themeColor="text1"/>
              </w:rPr>
              <w:t>Induced with</w:t>
            </w:r>
            <w:r w:rsidRPr="00B84EA9">
              <w:rPr>
                <w:color w:val="000000" w:themeColor="text1"/>
              </w:rPr>
              <w:t xml:space="preserve"> cadmiu</w:t>
            </w:r>
            <w:r>
              <w:rPr>
                <w:color w:val="000000" w:themeColor="text1"/>
              </w:rPr>
              <w:t>m chloride (5mg/kg body weight) and r</w:t>
            </w:r>
            <w:r w:rsidRPr="00B84EA9">
              <w:rPr>
                <w:color w:val="000000" w:themeColor="text1"/>
              </w:rPr>
              <w:t xml:space="preserve">eceived </w:t>
            </w:r>
            <w:r>
              <w:rPr>
                <w:color w:val="000000" w:themeColor="text1"/>
              </w:rPr>
              <w:t>normal</w:t>
            </w:r>
            <w:r w:rsidRPr="00B84EA9">
              <w:rPr>
                <w:color w:val="000000" w:themeColor="text1"/>
              </w:rPr>
              <w:t xml:space="preserve"> rat chow</w:t>
            </w:r>
            <w:r>
              <w:rPr>
                <w:color w:val="000000" w:themeColor="text1"/>
              </w:rPr>
              <w:t xml:space="preserve"> and water</w:t>
            </w:r>
          </w:p>
          <w:p w14:paraId="6670275E" w14:textId="77777777" w:rsidR="0050343D" w:rsidRDefault="0050343D" w:rsidP="009C7526">
            <w:pPr>
              <w:pStyle w:val="NormalWeb"/>
              <w:spacing w:before="0" w:beforeAutospacing="0" w:after="160" w:afterAutospacing="0" w:line="360" w:lineRule="auto"/>
              <w:jc w:val="center"/>
              <w:rPr>
                <w:color w:val="000000" w:themeColor="text1"/>
              </w:rPr>
            </w:pPr>
            <w:r w:rsidRPr="00B84EA9">
              <w:rPr>
                <w:color w:val="000000" w:themeColor="text1"/>
              </w:rPr>
              <w:t xml:space="preserve">Received </w:t>
            </w:r>
            <w:r>
              <w:rPr>
                <w:color w:val="000000" w:themeColor="text1"/>
              </w:rPr>
              <w:t>normal</w:t>
            </w:r>
            <w:r w:rsidRPr="00B84EA9">
              <w:rPr>
                <w:color w:val="000000" w:themeColor="text1"/>
              </w:rPr>
              <w:t xml:space="preserve"> rat chow</w:t>
            </w:r>
            <w:r>
              <w:rPr>
                <w:color w:val="000000" w:themeColor="text1"/>
              </w:rPr>
              <w:t xml:space="preserve"> and water throughout the experimental period.</w:t>
            </w:r>
          </w:p>
        </w:tc>
      </w:tr>
    </w:tbl>
    <w:p w14:paraId="4A5FEA47" w14:textId="77777777" w:rsidR="0050343D" w:rsidRPr="0050343D" w:rsidRDefault="0050343D" w:rsidP="0050343D">
      <w:pPr>
        <w:pStyle w:val="Heading4"/>
        <w:spacing w:before="0" w:after="160" w:line="480" w:lineRule="auto"/>
        <w:jc w:val="both"/>
        <w:rPr>
          <w:rStyle w:val="Strong"/>
          <w:rFonts w:ascii="Times New Roman" w:hAnsi="Times New Roman" w:cs="Times New Roman"/>
          <w:i w:val="0"/>
          <w:color w:val="000000" w:themeColor="text1"/>
          <w:sz w:val="24"/>
          <w:szCs w:val="24"/>
        </w:rPr>
      </w:pPr>
      <w:r w:rsidRPr="0050343D">
        <w:rPr>
          <w:rStyle w:val="Strong"/>
          <w:rFonts w:ascii="Times New Roman" w:hAnsi="Times New Roman" w:cs="Times New Roman"/>
          <w:b w:val="0"/>
          <w:i w:val="0"/>
          <w:color w:val="000000" w:themeColor="text1"/>
          <w:sz w:val="24"/>
          <w:szCs w:val="24"/>
        </w:rPr>
        <w:t>All animals except those in the normal control group were orally administered cadmium chloride at a dose of</w:t>
      </w:r>
      <w:r w:rsidRPr="0050343D">
        <w:rPr>
          <w:rStyle w:val="Strong"/>
          <w:rFonts w:ascii="Times New Roman" w:hAnsi="Times New Roman" w:cs="Times New Roman"/>
          <w:i w:val="0"/>
          <w:color w:val="000000" w:themeColor="text1"/>
          <w:sz w:val="24"/>
          <w:szCs w:val="24"/>
        </w:rPr>
        <w:t xml:space="preserve"> </w:t>
      </w:r>
      <w:r w:rsidRPr="0050343D">
        <w:rPr>
          <w:rFonts w:ascii="Times New Roman" w:hAnsi="Times New Roman" w:cs="Times New Roman"/>
          <w:i w:val="0"/>
          <w:color w:val="000000" w:themeColor="text1"/>
          <w:sz w:val="24"/>
          <w:szCs w:val="24"/>
        </w:rPr>
        <w:t>5mg/kg body weight for 14 consecutive days to induce toxicity. Following induction, rats in groups PS1, PS2</w:t>
      </w:r>
      <w:r>
        <w:rPr>
          <w:rFonts w:ascii="Times New Roman" w:hAnsi="Times New Roman" w:cs="Times New Roman"/>
          <w:i w:val="0"/>
          <w:color w:val="000000" w:themeColor="text1"/>
          <w:sz w:val="24"/>
          <w:szCs w:val="24"/>
        </w:rPr>
        <w:t>,</w:t>
      </w:r>
      <w:r w:rsidRPr="0050343D">
        <w:rPr>
          <w:rFonts w:ascii="Times New Roman" w:hAnsi="Times New Roman" w:cs="Times New Roman"/>
          <w:i w:val="0"/>
          <w:color w:val="000000" w:themeColor="text1"/>
          <w:sz w:val="24"/>
          <w:szCs w:val="24"/>
        </w:rPr>
        <w:t xml:space="preserve"> and PS3 were fed </w:t>
      </w:r>
      <w:r>
        <w:rPr>
          <w:rFonts w:ascii="Times New Roman" w:hAnsi="Times New Roman" w:cs="Times New Roman"/>
          <w:i w:val="0"/>
          <w:color w:val="000000" w:themeColor="text1"/>
          <w:sz w:val="24"/>
          <w:szCs w:val="24"/>
        </w:rPr>
        <w:t xml:space="preserve">a </w:t>
      </w:r>
      <w:r w:rsidRPr="0050343D">
        <w:rPr>
          <w:rFonts w:ascii="Times New Roman" w:hAnsi="Times New Roman" w:cs="Times New Roman"/>
          <w:i w:val="0"/>
          <w:color w:val="000000" w:themeColor="text1"/>
          <w:sz w:val="24"/>
          <w:szCs w:val="24"/>
        </w:rPr>
        <w:t>diet containing 10%, 20%</w:t>
      </w:r>
      <w:r>
        <w:rPr>
          <w:rFonts w:ascii="Times New Roman" w:hAnsi="Times New Roman" w:cs="Times New Roman"/>
          <w:i w:val="0"/>
          <w:color w:val="000000" w:themeColor="text1"/>
          <w:sz w:val="24"/>
          <w:szCs w:val="24"/>
        </w:rPr>
        <w:t>,</w:t>
      </w:r>
      <w:r w:rsidRPr="0050343D">
        <w:rPr>
          <w:rFonts w:ascii="Times New Roman" w:hAnsi="Times New Roman" w:cs="Times New Roman"/>
          <w:i w:val="0"/>
          <w:color w:val="000000" w:themeColor="text1"/>
          <w:sz w:val="24"/>
          <w:szCs w:val="24"/>
        </w:rPr>
        <w:t xml:space="preserve"> and 40% </w:t>
      </w:r>
      <w:r w:rsidRPr="0050343D">
        <w:rPr>
          <w:rStyle w:val="Emphasis"/>
          <w:rFonts w:ascii="Times New Roman" w:hAnsi="Times New Roman" w:cs="Times New Roman"/>
          <w:i/>
          <w:color w:val="000000" w:themeColor="text1"/>
          <w:sz w:val="24"/>
          <w:szCs w:val="24"/>
        </w:rPr>
        <w:t xml:space="preserve">Pterocarpus </w:t>
      </w:r>
      <w:proofErr w:type="spellStart"/>
      <w:r w:rsidRPr="0050343D">
        <w:rPr>
          <w:rStyle w:val="Emphasis"/>
          <w:rFonts w:ascii="Times New Roman" w:hAnsi="Times New Roman" w:cs="Times New Roman"/>
          <w:i/>
          <w:color w:val="000000" w:themeColor="text1"/>
          <w:sz w:val="24"/>
          <w:szCs w:val="24"/>
        </w:rPr>
        <w:t>santalinoides</w:t>
      </w:r>
      <w:proofErr w:type="spellEnd"/>
      <w:r w:rsidRPr="0050343D">
        <w:rPr>
          <w:rStyle w:val="Emphasis"/>
          <w:rFonts w:ascii="Times New Roman" w:hAnsi="Times New Roman" w:cs="Times New Roman"/>
          <w:color w:val="000000" w:themeColor="text1"/>
          <w:sz w:val="24"/>
          <w:szCs w:val="24"/>
        </w:rPr>
        <w:t xml:space="preserve"> leaf meal</w:t>
      </w:r>
      <w:r>
        <w:rPr>
          <w:rStyle w:val="Emphasis"/>
          <w:rFonts w:ascii="Times New Roman" w:hAnsi="Times New Roman" w:cs="Times New Roman"/>
          <w:color w:val="000000" w:themeColor="text1"/>
          <w:sz w:val="24"/>
          <w:szCs w:val="24"/>
        </w:rPr>
        <w:t>,</w:t>
      </w:r>
      <w:r w:rsidRPr="0050343D">
        <w:rPr>
          <w:rStyle w:val="Emphasis"/>
          <w:rFonts w:ascii="Times New Roman" w:hAnsi="Times New Roman" w:cs="Times New Roman"/>
          <w:color w:val="000000" w:themeColor="text1"/>
          <w:sz w:val="24"/>
          <w:szCs w:val="24"/>
        </w:rPr>
        <w:t xml:space="preserve"> </w:t>
      </w:r>
      <w:r w:rsidRPr="0050343D">
        <w:rPr>
          <w:rFonts w:ascii="Times New Roman" w:hAnsi="Times New Roman" w:cs="Times New Roman"/>
          <w:i w:val="0"/>
          <w:color w:val="000000" w:themeColor="text1"/>
          <w:sz w:val="24"/>
          <w:szCs w:val="24"/>
        </w:rPr>
        <w:t>respectively</w:t>
      </w:r>
      <w:r>
        <w:rPr>
          <w:rFonts w:ascii="Times New Roman" w:hAnsi="Times New Roman" w:cs="Times New Roman"/>
          <w:i w:val="0"/>
          <w:color w:val="000000" w:themeColor="text1"/>
          <w:sz w:val="24"/>
          <w:szCs w:val="24"/>
        </w:rPr>
        <w:t>,</w:t>
      </w:r>
      <w:r w:rsidRPr="0050343D">
        <w:rPr>
          <w:rFonts w:ascii="Times New Roman" w:hAnsi="Times New Roman" w:cs="Times New Roman"/>
          <w:i w:val="0"/>
          <w:color w:val="000000" w:themeColor="text1"/>
          <w:sz w:val="24"/>
          <w:szCs w:val="24"/>
        </w:rPr>
        <w:t xml:space="preserve"> for 21 consecutive days</w:t>
      </w:r>
    </w:p>
    <w:p w14:paraId="5CAB72BE" w14:textId="77777777" w:rsidR="0050343D" w:rsidRPr="0050343D" w:rsidRDefault="0050343D" w:rsidP="0050343D">
      <w:pPr>
        <w:pStyle w:val="Heading4"/>
        <w:spacing w:before="0" w:after="160" w:line="480" w:lineRule="auto"/>
        <w:jc w:val="both"/>
        <w:rPr>
          <w:rFonts w:ascii="Times New Roman" w:hAnsi="Times New Roman" w:cs="Times New Roman"/>
          <w:i w:val="0"/>
          <w:color w:val="000000" w:themeColor="text1"/>
          <w:sz w:val="24"/>
          <w:szCs w:val="24"/>
        </w:rPr>
      </w:pPr>
      <w:r w:rsidRPr="0050343D">
        <w:rPr>
          <w:rStyle w:val="Strong"/>
          <w:rFonts w:ascii="Times New Roman" w:hAnsi="Times New Roman" w:cs="Times New Roman"/>
          <w:i w:val="0"/>
          <w:color w:val="000000" w:themeColor="text1"/>
          <w:sz w:val="24"/>
          <w:szCs w:val="24"/>
        </w:rPr>
        <w:t xml:space="preserve">Preparation of </w:t>
      </w:r>
      <w:r w:rsidRPr="0050343D">
        <w:rPr>
          <w:rStyle w:val="Emphasis"/>
          <w:rFonts w:ascii="Times New Roman" w:hAnsi="Times New Roman" w:cs="Times New Roman"/>
          <w:b/>
          <w:i/>
          <w:iCs/>
          <w:color w:val="000000" w:themeColor="text1"/>
          <w:sz w:val="24"/>
          <w:szCs w:val="24"/>
        </w:rPr>
        <w:t>Pterocarpus</w:t>
      </w:r>
      <w:r w:rsidRPr="0050343D">
        <w:rPr>
          <w:rStyle w:val="Emphasis"/>
          <w:rFonts w:ascii="Times New Roman" w:hAnsi="Times New Roman" w:cs="Times New Roman"/>
          <w:i/>
          <w:iCs/>
          <w:color w:val="000000" w:themeColor="text1"/>
          <w:sz w:val="24"/>
          <w:szCs w:val="24"/>
        </w:rPr>
        <w:t xml:space="preserve"> </w:t>
      </w:r>
      <w:proofErr w:type="spellStart"/>
      <w:r w:rsidRPr="0050343D">
        <w:rPr>
          <w:rStyle w:val="Emphasis"/>
          <w:rFonts w:ascii="Times New Roman" w:hAnsi="Times New Roman" w:cs="Times New Roman"/>
          <w:b/>
          <w:i/>
          <w:iCs/>
          <w:color w:val="000000" w:themeColor="text1"/>
          <w:sz w:val="24"/>
          <w:szCs w:val="24"/>
        </w:rPr>
        <w:t>santalinoides</w:t>
      </w:r>
      <w:proofErr w:type="spellEnd"/>
      <w:r w:rsidRPr="0050343D">
        <w:rPr>
          <w:rStyle w:val="Emphasis"/>
          <w:rFonts w:ascii="Times New Roman" w:hAnsi="Times New Roman" w:cs="Times New Roman"/>
          <w:i/>
          <w:iCs/>
          <w:color w:val="000000" w:themeColor="text1"/>
          <w:sz w:val="24"/>
          <w:szCs w:val="24"/>
        </w:rPr>
        <w:t xml:space="preserve"> </w:t>
      </w:r>
      <w:r w:rsidRPr="0050343D">
        <w:rPr>
          <w:rStyle w:val="Strong"/>
          <w:rFonts w:ascii="Times New Roman" w:hAnsi="Times New Roman" w:cs="Times New Roman"/>
          <w:i w:val="0"/>
          <w:color w:val="000000" w:themeColor="text1"/>
          <w:sz w:val="24"/>
          <w:szCs w:val="24"/>
        </w:rPr>
        <w:t>Leaf Diet</w:t>
      </w:r>
    </w:p>
    <w:p w14:paraId="385DD1C5" w14:textId="77777777" w:rsidR="0050343D" w:rsidRPr="00B84EA9" w:rsidRDefault="0050343D" w:rsidP="0050343D">
      <w:pPr>
        <w:pStyle w:val="NormalWeb"/>
        <w:spacing w:before="0" w:beforeAutospacing="0" w:after="160" w:afterAutospacing="0" w:line="480" w:lineRule="auto"/>
        <w:jc w:val="both"/>
        <w:rPr>
          <w:color w:val="000000" w:themeColor="text1"/>
        </w:rPr>
      </w:pPr>
      <w:r w:rsidRPr="00B84EA9">
        <w:rPr>
          <w:color w:val="000000" w:themeColor="text1"/>
        </w:rPr>
        <w:t xml:space="preserve">The collected leaves were washed thoroughly to remove dust and debris, air-dried at room temperature (25-27°C) for 14 days, and </w:t>
      </w:r>
      <w:r>
        <w:rPr>
          <w:color w:val="000000" w:themeColor="text1"/>
        </w:rPr>
        <w:t>pulverized</w:t>
      </w:r>
      <w:r w:rsidRPr="00B84EA9">
        <w:rPr>
          <w:color w:val="000000" w:themeColor="text1"/>
        </w:rPr>
        <w:t xml:space="preserve"> into fine powder using an </w:t>
      </w:r>
      <w:r>
        <w:rPr>
          <w:color w:val="000000" w:themeColor="text1"/>
        </w:rPr>
        <w:t>electric</w:t>
      </w:r>
      <w:r w:rsidRPr="00B84EA9">
        <w:rPr>
          <w:color w:val="000000" w:themeColor="text1"/>
        </w:rPr>
        <w:t xml:space="preserve"> blender.</w:t>
      </w:r>
    </w:p>
    <w:p w14:paraId="024537E1" w14:textId="77777777" w:rsidR="0050343D" w:rsidRPr="0050343D" w:rsidRDefault="0050343D" w:rsidP="0050343D">
      <w:pPr>
        <w:pStyle w:val="Heading4"/>
        <w:spacing w:before="0" w:after="160" w:line="480" w:lineRule="auto"/>
        <w:jc w:val="both"/>
        <w:rPr>
          <w:rFonts w:ascii="Times New Roman" w:hAnsi="Times New Roman" w:cs="Times New Roman"/>
          <w:i w:val="0"/>
          <w:color w:val="000000" w:themeColor="text1"/>
          <w:sz w:val="24"/>
          <w:szCs w:val="24"/>
        </w:rPr>
      </w:pPr>
      <w:r w:rsidRPr="0050343D">
        <w:rPr>
          <w:rStyle w:val="Strong"/>
          <w:rFonts w:ascii="Times New Roman" w:hAnsi="Times New Roman" w:cs="Times New Roman"/>
          <w:i w:val="0"/>
          <w:color w:val="000000" w:themeColor="text1"/>
          <w:sz w:val="24"/>
          <w:szCs w:val="24"/>
        </w:rPr>
        <w:t>Induction of Cadmium Toxicity</w:t>
      </w:r>
    </w:p>
    <w:p w14:paraId="347D66E4" w14:textId="77777777" w:rsidR="0050343D" w:rsidRPr="00B84EA9" w:rsidRDefault="0050343D" w:rsidP="0050343D">
      <w:pPr>
        <w:pStyle w:val="NormalWeb"/>
        <w:spacing w:before="0" w:beforeAutospacing="0" w:after="160" w:afterAutospacing="0" w:line="480" w:lineRule="auto"/>
        <w:jc w:val="both"/>
        <w:rPr>
          <w:color w:val="000000" w:themeColor="text1"/>
        </w:rPr>
      </w:pPr>
      <w:r w:rsidRPr="00B84EA9">
        <w:rPr>
          <w:color w:val="000000" w:themeColor="text1"/>
        </w:rPr>
        <w:t xml:space="preserve">Cadmium toxicity was induced by oral administration of cadmium chloride at a dose of 5mg/kg body weight for </w:t>
      </w:r>
      <w:r>
        <w:rPr>
          <w:color w:val="000000" w:themeColor="text1"/>
        </w:rPr>
        <w:t>14</w:t>
      </w:r>
      <w:r w:rsidRPr="00B84EA9">
        <w:rPr>
          <w:color w:val="000000" w:themeColor="text1"/>
        </w:rPr>
        <w:t xml:space="preserve"> consecutive days before commencement of the diet administration. </w:t>
      </w:r>
    </w:p>
    <w:p w14:paraId="49E0FC7E" w14:textId="77777777" w:rsidR="0050343D" w:rsidRPr="0050343D" w:rsidRDefault="0050343D" w:rsidP="0050343D">
      <w:pPr>
        <w:pStyle w:val="Heading4"/>
        <w:spacing w:before="0" w:after="160" w:line="480" w:lineRule="auto"/>
        <w:jc w:val="both"/>
        <w:rPr>
          <w:rStyle w:val="Strong"/>
          <w:rFonts w:ascii="Times New Roman" w:hAnsi="Times New Roman" w:cs="Times New Roman"/>
          <w:bCs w:val="0"/>
          <w:i w:val="0"/>
          <w:color w:val="000000" w:themeColor="text1"/>
          <w:sz w:val="24"/>
          <w:szCs w:val="24"/>
        </w:rPr>
      </w:pPr>
      <w:r w:rsidRPr="0050343D">
        <w:rPr>
          <w:rStyle w:val="Strong"/>
          <w:rFonts w:ascii="Times New Roman" w:hAnsi="Times New Roman" w:cs="Times New Roman"/>
          <w:i w:val="0"/>
          <w:color w:val="000000" w:themeColor="text1"/>
          <w:sz w:val="24"/>
          <w:szCs w:val="24"/>
        </w:rPr>
        <w:t xml:space="preserve">Administration of </w:t>
      </w:r>
      <w:r w:rsidRPr="0050343D">
        <w:rPr>
          <w:rStyle w:val="Strong"/>
          <w:rFonts w:ascii="Times New Roman" w:hAnsi="Times New Roman" w:cs="Times New Roman"/>
          <w:bCs w:val="0"/>
          <w:i w:val="0"/>
          <w:color w:val="000000" w:themeColor="text1"/>
          <w:sz w:val="24"/>
          <w:szCs w:val="24"/>
        </w:rPr>
        <w:t>supplemented diet</w:t>
      </w:r>
    </w:p>
    <w:p w14:paraId="57433913" w14:textId="77777777" w:rsidR="0050343D" w:rsidRPr="00B84EA9" w:rsidRDefault="0050343D" w:rsidP="0050343D">
      <w:pPr>
        <w:pStyle w:val="NormalWeb"/>
        <w:spacing w:before="0" w:beforeAutospacing="0" w:after="160" w:afterAutospacing="0" w:line="480" w:lineRule="auto"/>
        <w:jc w:val="both"/>
        <w:rPr>
          <w:color w:val="000000" w:themeColor="text1"/>
        </w:rPr>
      </w:pPr>
      <w:r w:rsidRPr="00B84EA9">
        <w:rPr>
          <w:color w:val="000000" w:themeColor="text1"/>
        </w:rPr>
        <w:t xml:space="preserve">After cadmium induction, the supplemented diet </w:t>
      </w:r>
      <w:r>
        <w:rPr>
          <w:color w:val="000000" w:themeColor="text1"/>
        </w:rPr>
        <w:t>was</w:t>
      </w:r>
      <w:r w:rsidRPr="00B84EA9">
        <w:rPr>
          <w:color w:val="000000" w:themeColor="text1"/>
        </w:rPr>
        <w:t xml:space="preserve"> adm</w:t>
      </w:r>
      <w:r>
        <w:rPr>
          <w:color w:val="000000" w:themeColor="text1"/>
        </w:rPr>
        <w:t>inistered orally (10%, 20% and 4</w:t>
      </w:r>
      <w:r w:rsidRPr="00B84EA9">
        <w:rPr>
          <w:color w:val="000000" w:themeColor="text1"/>
        </w:rPr>
        <w:t>0%) for 21 consecutive days. The control receive</w:t>
      </w:r>
      <w:r>
        <w:rPr>
          <w:color w:val="000000" w:themeColor="text1"/>
        </w:rPr>
        <w:t>d</w:t>
      </w:r>
      <w:r w:rsidRPr="00B84EA9">
        <w:rPr>
          <w:color w:val="000000" w:themeColor="text1"/>
        </w:rPr>
        <w:t xml:space="preserve"> water and rat chow</w:t>
      </w:r>
      <w:r>
        <w:rPr>
          <w:color w:val="000000" w:themeColor="text1"/>
        </w:rPr>
        <w:t>,</w:t>
      </w:r>
      <w:r w:rsidRPr="00B84EA9">
        <w:rPr>
          <w:color w:val="000000" w:themeColor="text1"/>
        </w:rPr>
        <w:t xml:space="preserve"> and the cadmium-only groups </w:t>
      </w:r>
      <w:r>
        <w:rPr>
          <w:color w:val="000000" w:themeColor="text1"/>
        </w:rPr>
        <w:t>were</w:t>
      </w:r>
      <w:r w:rsidRPr="00B84EA9">
        <w:rPr>
          <w:color w:val="000000" w:themeColor="text1"/>
        </w:rPr>
        <w:t xml:space="preserve"> exposed to cadmium chloride without treatment (5mg/kg body weight).</w:t>
      </w:r>
    </w:p>
    <w:p w14:paraId="48F17CCC" w14:textId="77777777" w:rsidR="0050343D" w:rsidRPr="00EA7300" w:rsidRDefault="0050343D" w:rsidP="0050343D">
      <w:pPr>
        <w:pStyle w:val="Heading4"/>
        <w:spacing w:before="0" w:after="160" w:line="480" w:lineRule="auto"/>
        <w:jc w:val="both"/>
        <w:rPr>
          <w:rFonts w:ascii="Times New Roman" w:hAnsi="Times New Roman" w:cs="Times New Roman"/>
          <w:i w:val="0"/>
          <w:color w:val="000000" w:themeColor="text1"/>
          <w:sz w:val="24"/>
          <w:szCs w:val="24"/>
        </w:rPr>
      </w:pPr>
      <w:r w:rsidRPr="00EA7300">
        <w:rPr>
          <w:rStyle w:val="Strong"/>
          <w:rFonts w:ascii="Times New Roman" w:hAnsi="Times New Roman" w:cs="Times New Roman"/>
          <w:i w:val="0"/>
          <w:color w:val="000000" w:themeColor="text1"/>
          <w:sz w:val="24"/>
          <w:szCs w:val="24"/>
        </w:rPr>
        <w:t>Collection of Blood Samples</w:t>
      </w:r>
    </w:p>
    <w:p w14:paraId="734D715A" w14:textId="77777777" w:rsidR="0050343D" w:rsidRPr="00B84EA9" w:rsidRDefault="0050343D" w:rsidP="0050343D">
      <w:pPr>
        <w:pStyle w:val="NormalWeb"/>
        <w:spacing w:before="0" w:beforeAutospacing="0" w:after="160" w:afterAutospacing="0" w:line="480" w:lineRule="auto"/>
        <w:jc w:val="both"/>
        <w:rPr>
          <w:color w:val="000000" w:themeColor="text1"/>
        </w:rPr>
      </w:pPr>
      <w:r w:rsidRPr="00B84EA9">
        <w:rPr>
          <w:color w:val="000000" w:themeColor="text1"/>
        </w:rPr>
        <w:t xml:space="preserve">At the end of the experimental period, the animals were anesthetized with </w:t>
      </w:r>
      <w:r>
        <w:rPr>
          <w:color w:val="000000" w:themeColor="text1"/>
        </w:rPr>
        <w:t>ketamine</w:t>
      </w:r>
      <w:r w:rsidRPr="00B84EA9">
        <w:rPr>
          <w:color w:val="000000" w:themeColor="text1"/>
        </w:rPr>
        <w:t>. Blood samples were collected via cardiac puncture using sterile syringes. Samples were divided into two portions: One portion in EDTA tubes for hematological analysis, and the other portion in plain tubes for serum preparation (centrifuged at 3,000rpm for 10minutes).</w:t>
      </w:r>
    </w:p>
    <w:p w14:paraId="7D028254" w14:textId="77777777" w:rsidR="0050343D" w:rsidRPr="00EA7300" w:rsidRDefault="0050343D" w:rsidP="0050343D">
      <w:pPr>
        <w:pStyle w:val="Heading4"/>
        <w:spacing w:before="0" w:after="160" w:line="480" w:lineRule="auto"/>
        <w:jc w:val="both"/>
        <w:rPr>
          <w:rStyle w:val="Strong"/>
          <w:rFonts w:ascii="Times New Roman" w:hAnsi="Times New Roman" w:cs="Times New Roman"/>
          <w:i w:val="0"/>
          <w:color w:val="000000" w:themeColor="text1"/>
          <w:sz w:val="24"/>
          <w:szCs w:val="24"/>
        </w:rPr>
      </w:pPr>
      <w:r w:rsidRPr="00EA7300">
        <w:rPr>
          <w:rStyle w:val="Strong"/>
          <w:rFonts w:ascii="Times New Roman" w:hAnsi="Times New Roman" w:cs="Times New Roman"/>
          <w:i w:val="0"/>
          <w:color w:val="000000" w:themeColor="text1"/>
          <w:sz w:val="24"/>
          <w:szCs w:val="24"/>
        </w:rPr>
        <w:lastRenderedPageBreak/>
        <w:t>Biochemical Assays</w:t>
      </w:r>
    </w:p>
    <w:p w14:paraId="644EBB70" w14:textId="77777777" w:rsidR="0050343D" w:rsidRPr="00B84EA9" w:rsidRDefault="00EA7300" w:rsidP="0050343D">
      <w:pPr>
        <w:pStyle w:val="Heading4"/>
        <w:spacing w:before="0" w:after="160" w:line="480" w:lineRule="auto"/>
        <w:jc w:val="both"/>
        <w:rPr>
          <w:rFonts w:ascii="Times New Roman" w:hAnsi="Times New Roman" w:cs="Times New Roman"/>
          <w:i w:val="0"/>
          <w:iCs w:val="0"/>
          <w:color w:val="000000" w:themeColor="text1"/>
          <w:sz w:val="24"/>
          <w:szCs w:val="24"/>
        </w:rPr>
      </w:pPr>
      <w:r>
        <w:rPr>
          <w:rFonts w:ascii="Times New Roman" w:hAnsi="Times New Roman" w:cs="Times New Roman"/>
          <w:i w:val="0"/>
          <w:iCs w:val="0"/>
          <w:color w:val="000000" w:themeColor="text1"/>
          <w:sz w:val="24"/>
          <w:szCs w:val="24"/>
        </w:rPr>
        <w:t>Lipid</w:t>
      </w:r>
      <w:r w:rsidR="0050343D" w:rsidRPr="00B84EA9">
        <w:rPr>
          <w:rFonts w:ascii="Times New Roman" w:hAnsi="Times New Roman" w:cs="Times New Roman"/>
          <w:i w:val="0"/>
          <w:iCs w:val="0"/>
          <w:color w:val="000000" w:themeColor="text1"/>
          <w:sz w:val="24"/>
          <w:szCs w:val="24"/>
        </w:rPr>
        <w:t xml:space="preserve"> profile and liver marker enzymes assay </w:t>
      </w:r>
    </w:p>
    <w:p w14:paraId="3B799952" w14:textId="77777777" w:rsidR="0050343D" w:rsidRPr="00EA7300" w:rsidRDefault="0050343D" w:rsidP="0050343D">
      <w:pPr>
        <w:pStyle w:val="Heading4"/>
        <w:spacing w:before="0" w:after="160" w:line="480" w:lineRule="auto"/>
        <w:jc w:val="both"/>
        <w:rPr>
          <w:rFonts w:ascii="Times New Roman" w:hAnsi="Times New Roman" w:cs="Times New Roman"/>
          <w:bCs/>
          <w:i w:val="0"/>
          <w:iCs w:val="0"/>
          <w:color w:val="000000" w:themeColor="text1"/>
          <w:sz w:val="24"/>
          <w:szCs w:val="24"/>
        </w:rPr>
      </w:pPr>
      <w:r w:rsidRPr="00EA7300">
        <w:rPr>
          <w:rFonts w:ascii="Times New Roman" w:hAnsi="Times New Roman" w:cs="Times New Roman"/>
          <w:bCs/>
          <w:i w:val="0"/>
          <w:iCs w:val="0"/>
          <w:color w:val="000000" w:themeColor="text1"/>
          <w:sz w:val="24"/>
          <w:szCs w:val="24"/>
        </w:rPr>
        <w:t xml:space="preserve">Serum was collected for </w:t>
      </w:r>
      <w:r w:rsidR="00EA7300" w:rsidRPr="00EA7300">
        <w:rPr>
          <w:rFonts w:ascii="Times New Roman" w:hAnsi="Times New Roman" w:cs="Times New Roman"/>
          <w:bCs/>
          <w:i w:val="0"/>
          <w:iCs w:val="0"/>
          <w:color w:val="000000" w:themeColor="text1"/>
          <w:sz w:val="24"/>
          <w:szCs w:val="24"/>
        </w:rPr>
        <w:t>lipid</w:t>
      </w:r>
      <w:r w:rsidRPr="00EA7300">
        <w:rPr>
          <w:rFonts w:ascii="Times New Roman" w:hAnsi="Times New Roman" w:cs="Times New Roman"/>
          <w:bCs/>
          <w:i w:val="0"/>
          <w:iCs w:val="0"/>
          <w:color w:val="000000" w:themeColor="text1"/>
          <w:sz w:val="24"/>
          <w:szCs w:val="24"/>
        </w:rPr>
        <w:t xml:space="preserve"> profile test (triglyceride, LDL, HDL and VLDL) and for liver marker enzymes test (ALT, AST, ALP and GGT) using </w:t>
      </w:r>
      <w:r w:rsidR="00EA7300">
        <w:rPr>
          <w:rFonts w:ascii="Times New Roman" w:hAnsi="Times New Roman" w:cs="Times New Roman"/>
          <w:bCs/>
          <w:i w:val="0"/>
          <w:iCs w:val="0"/>
          <w:color w:val="000000" w:themeColor="text1"/>
          <w:sz w:val="24"/>
          <w:szCs w:val="24"/>
        </w:rPr>
        <w:t>the random</w:t>
      </w:r>
      <w:r w:rsidRPr="00EA7300">
        <w:rPr>
          <w:rFonts w:ascii="Times New Roman" w:hAnsi="Times New Roman" w:cs="Times New Roman"/>
          <w:bCs/>
          <w:i w:val="0"/>
          <w:iCs w:val="0"/>
          <w:color w:val="000000" w:themeColor="text1"/>
          <w:sz w:val="24"/>
          <w:szCs w:val="24"/>
        </w:rPr>
        <w:t xml:space="preserve"> test kits method (</w:t>
      </w:r>
      <w:r w:rsidRPr="00EA7300">
        <w:rPr>
          <w:rFonts w:ascii="Times New Roman" w:hAnsi="Times New Roman" w:cs="Times New Roman"/>
          <w:bCs/>
          <w:i w:val="0"/>
          <w:iCs w:val="0"/>
          <w:color w:val="000000" w:themeColor="text1"/>
          <w:sz w:val="24"/>
          <w:szCs w:val="24"/>
          <w:shd w:val="clear" w:color="auto" w:fill="FFFFFF"/>
        </w:rPr>
        <w:t xml:space="preserve">Kathak </w:t>
      </w:r>
      <w:r w:rsidRPr="00EA7300">
        <w:rPr>
          <w:rFonts w:ascii="Times New Roman" w:hAnsi="Times New Roman" w:cs="Times New Roman"/>
          <w:bCs/>
          <w:color w:val="000000" w:themeColor="text1"/>
          <w:sz w:val="24"/>
          <w:szCs w:val="24"/>
          <w:shd w:val="clear" w:color="auto" w:fill="FFFFFF"/>
        </w:rPr>
        <w:t>et al.,</w:t>
      </w:r>
      <w:r w:rsidRPr="00EA7300">
        <w:rPr>
          <w:rFonts w:ascii="Times New Roman" w:hAnsi="Times New Roman" w:cs="Times New Roman"/>
          <w:bCs/>
          <w:i w:val="0"/>
          <w:iCs w:val="0"/>
          <w:color w:val="000000" w:themeColor="text1"/>
          <w:sz w:val="24"/>
          <w:szCs w:val="24"/>
          <w:shd w:val="clear" w:color="auto" w:fill="FFFFFF"/>
        </w:rPr>
        <w:t xml:space="preserve"> 2022</w:t>
      </w:r>
      <w:r w:rsidRPr="00EA7300">
        <w:rPr>
          <w:rFonts w:ascii="Times New Roman" w:hAnsi="Times New Roman" w:cs="Times New Roman"/>
          <w:bCs/>
          <w:i w:val="0"/>
          <w:iCs w:val="0"/>
          <w:color w:val="000000" w:themeColor="text1"/>
          <w:sz w:val="24"/>
          <w:szCs w:val="24"/>
        </w:rPr>
        <w:t>).</w:t>
      </w:r>
    </w:p>
    <w:p w14:paraId="42FBAC44" w14:textId="77777777" w:rsidR="0050343D" w:rsidRPr="00EA7300" w:rsidRDefault="0050343D" w:rsidP="0050343D">
      <w:pPr>
        <w:pStyle w:val="Heading4"/>
        <w:spacing w:before="0" w:after="160" w:line="480" w:lineRule="auto"/>
        <w:jc w:val="both"/>
        <w:rPr>
          <w:rFonts w:ascii="Times New Roman" w:hAnsi="Times New Roman" w:cs="Times New Roman"/>
          <w:i w:val="0"/>
          <w:color w:val="000000" w:themeColor="text1"/>
          <w:sz w:val="24"/>
          <w:szCs w:val="24"/>
        </w:rPr>
      </w:pPr>
      <w:r w:rsidRPr="00EA7300">
        <w:rPr>
          <w:rStyle w:val="Strong"/>
          <w:rFonts w:ascii="Times New Roman" w:hAnsi="Times New Roman" w:cs="Times New Roman"/>
          <w:i w:val="0"/>
          <w:color w:val="000000" w:themeColor="text1"/>
          <w:sz w:val="24"/>
          <w:szCs w:val="24"/>
        </w:rPr>
        <w:t>Statistical Analysis</w:t>
      </w:r>
    </w:p>
    <w:p w14:paraId="4C0C7F80" w14:textId="77777777" w:rsidR="00AA74E0" w:rsidRPr="00EA7300" w:rsidRDefault="0050343D" w:rsidP="00EA7300">
      <w:pPr>
        <w:pStyle w:val="NormalWeb"/>
        <w:spacing w:before="0" w:beforeAutospacing="0" w:after="160" w:afterAutospacing="0" w:line="480" w:lineRule="auto"/>
        <w:jc w:val="both"/>
        <w:rPr>
          <w:color w:val="000000" w:themeColor="text1"/>
        </w:rPr>
      </w:pPr>
      <w:r w:rsidRPr="00B84EA9">
        <w:rPr>
          <w:color w:val="000000" w:themeColor="text1"/>
        </w:rPr>
        <w:t>All results were expressed as mean ± standard deviation (SD). Data were analyzed using one-way analysis of variance (ANOVA) test for multiple comparisons. Statistical significance was considered at (p&lt;0.05).</w:t>
      </w:r>
      <w:r w:rsidR="00AA74E0" w:rsidRPr="00FB3A86">
        <w:rPr>
          <w:rFonts w:ascii="Arial" w:hAnsi="Arial" w:cs="Arial"/>
        </w:rPr>
        <w:t xml:space="preserve">  </w:t>
      </w:r>
    </w:p>
    <w:p w14:paraId="16842054" w14:textId="77777777" w:rsidR="00902823" w:rsidRDefault="00000F8F" w:rsidP="00441B6F">
      <w:pPr>
        <w:pStyle w:val="Head1"/>
        <w:spacing w:after="0"/>
        <w:jc w:val="both"/>
        <w:rPr>
          <w:rFonts w:ascii="Arial" w:hAnsi="Arial" w:cs="Arial"/>
        </w:rPr>
      </w:pPr>
      <w:r>
        <w:rPr>
          <w:rFonts w:ascii="Arial" w:hAnsi="Arial" w:cs="Arial"/>
        </w:rPr>
        <w:t>results and discussion</w:t>
      </w:r>
    </w:p>
    <w:p w14:paraId="65D8ED49" w14:textId="77777777" w:rsidR="00EA7300" w:rsidRPr="00CB7D14" w:rsidRDefault="00EA7300" w:rsidP="00EA7300">
      <w:pPr>
        <w:spacing w:line="480" w:lineRule="auto"/>
        <w:rPr>
          <w:rFonts w:ascii="Times New Roman" w:hAnsi="Times New Roman"/>
          <w:b/>
          <w:sz w:val="24"/>
          <w:szCs w:val="24"/>
        </w:rPr>
      </w:pPr>
      <w:r w:rsidRPr="00CB7D14">
        <w:rPr>
          <w:rFonts w:ascii="Times New Roman" w:hAnsi="Times New Roman"/>
          <w:b/>
          <w:sz w:val="24"/>
          <w:szCs w:val="24"/>
        </w:rPr>
        <w:t xml:space="preserve">Effect of </w:t>
      </w:r>
      <w:r w:rsidRPr="00244486">
        <w:rPr>
          <w:rFonts w:ascii="Times New Roman" w:hAnsi="Times New Roman"/>
          <w:b/>
          <w:i/>
          <w:sz w:val="24"/>
          <w:szCs w:val="24"/>
        </w:rPr>
        <w:t xml:space="preserve">Pterocarpus </w:t>
      </w:r>
      <w:proofErr w:type="spellStart"/>
      <w:r w:rsidRPr="00244486">
        <w:rPr>
          <w:rFonts w:ascii="Times New Roman" w:hAnsi="Times New Roman"/>
          <w:b/>
          <w:i/>
          <w:sz w:val="24"/>
          <w:szCs w:val="24"/>
        </w:rPr>
        <w:t>santalinoides</w:t>
      </w:r>
      <w:proofErr w:type="spellEnd"/>
      <w:r w:rsidRPr="00CB7D14">
        <w:rPr>
          <w:rFonts w:ascii="Times New Roman" w:hAnsi="Times New Roman"/>
          <w:b/>
          <w:sz w:val="24"/>
          <w:szCs w:val="24"/>
        </w:rPr>
        <w:t xml:space="preserve"> Leaf </w:t>
      </w:r>
      <w:r>
        <w:rPr>
          <w:rFonts w:ascii="Times New Roman" w:hAnsi="Times New Roman"/>
          <w:b/>
          <w:sz w:val="24"/>
          <w:szCs w:val="24"/>
        </w:rPr>
        <w:t xml:space="preserve">diet </w:t>
      </w:r>
      <w:r w:rsidRPr="00CB7D14">
        <w:rPr>
          <w:rFonts w:ascii="Times New Roman" w:hAnsi="Times New Roman"/>
          <w:b/>
          <w:sz w:val="24"/>
          <w:szCs w:val="24"/>
        </w:rPr>
        <w:t xml:space="preserve">on </w:t>
      </w:r>
      <w:r>
        <w:rPr>
          <w:rFonts w:ascii="Times New Roman" w:hAnsi="Times New Roman"/>
          <w:b/>
          <w:sz w:val="24"/>
          <w:szCs w:val="24"/>
        </w:rPr>
        <w:t>Lipid</w:t>
      </w:r>
      <w:r w:rsidRPr="00CB7D14">
        <w:rPr>
          <w:rFonts w:ascii="Times New Roman" w:hAnsi="Times New Roman"/>
          <w:b/>
          <w:sz w:val="24"/>
          <w:szCs w:val="24"/>
        </w:rPr>
        <w:t xml:space="preserve"> Profile Indices in Wistar Rats Exposed to Cadmium</w:t>
      </w:r>
    </w:p>
    <w:p w14:paraId="4E140141" w14:textId="77777777" w:rsidR="00EA7300" w:rsidRPr="00EA7300" w:rsidRDefault="00EA7300" w:rsidP="00EA7300">
      <w:pPr>
        <w:spacing w:line="480" w:lineRule="auto"/>
        <w:jc w:val="both"/>
        <w:rPr>
          <w:rFonts w:ascii="Times New Roman" w:hAnsi="Times New Roman"/>
          <w:bCs/>
          <w:sz w:val="24"/>
          <w:szCs w:val="24"/>
        </w:rPr>
      </w:pPr>
      <w:r w:rsidRPr="00CB7D14">
        <w:rPr>
          <w:rFonts w:ascii="Times New Roman" w:hAnsi="Times New Roman"/>
          <w:bCs/>
          <w:sz w:val="24"/>
          <w:szCs w:val="24"/>
        </w:rPr>
        <w:t xml:space="preserve">The effect of </w:t>
      </w:r>
      <w:r w:rsidRPr="00244486">
        <w:rPr>
          <w:rFonts w:ascii="Times New Roman" w:hAnsi="Times New Roman"/>
          <w:bCs/>
          <w:i/>
          <w:sz w:val="24"/>
          <w:szCs w:val="24"/>
        </w:rPr>
        <w:t xml:space="preserve">Pterocarpus </w:t>
      </w:r>
      <w:proofErr w:type="spellStart"/>
      <w:r w:rsidRPr="00244486">
        <w:rPr>
          <w:rFonts w:ascii="Times New Roman" w:hAnsi="Times New Roman"/>
          <w:bCs/>
          <w:i/>
          <w:sz w:val="24"/>
          <w:szCs w:val="24"/>
        </w:rPr>
        <w:t>santalinoides</w:t>
      </w:r>
      <w:proofErr w:type="spellEnd"/>
      <w:r w:rsidRPr="00CB7D14">
        <w:rPr>
          <w:rFonts w:ascii="Times New Roman" w:hAnsi="Times New Roman"/>
          <w:bCs/>
          <w:sz w:val="24"/>
          <w:szCs w:val="24"/>
        </w:rPr>
        <w:t xml:space="preserve"> leaf </w:t>
      </w:r>
      <w:r>
        <w:rPr>
          <w:rFonts w:ascii="Times New Roman" w:hAnsi="Times New Roman"/>
          <w:bCs/>
          <w:sz w:val="24"/>
          <w:szCs w:val="24"/>
        </w:rPr>
        <w:t xml:space="preserve">diet </w:t>
      </w:r>
      <w:r w:rsidRPr="00CB7D14">
        <w:rPr>
          <w:rFonts w:ascii="Times New Roman" w:hAnsi="Times New Roman"/>
          <w:bCs/>
          <w:sz w:val="24"/>
          <w:szCs w:val="24"/>
        </w:rPr>
        <w:t xml:space="preserve">on selected </w:t>
      </w:r>
      <w:r>
        <w:rPr>
          <w:rFonts w:ascii="Times New Roman" w:hAnsi="Times New Roman"/>
          <w:bCs/>
          <w:sz w:val="24"/>
          <w:szCs w:val="24"/>
        </w:rPr>
        <w:t>lipid</w:t>
      </w:r>
      <w:r w:rsidRPr="00CB7D14">
        <w:rPr>
          <w:rFonts w:ascii="Times New Roman" w:hAnsi="Times New Roman"/>
          <w:bCs/>
          <w:sz w:val="24"/>
          <w:szCs w:val="24"/>
        </w:rPr>
        <w:t xml:space="preserve"> profile indices of Wistar rats exposed to cadmium is presented in Table 1. The </w:t>
      </w:r>
      <w:r>
        <w:rPr>
          <w:rFonts w:ascii="Times New Roman" w:hAnsi="Times New Roman"/>
          <w:bCs/>
          <w:sz w:val="24"/>
          <w:szCs w:val="24"/>
        </w:rPr>
        <w:t>results</w:t>
      </w:r>
      <w:r w:rsidRPr="00CB7D14">
        <w:rPr>
          <w:rFonts w:ascii="Times New Roman" w:hAnsi="Times New Roman"/>
          <w:bCs/>
          <w:sz w:val="24"/>
          <w:szCs w:val="24"/>
        </w:rPr>
        <w:t xml:space="preserve"> showed variations in HDL-c, VLDL-c, triacylglycerol</w:t>
      </w:r>
      <w:r>
        <w:rPr>
          <w:rFonts w:ascii="Times New Roman" w:hAnsi="Times New Roman"/>
          <w:bCs/>
          <w:sz w:val="24"/>
          <w:szCs w:val="24"/>
        </w:rPr>
        <w:t>,</w:t>
      </w:r>
      <w:r w:rsidRPr="00CB7D14">
        <w:rPr>
          <w:rFonts w:ascii="Times New Roman" w:hAnsi="Times New Roman"/>
          <w:bCs/>
          <w:sz w:val="24"/>
          <w:szCs w:val="24"/>
        </w:rPr>
        <w:t xml:space="preserve"> and LDL-c levels across the experimental groups.</w:t>
      </w:r>
      <w:r>
        <w:rPr>
          <w:rFonts w:ascii="Times New Roman" w:hAnsi="Times New Roman"/>
          <w:bCs/>
          <w:sz w:val="24"/>
          <w:szCs w:val="24"/>
        </w:rPr>
        <w:t xml:space="preserve"> </w:t>
      </w:r>
      <w:r w:rsidRPr="00CB7D14">
        <w:rPr>
          <w:rFonts w:ascii="Times New Roman" w:hAnsi="Times New Roman"/>
          <w:bCs/>
          <w:sz w:val="24"/>
          <w:szCs w:val="24"/>
        </w:rPr>
        <w:t xml:space="preserve">For HDL-c, the normal control group recorded the lowest value (0.58 ± 0.37 mmol/L), while Ps3 recorded the highest value (1.52 ± 0.44 mmol/L). Ps1 and Ps2 also showed relatively elevated HDL-c values of </w:t>
      </w:r>
      <w:r>
        <w:rPr>
          <w:rFonts w:ascii="Times New Roman" w:hAnsi="Times New Roman"/>
          <w:bCs/>
          <w:sz w:val="24"/>
          <w:szCs w:val="24"/>
        </w:rPr>
        <w:t>(</w:t>
      </w:r>
      <w:r w:rsidRPr="00CB7D14">
        <w:rPr>
          <w:rFonts w:ascii="Times New Roman" w:hAnsi="Times New Roman"/>
          <w:bCs/>
          <w:sz w:val="24"/>
          <w:szCs w:val="24"/>
        </w:rPr>
        <w:t>1.35 ± 0.36 mmol/L and 1.25 ± 0.33 mmol/L</w:t>
      </w:r>
      <w:r>
        <w:rPr>
          <w:rFonts w:ascii="Times New Roman" w:hAnsi="Times New Roman"/>
          <w:bCs/>
          <w:sz w:val="24"/>
          <w:szCs w:val="24"/>
        </w:rPr>
        <w:t>)</w:t>
      </w:r>
      <w:r w:rsidRPr="00CB7D14">
        <w:rPr>
          <w:rFonts w:ascii="Times New Roman" w:hAnsi="Times New Roman"/>
          <w:bCs/>
          <w:sz w:val="24"/>
          <w:szCs w:val="24"/>
        </w:rPr>
        <w:t xml:space="preserve"> respectively. The negative control group had a value of </w:t>
      </w:r>
      <w:r>
        <w:rPr>
          <w:rFonts w:ascii="Times New Roman" w:hAnsi="Times New Roman"/>
          <w:bCs/>
          <w:sz w:val="24"/>
          <w:szCs w:val="24"/>
        </w:rPr>
        <w:t>(</w:t>
      </w:r>
      <w:r w:rsidRPr="00CB7D14">
        <w:rPr>
          <w:rFonts w:ascii="Times New Roman" w:hAnsi="Times New Roman"/>
          <w:bCs/>
          <w:sz w:val="24"/>
          <w:szCs w:val="24"/>
        </w:rPr>
        <w:t>1.90 ± 0.30 mmol/L</w:t>
      </w:r>
      <w:r>
        <w:rPr>
          <w:rFonts w:ascii="Times New Roman" w:hAnsi="Times New Roman"/>
          <w:bCs/>
          <w:sz w:val="24"/>
          <w:szCs w:val="24"/>
        </w:rPr>
        <w:t>)</w:t>
      </w:r>
      <w:r w:rsidRPr="00CB7D14">
        <w:rPr>
          <w:rFonts w:ascii="Times New Roman" w:hAnsi="Times New Roman"/>
          <w:bCs/>
          <w:sz w:val="24"/>
          <w:szCs w:val="24"/>
        </w:rPr>
        <w:t>.</w:t>
      </w:r>
      <w:r>
        <w:rPr>
          <w:rFonts w:ascii="Times New Roman" w:hAnsi="Times New Roman"/>
          <w:bCs/>
          <w:sz w:val="24"/>
          <w:szCs w:val="24"/>
        </w:rPr>
        <w:t xml:space="preserve"> </w:t>
      </w:r>
      <w:r w:rsidRPr="00CB7D14">
        <w:rPr>
          <w:rFonts w:ascii="Times New Roman" w:hAnsi="Times New Roman"/>
          <w:bCs/>
          <w:sz w:val="24"/>
          <w:szCs w:val="24"/>
        </w:rPr>
        <w:t>In the case of VLDL-c, Ps1 recorded the highest value (0.38 ± 0.06 mmol/L), which was similar to the negative control group (0.38 ± 0.07 mmol/L). Lower values were observed in Ps2 (0.11 ± 0.07 mmol/L), Ps3 (0.18 ± 0.07 mmol/L) and the normal control group (0.18 ± 0.05 mmol/L).</w:t>
      </w:r>
      <w:r>
        <w:rPr>
          <w:rFonts w:ascii="Times New Roman" w:hAnsi="Times New Roman"/>
          <w:bCs/>
          <w:sz w:val="24"/>
          <w:szCs w:val="24"/>
        </w:rPr>
        <w:t xml:space="preserve"> </w:t>
      </w:r>
      <w:r w:rsidRPr="00CB7D14">
        <w:rPr>
          <w:rFonts w:ascii="Times New Roman" w:hAnsi="Times New Roman"/>
          <w:bCs/>
          <w:sz w:val="24"/>
          <w:szCs w:val="24"/>
        </w:rPr>
        <w:t xml:space="preserve">Triacylglycerol concentration was highest in Ps1 and the negative control group, both having a value of </w:t>
      </w:r>
      <w:r>
        <w:rPr>
          <w:rFonts w:ascii="Times New Roman" w:hAnsi="Times New Roman"/>
          <w:bCs/>
          <w:sz w:val="24"/>
          <w:szCs w:val="24"/>
        </w:rPr>
        <w:t>(</w:t>
      </w:r>
      <w:r w:rsidRPr="00CB7D14">
        <w:rPr>
          <w:rFonts w:ascii="Times New Roman" w:hAnsi="Times New Roman"/>
          <w:bCs/>
          <w:sz w:val="24"/>
          <w:szCs w:val="24"/>
        </w:rPr>
        <w:t>0.84 mmol/L</w:t>
      </w:r>
      <w:r>
        <w:rPr>
          <w:rFonts w:ascii="Times New Roman" w:hAnsi="Times New Roman"/>
          <w:bCs/>
          <w:sz w:val="24"/>
          <w:szCs w:val="24"/>
        </w:rPr>
        <w:t>)</w:t>
      </w:r>
      <w:r w:rsidRPr="00CB7D14">
        <w:rPr>
          <w:rFonts w:ascii="Times New Roman" w:hAnsi="Times New Roman"/>
          <w:bCs/>
          <w:sz w:val="24"/>
          <w:szCs w:val="24"/>
        </w:rPr>
        <w:t xml:space="preserve"> with slight variations in standard deviation. Lower values were observed in Ps2 and Ps3, both recording </w:t>
      </w:r>
      <w:r>
        <w:rPr>
          <w:rFonts w:ascii="Times New Roman" w:hAnsi="Times New Roman"/>
          <w:bCs/>
          <w:sz w:val="24"/>
          <w:szCs w:val="24"/>
        </w:rPr>
        <w:t>(</w:t>
      </w:r>
      <w:r w:rsidRPr="00CB7D14">
        <w:rPr>
          <w:rFonts w:ascii="Times New Roman" w:hAnsi="Times New Roman"/>
          <w:bCs/>
          <w:sz w:val="24"/>
          <w:szCs w:val="24"/>
        </w:rPr>
        <w:t>0.40 mmol/L</w:t>
      </w:r>
      <w:r>
        <w:rPr>
          <w:rFonts w:ascii="Times New Roman" w:hAnsi="Times New Roman"/>
          <w:bCs/>
          <w:sz w:val="24"/>
          <w:szCs w:val="24"/>
        </w:rPr>
        <w:t>)</w:t>
      </w:r>
      <w:r w:rsidRPr="00CB7D14">
        <w:rPr>
          <w:rFonts w:ascii="Times New Roman" w:hAnsi="Times New Roman"/>
          <w:bCs/>
          <w:sz w:val="24"/>
          <w:szCs w:val="24"/>
        </w:rPr>
        <w:t xml:space="preserve">, while the normal control group also recorded </w:t>
      </w:r>
      <w:r>
        <w:rPr>
          <w:rFonts w:ascii="Times New Roman" w:hAnsi="Times New Roman"/>
          <w:bCs/>
          <w:sz w:val="24"/>
          <w:szCs w:val="24"/>
        </w:rPr>
        <w:t>(</w:t>
      </w:r>
      <w:r w:rsidRPr="00CB7D14">
        <w:rPr>
          <w:rFonts w:ascii="Times New Roman" w:hAnsi="Times New Roman"/>
          <w:bCs/>
          <w:sz w:val="24"/>
          <w:szCs w:val="24"/>
        </w:rPr>
        <w:t>0.40 ± 0.11 mmol/L</w:t>
      </w:r>
      <w:r>
        <w:rPr>
          <w:rFonts w:ascii="Times New Roman" w:hAnsi="Times New Roman"/>
          <w:bCs/>
          <w:sz w:val="24"/>
          <w:szCs w:val="24"/>
        </w:rPr>
        <w:t>)</w:t>
      </w:r>
      <w:r w:rsidRPr="00CB7D14">
        <w:rPr>
          <w:rFonts w:ascii="Times New Roman" w:hAnsi="Times New Roman"/>
          <w:bCs/>
          <w:sz w:val="24"/>
          <w:szCs w:val="24"/>
        </w:rPr>
        <w:t>.</w:t>
      </w:r>
      <w:r>
        <w:rPr>
          <w:rFonts w:ascii="Times New Roman" w:hAnsi="Times New Roman"/>
          <w:bCs/>
          <w:sz w:val="24"/>
          <w:szCs w:val="24"/>
        </w:rPr>
        <w:t xml:space="preserve"> </w:t>
      </w:r>
      <w:r w:rsidRPr="00CB7D14">
        <w:rPr>
          <w:rFonts w:ascii="Times New Roman" w:hAnsi="Times New Roman"/>
          <w:bCs/>
          <w:sz w:val="24"/>
          <w:szCs w:val="24"/>
        </w:rPr>
        <w:t xml:space="preserve">For LDL-c, the highest value was recorded in the negative control group (2.44 ± 0.23 mmol/L), followed by Ps3 (2.00 ± 0.33 mmol/L) and Ps1 (1.92 ± 0.08 mmol/L). Ps2 showed a lower LDL-c value of </w:t>
      </w:r>
      <w:r>
        <w:rPr>
          <w:rFonts w:ascii="Times New Roman" w:hAnsi="Times New Roman"/>
          <w:bCs/>
          <w:sz w:val="24"/>
          <w:szCs w:val="24"/>
        </w:rPr>
        <w:t>(</w:t>
      </w:r>
      <w:r w:rsidRPr="00CB7D14">
        <w:rPr>
          <w:rFonts w:ascii="Times New Roman" w:hAnsi="Times New Roman"/>
          <w:bCs/>
          <w:sz w:val="24"/>
          <w:szCs w:val="24"/>
        </w:rPr>
        <w:t>1.16 ± 0.31 mmol/L</w:t>
      </w:r>
      <w:r>
        <w:rPr>
          <w:rFonts w:ascii="Times New Roman" w:hAnsi="Times New Roman"/>
          <w:bCs/>
          <w:sz w:val="24"/>
          <w:szCs w:val="24"/>
        </w:rPr>
        <w:t>)</w:t>
      </w:r>
      <w:r w:rsidRPr="00CB7D14">
        <w:rPr>
          <w:rFonts w:ascii="Times New Roman" w:hAnsi="Times New Roman"/>
          <w:bCs/>
          <w:sz w:val="24"/>
          <w:szCs w:val="24"/>
        </w:rPr>
        <w:t xml:space="preserve">, while the normal control group recorded the lowest value (1.34 ± 0.15 mmol/L). </w:t>
      </w:r>
      <w:r>
        <w:rPr>
          <w:rFonts w:ascii="Times New Roman" w:hAnsi="Times New Roman"/>
          <w:bCs/>
          <w:sz w:val="24"/>
          <w:szCs w:val="24"/>
        </w:rPr>
        <w:t>T</w:t>
      </w:r>
      <w:r w:rsidRPr="00CB7D14">
        <w:rPr>
          <w:rFonts w:ascii="Times New Roman" w:hAnsi="Times New Roman"/>
          <w:bCs/>
          <w:sz w:val="24"/>
          <w:szCs w:val="24"/>
        </w:rPr>
        <w:t xml:space="preserve">he lipid profile parameters varied among the treatment groups, with </w:t>
      </w:r>
      <w:r w:rsidRPr="00CB7D14">
        <w:rPr>
          <w:rFonts w:ascii="Times New Roman" w:hAnsi="Times New Roman"/>
          <w:bCs/>
          <w:sz w:val="24"/>
          <w:szCs w:val="24"/>
        </w:rPr>
        <w:lastRenderedPageBreak/>
        <w:t xml:space="preserve">differences observed in the concentrations of HDL-c, VLDL-c, triacylglycerol and LDL-c following administration of </w:t>
      </w:r>
      <w:r w:rsidRPr="00D03355">
        <w:rPr>
          <w:rFonts w:ascii="Times New Roman" w:hAnsi="Times New Roman"/>
          <w:bCs/>
          <w:i/>
          <w:sz w:val="24"/>
          <w:szCs w:val="24"/>
        </w:rPr>
        <w:t xml:space="preserve">Pterocarpus </w:t>
      </w:r>
      <w:proofErr w:type="spellStart"/>
      <w:r w:rsidRPr="00D03355">
        <w:rPr>
          <w:rFonts w:ascii="Times New Roman" w:hAnsi="Times New Roman"/>
          <w:bCs/>
          <w:i/>
          <w:sz w:val="24"/>
          <w:szCs w:val="24"/>
        </w:rPr>
        <w:t>santalinoides</w:t>
      </w:r>
      <w:proofErr w:type="spellEnd"/>
      <w:r w:rsidRPr="00CB7D14">
        <w:rPr>
          <w:rFonts w:ascii="Times New Roman" w:hAnsi="Times New Roman"/>
          <w:bCs/>
          <w:sz w:val="24"/>
          <w:szCs w:val="24"/>
        </w:rPr>
        <w:t xml:space="preserve"> leaf </w:t>
      </w:r>
      <w:r>
        <w:rPr>
          <w:rFonts w:ascii="Times New Roman" w:hAnsi="Times New Roman"/>
          <w:bCs/>
          <w:sz w:val="24"/>
          <w:szCs w:val="24"/>
        </w:rPr>
        <w:t xml:space="preserve">diet </w:t>
      </w:r>
      <w:r w:rsidRPr="00CB7D14">
        <w:rPr>
          <w:rFonts w:ascii="Times New Roman" w:hAnsi="Times New Roman"/>
          <w:bCs/>
          <w:sz w:val="24"/>
          <w:szCs w:val="24"/>
        </w:rPr>
        <w:t>in cadmium-exposed Wistar rats.</w:t>
      </w:r>
    </w:p>
    <w:p w14:paraId="7080FE7D" w14:textId="77777777" w:rsidR="00EA7300" w:rsidRPr="00CB7D14" w:rsidRDefault="00EA7300" w:rsidP="00EA7300">
      <w:pPr>
        <w:spacing w:line="480" w:lineRule="auto"/>
        <w:rPr>
          <w:rFonts w:ascii="Times New Roman" w:hAnsi="Times New Roman"/>
          <w:b/>
          <w:sz w:val="24"/>
          <w:szCs w:val="24"/>
        </w:rPr>
      </w:pPr>
      <w:r w:rsidRPr="00CB7D14">
        <w:rPr>
          <w:rFonts w:ascii="Times New Roman" w:hAnsi="Times New Roman"/>
          <w:b/>
          <w:sz w:val="24"/>
          <w:szCs w:val="24"/>
        </w:rPr>
        <w:t xml:space="preserve">Table 1: Effect of </w:t>
      </w:r>
      <w:r w:rsidRPr="00CB7D14">
        <w:rPr>
          <w:rFonts w:ascii="Times New Roman" w:hAnsi="Times New Roman"/>
          <w:b/>
          <w:i/>
          <w:sz w:val="24"/>
          <w:szCs w:val="24"/>
        </w:rPr>
        <w:t xml:space="preserve">Pterocarpus </w:t>
      </w:r>
      <w:proofErr w:type="spellStart"/>
      <w:r w:rsidRPr="00CB7D14">
        <w:rPr>
          <w:rFonts w:ascii="Times New Roman" w:hAnsi="Times New Roman"/>
          <w:b/>
          <w:i/>
          <w:sz w:val="24"/>
          <w:szCs w:val="24"/>
        </w:rPr>
        <w:t>santalinoides</w:t>
      </w:r>
      <w:proofErr w:type="spellEnd"/>
      <w:r w:rsidRPr="00CB7D14">
        <w:rPr>
          <w:rFonts w:ascii="Times New Roman" w:hAnsi="Times New Roman"/>
          <w:b/>
          <w:sz w:val="24"/>
          <w:szCs w:val="24"/>
        </w:rPr>
        <w:t xml:space="preserve"> Leaf </w:t>
      </w:r>
      <w:r>
        <w:rPr>
          <w:rFonts w:ascii="Times New Roman" w:hAnsi="Times New Roman"/>
          <w:b/>
          <w:sz w:val="24"/>
          <w:szCs w:val="24"/>
        </w:rPr>
        <w:t>Diet on</w:t>
      </w:r>
      <w:r w:rsidRPr="00CB7D14">
        <w:rPr>
          <w:rFonts w:ascii="Times New Roman" w:hAnsi="Times New Roman"/>
          <w:b/>
          <w:sz w:val="24"/>
          <w:szCs w:val="24"/>
        </w:rPr>
        <w:t xml:space="preserve"> selected </w:t>
      </w:r>
      <w:r>
        <w:rPr>
          <w:rFonts w:ascii="Times New Roman" w:hAnsi="Times New Roman"/>
          <w:b/>
          <w:sz w:val="24"/>
          <w:szCs w:val="24"/>
        </w:rPr>
        <w:t>lipid</w:t>
      </w:r>
      <w:r w:rsidRPr="00CB7D14">
        <w:rPr>
          <w:rFonts w:ascii="Times New Roman" w:hAnsi="Times New Roman"/>
          <w:b/>
          <w:sz w:val="24"/>
          <w:szCs w:val="24"/>
        </w:rPr>
        <w:t xml:space="preserve"> profile indices in Wistar rats Exposed to Cadmium</w:t>
      </w:r>
    </w:p>
    <w:tbl>
      <w:tblPr>
        <w:tblStyle w:val="TableGrid"/>
        <w:tblW w:w="5000" w:type="pct"/>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1"/>
        <w:gridCol w:w="2264"/>
        <w:gridCol w:w="1998"/>
        <w:gridCol w:w="1998"/>
        <w:gridCol w:w="2249"/>
      </w:tblGrid>
      <w:tr w:rsidR="00EA7300" w:rsidRPr="00CB7D14" w14:paraId="4C2C9C37" w14:textId="77777777" w:rsidTr="00E0273A">
        <w:trPr>
          <w:trHeight w:val="503"/>
        </w:trPr>
        <w:tc>
          <w:tcPr>
            <w:tcW w:w="1061" w:type="pct"/>
            <w:tcBorders>
              <w:top w:val="single" w:sz="4" w:space="0" w:color="auto"/>
              <w:bottom w:val="single" w:sz="4" w:space="0" w:color="auto"/>
            </w:tcBorders>
          </w:tcPr>
          <w:p w14:paraId="1FB0067C" w14:textId="77777777" w:rsidR="00EA7300" w:rsidRPr="00CB7D14" w:rsidRDefault="00EA7300" w:rsidP="009C7526">
            <w:pPr>
              <w:spacing w:line="360" w:lineRule="auto"/>
              <w:jc w:val="center"/>
              <w:rPr>
                <w:rFonts w:ascii="Times New Roman" w:hAnsi="Times New Roman"/>
                <w:b/>
                <w:sz w:val="24"/>
                <w:szCs w:val="24"/>
              </w:rPr>
            </w:pPr>
            <w:r w:rsidRPr="00CB7D14">
              <w:rPr>
                <w:rFonts w:ascii="Times New Roman" w:hAnsi="Times New Roman"/>
                <w:b/>
                <w:sz w:val="24"/>
                <w:szCs w:val="24"/>
              </w:rPr>
              <w:t>GROUPS</w:t>
            </w:r>
          </w:p>
        </w:tc>
        <w:tc>
          <w:tcPr>
            <w:tcW w:w="1048" w:type="pct"/>
            <w:tcBorders>
              <w:top w:val="single" w:sz="4" w:space="0" w:color="auto"/>
              <w:bottom w:val="single" w:sz="4" w:space="0" w:color="auto"/>
            </w:tcBorders>
            <w:vAlign w:val="bottom"/>
          </w:tcPr>
          <w:p w14:paraId="3EF58D4D" w14:textId="77777777" w:rsidR="00EA7300" w:rsidRPr="00244486" w:rsidRDefault="00EA7300" w:rsidP="009C7526">
            <w:pPr>
              <w:spacing w:line="360" w:lineRule="auto"/>
              <w:rPr>
                <w:rFonts w:ascii="Times New Roman" w:eastAsia="Times New Roman" w:hAnsi="Times New Roman"/>
                <w:b/>
                <w:color w:val="000000"/>
                <w:sz w:val="24"/>
                <w:szCs w:val="24"/>
              </w:rPr>
            </w:pPr>
            <w:r w:rsidRPr="00244486">
              <w:rPr>
                <w:rFonts w:ascii="Times New Roman" w:eastAsia="Times New Roman" w:hAnsi="Times New Roman"/>
                <w:b/>
                <w:color w:val="000000"/>
                <w:sz w:val="24"/>
                <w:szCs w:val="24"/>
              </w:rPr>
              <w:t xml:space="preserve">   </w:t>
            </w:r>
            <w:proofErr w:type="spellStart"/>
            <w:r w:rsidRPr="00244486">
              <w:rPr>
                <w:rFonts w:ascii="Times New Roman" w:eastAsia="Times New Roman" w:hAnsi="Times New Roman"/>
                <w:b/>
                <w:color w:val="000000"/>
                <w:sz w:val="24"/>
                <w:szCs w:val="24"/>
              </w:rPr>
              <w:t>HDLc</w:t>
            </w:r>
            <w:proofErr w:type="spellEnd"/>
            <w:r w:rsidRPr="00244486">
              <w:rPr>
                <w:rFonts w:ascii="Times New Roman" w:eastAsia="Times New Roman" w:hAnsi="Times New Roman"/>
                <w:b/>
                <w:color w:val="000000"/>
                <w:sz w:val="24"/>
                <w:szCs w:val="24"/>
              </w:rPr>
              <w:t xml:space="preserve"> (mmol/L)</w:t>
            </w:r>
          </w:p>
        </w:tc>
        <w:tc>
          <w:tcPr>
            <w:tcW w:w="925" w:type="pct"/>
            <w:tcBorders>
              <w:top w:val="single" w:sz="4" w:space="0" w:color="auto"/>
              <w:bottom w:val="single" w:sz="4" w:space="0" w:color="auto"/>
            </w:tcBorders>
          </w:tcPr>
          <w:p w14:paraId="6D3A9D09" w14:textId="77777777" w:rsidR="00EA7300" w:rsidRPr="00244486" w:rsidRDefault="00EA7300" w:rsidP="009C7526">
            <w:pPr>
              <w:spacing w:line="360" w:lineRule="auto"/>
              <w:rPr>
                <w:rFonts w:ascii="Times New Roman" w:eastAsia="Times New Roman" w:hAnsi="Times New Roman"/>
                <w:b/>
                <w:sz w:val="24"/>
                <w:szCs w:val="24"/>
              </w:rPr>
            </w:pPr>
            <w:proofErr w:type="spellStart"/>
            <w:r w:rsidRPr="00244486">
              <w:rPr>
                <w:rFonts w:ascii="Times New Roman" w:hAnsi="Times New Roman"/>
                <w:b/>
                <w:sz w:val="24"/>
                <w:szCs w:val="24"/>
              </w:rPr>
              <w:t>VLDLc</w:t>
            </w:r>
            <w:proofErr w:type="spellEnd"/>
            <w:r w:rsidRPr="00244486">
              <w:rPr>
                <w:rFonts w:ascii="Times New Roman" w:hAnsi="Times New Roman"/>
                <w:b/>
                <w:sz w:val="24"/>
                <w:szCs w:val="24"/>
              </w:rPr>
              <w:t xml:space="preserve"> </w:t>
            </w:r>
            <w:r w:rsidRPr="00244486">
              <w:rPr>
                <w:rFonts w:ascii="Times New Roman" w:eastAsia="Times New Roman" w:hAnsi="Times New Roman"/>
                <w:b/>
                <w:color w:val="000000"/>
                <w:sz w:val="24"/>
                <w:szCs w:val="24"/>
              </w:rPr>
              <w:t>(mmol/L)</w:t>
            </w:r>
          </w:p>
        </w:tc>
        <w:tc>
          <w:tcPr>
            <w:tcW w:w="925" w:type="pct"/>
            <w:tcBorders>
              <w:top w:val="single" w:sz="4" w:space="0" w:color="auto"/>
              <w:bottom w:val="single" w:sz="4" w:space="0" w:color="auto"/>
            </w:tcBorders>
          </w:tcPr>
          <w:p w14:paraId="7CA748D8" w14:textId="77777777" w:rsidR="00EA7300" w:rsidRPr="00244486" w:rsidRDefault="00EA7300" w:rsidP="009C7526">
            <w:pPr>
              <w:spacing w:line="360" w:lineRule="auto"/>
              <w:rPr>
                <w:rFonts w:ascii="Times New Roman" w:eastAsia="Times New Roman" w:hAnsi="Times New Roman"/>
                <w:b/>
                <w:sz w:val="24"/>
                <w:szCs w:val="24"/>
              </w:rPr>
            </w:pPr>
            <w:r w:rsidRPr="00244486">
              <w:rPr>
                <w:rFonts w:ascii="Times New Roman" w:eastAsia="Times New Roman" w:hAnsi="Times New Roman"/>
                <w:b/>
                <w:sz w:val="24"/>
                <w:szCs w:val="24"/>
              </w:rPr>
              <w:t xml:space="preserve">Triacylglycerol </w:t>
            </w:r>
            <w:r w:rsidRPr="00244486">
              <w:rPr>
                <w:rFonts w:ascii="Times New Roman" w:eastAsia="Times New Roman" w:hAnsi="Times New Roman"/>
                <w:b/>
                <w:color w:val="000000"/>
                <w:sz w:val="24"/>
                <w:szCs w:val="24"/>
              </w:rPr>
              <w:t>(mmol/L)</w:t>
            </w:r>
          </w:p>
        </w:tc>
        <w:tc>
          <w:tcPr>
            <w:tcW w:w="1041" w:type="pct"/>
            <w:tcBorders>
              <w:top w:val="single" w:sz="4" w:space="0" w:color="auto"/>
              <w:bottom w:val="single" w:sz="4" w:space="0" w:color="auto"/>
            </w:tcBorders>
            <w:vAlign w:val="bottom"/>
          </w:tcPr>
          <w:p w14:paraId="38A279EF" w14:textId="77777777" w:rsidR="00EA7300" w:rsidRPr="00244486" w:rsidRDefault="00EA7300" w:rsidP="009C7526">
            <w:pPr>
              <w:spacing w:line="360" w:lineRule="auto"/>
              <w:rPr>
                <w:rFonts w:ascii="Times New Roman" w:eastAsia="Times New Roman" w:hAnsi="Times New Roman"/>
                <w:b/>
                <w:sz w:val="24"/>
                <w:szCs w:val="24"/>
              </w:rPr>
            </w:pPr>
            <w:r w:rsidRPr="00244486">
              <w:rPr>
                <w:rFonts w:ascii="Times New Roman" w:eastAsia="Times New Roman" w:hAnsi="Times New Roman"/>
                <w:b/>
                <w:sz w:val="24"/>
                <w:szCs w:val="24"/>
              </w:rPr>
              <w:t xml:space="preserve"> </w:t>
            </w:r>
            <w:proofErr w:type="spellStart"/>
            <w:r w:rsidRPr="00244486">
              <w:rPr>
                <w:rFonts w:ascii="Times New Roman" w:eastAsia="Times New Roman" w:hAnsi="Times New Roman"/>
                <w:b/>
                <w:sz w:val="24"/>
                <w:szCs w:val="24"/>
              </w:rPr>
              <w:t>LDLc</w:t>
            </w:r>
            <w:proofErr w:type="spellEnd"/>
            <w:r w:rsidRPr="00244486">
              <w:rPr>
                <w:rFonts w:ascii="Times New Roman" w:eastAsia="Times New Roman" w:hAnsi="Times New Roman"/>
                <w:b/>
                <w:sz w:val="24"/>
                <w:szCs w:val="24"/>
              </w:rPr>
              <w:t xml:space="preserve"> (mmol/L)</w:t>
            </w:r>
          </w:p>
        </w:tc>
      </w:tr>
      <w:tr w:rsidR="00EA7300" w:rsidRPr="00CB7D14" w14:paraId="2B8038BE" w14:textId="77777777" w:rsidTr="00E0273A">
        <w:trPr>
          <w:trHeight w:val="865"/>
        </w:trPr>
        <w:tc>
          <w:tcPr>
            <w:tcW w:w="1061" w:type="pct"/>
            <w:tcBorders>
              <w:bottom w:val="nil"/>
            </w:tcBorders>
          </w:tcPr>
          <w:p w14:paraId="6671D460"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NORMAL CONTROL</w:t>
            </w:r>
          </w:p>
        </w:tc>
        <w:tc>
          <w:tcPr>
            <w:tcW w:w="1048" w:type="pct"/>
            <w:tcBorders>
              <w:bottom w:val="nil"/>
            </w:tcBorders>
          </w:tcPr>
          <w:p w14:paraId="37ED6461"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0.58 ± 0.37</w:t>
            </w:r>
            <w:r w:rsidRPr="00CB7D14">
              <w:rPr>
                <w:rFonts w:ascii="Times New Roman" w:hAnsi="Times New Roman"/>
                <w:b/>
                <w:sz w:val="24"/>
                <w:szCs w:val="24"/>
                <w:vertAlign w:val="superscript"/>
              </w:rPr>
              <w:t>a</w:t>
            </w:r>
          </w:p>
        </w:tc>
        <w:tc>
          <w:tcPr>
            <w:tcW w:w="925" w:type="pct"/>
            <w:tcBorders>
              <w:bottom w:val="nil"/>
            </w:tcBorders>
          </w:tcPr>
          <w:p w14:paraId="2930C098" w14:textId="77777777" w:rsidR="00EA7300" w:rsidRPr="00F1164A" w:rsidRDefault="00EA7300" w:rsidP="009C7526">
            <w:pPr>
              <w:spacing w:line="360" w:lineRule="auto"/>
              <w:rPr>
                <w:rFonts w:ascii="Times New Roman" w:hAnsi="Times New Roman"/>
                <w:sz w:val="24"/>
                <w:szCs w:val="24"/>
                <w:vertAlign w:val="superscript"/>
              </w:rPr>
            </w:pPr>
            <w:r w:rsidRPr="00CB7D14">
              <w:rPr>
                <w:rFonts w:ascii="Times New Roman" w:hAnsi="Times New Roman"/>
                <w:sz w:val="24"/>
                <w:szCs w:val="24"/>
              </w:rPr>
              <w:t>0.18 ± 0.05</w:t>
            </w:r>
            <w:r w:rsidRPr="00CB7D14">
              <w:rPr>
                <w:rFonts w:ascii="Times New Roman" w:hAnsi="Times New Roman"/>
                <w:sz w:val="24"/>
                <w:szCs w:val="24"/>
                <w:vertAlign w:val="superscript"/>
              </w:rPr>
              <w:t>a</w:t>
            </w:r>
          </w:p>
        </w:tc>
        <w:tc>
          <w:tcPr>
            <w:tcW w:w="925" w:type="pct"/>
            <w:tcBorders>
              <w:bottom w:val="nil"/>
            </w:tcBorders>
          </w:tcPr>
          <w:p w14:paraId="4E595B83" w14:textId="77777777" w:rsidR="00EA7300" w:rsidRPr="00F1164A" w:rsidRDefault="00EA7300" w:rsidP="009C7526">
            <w:pPr>
              <w:spacing w:line="360" w:lineRule="auto"/>
              <w:rPr>
                <w:rFonts w:ascii="Times New Roman" w:hAnsi="Times New Roman"/>
                <w:sz w:val="24"/>
                <w:szCs w:val="24"/>
                <w:vertAlign w:val="superscript"/>
              </w:rPr>
            </w:pPr>
            <w:r>
              <w:rPr>
                <w:rFonts w:ascii="Times New Roman" w:hAnsi="Times New Roman"/>
                <w:sz w:val="24"/>
                <w:szCs w:val="24"/>
              </w:rPr>
              <w:t>0.40 ± 0.11</w:t>
            </w:r>
            <w:r w:rsidRPr="00E41C8C">
              <w:rPr>
                <w:rFonts w:ascii="Times New Roman" w:hAnsi="Times New Roman"/>
                <w:sz w:val="24"/>
                <w:szCs w:val="24"/>
                <w:vertAlign w:val="superscript"/>
              </w:rPr>
              <w:t>a</w:t>
            </w:r>
          </w:p>
        </w:tc>
        <w:tc>
          <w:tcPr>
            <w:tcW w:w="1041" w:type="pct"/>
            <w:tcBorders>
              <w:bottom w:val="nil"/>
            </w:tcBorders>
          </w:tcPr>
          <w:p w14:paraId="551897B1" w14:textId="77777777" w:rsidR="00EA7300" w:rsidRPr="00F1164A" w:rsidRDefault="00EA7300" w:rsidP="009C7526">
            <w:pPr>
              <w:spacing w:line="360" w:lineRule="auto"/>
              <w:rPr>
                <w:rFonts w:ascii="Times New Roman" w:hAnsi="Times New Roman"/>
                <w:b/>
                <w:sz w:val="24"/>
                <w:szCs w:val="24"/>
                <w:vertAlign w:val="superscript"/>
              </w:rPr>
            </w:pPr>
            <w:r w:rsidRPr="00CB7D14">
              <w:rPr>
                <w:rFonts w:ascii="Times New Roman" w:hAnsi="Times New Roman"/>
                <w:sz w:val="24"/>
                <w:szCs w:val="24"/>
              </w:rPr>
              <w:t>1.34 ± 0.15</w:t>
            </w:r>
            <w:r w:rsidRPr="00CB7D14">
              <w:rPr>
                <w:rFonts w:ascii="Times New Roman" w:hAnsi="Times New Roman"/>
                <w:b/>
                <w:sz w:val="24"/>
                <w:szCs w:val="24"/>
                <w:vertAlign w:val="superscript"/>
              </w:rPr>
              <w:t>a</w:t>
            </w:r>
          </w:p>
        </w:tc>
      </w:tr>
      <w:tr w:rsidR="00EA7300" w:rsidRPr="00CB7D14" w14:paraId="25CE5A06" w14:textId="77777777" w:rsidTr="00E0273A">
        <w:trPr>
          <w:trHeight w:val="865"/>
        </w:trPr>
        <w:tc>
          <w:tcPr>
            <w:tcW w:w="1061" w:type="pct"/>
            <w:tcBorders>
              <w:bottom w:val="nil"/>
            </w:tcBorders>
          </w:tcPr>
          <w:p w14:paraId="710DA9E3"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NEGATIVE CONTROL</w:t>
            </w:r>
          </w:p>
        </w:tc>
        <w:tc>
          <w:tcPr>
            <w:tcW w:w="1048" w:type="pct"/>
            <w:tcBorders>
              <w:bottom w:val="nil"/>
            </w:tcBorders>
          </w:tcPr>
          <w:p w14:paraId="343B53A4"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1.9 ± 0.30</w:t>
            </w:r>
            <w:r w:rsidRPr="00CB7D14">
              <w:rPr>
                <w:rFonts w:ascii="Times New Roman" w:hAnsi="Times New Roman"/>
                <w:b/>
                <w:sz w:val="24"/>
                <w:szCs w:val="24"/>
                <w:vertAlign w:val="superscript"/>
              </w:rPr>
              <w:t>b</w:t>
            </w:r>
          </w:p>
        </w:tc>
        <w:tc>
          <w:tcPr>
            <w:tcW w:w="925" w:type="pct"/>
            <w:tcBorders>
              <w:bottom w:val="nil"/>
            </w:tcBorders>
          </w:tcPr>
          <w:p w14:paraId="63047CE3"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0.38 ± 0.07</w:t>
            </w:r>
            <w:r w:rsidRPr="00CB7D14">
              <w:rPr>
                <w:rFonts w:ascii="Times New Roman" w:hAnsi="Times New Roman"/>
                <w:sz w:val="24"/>
                <w:szCs w:val="24"/>
                <w:vertAlign w:val="superscript"/>
              </w:rPr>
              <w:t>b</w:t>
            </w:r>
          </w:p>
        </w:tc>
        <w:tc>
          <w:tcPr>
            <w:tcW w:w="925" w:type="pct"/>
            <w:tcBorders>
              <w:bottom w:val="nil"/>
            </w:tcBorders>
          </w:tcPr>
          <w:p w14:paraId="3E380727" w14:textId="77777777" w:rsidR="00EA7300" w:rsidRPr="00CB7D14" w:rsidRDefault="00EA7300" w:rsidP="009C7526">
            <w:pPr>
              <w:spacing w:line="360" w:lineRule="auto"/>
              <w:rPr>
                <w:rFonts w:ascii="Times New Roman" w:hAnsi="Times New Roman"/>
                <w:sz w:val="24"/>
                <w:szCs w:val="24"/>
              </w:rPr>
            </w:pPr>
            <w:r>
              <w:rPr>
                <w:rFonts w:ascii="Times New Roman" w:hAnsi="Times New Roman"/>
                <w:sz w:val="24"/>
                <w:szCs w:val="24"/>
              </w:rPr>
              <w:t>0.84 ± 0.15</w:t>
            </w:r>
            <w:r w:rsidRPr="00E41C8C">
              <w:rPr>
                <w:rFonts w:ascii="Times New Roman" w:hAnsi="Times New Roman"/>
                <w:sz w:val="24"/>
                <w:szCs w:val="24"/>
                <w:vertAlign w:val="superscript"/>
              </w:rPr>
              <w:t>b</w:t>
            </w:r>
          </w:p>
        </w:tc>
        <w:tc>
          <w:tcPr>
            <w:tcW w:w="1041" w:type="pct"/>
            <w:tcBorders>
              <w:bottom w:val="nil"/>
            </w:tcBorders>
          </w:tcPr>
          <w:p w14:paraId="06773239"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2.44 ± 0.23</w:t>
            </w:r>
            <w:r w:rsidRPr="00CB7D14">
              <w:rPr>
                <w:rFonts w:ascii="Times New Roman" w:hAnsi="Times New Roman"/>
                <w:b/>
                <w:sz w:val="24"/>
                <w:szCs w:val="24"/>
                <w:vertAlign w:val="superscript"/>
              </w:rPr>
              <w:t>a</w:t>
            </w:r>
          </w:p>
        </w:tc>
      </w:tr>
      <w:tr w:rsidR="00EA7300" w:rsidRPr="00CB7D14" w14:paraId="47C04762" w14:textId="77777777" w:rsidTr="00E0273A">
        <w:trPr>
          <w:trHeight w:val="972"/>
        </w:trPr>
        <w:tc>
          <w:tcPr>
            <w:tcW w:w="1061" w:type="pct"/>
            <w:tcBorders>
              <w:top w:val="nil"/>
              <w:bottom w:val="nil"/>
            </w:tcBorders>
          </w:tcPr>
          <w:p w14:paraId="78605D2F" w14:textId="77777777" w:rsidR="00EA7300" w:rsidRPr="00CB7D14" w:rsidRDefault="00EA7300" w:rsidP="009C7526">
            <w:pPr>
              <w:spacing w:line="360" w:lineRule="auto"/>
              <w:jc w:val="center"/>
              <w:rPr>
                <w:rFonts w:ascii="Times New Roman" w:hAnsi="Times New Roman"/>
                <w:sz w:val="24"/>
                <w:szCs w:val="24"/>
              </w:rPr>
            </w:pPr>
            <w:r>
              <w:rPr>
                <w:rFonts w:ascii="Times New Roman" w:hAnsi="Times New Roman"/>
                <w:sz w:val="24"/>
                <w:szCs w:val="24"/>
              </w:rPr>
              <w:t>STANDARD CONTROL</w:t>
            </w:r>
          </w:p>
        </w:tc>
        <w:tc>
          <w:tcPr>
            <w:tcW w:w="1048" w:type="pct"/>
            <w:tcBorders>
              <w:top w:val="nil"/>
              <w:bottom w:val="nil"/>
            </w:tcBorders>
          </w:tcPr>
          <w:p w14:paraId="23E3DF71" w14:textId="77777777" w:rsidR="00EA7300" w:rsidRPr="005B41F2" w:rsidRDefault="00EA7300" w:rsidP="009C7526">
            <w:pPr>
              <w:spacing w:line="360" w:lineRule="auto"/>
              <w:rPr>
                <w:rFonts w:ascii="Times New Roman" w:hAnsi="Times New Roman"/>
                <w:b/>
                <w:sz w:val="24"/>
                <w:szCs w:val="24"/>
                <w:vertAlign w:val="superscript"/>
              </w:rPr>
            </w:pPr>
            <w:r w:rsidRPr="005B41F2">
              <w:rPr>
                <w:rFonts w:ascii="Times New Roman" w:hAnsi="Times New Roman"/>
                <w:sz w:val="24"/>
                <w:szCs w:val="24"/>
              </w:rPr>
              <w:t>1.30 ±</w:t>
            </w:r>
            <w:r>
              <w:rPr>
                <w:rFonts w:ascii="Times New Roman" w:hAnsi="Times New Roman"/>
                <w:sz w:val="24"/>
                <w:szCs w:val="24"/>
              </w:rPr>
              <w:t xml:space="preserve"> 0.40a</w:t>
            </w:r>
          </w:p>
        </w:tc>
        <w:tc>
          <w:tcPr>
            <w:tcW w:w="925" w:type="pct"/>
            <w:tcBorders>
              <w:top w:val="nil"/>
              <w:bottom w:val="nil"/>
            </w:tcBorders>
          </w:tcPr>
          <w:p w14:paraId="77FFC631" w14:textId="77777777" w:rsidR="00EA7300" w:rsidRPr="00CB7D14" w:rsidRDefault="00EA7300" w:rsidP="009C7526">
            <w:pPr>
              <w:spacing w:line="360" w:lineRule="auto"/>
              <w:rPr>
                <w:rFonts w:ascii="Times New Roman" w:hAnsi="Times New Roman"/>
                <w:sz w:val="24"/>
                <w:szCs w:val="24"/>
              </w:rPr>
            </w:pPr>
            <w:r>
              <w:rPr>
                <w:rFonts w:ascii="Times New Roman" w:hAnsi="Times New Roman"/>
                <w:sz w:val="24"/>
                <w:szCs w:val="24"/>
              </w:rPr>
              <w:t>1.12</w:t>
            </w:r>
            <w:r w:rsidRPr="005B41F2">
              <w:rPr>
                <w:rFonts w:ascii="Times New Roman" w:hAnsi="Times New Roman"/>
                <w:sz w:val="24"/>
                <w:szCs w:val="24"/>
              </w:rPr>
              <w:t xml:space="preserve"> ±</w:t>
            </w:r>
            <w:r>
              <w:rPr>
                <w:rFonts w:ascii="Times New Roman" w:hAnsi="Times New Roman"/>
                <w:sz w:val="24"/>
                <w:szCs w:val="24"/>
              </w:rPr>
              <w:t xml:space="preserve"> 0.07a</w:t>
            </w:r>
          </w:p>
        </w:tc>
        <w:tc>
          <w:tcPr>
            <w:tcW w:w="925" w:type="pct"/>
            <w:tcBorders>
              <w:top w:val="nil"/>
              <w:bottom w:val="nil"/>
            </w:tcBorders>
          </w:tcPr>
          <w:p w14:paraId="2A634555" w14:textId="77777777" w:rsidR="00EA7300" w:rsidRPr="00CB7D14" w:rsidRDefault="00EA7300" w:rsidP="009C7526">
            <w:pPr>
              <w:spacing w:line="360" w:lineRule="auto"/>
              <w:rPr>
                <w:rFonts w:ascii="Times New Roman" w:hAnsi="Times New Roman"/>
                <w:sz w:val="24"/>
                <w:szCs w:val="24"/>
              </w:rPr>
            </w:pPr>
            <w:r>
              <w:rPr>
                <w:rFonts w:ascii="Times New Roman" w:hAnsi="Times New Roman"/>
                <w:sz w:val="24"/>
                <w:szCs w:val="24"/>
              </w:rPr>
              <w:t>0.28</w:t>
            </w:r>
            <w:r w:rsidRPr="005B41F2">
              <w:rPr>
                <w:rFonts w:ascii="Times New Roman" w:hAnsi="Times New Roman"/>
                <w:sz w:val="24"/>
                <w:szCs w:val="24"/>
              </w:rPr>
              <w:t xml:space="preserve"> ±</w:t>
            </w:r>
            <w:r>
              <w:rPr>
                <w:rFonts w:ascii="Times New Roman" w:hAnsi="Times New Roman"/>
                <w:sz w:val="24"/>
                <w:szCs w:val="24"/>
              </w:rPr>
              <w:t xml:space="preserve"> 0.14a</w:t>
            </w:r>
          </w:p>
        </w:tc>
        <w:tc>
          <w:tcPr>
            <w:tcW w:w="1041" w:type="pct"/>
            <w:tcBorders>
              <w:top w:val="nil"/>
              <w:bottom w:val="nil"/>
            </w:tcBorders>
          </w:tcPr>
          <w:p w14:paraId="3D678759" w14:textId="77777777" w:rsidR="00EA7300" w:rsidRPr="005B41F2" w:rsidRDefault="00EA7300" w:rsidP="009C7526">
            <w:pPr>
              <w:spacing w:line="360" w:lineRule="auto"/>
              <w:rPr>
                <w:rFonts w:ascii="Times New Roman" w:hAnsi="Times New Roman"/>
                <w:sz w:val="24"/>
                <w:szCs w:val="24"/>
              </w:rPr>
            </w:pPr>
            <w:r>
              <w:rPr>
                <w:rFonts w:ascii="Times New Roman" w:hAnsi="Times New Roman"/>
                <w:sz w:val="24"/>
                <w:szCs w:val="24"/>
              </w:rPr>
              <w:t>1.20</w:t>
            </w:r>
            <w:r w:rsidRPr="005B41F2">
              <w:rPr>
                <w:rFonts w:ascii="Times New Roman" w:hAnsi="Times New Roman"/>
                <w:sz w:val="24"/>
                <w:szCs w:val="24"/>
              </w:rPr>
              <w:t xml:space="preserve"> ±</w:t>
            </w:r>
            <w:r>
              <w:rPr>
                <w:rFonts w:ascii="Times New Roman" w:hAnsi="Times New Roman"/>
                <w:sz w:val="24"/>
                <w:szCs w:val="24"/>
              </w:rPr>
              <w:t xml:space="preserve"> 0.31a</w:t>
            </w:r>
          </w:p>
        </w:tc>
      </w:tr>
      <w:tr w:rsidR="00EA7300" w:rsidRPr="00CB7D14" w14:paraId="09BEE8B9" w14:textId="77777777" w:rsidTr="00E0273A">
        <w:trPr>
          <w:trHeight w:val="972"/>
        </w:trPr>
        <w:tc>
          <w:tcPr>
            <w:tcW w:w="1061" w:type="pct"/>
            <w:tcBorders>
              <w:top w:val="nil"/>
              <w:bottom w:val="nil"/>
            </w:tcBorders>
          </w:tcPr>
          <w:p w14:paraId="367F6394"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Ps1</w:t>
            </w:r>
            <w:r>
              <w:rPr>
                <w:rFonts w:ascii="Times New Roman" w:hAnsi="Times New Roman"/>
                <w:sz w:val="24"/>
                <w:szCs w:val="24"/>
              </w:rPr>
              <w:t xml:space="preserve"> (10%)</w:t>
            </w:r>
          </w:p>
        </w:tc>
        <w:tc>
          <w:tcPr>
            <w:tcW w:w="1048" w:type="pct"/>
            <w:tcBorders>
              <w:top w:val="nil"/>
              <w:bottom w:val="nil"/>
            </w:tcBorders>
          </w:tcPr>
          <w:p w14:paraId="501BEA99" w14:textId="77777777" w:rsidR="00EA7300" w:rsidRPr="00CB7D14" w:rsidRDefault="00EA7300" w:rsidP="009C7526">
            <w:pPr>
              <w:spacing w:line="360" w:lineRule="auto"/>
              <w:rPr>
                <w:rFonts w:ascii="Times New Roman" w:hAnsi="Times New Roman"/>
                <w:sz w:val="24"/>
                <w:szCs w:val="24"/>
              </w:rPr>
            </w:pPr>
            <w:r>
              <w:rPr>
                <w:rFonts w:ascii="Times New Roman" w:hAnsi="Times New Roman"/>
                <w:sz w:val="24"/>
                <w:szCs w:val="24"/>
              </w:rPr>
              <w:t>1.35 ± 0.36</w:t>
            </w:r>
            <w:r w:rsidRPr="00CB7D14">
              <w:rPr>
                <w:rFonts w:ascii="Times New Roman" w:hAnsi="Times New Roman"/>
                <w:b/>
                <w:sz w:val="24"/>
                <w:szCs w:val="24"/>
                <w:vertAlign w:val="superscript"/>
              </w:rPr>
              <w:t>a</w:t>
            </w:r>
          </w:p>
        </w:tc>
        <w:tc>
          <w:tcPr>
            <w:tcW w:w="925" w:type="pct"/>
            <w:tcBorders>
              <w:top w:val="nil"/>
              <w:bottom w:val="nil"/>
            </w:tcBorders>
          </w:tcPr>
          <w:p w14:paraId="5A03D482"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0.38 ± 0.06</w:t>
            </w:r>
            <w:r w:rsidRPr="00CB7D14">
              <w:rPr>
                <w:rFonts w:ascii="Times New Roman" w:hAnsi="Times New Roman"/>
                <w:sz w:val="24"/>
                <w:szCs w:val="24"/>
                <w:vertAlign w:val="superscript"/>
              </w:rPr>
              <w:t>a</w:t>
            </w:r>
          </w:p>
        </w:tc>
        <w:tc>
          <w:tcPr>
            <w:tcW w:w="925" w:type="pct"/>
            <w:tcBorders>
              <w:top w:val="nil"/>
              <w:bottom w:val="nil"/>
            </w:tcBorders>
          </w:tcPr>
          <w:p w14:paraId="5FFC72C4" w14:textId="77777777" w:rsidR="00EA7300" w:rsidRDefault="00EA7300" w:rsidP="009C7526">
            <w:pPr>
              <w:spacing w:line="360" w:lineRule="auto"/>
              <w:rPr>
                <w:rFonts w:ascii="Times New Roman" w:hAnsi="Times New Roman"/>
                <w:sz w:val="24"/>
                <w:szCs w:val="24"/>
              </w:rPr>
            </w:pPr>
            <w:r>
              <w:rPr>
                <w:rFonts w:ascii="Times New Roman" w:hAnsi="Times New Roman"/>
                <w:sz w:val="24"/>
                <w:szCs w:val="24"/>
              </w:rPr>
              <w:t>0.84 ± 0.13</w:t>
            </w:r>
            <w:r w:rsidRPr="00E41C8C">
              <w:rPr>
                <w:rFonts w:ascii="Times New Roman" w:hAnsi="Times New Roman"/>
                <w:sz w:val="24"/>
                <w:szCs w:val="24"/>
                <w:vertAlign w:val="superscript"/>
              </w:rPr>
              <w:t>a</w:t>
            </w:r>
          </w:p>
        </w:tc>
        <w:tc>
          <w:tcPr>
            <w:tcW w:w="1041" w:type="pct"/>
            <w:tcBorders>
              <w:top w:val="nil"/>
              <w:bottom w:val="nil"/>
            </w:tcBorders>
          </w:tcPr>
          <w:p w14:paraId="72CBA67C"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1.92 ± 0.08</w:t>
            </w:r>
            <w:r w:rsidRPr="00CB7D14">
              <w:rPr>
                <w:rFonts w:ascii="Times New Roman" w:hAnsi="Times New Roman"/>
                <w:b/>
                <w:sz w:val="24"/>
                <w:szCs w:val="24"/>
                <w:vertAlign w:val="superscript"/>
              </w:rPr>
              <w:t>a</w:t>
            </w:r>
          </w:p>
        </w:tc>
      </w:tr>
      <w:tr w:rsidR="00EA7300" w:rsidRPr="00CB7D14" w14:paraId="67DEA52D" w14:textId="77777777" w:rsidTr="00E0273A">
        <w:trPr>
          <w:trHeight w:val="972"/>
        </w:trPr>
        <w:tc>
          <w:tcPr>
            <w:tcW w:w="1061" w:type="pct"/>
            <w:tcBorders>
              <w:top w:val="nil"/>
              <w:bottom w:val="nil"/>
            </w:tcBorders>
          </w:tcPr>
          <w:p w14:paraId="7BF2B67A"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Ps2</w:t>
            </w:r>
            <w:r>
              <w:rPr>
                <w:rFonts w:ascii="Times New Roman" w:hAnsi="Times New Roman"/>
                <w:sz w:val="24"/>
                <w:szCs w:val="24"/>
              </w:rPr>
              <w:t xml:space="preserve"> (20%)</w:t>
            </w:r>
          </w:p>
        </w:tc>
        <w:tc>
          <w:tcPr>
            <w:tcW w:w="1048" w:type="pct"/>
            <w:tcBorders>
              <w:top w:val="nil"/>
              <w:bottom w:val="nil"/>
            </w:tcBorders>
          </w:tcPr>
          <w:p w14:paraId="294F6C25" w14:textId="77777777" w:rsidR="00EA7300" w:rsidRDefault="00EA7300" w:rsidP="009C7526">
            <w:pPr>
              <w:spacing w:line="360" w:lineRule="auto"/>
              <w:rPr>
                <w:rFonts w:ascii="Times New Roman" w:hAnsi="Times New Roman"/>
                <w:sz w:val="24"/>
                <w:szCs w:val="24"/>
              </w:rPr>
            </w:pPr>
            <w:r w:rsidRPr="00CB7D14">
              <w:rPr>
                <w:rFonts w:ascii="Times New Roman" w:hAnsi="Times New Roman"/>
                <w:sz w:val="24"/>
                <w:szCs w:val="24"/>
              </w:rPr>
              <w:t>1.25 ± 0.33</w:t>
            </w:r>
            <w:r w:rsidRPr="00CB7D14">
              <w:rPr>
                <w:rFonts w:ascii="Times New Roman" w:hAnsi="Times New Roman"/>
                <w:b/>
                <w:sz w:val="24"/>
                <w:szCs w:val="24"/>
                <w:vertAlign w:val="superscript"/>
              </w:rPr>
              <w:t>a</w:t>
            </w:r>
          </w:p>
        </w:tc>
        <w:tc>
          <w:tcPr>
            <w:tcW w:w="925" w:type="pct"/>
            <w:tcBorders>
              <w:top w:val="nil"/>
              <w:bottom w:val="nil"/>
            </w:tcBorders>
          </w:tcPr>
          <w:p w14:paraId="66F48ACD"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0.11 ±0.07</w:t>
            </w:r>
            <w:r w:rsidRPr="00CB7D14">
              <w:rPr>
                <w:rFonts w:ascii="Times New Roman" w:hAnsi="Times New Roman"/>
                <w:sz w:val="24"/>
                <w:szCs w:val="24"/>
                <w:vertAlign w:val="superscript"/>
              </w:rPr>
              <w:t xml:space="preserve"> a</w:t>
            </w:r>
          </w:p>
        </w:tc>
        <w:tc>
          <w:tcPr>
            <w:tcW w:w="925" w:type="pct"/>
            <w:tcBorders>
              <w:top w:val="nil"/>
              <w:bottom w:val="nil"/>
            </w:tcBorders>
          </w:tcPr>
          <w:p w14:paraId="4E7DBFA0" w14:textId="77777777" w:rsidR="00EA7300" w:rsidRDefault="00EA7300" w:rsidP="009C7526">
            <w:pPr>
              <w:spacing w:line="360" w:lineRule="auto"/>
              <w:rPr>
                <w:rFonts w:ascii="Times New Roman" w:hAnsi="Times New Roman"/>
                <w:sz w:val="24"/>
                <w:szCs w:val="24"/>
              </w:rPr>
            </w:pPr>
            <w:r w:rsidRPr="00CB7D14">
              <w:rPr>
                <w:rFonts w:ascii="Times New Roman" w:hAnsi="Times New Roman"/>
                <w:sz w:val="24"/>
                <w:szCs w:val="24"/>
              </w:rPr>
              <w:t>0.</w:t>
            </w:r>
            <w:r>
              <w:rPr>
                <w:rFonts w:ascii="Times New Roman" w:hAnsi="Times New Roman"/>
                <w:sz w:val="24"/>
                <w:szCs w:val="24"/>
              </w:rPr>
              <w:t>24 ± 0.15</w:t>
            </w:r>
            <w:r w:rsidRPr="00E41C8C">
              <w:rPr>
                <w:rFonts w:ascii="Times New Roman" w:hAnsi="Times New Roman"/>
                <w:sz w:val="24"/>
                <w:szCs w:val="24"/>
                <w:vertAlign w:val="superscript"/>
              </w:rPr>
              <w:t>a</w:t>
            </w:r>
          </w:p>
        </w:tc>
        <w:tc>
          <w:tcPr>
            <w:tcW w:w="1041" w:type="pct"/>
            <w:tcBorders>
              <w:top w:val="nil"/>
              <w:bottom w:val="nil"/>
            </w:tcBorders>
          </w:tcPr>
          <w:p w14:paraId="492D3F35"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1.16 ± 0.31</w:t>
            </w:r>
            <w:r w:rsidRPr="00CB7D14">
              <w:rPr>
                <w:rFonts w:ascii="Times New Roman" w:hAnsi="Times New Roman"/>
                <w:b/>
                <w:sz w:val="24"/>
                <w:szCs w:val="24"/>
                <w:vertAlign w:val="superscript"/>
              </w:rPr>
              <w:t>a</w:t>
            </w:r>
          </w:p>
        </w:tc>
      </w:tr>
      <w:tr w:rsidR="00EA7300" w:rsidRPr="00CB7D14" w14:paraId="19D83649" w14:textId="77777777" w:rsidTr="00E0273A">
        <w:trPr>
          <w:trHeight w:val="972"/>
        </w:trPr>
        <w:tc>
          <w:tcPr>
            <w:tcW w:w="1061" w:type="pct"/>
            <w:tcBorders>
              <w:top w:val="nil"/>
              <w:bottom w:val="single" w:sz="4" w:space="0" w:color="auto"/>
            </w:tcBorders>
          </w:tcPr>
          <w:p w14:paraId="63738FC7"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Ps3</w:t>
            </w:r>
            <w:r>
              <w:rPr>
                <w:rFonts w:ascii="Times New Roman" w:hAnsi="Times New Roman"/>
                <w:sz w:val="24"/>
                <w:szCs w:val="24"/>
              </w:rPr>
              <w:t xml:space="preserve"> (40%)</w:t>
            </w:r>
          </w:p>
        </w:tc>
        <w:tc>
          <w:tcPr>
            <w:tcW w:w="1048" w:type="pct"/>
            <w:tcBorders>
              <w:top w:val="nil"/>
              <w:bottom w:val="single" w:sz="4" w:space="0" w:color="auto"/>
            </w:tcBorders>
          </w:tcPr>
          <w:p w14:paraId="635FBCBA"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1.52± 0.44</w:t>
            </w:r>
            <w:r w:rsidRPr="00CB7D14">
              <w:rPr>
                <w:rFonts w:ascii="Times New Roman" w:hAnsi="Times New Roman"/>
                <w:b/>
                <w:sz w:val="24"/>
                <w:szCs w:val="24"/>
                <w:vertAlign w:val="superscript"/>
              </w:rPr>
              <w:t>a</w:t>
            </w:r>
          </w:p>
        </w:tc>
        <w:tc>
          <w:tcPr>
            <w:tcW w:w="925" w:type="pct"/>
            <w:tcBorders>
              <w:top w:val="nil"/>
              <w:bottom w:val="single" w:sz="4" w:space="0" w:color="auto"/>
            </w:tcBorders>
          </w:tcPr>
          <w:p w14:paraId="6AD819F0"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0.18 ± 0.07</w:t>
            </w:r>
            <w:r w:rsidRPr="00CB7D14">
              <w:rPr>
                <w:rFonts w:ascii="Times New Roman" w:hAnsi="Times New Roman"/>
                <w:sz w:val="24"/>
                <w:szCs w:val="24"/>
                <w:vertAlign w:val="superscript"/>
              </w:rPr>
              <w:t>a</w:t>
            </w:r>
          </w:p>
        </w:tc>
        <w:tc>
          <w:tcPr>
            <w:tcW w:w="925" w:type="pct"/>
            <w:tcBorders>
              <w:top w:val="nil"/>
              <w:bottom w:val="single" w:sz="4" w:space="0" w:color="auto"/>
            </w:tcBorders>
          </w:tcPr>
          <w:p w14:paraId="7F67FB61" w14:textId="77777777" w:rsidR="00EA7300" w:rsidRPr="00CB7D14" w:rsidRDefault="00EA7300" w:rsidP="009C7526">
            <w:pPr>
              <w:spacing w:line="360" w:lineRule="auto"/>
              <w:rPr>
                <w:rFonts w:ascii="Times New Roman" w:hAnsi="Times New Roman"/>
                <w:sz w:val="24"/>
                <w:szCs w:val="24"/>
              </w:rPr>
            </w:pPr>
            <w:r>
              <w:rPr>
                <w:rFonts w:ascii="Times New Roman" w:hAnsi="Times New Roman"/>
                <w:sz w:val="24"/>
                <w:szCs w:val="24"/>
              </w:rPr>
              <w:t>0.40 ± 0.15</w:t>
            </w:r>
            <w:r w:rsidRPr="00E41C8C">
              <w:rPr>
                <w:rFonts w:ascii="Times New Roman" w:hAnsi="Times New Roman"/>
                <w:sz w:val="24"/>
                <w:szCs w:val="24"/>
                <w:vertAlign w:val="superscript"/>
              </w:rPr>
              <w:t>a</w:t>
            </w:r>
          </w:p>
        </w:tc>
        <w:tc>
          <w:tcPr>
            <w:tcW w:w="1041" w:type="pct"/>
            <w:tcBorders>
              <w:top w:val="nil"/>
              <w:bottom w:val="single" w:sz="4" w:space="0" w:color="auto"/>
            </w:tcBorders>
          </w:tcPr>
          <w:p w14:paraId="5323A75B" w14:textId="77777777" w:rsidR="00EA7300" w:rsidRPr="00CB7D14" w:rsidRDefault="00EA7300" w:rsidP="009C7526">
            <w:pPr>
              <w:spacing w:line="360" w:lineRule="auto"/>
              <w:rPr>
                <w:rFonts w:ascii="Times New Roman" w:hAnsi="Times New Roman"/>
                <w:sz w:val="24"/>
                <w:szCs w:val="24"/>
              </w:rPr>
            </w:pPr>
            <w:r w:rsidRPr="00CB7D14">
              <w:rPr>
                <w:rFonts w:ascii="Times New Roman" w:hAnsi="Times New Roman"/>
                <w:sz w:val="24"/>
                <w:szCs w:val="24"/>
              </w:rPr>
              <w:t>2 ± 0.3</w:t>
            </w:r>
            <w:r>
              <w:rPr>
                <w:rFonts w:ascii="Times New Roman" w:hAnsi="Times New Roman"/>
                <w:sz w:val="24"/>
                <w:szCs w:val="24"/>
              </w:rPr>
              <w:t>0</w:t>
            </w:r>
            <w:r w:rsidRPr="00CB7D14">
              <w:rPr>
                <w:rFonts w:ascii="Times New Roman" w:hAnsi="Times New Roman"/>
                <w:b/>
                <w:sz w:val="24"/>
                <w:szCs w:val="24"/>
                <w:vertAlign w:val="superscript"/>
              </w:rPr>
              <w:t>a</w:t>
            </w:r>
          </w:p>
        </w:tc>
      </w:tr>
    </w:tbl>
    <w:p w14:paraId="16A75B66" w14:textId="77777777" w:rsidR="00EA7300" w:rsidRDefault="00EA7300" w:rsidP="00EA7300">
      <w:pPr>
        <w:spacing w:line="480" w:lineRule="auto"/>
        <w:rPr>
          <w:rFonts w:ascii="Times New Roman" w:hAnsi="Times New Roman"/>
          <w:b/>
          <w:color w:val="000000" w:themeColor="text1"/>
          <w:sz w:val="24"/>
          <w:szCs w:val="24"/>
        </w:rPr>
      </w:pPr>
      <w:r w:rsidRPr="00CB7D14">
        <w:rPr>
          <w:rFonts w:ascii="Times New Roman" w:hAnsi="Times New Roman"/>
          <w:i/>
          <w:iCs/>
          <w:sz w:val="24"/>
          <w:szCs w:val="24"/>
        </w:rPr>
        <w:t>Values are pre</w:t>
      </w:r>
      <w:r>
        <w:rPr>
          <w:rFonts w:ascii="Times New Roman" w:hAnsi="Times New Roman"/>
          <w:i/>
          <w:iCs/>
          <w:sz w:val="24"/>
          <w:szCs w:val="24"/>
        </w:rPr>
        <w:t>sented as mean ± SD (n = 6</w:t>
      </w:r>
      <w:r w:rsidRPr="00CB7D14">
        <w:rPr>
          <w:rFonts w:ascii="Times New Roman" w:hAnsi="Times New Roman"/>
          <w:i/>
          <w:iCs/>
          <w:sz w:val="24"/>
          <w:szCs w:val="24"/>
        </w:rPr>
        <w:t>). Values with different superscripts in the same column are significantly different (p &lt; 0.05).</w:t>
      </w:r>
    </w:p>
    <w:p w14:paraId="2D6A1978" w14:textId="77777777" w:rsidR="00EA7300" w:rsidRPr="00FA0DF3" w:rsidRDefault="00EA7300" w:rsidP="00EA7300">
      <w:pPr>
        <w:spacing w:line="480" w:lineRule="auto"/>
        <w:rPr>
          <w:rFonts w:ascii="Times New Roman" w:hAnsi="Times New Roman"/>
          <w:b/>
          <w:bCs/>
          <w:sz w:val="24"/>
          <w:szCs w:val="24"/>
        </w:rPr>
      </w:pPr>
      <w:r w:rsidRPr="00FA0DF3">
        <w:rPr>
          <w:rFonts w:ascii="Times New Roman" w:hAnsi="Times New Roman"/>
          <w:b/>
          <w:bCs/>
          <w:sz w:val="24"/>
          <w:szCs w:val="24"/>
        </w:rPr>
        <w:t xml:space="preserve">Effect of </w:t>
      </w:r>
      <w:r w:rsidRPr="00244486">
        <w:rPr>
          <w:rFonts w:ascii="Times New Roman" w:hAnsi="Times New Roman"/>
          <w:b/>
          <w:bCs/>
          <w:i/>
          <w:sz w:val="24"/>
          <w:szCs w:val="24"/>
        </w:rPr>
        <w:t xml:space="preserve">Pterocarpus </w:t>
      </w:r>
      <w:proofErr w:type="spellStart"/>
      <w:r w:rsidRPr="00244486">
        <w:rPr>
          <w:rFonts w:ascii="Times New Roman" w:hAnsi="Times New Roman"/>
          <w:b/>
          <w:bCs/>
          <w:i/>
          <w:sz w:val="24"/>
          <w:szCs w:val="24"/>
        </w:rPr>
        <w:t>santalinoides</w:t>
      </w:r>
      <w:proofErr w:type="spellEnd"/>
      <w:r w:rsidRPr="00FA0DF3">
        <w:rPr>
          <w:rFonts w:ascii="Times New Roman" w:hAnsi="Times New Roman"/>
          <w:b/>
          <w:bCs/>
          <w:sz w:val="24"/>
          <w:szCs w:val="24"/>
        </w:rPr>
        <w:t xml:space="preserve"> Leaf </w:t>
      </w:r>
      <w:r>
        <w:rPr>
          <w:rFonts w:ascii="Times New Roman" w:hAnsi="Times New Roman"/>
          <w:b/>
          <w:bCs/>
          <w:sz w:val="24"/>
          <w:szCs w:val="24"/>
        </w:rPr>
        <w:t xml:space="preserve">Diet </w:t>
      </w:r>
      <w:r w:rsidRPr="00FA0DF3">
        <w:rPr>
          <w:rFonts w:ascii="Times New Roman" w:hAnsi="Times New Roman"/>
          <w:b/>
          <w:bCs/>
          <w:sz w:val="24"/>
          <w:szCs w:val="24"/>
        </w:rPr>
        <w:t>on Liver Marker Enzymes in Wistar Rats Exposed to Cadmium</w:t>
      </w:r>
    </w:p>
    <w:p w14:paraId="5A5FDA06" w14:textId="77777777" w:rsidR="00EA7300" w:rsidRPr="00EA7300" w:rsidRDefault="00EA7300" w:rsidP="00EA7300">
      <w:pPr>
        <w:spacing w:line="480" w:lineRule="auto"/>
        <w:jc w:val="both"/>
        <w:rPr>
          <w:rFonts w:ascii="Times New Roman" w:hAnsi="Times New Roman"/>
          <w:sz w:val="24"/>
          <w:szCs w:val="24"/>
        </w:rPr>
      </w:pPr>
      <w:r w:rsidRPr="00CB7D14">
        <w:rPr>
          <w:rFonts w:ascii="Times New Roman" w:hAnsi="Times New Roman"/>
          <w:sz w:val="24"/>
          <w:szCs w:val="24"/>
        </w:rPr>
        <w:t xml:space="preserve">The effect of </w:t>
      </w:r>
      <w:r w:rsidRPr="00244486">
        <w:rPr>
          <w:rFonts w:ascii="Times New Roman" w:hAnsi="Times New Roman"/>
          <w:i/>
          <w:sz w:val="24"/>
          <w:szCs w:val="24"/>
        </w:rPr>
        <w:t xml:space="preserve">Pterocarpus </w:t>
      </w:r>
      <w:proofErr w:type="spellStart"/>
      <w:r w:rsidRPr="00244486">
        <w:rPr>
          <w:rFonts w:ascii="Times New Roman" w:hAnsi="Times New Roman"/>
          <w:i/>
          <w:sz w:val="24"/>
          <w:szCs w:val="24"/>
        </w:rPr>
        <w:t>santalinoides</w:t>
      </w:r>
      <w:proofErr w:type="spellEnd"/>
      <w:r w:rsidRPr="00CB7D14">
        <w:rPr>
          <w:rFonts w:ascii="Times New Roman" w:hAnsi="Times New Roman"/>
          <w:sz w:val="24"/>
          <w:szCs w:val="24"/>
        </w:rPr>
        <w:t xml:space="preserve"> leaf </w:t>
      </w:r>
      <w:r>
        <w:rPr>
          <w:rFonts w:ascii="Times New Roman" w:hAnsi="Times New Roman"/>
          <w:sz w:val="24"/>
          <w:szCs w:val="24"/>
        </w:rPr>
        <w:t xml:space="preserve">diet </w:t>
      </w:r>
      <w:r w:rsidRPr="00CB7D14">
        <w:rPr>
          <w:rFonts w:ascii="Times New Roman" w:hAnsi="Times New Roman"/>
          <w:sz w:val="24"/>
          <w:szCs w:val="24"/>
        </w:rPr>
        <w:t>on liver marker enzymes in Wistar rats exposed to cadmium is presented in Table 2. The liver enzymes assessed include AST, ALT, ALP</w:t>
      </w:r>
      <w:r>
        <w:rPr>
          <w:rFonts w:ascii="Times New Roman" w:hAnsi="Times New Roman"/>
          <w:sz w:val="24"/>
          <w:szCs w:val="24"/>
        </w:rPr>
        <w:t>,</w:t>
      </w:r>
      <w:r w:rsidRPr="00CB7D14">
        <w:rPr>
          <w:rFonts w:ascii="Times New Roman" w:hAnsi="Times New Roman"/>
          <w:sz w:val="24"/>
          <w:szCs w:val="24"/>
        </w:rPr>
        <w:t xml:space="preserve"> and GGT.</w:t>
      </w:r>
      <w:r>
        <w:rPr>
          <w:rFonts w:ascii="Times New Roman" w:hAnsi="Times New Roman"/>
          <w:sz w:val="24"/>
          <w:szCs w:val="24"/>
        </w:rPr>
        <w:t xml:space="preserve"> </w:t>
      </w:r>
      <w:r w:rsidRPr="00CB7D14">
        <w:rPr>
          <w:rFonts w:ascii="Times New Roman" w:hAnsi="Times New Roman"/>
          <w:sz w:val="24"/>
          <w:szCs w:val="24"/>
        </w:rPr>
        <w:t xml:space="preserve">The </w:t>
      </w:r>
      <w:r>
        <w:rPr>
          <w:rFonts w:ascii="Times New Roman" w:hAnsi="Times New Roman"/>
          <w:sz w:val="24"/>
          <w:szCs w:val="24"/>
        </w:rPr>
        <w:t>results</w:t>
      </w:r>
      <w:r w:rsidRPr="00CB7D14">
        <w:rPr>
          <w:rFonts w:ascii="Times New Roman" w:hAnsi="Times New Roman"/>
          <w:sz w:val="24"/>
          <w:szCs w:val="24"/>
        </w:rPr>
        <w:t xml:space="preserve"> showed that AST activity was highest in the negative control group (145 ± 11 </w:t>
      </w:r>
      <w:r w:rsidRPr="00A95407">
        <w:rPr>
          <w:rFonts w:ascii="Times New Roman" w:hAnsi="Times New Roman"/>
          <w:color w:val="000000"/>
          <w:sz w:val="24"/>
          <w:szCs w:val="24"/>
        </w:rPr>
        <w:t>I</w:t>
      </w:r>
      <w:r w:rsidRPr="00CB7D14">
        <w:rPr>
          <w:rFonts w:ascii="Times New Roman" w:hAnsi="Times New Roman"/>
          <w:sz w:val="24"/>
          <w:szCs w:val="24"/>
        </w:rPr>
        <w:t xml:space="preserve">U/L), followed by Ps1 (118 ± 9 </w:t>
      </w:r>
      <w:r w:rsidRPr="00A95407">
        <w:rPr>
          <w:rFonts w:ascii="Times New Roman" w:hAnsi="Times New Roman"/>
          <w:color w:val="000000"/>
          <w:sz w:val="24"/>
          <w:szCs w:val="24"/>
        </w:rPr>
        <w:t>I</w:t>
      </w:r>
      <w:r w:rsidRPr="00CB7D14">
        <w:rPr>
          <w:rFonts w:ascii="Times New Roman" w:hAnsi="Times New Roman"/>
          <w:sz w:val="24"/>
          <w:szCs w:val="24"/>
        </w:rPr>
        <w:t xml:space="preserve">U/L). Lower AST values were observed in Ps2 (102 ± 8 </w:t>
      </w:r>
      <w:r w:rsidRPr="00A95407">
        <w:rPr>
          <w:rFonts w:ascii="Times New Roman" w:hAnsi="Times New Roman"/>
          <w:color w:val="000000"/>
          <w:sz w:val="24"/>
          <w:szCs w:val="24"/>
        </w:rPr>
        <w:t>I</w:t>
      </w:r>
      <w:r w:rsidRPr="00CB7D14">
        <w:rPr>
          <w:rFonts w:ascii="Times New Roman" w:hAnsi="Times New Roman"/>
          <w:sz w:val="24"/>
          <w:szCs w:val="24"/>
        </w:rPr>
        <w:t xml:space="preserve">U/L) and Ps3 (88 ± 7 </w:t>
      </w:r>
      <w:r w:rsidRPr="00A95407">
        <w:rPr>
          <w:rFonts w:ascii="Times New Roman" w:hAnsi="Times New Roman"/>
          <w:color w:val="000000"/>
          <w:sz w:val="24"/>
          <w:szCs w:val="24"/>
        </w:rPr>
        <w:t>I</w:t>
      </w:r>
      <w:r w:rsidRPr="00CB7D14">
        <w:rPr>
          <w:rFonts w:ascii="Times New Roman" w:hAnsi="Times New Roman"/>
          <w:sz w:val="24"/>
          <w:szCs w:val="24"/>
        </w:rPr>
        <w:t xml:space="preserve">U/L), while the normal control group recorded the lowest value (72 ± 6 </w:t>
      </w:r>
      <w:r w:rsidRPr="00A95407">
        <w:rPr>
          <w:rFonts w:ascii="Times New Roman" w:hAnsi="Times New Roman"/>
          <w:color w:val="000000"/>
          <w:sz w:val="24"/>
          <w:szCs w:val="24"/>
        </w:rPr>
        <w:t>I</w:t>
      </w:r>
      <w:r w:rsidRPr="00CB7D14">
        <w:rPr>
          <w:rFonts w:ascii="Times New Roman" w:hAnsi="Times New Roman"/>
          <w:sz w:val="24"/>
          <w:szCs w:val="24"/>
        </w:rPr>
        <w:t>U/L).</w:t>
      </w:r>
      <w:r>
        <w:rPr>
          <w:rFonts w:ascii="Times New Roman" w:hAnsi="Times New Roman"/>
          <w:sz w:val="24"/>
          <w:szCs w:val="24"/>
        </w:rPr>
        <w:t xml:space="preserve"> </w:t>
      </w:r>
      <w:r w:rsidRPr="00CB7D14">
        <w:rPr>
          <w:rFonts w:ascii="Times New Roman" w:hAnsi="Times New Roman"/>
          <w:sz w:val="24"/>
          <w:szCs w:val="24"/>
        </w:rPr>
        <w:t xml:space="preserve">For ALT activity, the negative control group also recorded the highest value (78 ± 6 </w:t>
      </w:r>
      <w:r w:rsidRPr="00A95407">
        <w:rPr>
          <w:rFonts w:ascii="Times New Roman" w:hAnsi="Times New Roman"/>
          <w:color w:val="000000"/>
          <w:sz w:val="24"/>
          <w:szCs w:val="24"/>
        </w:rPr>
        <w:t>I</w:t>
      </w:r>
      <w:r w:rsidRPr="00CB7D14">
        <w:rPr>
          <w:rFonts w:ascii="Times New Roman" w:hAnsi="Times New Roman"/>
          <w:sz w:val="24"/>
          <w:szCs w:val="24"/>
        </w:rPr>
        <w:t xml:space="preserve">U/L). Ps1 had an ALT value of </w:t>
      </w:r>
      <w:r>
        <w:rPr>
          <w:rFonts w:ascii="Times New Roman" w:hAnsi="Times New Roman"/>
          <w:sz w:val="24"/>
          <w:szCs w:val="24"/>
        </w:rPr>
        <w:t>(</w:t>
      </w:r>
      <w:r w:rsidRPr="00CB7D14">
        <w:rPr>
          <w:rFonts w:ascii="Times New Roman" w:hAnsi="Times New Roman"/>
          <w:sz w:val="24"/>
          <w:szCs w:val="24"/>
        </w:rPr>
        <w:t xml:space="preserve">62 ± 5 </w:t>
      </w:r>
      <w:r w:rsidRPr="00A95407">
        <w:rPr>
          <w:rFonts w:ascii="Times New Roman" w:hAnsi="Times New Roman"/>
          <w:color w:val="000000"/>
          <w:sz w:val="24"/>
          <w:szCs w:val="24"/>
        </w:rPr>
        <w:t>I</w:t>
      </w:r>
      <w:r w:rsidRPr="00CB7D14">
        <w:rPr>
          <w:rFonts w:ascii="Times New Roman" w:hAnsi="Times New Roman"/>
          <w:sz w:val="24"/>
          <w:szCs w:val="24"/>
        </w:rPr>
        <w:t>U/L</w:t>
      </w:r>
      <w:r>
        <w:rPr>
          <w:rFonts w:ascii="Times New Roman" w:hAnsi="Times New Roman"/>
          <w:sz w:val="24"/>
          <w:szCs w:val="24"/>
        </w:rPr>
        <w:t>)</w:t>
      </w:r>
      <w:r w:rsidRPr="00CB7D14">
        <w:rPr>
          <w:rFonts w:ascii="Times New Roman" w:hAnsi="Times New Roman"/>
          <w:sz w:val="24"/>
          <w:szCs w:val="24"/>
        </w:rPr>
        <w:t xml:space="preserve">, while Ps2 and Ps3 recorded lower values of </w:t>
      </w:r>
      <w:r>
        <w:rPr>
          <w:rFonts w:ascii="Times New Roman" w:hAnsi="Times New Roman"/>
          <w:sz w:val="24"/>
          <w:szCs w:val="24"/>
        </w:rPr>
        <w:t>(</w:t>
      </w:r>
      <w:r w:rsidRPr="00CB7D14">
        <w:rPr>
          <w:rFonts w:ascii="Times New Roman" w:hAnsi="Times New Roman"/>
          <w:sz w:val="24"/>
          <w:szCs w:val="24"/>
        </w:rPr>
        <w:t xml:space="preserve">51 ± 4 </w:t>
      </w:r>
      <w:r w:rsidRPr="00A95407">
        <w:rPr>
          <w:rFonts w:ascii="Times New Roman" w:hAnsi="Times New Roman"/>
          <w:color w:val="000000"/>
          <w:sz w:val="24"/>
          <w:szCs w:val="24"/>
        </w:rPr>
        <w:t>I</w:t>
      </w:r>
      <w:r w:rsidRPr="00CB7D14">
        <w:rPr>
          <w:rFonts w:ascii="Times New Roman" w:hAnsi="Times New Roman"/>
          <w:sz w:val="24"/>
          <w:szCs w:val="24"/>
        </w:rPr>
        <w:t xml:space="preserve">U/L and </w:t>
      </w:r>
      <w:r w:rsidRPr="00CB7D14">
        <w:rPr>
          <w:rFonts w:ascii="Times New Roman" w:hAnsi="Times New Roman"/>
          <w:sz w:val="24"/>
          <w:szCs w:val="24"/>
        </w:rPr>
        <w:lastRenderedPageBreak/>
        <w:t xml:space="preserve">43 ± 3 </w:t>
      </w:r>
      <w:r w:rsidRPr="00A95407">
        <w:rPr>
          <w:rFonts w:ascii="Times New Roman" w:hAnsi="Times New Roman"/>
          <w:color w:val="000000"/>
          <w:sz w:val="24"/>
          <w:szCs w:val="24"/>
        </w:rPr>
        <w:t>I</w:t>
      </w:r>
      <w:r w:rsidRPr="00CB7D14">
        <w:rPr>
          <w:rFonts w:ascii="Times New Roman" w:hAnsi="Times New Roman"/>
          <w:sz w:val="24"/>
          <w:szCs w:val="24"/>
        </w:rPr>
        <w:t>U/L</w:t>
      </w:r>
      <w:r>
        <w:rPr>
          <w:rFonts w:ascii="Times New Roman" w:hAnsi="Times New Roman"/>
          <w:sz w:val="24"/>
          <w:szCs w:val="24"/>
        </w:rPr>
        <w:t>)</w:t>
      </w:r>
      <w:r w:rsidRPr="00CB7D14">
        <w:rPr>
          <w:rFonts w:ascii="Times New Roman" w:hAnsi="Times New Roman"/>
          <w:sz w:val="24"/>
          <w:szCs w:val="24"/>
        </w:rPr>
        <w:t xml:space="preserve"> respectively. The normal control group showed the lowest ALT activity of </w:t>
      </w:r>
      <w:r>
        <w:rPr>
          <w:rFonts w:ascii="Times New Roman" w:hAnsi="Times New Roman"/>
          <w:sz w:val="24"/>
          <w:szCs w:val="24"/>
        </w:rPr>
        <w:t>(</w:t>
      </w:r>
      <w:r w:rsidRPr="00CB7D14">
        <w:rPr>
          <w:rFonts w:ascii="Times New Roman" w:hAnsi="Times New Roman"/>
          <w:sz w:val="24"/>
          <w:szCs w:val="24"/>
        </w:rPr>
        <w:t xml:space="preserve">31 ± 3 </w:t>
      </w:r>
      <w:r w:rsidRPr="00A95407">
        <w:rPr>
          <w:rFonts w:ascii="Times New Roman" w:hAnsi="Times New Roman"/>
          <w:color w:val="000000"/>
          <w:sz w:val="24"/>
          <w:szCs w:val="24"/>
        </w:rPr>
        <w:t>I</w:t>
      </w:r>
      <w:r w:rsidRPr="00CB7D14">
        <w:rPr>
          <w:rFonts w:ascii="Times New Roman" w:hAnsi="Times New Roman"/>
          <w:sz w:val="24"/>
          <w:szCs w:val="24"/>
        </w:rPr>
        <w:t>U/L</w:t>
      </w:r>
      <w:r>
        <w:rPr>
          <w:rFonts w:ascii="Times New Roman" w:hAnsi="Times New Roman"/>
          <w:sz w:val="24"/>
          <w:szCs w:val="24"/>
        </w:rPr>
        <w:t>)</w:t>
      </w:r>
      <w:r w:rsidRPr="00CB7D14">
        <w:rPr>
          <w:rFonts w:ascii="Times New Roman" w:hAnsi="Times New Roman"/>
          <w:sz w:val="24"/>
          <w:szCs w:val="24"/>
        </w:rPr>
        <w:t>.</w:t>
      </w:r>
      <w:r>
        <w:rPr>
          <w:rFonts w:ascii="Times New Roman" w:hAnsi="Times New Roman"/>
          <w:sz w:val="24"/>
          <w:szCs w:val="24"/>
        </w:rPr>
        <w:t xml:space="preserve"> </w:t>
      </w:r>
      <w:r w:rsidRPr="00CB7D14">
        <w:rPr>
          <w:rFonts w:ascii="Times New Roman" w:hAnsi="Times New Roman"/>
          <w:sz w:val="24"/>
          <w:szCs w:val="24"/>
        </w:rPr>
        <w:t xml:space="preserve">In the case of ALP, the negative control group recorded the highest enzyme activity (148 ± 12 </w:t>
      </w:r>
      <w:r w:rsidRPr="00A95407">
        <w:rPr>
          <w:rFonts w:ascii="Times New Roman" w:hAnsi="Times New Roman"/>
          <w:color w:val="000000"/>
          <w:sz w:val="24"/>
          <w:szCs w:val="24"/>
        </w:rPr>
        <w:t>I</w:t>
      </w:r>
      <w:r w:rsidRPr="00CB7D14">
        <w:rPr>
          <w:rFonts w:ascii="Times New Roman" w:hAnsi="Times New Roman"/>
          <w:sz w:val="24"/>
          <w:szCs w:val="24"/>
        </w:rPr>
        <w:t xml:space="preserve">U/L), followed by Ps1 (128 ± 10 </w:t>
      </w:r>
      <w:r w:rsidRPr="00A95407">
        <w:rPr>
          <w:rFonts w:ascii="Times New Roman" w:hAnsi="Times New Roman"/>
          <w:color w:val="000000"/>
          <w:sz w:val="24"/>
          <w:szCs w:val="24"/>
        </w:rPr>
        <w:t>I</w:t>
      </w:r>
      <w:r w:rsidRPr="00CB7D14">
        <w:rPr>
          <w:rFonts w:ascii="Times New Roman" w:hAnsi="Times New Roman"/>
          <w:sz w:val="24"/>
          <w:szCs w:val="24"/>
        </w:rPr>
        <w:t xml:space="preserve">U/L). Reduced ALP values were observed in Ps2 (110 ± 8 </w:t>
      </w:r>
      <w:r w:rsidRPr="00A95407">
        <w:rPr>
          <w:rFonts w:ascii="Times New Roman" w:hAnsi="Times New Roman"/>
          <w:color w:val="000000"/>
          <w:sz w:val="24"/>
          <w:szCs w:val="24"/>
        </w:rPr>
        <w:t>I</w:t>
      </w:r>
      <w:r w:rsidRPr="00CB7D14">
        <w:rPr>
          <w:rFonts w:ascii="Times New Roman" w:hAnsi="Times New Roman"/>
          <w:sz w:val="24"/>
          <w:szCs w:val="24"/>
        </w:rPr>
        <w:t xml:space="preserve">U/L) and Ps3 (96 ± 7 </w:t>
      </w:r>
      <w:r w:rsidRPr="00A95407">
        <w:rPr>
          <w:rFonts w:ascii="Times New Roman" w:hAnsi="Times New Roman"/>
          <w:color w:val="000000"/>
          <w:sz w:val="24"/>
          <w:szCs w:val="24"/>
        </w:rPr>
        <w:t>I</w:t>
      </w:r>
      <w:r w:rsidRPr="00CB7D14">
        <w:rPr>
          <w:rFonts w:ascii="Times New Roman" w:hAnsi="Times New Roman"/>
          <w:sz w:val="24"/>
          <w:szCs w:val="24"/>
        </w:rPr>
        <w:t xml:space="preserve">U/L), while the normal control group recorded the lowest value (74 ± 6 </w:t>
      </w:r>
      <w:r w:rsidRPr="00A95407">
        <w:rPr>
          <w:rFonts w:ascii="Times New Roman" w:hAnsi="Times New Roman"/>
          <w:color w:val="000000"/>
          <w:sz w:val="24"/>
          <w:szCs w:val="24"/>
        </w:rPr>
        <w:t>I</w:t>
      </w:r>
      <w:r w:rsidRPr="00CB7D14">
        <w:rPr>
          <w:rFonts w:ascii="Times New Roman" w:hAnsi="Times New Roman"/>
          <w:sz w:val="24"/>
          <w:szCs w:val="24"/>
        </w:rPr>
        <w:t>U/L).</w:t>
      </w:r>
      <w:r>
        <w:rPr>
          <w:rFonts w:ascii="Times New Roman" w:hAnsi="Times New Roman"/>
          <w:sz w:val="24"/>
          <w:szCs w:val="24"/>
        </w:rPr>
        <w:t xml:space="preserve"> </w:t>
      </w:r>
      <w:r w:rsidRPr="00CB7D14">
        <w:rPr>
          <w:rFonts w:ascii="Times New Roman" w:hAnsi="Times New Roman"/>
          <w:sz w:val="24"/>
          <w:szCs w:val="24"/>
        </w:rPr>
        <w:t xml:space="preserve">Similarly, GGT activity was highest in the negative control group (8.3 ± 0.9 </w:t>
      </w:r>
      <w:r w:rsidRPr="00A95407">
        <w:rPr>
          <w:rFonts w:ascii="Times New Roman" w:hAnsi="Times New Roman"/>
          <w:color w:val="000000"/>
          <w:sz w:val="24"/>
          <w:szCs w:val="24"/>
        </w:rPr>
        <w:t>I</w:t>
      </w:r>
      <w:r w:rsidRPr="00CB7D14">
        <w:rPr>
          <w:rFonts w:ascii="Times New Roman" w:hAnsi="Times New Roman"/>
          <w:sz w:val="24"/>
          <w:szCs w:val="24"/>
        </w:rPr>
        <w:t xml:space="preserve">U/L). Ps1 recorded a value of </w:t>
      </w:r>
      <w:r>
        <w:rPr>
          <w:rFonts w:ascii="Times New Roman" w:hAnsi="Times New Roman"/>
          <w:sz w:val="24"/>
          <w:szCs w:val="24"/>
        </w:rPr>
        <w:t>(</w:t>
      </w:r>
      <w:r w:rsidRPr="00CB7D14">
        <w:rPr>
          <w:rFonts w:ascii="Times New Roman" w:hAnsi="Times New Roman"/>
          <w:sz w:val="24"/>
          <w:szCs w:val="24"/>
        </w:rPr>
        <w:t xml:space="preserve">6.2 ± 0.8 </w:t>
      </w:r>
      <w:r w:rsidRPr="00A95407">
        <w:rPr>
          <w:rFonts w:ascii="Times New Roman" w:hAnsi="Times New Roman"/>
          <w:color w:val="000000"/>
          <w:sz w:val="24"/>
          <w:szCs w:val="24"/>
        </w:rPr>
        <w:t>I</w:t>
      </w:r>
      <w:r w:rsidRPr="00CB7D14">
        <w:rPr>
          <w:rFonts w:ascii="Times New Roman" w:hAnsi="Times New Roman"/>
          <w:sz w:val="24"/>
          <w:szCs w:val="24"/>
        </w:rPr>
        <w:t>U/L</w:t>
      </w:r>
      <w:r>
        <w:rPr>
          <w:rFonts w:ascii="Times New Roman" w:hAnsi="Times New Roman"/>
          <w:sz w:val="24"/>
          <w:szCs w:val="24"/>
        </w:rPr>
        <w:t>)</w:t>
      </w:r>
      <w:r w:rsidRPr="00CB7D14">
        <w:rPr>
          <w:rFonts w:ascii="Times New Roman" w:hAnsi="Times New Roman"/>
          <w:sz w:val="24"/>
          <w:szCs w:val="24"/>
        </w:rPr>
        <w:t xml:space="preserve">, while Ps2 and Ps3 recorded lower values of </w:t>
      </w:r>
      <w:r>
        <w:rPr>
          <w:rFonts w:ascii="Times New Roman" w:hAnsi="Times New Roman"/>
          <w:sz w:val="24"/>
          <w:szCs w:val="24"/>
        </w:rPr>
        <w:t>(</w:t>
      </w:r>
      <w:r w:rsidRPr="00CB7D14">
        <w:rPr>
          <w:rFonts w:ascii="Times New Roman" w:hAnsi="Times New Roman"/>
          <w:sz w:val="24"/>
          <w:szCs w:val="24"/>
        </w:rPr>
        <w:t xml:space="preserve">5.1 ± 0.6 </w:t>
      </w:r>
      <w:r w:rsidRPr="00A95407">
        <w:rPr>
          <w:rFonts w:ascii="Times New Roman" w:hAnsi="Times New Roman"/>
          <w:color w:val="000000"/>
          <w:sz w:val="24"/>
          <w:szCs w:val="24"/>
        </w:rPr>
        <w:t>I</w:t>
      </w:r>
      <w:r w:rsidRPr="00CB7D14">
        <w:rPr>
          <w:rFonts w:ascii="Times New Roman" w:hAnsi="Times New Roman"/>
          <w:sz w:val="24"/>
          <w:szCs w:val="24"/>
        </w:rPr>
        <w:t xml:space="preserve">U/L and 4.0 ± 0.5 </w:t>
      </w:r>
      <w:r w:rsidRPr="00A95407">
        <w:rPr>
          <w:rFonts w:ascii="Times New Roman" w:hAnsi="Times New Roman"/>
          <w:color w:val="000000"/>
          <w:sz w:val="24"/>
          <w:szCs w:val="24"/>
        </w:rPr>
        <w:t>I</w:t>
      </w:r>
      <w:r w:rsidRPr="00CB7D14">
        <w:rPr>
          <w:rFonts w:ascii="Times New Roman" w:hAnsi="Times New Roman"/>
          <w:sz w:val="24"/>
          <w:szCs w:val="24"/>
        </w:rPr>
        <w:t>U/L</w:t>
      </w:r>
      <w:r>
        <w:rPr>
          <w:rFonts w:ascii="Times New Roman" w:hAnsi="Times New Roman"/>
          <w:sz w:val="24"/>
          <w:szCs w:val="24"/>
        </w:rPr>
        <w:t>),</w:t>
      </w:r>
      <w:r w:rsidRPr="00CB7D14">
        <w:rPr>
          <w:rFonts w:ascii="Times New Roman" w:hAnsi="Times New Roman"/>
          <w:sz w:val="24"/>
          <w:szCs w:val="24"/>
        </w:rPr>
        <w:t xml:space="preserve"> respectively. The normal control group had the lowest GGT activity (2.8 ± 0.4 </w:t>
      </w:r>
      <w:r w:rsidRPr="00A95407">
        <w:rPr>
          <w:rFonts w:ascii="Times New Roman" w:hAnsi="Times New Roman"/>
          <w:color w:val="000000"/>
          <w:sz w:val="24"/>
          <w:szCs w:val="24"/>
        </w:rPr>
        <w:t>I</w:t>
      </w:r>
      <w:r w:rsidRPr="00CB7D14">
        <w:rPr>
          <w:rFonts w:ascii="Times New Roman" w:hAnsi="Times New Roman"/>
          <w:sz w:val="24"/>
          <w:szCs w:val="24"/>
        </w:rPr>
        <w:t xml:space="preserve">U/L). </w:t>
      </w:r>
      <w:r>
        <w:rPr>
          <w:rFonts w:ascii="Times New Roman" w:hAnsi="Times New Roman"/>
          <w:sz w:val="24"/>
          <w:szCs w:val="24"/>
        </w:rPr>
        <w:t>T</w:t>
      </w:r>
      <w:r w:rsidRPr="00CB7D14">
        <w:rPr>
          <w:rFonts w:ascii="Times New Roman" w:hAnsi="Times New Roman"/>
          <w:sz w:val="24"/>
          <w:szCs w:val="24"/>
        </w:rPr>
        <w:t>he liver marker enzymes showed variations across the experimental groups, with enzyme activities decreasing progressively from Ps1 to Ps3 when compared with the negative control group.</w:t>
      </w:r>
    </w:p>
    <w:p w14:paraId="2A3BF252" w14:textId="77777777" w:rsidR="00EA7300" w:rsidRPr="00CB7D14" w:rsidRDefault="00EA7300" w:rsidP="00EA7300">
      <w:pPr>
        <w:spacing w:line="480" w:lineRule="auto"/>
        <w:rPr>
          <w:rFonts w:ascii="Times New Roman" w:hAnsi="Times New Roman"/>
          <w:b/>
          <w:sz w:val="24"/>
          <w:szCs w:val="24"/>
        </w:rPr>
      </w:pPr>
      <w:r w:rsidRPr="00CB7D14">
        <w:rPr>
          <w:rFonts w:ascii="Times New Roman" w:hAnsi="Times New Roman"/>
          <w:b/>
          <w:sz w:val="24"/>
          <w:szCs w:val="24"/>
        </w:rPr>
        <w:t xml:space="preserve">Table 2: Effect of </w:t>
      </w:r>
      <w:r w:rsidRPr="00CB7D14">
        <w:rPr>
          <w:rFonts w:ascii="Times New Roman" w:hAnsi="Times New Roman"/>
          <w:b/>
          <w:i/>
          <w:sz w:val="24"/>
          <w:szCs w:val="24"/>
        </w:rPr>
        <w:t xml:space="preserve">Pterocarpus </w:t>
      </w:r>
      <w:proofErr w:type="spellStart"/>
      <w:r w:rsidRPr="00CB7D14">
        <w:rPr>
          <w:rFonts w:ascii="Times New Roman" w:hAnsi="Times New Roman"/>
          <w:b/>
          <w:i/>
          <w:sz w:val="24"/>
          <w:szCs w:val="24"/>
        </w:rPr>
        <w:t>santalinoides</w:t>
      </w:r>
      <w:proofErr w:type="spellEnd"/>
      <w:r w:rsidRPr="00CB7D14">
        <w:rPr>
          <w:rFonts w:ascii="Times New Roman" w:hAnsi="Times New Roman"/>
          <w:b/>
          <w:sz w:val="24"/>
          <w:szCs w:val="24"/>
        </w:rPr>
        <w:t xml:space="preserve"> Leaf </w:t>
      </w:r>
      <w:r>
        <w:rPr>
          <w:rFonts w:ascii="Times New Roman" w:hAnsi="Times New Roman"/>
          <w:b/>
          <w:sz w:val="24"/>
          <w:szCs w:val="24"/>
        </w:rPr>
        <w:t xml:space="preserve">Diet </w:t>
      </w:r>
      <w:r w:rsidRPr="00CB7D14">
        <w:rPr>
          <w:rFonts w:ascii="Times New Roman" w:hAnsi="Times New Roman"/>
          <w:b/>
          <w:sz w:val="24"/>
          <w:szCs w:val="24"/>
        </w:rPr>
        <w:t xml:space="preserve">on some liver marker enzymes in Wistar rats </w:t>
      </w:r>
      <w:r>
        <w:rPr>
          <w:rFonts w:ascii="Times New Roman" w:hAnsi="Times New Roman"/>
          <w:b/>
          <w:sz w:val="24"/>
          <w:szCs w:val="24"/>
        </w:rPr>
        <w:t>exposed</w:t>
      </w:r>
      <w:r w:rsidRPr="00CB7D14">
        <w:rPr>
          <w:rFonts w:ascii="Times New Roman" w:hAnsi="Times New Roman"/>
          <w:b/>
          <w:sz w:val="24"/>
          <w:szCs w:val="24"/>
        </w:rPr>
        <w:t xml:space="preserve"> to Cadmium</w:t>
      </w:r>
    </w:p>
    <w:tbl>
      <w:tblPr>
        <w:tblStyle w:val="TableGrid"/>
        <w:tblW w:w="5000" w:type="pct"/>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1"/>
        <w:gridCol w:w="2264"/>
        <w:gridCol w:w="1998"/>
        <w:gridCol w:w="1998"/>
        <w:gridCol w:w="2249"/>
      </w:tblGrid>
      <w:tr w:rsidR="00EA7300" w:rsidRPr="00CB7D14" w14:paraId="253DBB5B" w14:textId="77777777" w:rsidTr="00E0273A">
        <w:trPr>
          <w:trHeight w:val="535"/>
        </w:trPr>
        <w:tc>
          <w:tcPr>
            <w:tcW w:w="1060" w:type="pct"/>
            <w:tcBorders>
              <w:top w:val="single" w:sz="4" w:space="0" w:color="auto"/>
              <w:bottom w:val="single" w:sz="4" w:space="0" w:color="auto"/>
            </w:tcBorders>
          </w:tcPr>
          <w:p w14:paraId="58CBFAF8" w14:textId="77777777" w:rsidR="00EA7300" w:rsidRPr="00CB7D14" w:rsidRDefault="00EA7300" w:rsidP="009C7526">
            <w:pPr>
              <w:spacing w:line="360" w:lineRule="auto"/>
              <w:jc w:val="center"/>
              <w:rPr>
                <w:rFonts w:ascii="Times New Roman" w:hAnsi="Times New Roman"/>
                <w:b/>
                <w:sz w:val="24"/>
                <w:szCs w:val="24"/>
              </w:rPr>
            </w:pPr>
            <w:r w:rsidRPr="00CB7D14">
              <w:rPr>
                <w:rFonts w:ascii="Times New Roman" w:hAnsi="Times New Roman"/>
                <w:b/>
                <w:sz w:val="24"/>
                <w:szCs w:val="24"/>
              </w:rPr>
              <w:t>GROUPS</w:t>
            </w:r>
          </w:p>
        </w:tc>
        <w:tc>
          <w:tcPr>
            <w:tcW w:w="1048" w:type="pct"/>
            <w:tcBorders>
              <w:top w:val="single" w:sz="4" w:space="0" w:color="auto"/>
              <w:bottom w:val="single" w:sz="4" w:space="0" w:color="auto"/>
            </w:tcBorders>
            <w:vAlign w:val="bottom"/>
          </w:tcPr>
          <w:p w14:paraId="2467EB5D" w14:textId="77777777" w:rsidR="00EA7300" w:rsidRPr="00CB7D14" w:rsidRDefault="00EA7300" w:rsidP="009C7526">
            <w:pPr>
              <w:spacing w:line="360" w:lineRule="auto"/>
              <w:rPr>
                <w:rFonts w:ascii="Times New Roman" w:eastAsia="Times New Roman" w:hAnsi="Times New Roman"/>
                <w:b/>
                <w:color w:val="000000"/>
                <w:sz w:val="24"/>
                <w:szCs w:val="24"/>
              </w:rPr>
            </w:pPr>
            <w:r w:rsidRPr="00CB7D14">
              <w:rPr>
                <w:rFonts w:ascii="Times New Roman" w:eastAsia="Times New Roman" w:hAnsi="Times New Roman"/>
                <w:b/>
                <w:color w:val="000000"/>
                <w:sz w:val="24"/>
                <w:szCs w:val="24"/>
              </w:rPr>
              <w:t xml:space="preserve"> AST (IU/L)</w:t>
            </w:r>
          </w:p>
        </w:tc>
        <w:tc>
          <w:tcPr>
            <w:tcW w:w="925" w:type="pct"/>
            <w:tcBorders>
              <w:top w:val="single" w:sz="4" w:space="0" w:color="auto"/>
              <w:bottom w:val="single" w:sz="4" w:space="0" w:color="auto"/>
            </w:tcBorders>
          </w:tcPr>
          <w:p w14:paraId="41BD1E82" w14:textId="77777777" w:rsidR="00EA7300" w:rsidRPr="00CB7D14" w:rsidRDefault="00EA7300" w:rsidP="009C7526">
            <w:pPr>
              <w:spacing w:line="360" w:lineRule="auto"/>
              <w:rPr>
                <w:rFonts w:ascii="Times New Roman" w:eastAsia="Times New Roman" w:hAnsi="Times New Roman"/>
                <w:b/>
                <w:sz w:val="24"/>
                <w:szCs w:val="24"/>
              </w:rPr>
            </w:pPr>
            <w:r w:rsidRPr="00CB7D14">
              <w:rPr>
                <w:rFonts w:ascii="Times New Roman" w:eastAsia="Times New Roman" w:hAnsi="Times New Roman"/>
                <w:b/>
                <w:color w:val="000000"/>
                <w:sz w:val="24"/>
                <w:szCs w:val="24"/>
              </w:rPr>
              <w:t>ALT (IU/L)</w:t>
            </w:r>
          </w:p>
        </w:tc>
        <w:tc>
          <w:tcPr>
            <w:tcW w:w="925" w:type="pct"/>
            <w:tcBorders>
              <w:top w:val="single" w:sz="4" w:space="0" w:color="auto"/>
              <w:bottom w:val="single" w:sz="4" w:space="0" w:color="auto"/>
            </w:tcBorders>
          </w:tcPr>
          <w:p w14:paraId="0F484542" w14:textId="77777777" w:rsidR="00EA7300" w:rsidRPr="00CB7D14" w:rsidRDefault="00EA7300" w:rsidP="009C7526">
            <w:pPr>
              <w:spacing w:line="360" w:lineRule="auto"/>
              <w:rPr>
                <w:rFonts w:ascii="Times New Roman" w:eastAsia="Times New Roman" w:hAnsi="Times New Roman"/>
                <w:b/>
                <w:sz w:val="24"/>
                <w:szCs w:val="24"/>
              </w:rPr>
            </w:pPr>
            <w:r w:rsidRPr="00CB7D14">
              <w:rPr>
                <w:rFonts w:ascii="Times New Roman" w:eastAsia="Times New Roman" w:hAnsi="Times New Roman"/>
                <w:b/>
                <w:color w:val="000000"/>
                <w:sz w:val="24"/>
                <w:szCs w:val="24"/>
              </w:rPr>
              <w:t>ALP (IU/L)</w:t>
            </w:r>
          </w:p>
        </w:tc>
        <w:tc>
          <w:tcPr>
            <w:tcW w:w="1041" w:type="pct"/>
            <w:tcBorders>
              <w:top w:val="single" w:sz="4" w:space="0" w:color="auto"/>
              <w:bottom w:val="single" w:sz="4" w:space="0" w:color="auto"/>
            </w:tcBorders>
            <w:vAlign w:val="bottom"/>
          </w:tcPr>
          <w:p w14:paraId="6295BB42" w14:textId="77777777" w:rsidR="00EA7300" w:rsidRPr="00CB7D14" w:rsidRDefault="00EA7300" w:rsidP="009C7526">
            <w:pPr>
              <w:spacing w:line="360" w:lineRule="auto"/>
              <w:rPr>
                <w:rFonts w:ascii="Times New Roman" w:eastAsia="Times New Roman" w:hAnsi="Times New Roman"/>
                <w:b/>
                <w:sz w:val="24"/>
                <w:szCs w:val="24"/>
              </w:rPr>
            </w:pPr>
            <w:r w:rsidRPr="00CB7D14">
              <w:rPr>
                <w:rFonts w:ascii="Times New Roman" w:eastAsia="Times New Roman" w:hAnsi="Times New Roman"/>
                <w:b/>
                <w:sz w:val="24"/>
                <w:szCs w:val="24"/>
              </w:rPr>
              <w:t xml:space="preserve"> GG</w:t>
            </w:r>
            <w:r w:rsidRPr="00CB7D14">
              <w:rPr>
                <w:rFonts w:ascii="Times New Roman" w:eastAsia="Times New Roman" w:hAnsi="Times New Roman"/>
                <w:b/>
                <w:color w:val="000000"/>
                <w:sz w:val="24"/>
                <w:szCs w:val="24"/>
              </w:rPr>
              <w:t>T (IU/L)</w:t>
            </w:r>
          </w:p>
        </w:tc>
      </w:tr>
      <w:tr w:rsidR="00EA7300" w:rsidRPr="00CB7D14" w14:paraId="05943692" w14:textId="77777777" w:rsidTr="00E0273A">
        <w:trPr>
          <w:trHeight w:val="535"/>
        </w:trPr>
        <w:tc>
          <w:tcPr>
            <w:tcW w:w="1060" w:type="pct"/>
            <w:tcBorders>
              <w:top w:val="single" w:sz="4" w:space="0" w:color="auto"/>
            </w:tcBorders>
          </w:tcPr>
          <w:p w14:paraId="4C494682"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NORMAL CONTROL</w:t>
            </w:r>
          </w:p>
        </w:tc>
        <w:tc>
          <w:tcPr>
            <w:tcW w:w="1048" w:type="pct"/>
            <w:tcBorders>
              <w:top w:val="single" w:sz="4" w:space="0" w:color="auto"/>
            </w:tcBorders>
            <w:vAlign w:val="center"/>
          </w:tcPr>
          <w:p w14:paraId="3222C8C3" w14:textId="77777777" w:rsidR="00EA7300" w:rsidRPr="00CB7D14" w:rsidRDefault="00EA7300" w:rsidP="009C7526">
            <w:pPr>
              <w:spacing w:line="360" w:lineRule="auto"/>
              <w:rPr>
                <w:rFonts w:ascii="Times New Roman" w:hAnsi="Times New Roman"/>
                <w:sz w:val="24"/>
                <w:szCs w:val="24"/>
              </w:rPr>
            </w:pPr>
            <w:r w:rsidRPr="00CB7D14">
              <w:rPr>
                <w:rFonts w:ascii="Times New Roman" w:eastAsia="Times New Roman" w:hAnsi="Times New Roman"/>
                <w:sz w:val="24"/>
                <w:szCs w:val="24"/>
              </w:rPr>
              <w:t xml:space="preserve">72 ± </w:t>
            </w:r>
            <w:r>
              <w:rPr>
                <w:rFonts w:ascii="Times New Roman" w:eastAsia="Times New Roman" w:hAnsi="Times New Roman"/>
                <w:sz w:val="24"/>
                <w:szCs w:val="24"/>
              </w:rPr>
              <w:t>0</w:t>
            </w:r>
            <w:r w:rsidRPr="00CB7D14">
              <w:rPr>
                <w:rFonts w:ascii="Times New Roman" w:eastAsia="Times New Roman" w:hAnsi="Times New Roman"/>
                <w:sz w:val="24"/>
                <w:szCs w:val="24"/>
              </w:rPr>
              <w:t>6ᵉ</w:t>
            </w:r>
          </w:p>
        </w:tc>
        <w:tc>
          <w:tcPr>
            <w:tcW w:w="925" w:type="pct"/>
            <w:tcBorders>
              <w:top w:val="single" w:sz="4" w:space="0" w:color="auto"/>
            </w:tcBorders>
            <w:vAlign w:val="center"/>
          </w:tcPr>
          <w:p w14:paraId="7B7CAB04" w14:textId="77777777" w:rsidR="00EA7300" w:rsidRPr="00CB7D14" w:rsidRDefault="00EA7300" w:rsidP="009C7526">
            <w:pPr>
              <w:spacing w:line="360" w:lineRule="auto"/>
              <w:rPr>
                <w:rFonts w:ascii="Times New Roman" w:hAnsi="Times New Roman"/>
                <w:sz w:val="24"/>
                <w:szCs w:val="24"/>
              </w:rPr>
            </w:pPr>
            <w:r w:rsidRPr="00CB7D14">
              <w:rPr>
                <w:rFonts w:ascii="Times New Roman" w:eastAsia="Times New Roman" w:hAnsi="Times New Roman"/>
                <w:sz w:val="24"/>
                <w:szCs w:val="24"/>
              </w:rPr>
              <w:t xml:space="preserve">31 ± </w:t>
            </w:r>
            <w:r>
              <w:rPr>
                <w:rFonts w:ascii="Times New Roman" w:eastAsia="Times New Roman" w:hAnsi="Times New Roman"/>
                <w:sz w:val="24"/>
                <w:szCs w:val="24"/>
              </w:rPr>
              <w:t>0</w:t>
            </w:r>
            <w:r w:rsidRPr="00CB7D14">
              <w:rPr>
                <w:rFonts w:ascii="Times New Roman" w:eastAsia="Times New Roman" w:hAnsi="Times New Roman"/>
                <w:sz w:val="24"/>
                <w:szCs w:val="24"/>
              </w:rPr>
              <w:t>3ᵉ</w:t>
            </w:r>
          </w:p>
        </w:tc>
        <w:tc>
          <w:tcPr>
            <w:tcW w:w="925" w:type="pct"/>
            <w:tcBorders>
              <w:top w:val="single" w:sz="4" w:space="0" w:color="auto"/>
            </w:tcBorders>
            <w:vAlign w:val="center"/>
          </w:tcPr>
          <w:p w14:paraId="78B9B1E9" w14:textId="77777777" w:rsidR="00EA7300" w:rsidRPr="00CB7D14" w:rsidRDefault="00EA7300" w:rsidP="009C7526">
            <w:pPr>
              <w:spacing w:line="360" w:lineRule="auto"/>
              <w:rPr>
                <w:rFonts w:ascii="Times New Roman" w:hAnsi="Times New Roman"/>
                <w:sz w:val="24"/>
                <w:szCs w:val="24"/>
              </w:rPr>
            </w:pPr>
            <w:r w:rsidRPr="00CB7D14">
              <w:rPr>
                <w:rFonts w:ascii="Times New Roman" w:eastAsia="Times New Roman" w:hAnsi="Times New Roman"/>
                <w:sz w:val="24"/>
                <w:szCs w:val="24"/>
              </w:rPr>
              <w:t xml:space="preserve">74 ± </w:t>
            </w:r>
            <w:r>
              <w:rPr>
                <w:rFonts w:ascii="Times New Roman" w:eastAsia="Times New Roman" w:hAnsi="Times New Roman"/>
                <w:sz w:val="24"/>
                <w:szCs w:val="24"/>
              </w:rPr>
              <w:t>0</w:t>
            </w:r>
            <w:r w:rsidRPr="00CB7D14">
              <w:rPr>
                <w:rFonts w:ascii="Times New Roman" w:eastAsia="Times New Roman" w:hAnsi="Times New Roman"/>
                <w:sz w:val="24"/>
                <w:szCs w:val="24"/>
              </w:rPr>
              <w:t>6ᵉ</w:t>
            </w:r>
          </w:p>
        </w:tc>
        <w:tc>
          <w:tcPr>
            <w:tcW w:w="1041" w:type="pct"/>
            <w:tcBorders>
              <w:top w:val="single" w:sz="4" w:space="0" w:color="auto"/>
            </w:tcBorders>
            <w:vAlign w:val="center"/>
          </w:tcPr>
          <w:p w14:paraId="06EB226C" w14:textId="77777777" w:rsidR="00EA7300" w:rsidRPr="00CB7D14" w:rsidRDefault="00EA7300" w:rsidP="009C7526">
            <w:pPr>
              <w:spacing w:line="360" w:lineRule="auto"/>
              <w:jc w:val="both"/>
              <w:rPr>
                <w:rFonts w:ascii="Times New Roman" w:hAnsi="Times New Roman"/>
                <w:sz w:val="24"/>
                <w:szCs w:val="24"/>
              </w:rPr>
            </w:pPr>
            <w:r w:rsidRPr="00CB7D14">
              <w:rPr>
                <w:rFonts w:ascii="Times New Roman" w:eastAsia="Times New Roman" w:hAnsi="Times New Roman"/>
                <w:sz w:val="24"/>
                <w:szCs w:val="24"/>
              </w:rPr>
              <w:t>2.8 ± 0.4ᵉ</w:t>
            </w:r>
          </w:p>
        </w:tc>
      </w:tr>
      <w:tr w:rsidR="00EA7300" w:rsidRPr="00CB7D14" w14:paraId="4E89495A" w14:textId="77777777" w:rsidTr="00E0273A">
        <w:trPr>
          <w:trHeight w:val="568"/>
        </w:trPr>
        <w:tc>
          <w:tcPr>
            <w:tcW w:w="1060" w:type="pct"/>
          </w:tcPr>
          <w:p w14:paraId="21FE2E65"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NEGATIVE CONTROL</w:t>
            </w:r>
          </w:p>
        </w:tc>
        <w:tc>
          <w:tcPr>
            <w:tcW w:w="1048" w:type="pct"/>
            <w:vAlign w:val="center"/>
          </w:tcPr>
          <w:p w14:paraId="2F46AABD" w14:textId="77777777" w:rsidR="00EA7300" w:rsidRPr="00CB7D14" w:rsidRDefault="00EA7300" w:rsidP="009C7526">
            <w:pPr>
              <w:spacing w:line="360" w:lineRule="auto"/>
              <w:rPr>
                <w:rFonts w:ascii="Times New Roman" w:hAnsi="Times New Roman"/>
                <w:sz w:val="24"/>
                <w:szCs w:val="24"/>
              </w:rPr>
            </w:pPr>
            <w:r w:rsidRPr="00CB7D14">
              <w:rPr>
                <w:rFonts w:ascii="Times New Roman" w:eastAsia="Times New Roman" w:hAnsi="Times New Roman"/>
                <w:sz w:val="24"/>
                <w:szCs w:val="24"/>
              </w:rPr>
              <w:t>145 ± 11ᵃ</w:t>
            </w:r>
          </w:p>
        </w:tc>
        <w:tc>
          <w:tcPr>
            <w:tcW w:w="925" w:type="pct"/>
            <w:vAlign w:val="center"/>
          </w:tcPr>
          <w:p w14:paraId="4510EA87" w14:textId="77777777" w:rsidR="00EA7300" w:rsidRPr="00CB7D14" w:rsidRDefault="00EA7300" w:rsidP="009C7526">
            <w:pPr>
              <w:spacing w:line="360" w:lineRule="auto"/>
              <w:rPr>
                <w:rFonts w:ascii="Times New Roman" w:hAnsi="Times New Roman"/>
                <w:sz w:val="24"/>
                <w:szCs w:val="24"/>
              </w:rPr>
            </w:pPr>
            <w:r w:rsidRPr="00CB7D14">
              <w:rPr>
                <w:rFonts w:ascii="Times New Roman" w:eastAsia="Times New Roman" w:hAnsi="Times New Roman"/>
                <w:sz w:val="24"/>
                <w:szCs w:val="24"/>
              </w:rPr>
              <w:t xml:space="preserve">78 ± </w:t>
            </w:r>
            <w:r>
              <w:rPr>
                <w:rFonts w:ascii="Times New Roman" w:eastAsia="Times New Roman" w:hAnsi="Times New Roman"/>
                <w:sz w:val="24"/>
                <w:szCs w:val="24"/>
              </w:rPr>
              <w:t>0</w:t>
            </w:r>
            <w:r w:rsidRPr="00CB7D14">
              <w:rPr>
                <w:rFonts w:ascii="Times New Roman" w:eastAsia="Times New Roman" w:hAnsi="Times New Roman"/>
                <w:sz w:val="24"/>
                <w:szCs w:val="24"/>
              </w:rPr>
              <w:t>6ᵃ</w:t>
            </w:r>
          </w:p>
        </w:tc>
        <w:tc>
          <w:tcPr>
            <w:tcW w:w="925" w:type="pct"/>
            <w:vAlign w:val="center"/>
          </w:tcPr>
          <w:p w14:paraId="35021D07" w14:textId="77777777" w:rsidR="00EA7300" w:rsidRPr="00CB7D14" w:rsidRDefault="00EA7300" w:rsidP="009C7526">
            <w:pPr>
              <w:spacing w:line="360" w:lineRule="auto"/>
              <w:rPr>
                <w:rFonts w:ascii="Times New Roman" w:hAnsi="Times New Roman"/>
                <w:sz w:val="24"/>
                <w:szCs w:val="24"/>
              </w:rPr>
            </w:pPr>
            <w:r w:rsidRPr="00CB7D14">
              <w:rPr>
                <w:rFonts w:ascii="Times New Roman" w:eastAsia="Times New Roman" w:hAnsi="Times New Roman"/>
                <w:sz w:val="24"/>
                <w:szCs w:val="24"/>
              </w:rPr>
              <w:t>148 ± 12ᵃ</w:t>
            </w:r>
          </w:p>
        </w:tc>
        <w:tc>
          <w:tcPr>
            <w:tcW w:w="1041" w:type="pct"/>
            <w:vAlign w:val="center"/>
          </w:tcPr>
          <w:p w14:paraId="2D20632C" w14:textId="77777777" w:rsidR="00EA7300" w:rsidRPr="00CB7D14" w:rsidRDefault="00EA7300" w:rsidP="009C7526">
            <w:pPr>
              <w:spacing w:line="360" w:lineRule="auto"/>
              <w:jc w:val="both"/>
              <w:rPr>
                <w:rFonts w:ascii="Times New Roman" w:hAnsi="Times New Roman"/>
                <w:sz w:val="24"/>
                <w:szCs w:val="24"/>
              </w:rPr>
            </w:pPr>
            <w:r w:rsidRPr="00CB7D14">
              <w:rPr>
                <w:rFonts w:ascii="Times New Roman" w:eastAsia="Times New Roman" w:hAnsi="Times New Roman"/>
                <w:sz w:val="24"/>
                <w:szCs w:val="24"/>
              </w:rPr>
              <w:t>8.3 ± 0.9ᵃ</w:t>
            </w:r>
          </w:p>
        </w:tc>
      </w:tr>
      <w:tr w:rsidR="00EA7300" w:rsidRPr="00CB7D14" w14:paraId="27FD7421" w14:textId="77777777" w:rsidTr="00E0273A">
        <w:trPr>
          <w:trHeight w:val="1106"/>
        </w:trPr>
        <w:tc>
          <w:tcPr>
            <w:tcW w:w="1060" w:type="pct"/>
            <w:tcBorders>
              <w:top w:val="nil"/>
              <w:bottom w:val="nil"/>
            </w:tcBorders>
          </w:tcPr>
          <w:p w14:paraId="03CFEEA5" w14:textId="77777777" w:rsidR="00EA7300" w:rsidRPr="00CB7D14" w:rsidRDefault="00EA7300" w:rsidP="009C7526">
            <w:pPr>
              <w:spacing w:line="360" w:lineRule="auto"/>
              <w:jc w:val="center"/>
              <w:rPr>
                <w:rFonts w:ascii="Times New Roman" w:hAnsi="Times New Roman"/>
                <w:sz w:val="24"/>
                <w:szCs w:val="24"/>
              </w:rPr>
            </w:pPr>
            <w:r>
              <w:rPr>
                <w:rFonts w:ascii="Times New Roman" w:hAnsi="Times New Roman"/>
                <w:sz w:val="24"/>
                <w:szCs w:val="24"/>
              </w:rPr>
              <w:t xml:space="preserve">STANDARD </w:t>
            </w:r>
            <w:r w:rsidRPr="00CB7D14">
              <w:rPr>
                <w:rFonts w:ascii="Times New Roman" w:hAnsi="Times New Roman"/>
                <w:sz w:val="24"/>
                <w:szCs w:val="24"/>
              </w:rPr>
              <w:t>CONTROL</w:t>
            </w:r>
          </w:p>
        </w:tc>
        <w:tc>
          <w:tcPr>
            <w:tcW w:w="1048" w:type="pct"/>
            <w:tcBorders>
              <w:top w:val="nil"/>
              <w:bottom w:val="nil"/>
            </w:tcBorders>
            <w:vAlign w:val="center"/>
          </w:tcPr>
          <w:p w14:paraId="5B02E776" w14:textId="77777777" w:rsidR="00EA7300" w:rsidRPr="00CB7D14" w:rsidRDefault="00EA7300" w:rsidP="009C7526">
            <w:pPr>
              <w:spacing w:line="360" w:lineRule="auto"/>
              <w:rPr>
                <w:rFonts w:ascii="Times New Roman" w:hAnsi="Times New Roman"/>
                <w:sz w:val="24"/>
                <w:szCs w:val="24"/>
              </w:rPr>
            </w:pPr>
            <w:r>
              <w:rPr>
                <w:rFonts w:ascii="Times New Roman" w:eastAsia="Times New Roman" w:hAnsi="Times New Roman"/>
                <w:sz w:val="24"/>
                <w:szCs w:val="24"/>
              </w:rPr>
              <w:t>104</w:t>
            </w:r>
            <w:r w:rsidRPr="00CB7D14">
              <w:rPr>
                <w:rFonts w:ascii="Times New Roman" w:eastAsia="Times New Roman" w:hAnsi="Times New Roman"/>
                <w:sz w:val="24"/>
                <w:szCs w:val="24"/>
              </w:rPr>
              <w:t xml:space="preserve"> ± </w:t>
            </w:r>
            <w:r>
              <w:rPr>
                <w:rFonts w:ascii="Times New Roman" w:eastAsia="Times New Roman" w:hAnsi="Times New Roman"/>
                <w:sz w:val="24"/>
                <w:szCs w:val="24"/>
              </w:rPr>
              <w:t>06</w:t>
            </w:r>
            <w:r w:rsidRPr="00F1164A">
              <w:rPr>
                <w:rFonts w:ascii="Times New Roman" w:eastAsia="Times New Roman" w:hAnsi="Times New Roman"/>
                <w:sz w:val="24"/>
                <w:szCs w:val="24"/>
                <w:vertAlign w:val="superscript"/>
              </w:rPr>
              <w:t>c</w:t>
            </w:r>
          </w:p>
        </w:tc>
        <w:tc>
          <w:tcPr>
            <w:tcW w:w="925" w:type="pct"/>
            <w:tcBorders>
              <w:top w:val="nil"/>
              <w:bottom w:val="nil"/>
            </w:tcBorders>
            <w:vAlign w:val="center"/>
          </w:tcPr>
          <w:p w14:paraId="19768A90" w14:textId="77777777" w:rsidR="00EA7300" w:rsidRPr="00CB7D14" w:rsidRDefault="00EA7300" w:rsidP="009C7526">
            <w:pPr>
              <w:spacing w:line="360" w:lineRule="auto"/>
              <w:rPr>
                <w:rFonts w:ascii="Times New Roman" w:hAnsi="Times New Roman"/>
                <w:sz w:val="24"/>
                <w:szCs w:val="24"/>
              </w:rPr>
            </w:pPr>
            <w:r>
              <w:rPr>
                <w:rFonts w:ascii="Times New Roman" w:eastAsia="Times New Roman" w:hAnsi="Times New Roman"/>
                <w:sz w:val="24"/>
                <w:szCs w:val="24"/>
              </w:rPr>
              <w:t>55</w:t>
            </w:r>
            <w:r w:rsidRPr="00CB7D14">
              <w:rPr>
                <w:rFonts w:ascii="Times New Roman" w:eastAsia="Times New Roman" w:hAnsi="Times New Roman"/>
                <w:sz w:val="24"/>
                <w:szCs w:val="24"/>
              </w:rPr>
              <w:t xml:space="preserve"> ± </w:t>
            </w:r>
            <w:r>
              <w:rPr>
                <w:rFonts w:ascii="Times New Roman" w:eastAsia="Times New Roman" w:hAnsi="Times New Roman"/>
                <w:sz w:val="24"/>
                <w:szCs w:val="24"/>
              </w:rPr>
              <w:t>07</w:t>
            </w:r>
            <w:r w:rsidRPr="00F1164A">
              <w:rPr>
                <w:rFonts w:ascii="Times New Roman" w:eastAsia="Times New Roman" w:hAnsi="Times New Roman"/>
                <w:sz w:val="24"/>
                <w:szCs w:val="24"/>
                <w:vertAlign w:val="superscript"/>
              </w:rPr>
              <w:t>c</w:t>
            </w:r>
          </w:p>
        </w:tc>
        <w:tc>
          <w:tcPr>
            <w:tcW w:w="925" w:type="pct"/>
            <w:tcBorders>
              <w:top w:val="nil"/>
              <w:bottom w:val="nil"/>
            </w:tcBorders>
            <w:vAlign w:val="center"/>
          </w:tcPr>
          <w:p w14:paraId="73AE70FB" w14:textId="77777777" w:rsidR="00EA7300" w:rsidRPr="00CB7D14" w:rsidRDefault="00EA7300" w:rsidP="009C7526">
            <w:pPr>
              <w:spacing w:line="360" w:lineRule="auto"/>
              <w:rPr>
                <w:rFonts w:ascii="Times New Roman" w:hAnsi="Times New Roman"/>
                <w:sz w:val="24"/>
                <w:szCs w:val="24"/>
              </w:rPr>
            </w:pPr>
            <w:r>
              <w:rPr>
                <w:rFonts w:ascii="Times New Roman" w:eastAsia="Times New Roman" w:hAnsi="Times New Roman"/>
                <w:sz w:val="24"/>
                <w:szCs w:val="24"/>
              </w:rPr>
              <w:t>100</w:t>
            </w:r>
            <w:r w:rsidRPr="00CB7D14">
              <w:rPr>
                <w:rFonts w:ascii="Times New Roman" w:eastAsia="Times New Roman" w:hAnsi="Times New Roman"/>
                <w:sz w:val="24"/>
                <w:szCs w:val="24"/>
              </w:rPr>
              <w:t xml:space="preserve"> ± </w:t>
            </w:r>
            <w:r>
              <w:rPr>
                <w:rFonts w:ascii="Times New Roman" w:eastAsia="Times New Roman" w:hAnsi="Times New Roman"/>
                <w:sz w:val="24"/>
                <w:szCs w:val="24"/>
              </w:rPr>
              <w:t>08</w:t>
            </w:r>
            <w:r w:rsidRPr="00F1164A">
              <w:rPr>
                <w:rFonts w:ascii="Times New Roman" w:eastAsia="Times New Roman" w:hAnsi="Times New Roman"/>
                <w:sz w:val="24"/>
                <w:szCs w:val="24"/>
                <w:vertAlign w:val="superscript"/>
              </w:rPr>
              <w:t>c</w:t>
            </w:r>
          </w:p>
        </w:tc>
        <w:tc>
          <w:tcPr>
            <w:tcW w:w="1041" w:type="pct"/>
            <w:tcBorders>
              <w:top w:val="nil"/>
              <w:bottom w:val="nil"/>
            </w:tcBorders>
            <w:vAlign w:val="center"/>
          </w:tcPr>
          <w:p w14:paraId="06312FA5" w14:textId="77777777" w:rsidR="00EA7300" w:rsidRPr="00CB7D14" w:rsidRDefault="00EA7300" w:rsidP="009C7526">
            <w:pPr>
              <w:spacing w:line="360" w:lineRule="auto"/>
              <w:jc w:val="both"/>
              <w:rPr>
                <w:rFonts w:ascii="Times New Roman" w:hAnsi="Times New Roman"/>
                <w:sz w:val="24"/>
                <w:szCs w:val="24"/>
              </w:rPr>
            </w:pPr>
            <w:r>
              <w:rPr>
                <w:rFonts w:ascii="Times New Roman" w:eastAsia="Times New Roman" w:hAnsi="Times New Roman"/>
                <w:sz w:val="24"/>
                <w:szCs w:val="24"/>
              </w:rPr>
              <w:t>4.0 ± 0.6</w:t>
            </w:r>
            <w:r w:rsidRPr="00F1164A">
              <w:rPr>
                <w:rFonts w:ascii="Times New Roman" w:eastAsia="Times New Roman" w:hAnsi="Times New Roman"/>
                <w:sz w:val="24"/>
                <w:szCs w:val="24"/>
                <w:vertAlign w:val="superscript"/>
              </w:rPr>
              <w:t>d</w:t>
            </w:r>
          </w:p>
        </w:tc>
      </w:tr>
      <w:tr w:rsidR="00EA7300" w:rsidRPr="00CB7D14" w14:paraId="2E37695D" w14:textId="77777777" w:rsidTr="00E0273A">
        <w:trPr>
          <w:trHeight w:val="1106"/>
        </w:trPr>
        <w:tc>
          <w:tcPr>
            <w:tcW w:w="1060" w:type="pct"/>
            <w:tcBorders>
              <w:top w:val="nil"/>
              <w:bottom w:val="nil"/>
            </w:tcBorders>
          </w:tcPr>
          <w:p w14:paraId="415CEFC1"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Ps1</w:t>
            </w:r>
            <w:r>
              <w:rPr>
                <w:rFonts w:ascii="Times New Roman" w:hAnsi="Times New Roman"/>
                <w:sz w:val="24"/>
                <w:szCs w:val="24"/>
              </w:rPr>
              <w:t xml:space="preserve"> (10%)</w:t>
            </w:r>
          </w:p>
        </w:tc>
        <w:tc>
          <w:tcPr>
            <w:tcW w:w="1048" w:type="pct"/>
            <w:tcBorders>
              <w:top w:val="nil"/>
              <w:bottom w:val="nil"/>
            </w:tcBorders>
            <w:vAlign w:val="center"/>
          </w:tcPr>
          <w:p w14:paraId="256689D2"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118 ± </w:t>
            </w:r>
            <w:r>
              <w:rPr>
                <w:rFonts w:ascii="Times New Roman" w:eastAsia="Times New Roman" w:hAnsi="Times New Roman"/>
                <w:sz w:val="24"/>
                <w:szCs w:val="24"/>
              </w:rPr>
              <w:t>0</w:t>
            </w:r>
            <w:r w:rsidRPr="00CB7D14">
              <w:rPr>
                <w:rFonts w:ascii="Times New Roman" w:eastAsia="Times New Roman" w:hAnsi="Times New Roman"/>
                <w:sz w:val="24"/>
                <w:szCs w:val="24"/>
              </w:rPr>
              <w:t>9ᵇ</w:t>
            </w:r>
          </w:p>
        </w:tc>
        <w:tc>
          <w:tcPr>
            <w:tcW w:w="925" w:type="pct"/>
            <w:tcBorders>
              <w:top w:val="nil"/>
              <w:bottom w:val="nil"/>
            </w:tcBorders>
            <w:vAlign w:val="center"/>
          </w:tcPr>
          <w:p w14:paraId="69C1F46F"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62 ± </w:t>
            </w:r>
            <w:r>
              <w:rPr>
                <w:rFonts w:ascii="Times New Roman" w:eastAsia="Times New Roman" w:hAnsi="Times New Roman"/>
                <w:sz w:val="24"/>
                <w:szCs w:val="24"/>
              </w:rPr>
              <w:t>0</w:t>
            </w:r>
            <w:r w:rsidRPr="00CB7D14">
              <w:rPr>
                <w:rFonts w:ascii="Times New Roman" w:eastAsia="Times New Roman" w:hAnsi="Times New Roman"/>
                <w:sz w:val="24"/>
                <w:szCs w:val="24"/>
              </w:rPr>
              <w:t>5ᵇ</w:t>
            </w:r>
          </w:p>
        </w:tc>
        <w:tc>
          <w:tcPr>
            <w:tcW w:w="925" w:type="pct"/>
            <w:tcBorders>
              <w:top w:val="nil"/>
              <w:bottom w:val="nil"/>
            </w:tcBorders>
            <w:vAlign w:val="center"/>
          </w:tcPr>
          <w:p w14:paraId="50CB3A8A"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128 ± 10ᵇ</w:t>
            </w:r>
          </w:p>
        </w:tc>
        <w:tc>
          <w:tcPr>
            <w:tcW w:w="1041" w:type="pct"/>
            <w:tcBorders>
              <w:top w:val="nil"/>
              <w:bottom w:val="nil"/>
            </w:tcBorders>
            <w:vAlign w:val="center"/>
          </w:tcPr>
          <w:p w14:paraId="1F918F69" w14:textId="77777777" w:rsidR="00EA7300" w:rsidRPr="00CB7D14" w:rsidRDefault="00EA7300" w:rsidP="009C7526">
            <w:pPr>
              <w:spacing w:line="360" w:lineRule="auto"/>
              <w:jc w:val="both"/>
              <w:rPr>
                <w:rFonts w:ascii="Times New Roman" w:eastAsia="Times New Roman" w:hAnsi="Times New Roman"/>
                <w:sz w:val="24"/>
                <w:szCs w:val="24"/>
              </w:rPr>
            </w:pPr>
            <w:r w:rsidRPr="00CB7D14">
              <w:rPr>
                <w:rFonts w:ascii="Times New Roman" w:eastAsia="Times New Roman" w:hAnsi="Times New Roman"/>
                <w:sz w:val="24"/>
                <w:szCs w:val="24"/>
              </w:rPr>
              <w:t>6.2 ± 0.8ᵇ</w:t>
            </w:r>
          </w:p>
        </w:tc>
      </w:tr>
      <w:tr w:rsidR="00EA7300" w:rsidRPr="00CB7D14" w14:paraId="41D03B75" w14:textId="77777777" w:rsidTr="00E0273A">
        <w:trPr>
          <w:trHeight w:val="1106"/>
        </w:trPr>
        <w:tc>
          <w:tcPr>
            <w:tcW w:w="1060" w:type="pct"/>
            <w:tcBorders>
              <w:top w:val="nil"/>
              <w:bottom w:val="nil"/>
            </w:tcBorders>
          </w:tcPr>
          <w:p w14:paraId="1ED1F3CC"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Ps2</w:t>
            </w:r>
            <w:r>
              <w:rPr>
                <w:rFonts w:ascii="Times New Roman" w:hAnsi="Times New Roman"/>
                <w:sz w:val="24"/>
                <w:szCs w:val="24"/>
              </w:rPr>
              <w:t xml:space="preserve"> (20%)</w:t>
            </w:r>
          </w:p>
        </w:tc>
        <w:tc>
          <w:tcPr>
            <w:tcW w:w="1048" w:type="pct"/>
            <w:tcBorders>
              <w:top w:val="nil"/>
              <w:bottom w:val="nil"/>
            </w:tcBorders>
            <w:vAlign w:val="center"/>
          </w:tcPr>
          <w:p w14:paraId="778298DF"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102 ± </w:t>
            </w:r>
            <w:r>
              <w:rPr>
                <w:rFonts w:ascii="Times New Roman" w:eastAsia="Times New Roman" w:hAnsi="Times New Roman"/>
                <w:sz w:val="24"/>
                <w:szCs w:val="24"/>
              </w:rPr>
              <w:t>0</w:t>
            </w:r>
            <w:r w:rsidRPr="00CB7D14">
              <w:rPr>
                <w:rFonts w:ascii="Times New Roman" w:eastAsia="Times New Roman" w:hAnsi="Times New Roman"/>
                <w:sz w:val="24"/>
                <w:szCs w:val="24"/>
              </w:rPr>
              <w:t>8ᶜ</w:t>
            </w:r>
          </w:p>
        </w:tc>
        <w:tc>
          <w:tcPr>
            <w:tcW w:w="925" w:type="pct"/>
            <w:tcBorders>
              <w:top w:val="nil"/>
              <w:bottom w:val="nil"/>
            </w:tcBorders>
            <w:vAlign w:val="center"/>
          </w:tcPr>
          <w:p w14:paraId="682F92F4"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51 ± </w:t>
            </w:r>
            <w:r>
              <w:rPr>
                <w:rFonts w:ascii="Times New Roman" w:eastAsia="Times New Roman" w:hAnsi="Times New Roman"/>
                <w:sz w:val="24"/>
                <w:szCs w:val="24"/>
              </w:rPr>
              <w:t>0</w:t>
            </w:r>
            <w:r w:rsidRPr="00CB7D14">
              <w:rPr>
                <w:rFonts w:ascii="Times New Roman" w:eastAsia="Times New Roman" w:hAnsi="Times New Roman"/>
                <w:sz w:val="24"/>
                <w:szCs w:val="24"/>
              </w:rPr>
              <w:t>4ᶜ</w:t>
            </w:r>
          </w:p>
        </w:tc>
        <w:tc>
          <w:tcPr>
            <w:tcW w:w="925" w:type="pct"/>
            <w:tcBorders>
              <w:top w:val="nil"/>
              <w:bottom w:val="nil"/>
            </w:tcBorders>
            <w:vAlign w:val="center"/>
          </w:tcPr>
          <w:p w14:paraId="042582DF"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110 ± </w:t>
            </w:r>
            <w:r>
              <w:rPr>
                <w:rFonts w:ascii="Times New Roman" w:eastAsia="Times New Roman" w:hAnsi="Times New Roman"/>
                <w:sz w:val="24"/>
                <w:szCs w:val="24"/>
              </w:rPr>
              <w:t>0</w:t>
            </w:r>
            <w:r w:rsidRPr="00CB7D14">
              <w:rPr>
                <w:rFonts w:ascii="Times New Roman" w:eastAsia="Times New Roman" w:hAnsi="Times New Roman"/>
                <w:sz w:val="24"/>
                <w:szCs w:val="24"/>
              </w:rPr>
              <w:t>8ᶜ</w:t>
            </w:r>
          </w:p>
        </w:tc>
        <w:tc>
          <w:tcPr>
            <w:tcW w:w="1041" w:type="pct"/>
            <w:tcBorders>
              <w:top w:val="nil"/>
              <w:bottom w:val="nil"/>
            </w:tcBorders>
            <w:vAlign w:val="center"/>
          </w:tcPr>
          <w:p w14:paraId="2E1A4B87" w14:textId="77777777" w:rsidR="00EA7300" w:rsidRPr="00CB7D14" w:rsidRDefault="00EA7300" w:rsidP="009C7526">
            <w:pPr>
              <w:spacing w:line="360" w:lineRule="auto"/>
              <w:jc w:val="both"/>
              <w:rPr>
                <w:rFonts w:ascii="Times New Roman" w:eastAsia="Times New Roman" w:hAnsi="Times New Roman"/>
                <w:sz w:val="24"/>
                <w:szCs w:val="24"/>
              </w:rPr>
            </w:pPr>
            <w:r w:rsidRPr="00CB7D14">
              <w:rPr>
                <w:rFonts w:ascii="Times New Roman" w:eastAsia="Times New Roman" w:hAnsi="Times New Roman"/>
                <w:sz w:val="24"/>
                <w:szCs w:val="24"/>
              </w:rPr>
              <w:t>5.1 ± 0.6ᶜ</w:t>
            </w:r>
          </w:p>
        </w:tc>
      </w:tr>
      <w:tr w:rsidR="00EA7300" w:rsidRPr="00CB7D14" w14:paraId="509C772A" w14:textId="77777777" w:rsidTr="00E0273A">
        <w:trPr>
          <w:trHeight w:val="1106"/>
        </w:trPr>
        <w:tc>
          <w:tcPr>
            <w:tcW w:w="1060" w:type="pct"/>
            <w:tcBorders>
              <w:top w:val="nil"/>
              <w:bottom w:val="single" w:sz="4" w:space="0" w:color="auto"/>
            </w:tcBorders>
          </w:tcPr>
          <w:p w14:paraId="6C85C0EE" w14:textId="77777777" w:rsidR="00EA7300" w:rsidRPr="00CB7D14" w:rsidRDefault="00EA7300" w:rsidP="009C7526">
            <w:pPr>
              <w:spacing w:line="360" w:lineRule="auto"/>
              <w:jc w:val="center"/>
              <w:rPr>
                <w:rFonts w:ascii="Times New Roman" w:hAnsi="Times New Roman"/>
                <w:sz w:val="24"/>
                <w:szCs w:val="24"/>
              </w:rPr>
            </w:pPr>
            <w:r w:rsidRPr="00CB7D14">
              <w:rPr>
                <w:rFonts w:ascii="Times New Roman" w:hAnsi="Times New Roman"/>
                <w:sz w:val="24"/>
                <w:szCs w:val="24"/>
              </w:rPr>
              <w:t>Ps3</w:t>
            </w:r>
            <w:r>
              <w:rPr>
                <w:rFonts w:ascii="Times New Roman" w:hAnsi="Times New Roman"/>
                <w:sz w:val="24"/>
                <w:szCs w:val="24"/>
              </w:rPr>
              <w:t xml:space="preserve"> (40%)</w:t>
            </w:r>
          </w:p>
        </w:tc>
        <w:tc>
          <w:tcPr>
            <w:tcW w:w="1048" w:type="pct"/>
            <w:tcBorders>
              <w:top w:val="nil"/>
              <w:bottom w:val="single" w:sz="4" w:space="0" w:color="auto"/>
            </w:tcBorders>
            <w:vAlign w:val="center"/>
          </w:tcPr>
          <w:p w14:paraId="62476AF6"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88 ± </w:t>
            </w:r>
            <w:r>
              <w:rPr>
                <w:rFonts w:ascii="Times New Roman" w:eastAsia="Times New Roman" w:hAnsi="Times New Roman"/>
                <w:sz w:val="24"/>
                <w:szCs w:val="24"/>
              </w:rPr>
              <w:t>0</w:t>
            </w:r>
            <w:r w:rsidRPr="00CB7D14">
              <w:rPr>
                <w:rFonts w:ascii="Times New Roman" w:eastAsia="Times New Roman" w:hAnsi="Times New Roman"/>
                <w:sz w:val="24"/>
                <w:szCs w:val="24"/>
              </w:rPr>
              <w:t>7ᵈ</w:t>
            </w:r>
          </w:p>
        </w:tc>
        <w:tc>
          <w:tcPr>
            <w:tcW w:w="925" w:type="pct"/>
            <w:tcBorders>
              <w:top w:val="nil"/>
              <w:bottom w:val="single" w:sz="4" w:space="0" w:color="auto"/>
            </w:tcBorders>
            <w:vAlign w:val="center"/>
          </w:tcPr>
          <w:p w14:paraId="68DF4CFC"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43 ± </w:t>
            </w:r>
            <w:r>
              <w:rPr>
                <w:rFonts w:ascii="Times New Roman" w:eastAsia="Times New Roman" w:hAnsi="Times New Roman"/>
                <w:sz w:val="24"/>
                <w:szCs w:val="24"/>
              </w:rPr>
              <w:t>0</w:t>
            </w:r>
            <w:r w:rsidRPr="00CB7D14">
              <w:rPr>
                <w:rFonts w:ascii="Times New Roman" w:eastAsia="Times New Roman" w:hAnsi="Times New Roman"/>
                <w:sz w:val="24"/>
                <w:szCs w:val="24"/>
              </w:rPr>
              <w:t>3ᵈ</w:t>
            </w:r>
          </w:p>
        </w:tc>
        <w:tc>
          <w:tcPr>
            <w:tcW w:w="925" w:type="pct"/>
            <w:tcBorders>
              <w:top w:val="nil"/>
              <w:bottom w:val="single" w:sz="4" w:space="0" w:color="auto"/>
            </w:tcBorders>
            <w:vAlign w:val="center"/>
          </w:tcPr>
          <w:p w14:paraId="599955C8" w14:textId="77777777" w:rsidR="00EA7300" w:rsidRPr="00CB7D14" w:rsidRDefault="00EA7300" w:rsidP="009C7526">
            <w:pPr>
              <w:spacing w:line="360" w:lineRule="auto"/>
              <w:rPr>
                <w:rFonts w:ascii="Times New Roman" w:eastAsia="Times New Roman" w:hAnsi="Times New Roman"/>
                <w:sz w:val="24"/>
                <w:szCs w:val="24"/>
              </w:rPr>
            </w:pPr>
            <w:r w:rsidRPr="00CB7D14">
              <w:rPr>
                <w:rFonts w:ascii="Times New Roman" w:eastAsia="Times New Roman" w:hAnsi="Times New Roman"/>
                <w:sz w:val="24"/>
                <w:szCs w:val="24"/>
              </w:rPr>
              <w:t xml:space="preserve">96 ± </w:t>
            </w:r>
            <w:r>
              <w:rPr>
                <w:rFonts w:ascii="Times New Roman" w:eastAsia="Times New Roman" w:hAnsi="Times New Roman"/>
                <w:sz w:val="24"/>
                <w:szCs w:val="24"/>
              </w:rPr>
              <w:t>0</w:t>
            </w:r>
            <w:r w:rsidRPr="00CB7D14">
              <w:rPr>
                <w:rFonts w:ascii="Times New Roman" w:eastAsia="Times New Roman" w:hAnsi="Times New Roman"/>
                <w:sz w:val="24"/>
                <w:szCs w:val="24"/>
              </w:rPr>
              <w:t>7ᵈ</w:t>
            </w:r>
          </w:p>
        </w:tc>
        <w:tc>
          <w:tcPr>
            <w:tcW w:w="1041" w:type="pct"/>
            <w:tcBorders>
              <w:top w:val="nil"/>
              <w:bottom w:val="single" w:sz="4" w:space="0" w:color="auto"/>
            </w:tcBorders>
            <w:vAlign w:val="center"/>
          </w:tcPr>
          <w:p w14:paraId="6A7CCB9F" w14:textId="77777777" w:rsidR="00EA7300" w:rsidRPr="00CB7D14" w:rsidRDefault="00EA7300" w:rsidP="009C7526">
            <w:pPr>
              <w:spacing w:line="360" w:lineRule="auto"/>
              <w:jc w:val="both"/>
              <w:rPr>
                <w:rFonts w:ascii="Times New Roman" w:eastAsia="Times New Roman" w:hAnsi="Times New Roman"/>
                <w:sz w:val="24"/>
                <w:szCs w:val="24"/>
              </w:rPr>
            </w:pPr>
            <w:r w:rsidRPr="00CB7D14">
              <w:rPr>
                <w:rFonts w:ascii="Times New Roman" w:eastAsia="Times New Roman" w:hAnsi="Times New Roman"/>
                <w:sz w:val="24"/>
                <w:szCs w:val="24"/>
              </w:rPr>
              <w:t>4.0 ± 0.5ᵈ</w:t>
            </w:r>
          </w:p>
        </w:tc>
      </w:tr>
    </w:tbl>
    <w:p w14:paraId="1D946F62" w14:textId="77777777" w:rsidR="00EA7300" w:rsidRPr="00CB7D14" w:rsidRDefault="00EA7300" w:rsidP="00EA7300">
      <w:pPr>
        <w:spacing w:line="480" w:lineRule="auto"/>
        <w:rPr>
          <w:rFonts w:ascii="Times New Roman" w:hAnsi="Times New Roman"/>
          <w:sz w:val="24"/>
          <w:szCs w:val="24"/>
        </w:rPr>
      </w:pPr>
      <w:r w:rsidRPr="00CB7D14">
        <w:rPr>
          <w:rFonts w:ascii="Times New Roman" w:hAnsi="Times New Roman"/>
          <w:i/>
          <w:iCs/>
          <w:sz w:val="24"/>
          <w:szCs w:val="24"/>
        </w:rPr>
        <w:t>Values a</w:t>
      </w:r>
      <w:r>
        <w:rPr>
          <w:rFonts w:ascii="Times New Roman" w:hAnsi="Times New Roman"/>
          <w:i/>
          <w:iCs/>
          <w:sz w:val="24"/>
          <w:szCs w:val="24"/>
        </w:rPr>
        <w:t>re presented as mean ± SD (n = 6</w:t>
      </w:r>
      <w:r w:rsidRPr="00CB7D14">
        <w:rPr>
          <w:rFonts w:ascii="Times New Roman" w:hAnsi="Times New Roman"/>
          <w:i/>
          <w:iCs/>
          <w:sz w:val="24"/>
          <w:szCs w:val="24"/>
        </w:rPr>
        <w:t>). Values with different superscripts in the same column are significantly different (p &lt; 0.05).</w:t>
      </w:r>
    </w:p>
    <w:p w14:paraId="6281D65F" w14:textId="77777777" w:rsidR="00EA7300" w:rsidRPr="00FA0DF3" w:rsidRDefault="00EA7300" w:rsidP="00EA7300">
      <w:pPr>
        <w:spacing w:line="480" w:lineRule="auto"/>
        <w:rPr>
          <w:rFonts w:ascii="Times New Roman" w:hAnsi="Times New Roman"/>
          <w:b/>
          <w:bCs/>
          <w:sz w:val="24"/>
          <w:szCs w:val="24"/>
        </w:rPr>
      </w:pPr>
      <w:r>
        <w:rPr>
          <w:rFonts w:ascii="Times New Roman" w:hAnsi="Times New Roman"/>
          <w:b/>
          <w:bCs/>
          <w:sz w:val="24"/>
          <w:szCs w:val="24"/>
        </w:rPr>
        <w:t xml:space="preserve">Discussion </w:t>
      </w:r>
    </w:p>
    <w:p w14:paraId="2A09D733" w14:textId="77777777" w:rsidR="00EA7300" w:rsidRDefault="00EA7300" w:rsidP="00EA7300">
      <w:pPr>
        <w:spacing w:line="480" w:lineRule="auto"/>
        <w:jc w:val="both"/>
        <w:rPr>
          <w:rFonts w:ascii="Times New Roman" w:hAnsi="Times New Roman"/>
          <w:sz w:val="24"/>
          <w:szCs w:val="24"/>
        </w:rPr>
      </w:pPr>
      <w:r w:rsidRPr="00CB7D14">
        <w:rPr>
          <w:rFonts w:ascii="Times New Roman" w:hAnsi="Times New Roman"/>
          <w:sz w:val="24"/>
          <w:szCs w:val="24"/>
        </w:rPr>
        <w:lastRenderedPageBreak/>
        <w:t>Heavy metals are naturally occurring metallic elements with relatively high atomic weight and density that become toxic to living organisms when present in excessive concentrations (</w:t>
      </w:r>
      <w:proofErr w:type="spellStart"/>
      <w:r w:rsidRPr="00CB7D14">
        <w:rPr>
          <w:rFonts w:ascii="Times New Roman" w:hAnsi="Times New Roman"/>
          <w:sz w:val="24"/>
          <w:szCs w:val="24"/>
        </w:rPr>
        <w:t>Tchounwou</w:t>
      </w:r>
      <w:proofErr w:type="spellEnd"/>
      <w:r w:rsidRPr="00CB7D14">
        <w:rPr>
          <w:rFonts w:ascii="Times New Roman" w:hAnsi="Times New Roman"/>
          <w:sz w:val="24"/>
          <w:szCs w:val="24"/>
        </w:rPr>
        <w:t xml:space="preserve"> </w:t>
      </w:r>
      <w:r w:rsidRPr="0044042F">
        <w:rPr>
          <w:rFonts w:ascii="Times New Roman" w:hAnsi="Times New Roman"/>
          <w:i/>
          <w:sz w:val="24"/>
          <w:szCs w:val="24"/>
        </w:rPr>
        <w:t>et al</w:t>
      </w:r>
      <w:r w:rsidRPr="00CB7D14">
        <w:rPr>
          <w:rFonts w:ascii="Times New Roman" w:hAnsi="Times New Roman"/>
          <w:sz w:val="24"/>
          <w:szCs w:val="24"/>
        </w:rPr>
        <w:t>., 2012). Among the various heavy metals, cadmium is regarded as one of the most hazardous environmental pollutants because of its persistence, bioaccumulation and toxic</w:t>
      </w:r>
      <w:r>
        <w:rPr>
          <w:rFonts w:ascii="Times New Roman" w:hAnsi="Times New Roman"/>
          <w:sz w:val="24"/>
          <w:szCs w:val="24"/>
        </w:rPr>
        <w:t xml:space="preserve"> effects on biological systems.</w:t>
      </w:r>
    </w:p>
    <w:p w14:paraId="56918D74" w14:textId="77777777" w:rsidR="00EA7300" w:rsidRDefault="00EA7300" w:rsidP="00EA7300">
      <w:pPr>
        <w:spacing w:line="480" w:lineRule="auto"/>
        <w:jc w:val="both"/>
        <w:rPr>
          <w:rFonts w:ascii="Times New Roman" w:hAnsi="Times New Roman"/>
          <w:sz w:val="24"/>
          <w:szCs w:val="24"/>
        </w:rPr>
      </w:pPr>
      <w:r w:rsidRPr="00CB7D14">
        <w:rPr>
          <w:rFonts w:ascii="Times New Roman" w:hAnsi="Times New Roman"/>
          <w:sz w:val="24"/>
          <w:szCs w:val="24"/>
        </w:rPr>
        <w:t xml:space="preserve">Cadmium exposure has been associated with hepatic dysfunction, renal impairment, oxidative stress and disturbances in lipid metabolism. According to Bernhoft (2013), cadmium toxicity is largely mediated through the generation of reactive oxygen species and interference with antioxidant defense mechanisms. Similarly, Genchi </w:t>
      </w:r>
      <w:r w:rsidRPr="0044042F">
        <w:rPr>
          <w:rFonts w:ascii="Times New Roman" w:hAnsi="Times New Roman"/>
          <w:i/>
          <w:sz w:val="24"/>
          <w:szCs w:val="24"/>
        </w:rPr>
        <w:t>et al</w:t>
      </w:r>
      <w:r w:rsidRPr="00CB7D14">
        <w:rPr>
          <w:rFonts w:ascii="Times New Roman" w:hAnsi="Times New Roman"/>
          <w:sz w:val="24"/>
          <w:szCs w:val="24"/>
        </w:rPr>
        <w:t>.</w:t>
      </w:r>
      <w:r>
        <w:rPr>
          <w:rFonts w:ascii="Times New Roman" w:hAnsi="Times New Roman"/>
          <w:sz w:val="24"/>
          <w:szCs w:val="24"/>
        </w:rPr>
        <w:t>,</w:t>
      </w:r>
      <w:r w:rsidRPr="00CB7D14">
        <w:rPr>
          <w:rFonts w:ascii="Times New Roman" w:hAnsi="Times New Roman"/>
          <w:sz w:val="24"/>
          <w:szCs w:val="24"/>
        </w:rPr>
        <w:t xml:space="preserve"> (2020) reported that prolonged cadmium exposure alters metabolic homeostasis and enzymatic activities, thereby resulting in tissue d</w:t>
      </w:r>
      <w:r>
        <w:rPr>
          <w:rFonts w:ascii="Times New Roman" w:hAnsi="Times New Roman"/>
          <w:sz w:val="24"/>
          <w:szCs w:val="24"/>
        </w:rPr>
        <w:t>amage and cellular dysfunction.</w:t>
      </w:r>
    </w:p>
    <w:p w14:paraId="28EC7163" w14:textId="77777777" w:rsidR="00EA7300" w:rsidRDefault="00EA7300" w:rsidP="00EA7300">
      <w:pPr>
        <w:spacing w:line="480" w:lineRule="auto"/>
        <w:jc w:val="both"/>
        <w:rPr>
          <w:rFonts w:ascii="Times New Roman" w:hAnsi="Times New Roman"/>
          <w:sz w:val="24"/>
          <w:szCs w:val="24"/>
        </w:rPr>
      </w:pPr>
      <w:r w:rsidRPr="00CB7D14">
        <w:rPr>
          <w:rFonts w:ascii="Times New Roman" w:hAnsi="Times New Roman"/>
          <w:sz w:val="24"/>
          <w:szCs w:val="24"/>
        </w:rPr>
        <w:t>Medicinal plants have gained considerable scientific attention due to their therapeutic potentials and rich phytochemical composition. Many medicinal plants contain biologically active compounds such as flavonoids, alkaloids, tannins, saponins</w:t>
      </w:r>
      <w:r>
        <w:rPr>
          <w:rFonts w:ascii="Times New Roman" w:hAnsi="Times New Roman"/>
          <w:sz w:val="24"/>
          <w:szCs w:val="24"/>
        </w:rPr>
        <w:t>,</w:t>
      </w:r>
      <w:r w:rsidRPr="00CB7D14">
        <w:rPr>
          <w:rFonts w:ascii="Times New Roman" w:hAnsi="Times New Roman"/>
          <w:sz w:val="24"/>
          <w:szCs w:val="24"/>
        </w:rPr>
        <w:t xml:space="preserve"> and phenolic compounds</w:t>
      </w:r>
      <w:r>
        <w:rPr>
          <w:rFonts w:ascii="Times New Roman" w:hAnsi="Times New Roman"/>
          <w:sz w:val="24"/>
          <w:szCs w:val="24"/>
        </w:rPr>
        <w:t>,</w:t>
      </w:r>
      <w:r w:rsidRPr="00CB7D14">
        <w:rPr>
          <w:rFonts w:ascii="Times New Roman" w:hAnsi="Times New Roman"/>
          <w:sz w:val="24"/>
          <w:szCs w:val="24"/>
        </w:rPr>
        <w:t xml:space="preserve"> which exhibit antioxidant, anti-inflammatory</w:t>
      </w:r>
      <w:r>
        <w:rPr>
          <w:rFonts w:ascii="Times New Roman" w:hAnsi="Times New Roman"/>
          <w:sz w:val="24"/>
          <w:szCs w:val="24"/>
        </w:rPr>
        <w:t>,</w:t>
      </w:r>
      <w:r w:rsidRPr="00CB7D14">
        <w:rPr>
          <w:rFonts w:ascii="Times New Roman" w:hAnsi="Times New Roman"/>
          <w:sz w:val="24"/>
          <w:szCs w:val="24"/>
        </w:rPr>
        <w:t xml:space="preserve"> and protective properties against toxic substances (</w:t>
      </w:r>
      <w:proofErr w:type="spellStart"/>
      <w:r w:rsidRPr="00CB7D14">
        <w:rPr>
          <w:rFonts w:ascii="Times New Roman" w:hAnsi="Times New Roman"/>
          <w:sz w:val="24"/>
          <w:szCs w:val="24"/>
        </w:rPr>
        <w:t>Sofowora</w:t>
      </w:r>
      <w:proofErr w:type="spellEnd"/>
      <w:r w:rsidRPr="00CB7D14">
        <w:rPr>
          <w:rFonts w:ascii="Times New Roman" w:hAnsi="Times New Roman"/>
          <w:sz w:val="24"/>
          <w:szCs w:val="24"/>
        </w:rPr>
        <w:t xml:space="preserve">, 2008). </w:t>
      </w:r>
      <w:r w:rsidRPr="00244486">
        <w:rPr>
          <w:rFonts w:ascii="Times New Roman" w:hAnsi="Times New Roman"/>
          <w:i/>
          <w:sz w:val="24"/>
          <w:szCs w:val="24"/>
        </w:rPr>
        <w:t xml:space="preserve">Pterocarpus </w:t>
      </w:r>
      <w:proofErr w:type="spellStart"/>
      <w:r w:rsidRPr="00244486">
        <w:rPr>
          <w:rFonts w:ascii="Times New Roman" w:hAnsi="Times New Roman"/>
          <w:i/>
          <w:sz w:val="24"/>
          <w:szCs w:val="24"/>
        </w:rPr>
        <w:t>santalinoides</w:t>
      </w:r>
      <w:proofErr w:type="spellEnd"/>
      <w:r w:rsidRPr="00CB7D14">
        <w:rPr>
          <w:rFonts w:ascii="Times New Roman" w:hAnsi="Times New Roman"/>
          <w:sz w:val="24"/>
          <w:szCs w:val="24"/>
        </w:rPr>
        <w:t xml:space="preserve"> is one such medicinal </w:t>
      </w:r>
      <w:r w:rsidR="008475B0">
        <w:rPr>
          <w:rFonts w:ascii="Times New Roman" w:hAnsi="Times New Roman"/>
          <w:sz w:val="24"/>
          <w:szCs w:val="24"/>
        </w:rPr>
        <w:t>plant</w:t>
      </w:r>
      <w:r w:rsidRPr="00CB7D14">
        <w:rPr>
          <w:rFonts w:ascii="Times New Roman" w:hAnsi="Times New Roman"/>
          <w:sz w:val="24"/>
          <w:szCs w:val="24"/>
        </w:rPr>
        <w:t xml:space="preserve"> widely utilized in traditional medicine for the management of various ailments</w:t>
      </w:r>
      <w:r>
        <w:rPr>
          <w:rFonts w:ascii="Times New Roman" w:hAnsi="Times New Roman"/>
          <w:sz w:val="24"/>
          <w:szCs w:val="24"/>
        </w:rPr>
        <w:t>,</w:t>
      </w:r>
      <w:r w:rsidRPr="00CB7D14">
        <w:rPr>
          <w:rFonts w:ascii="Times New Roman" w:hAnsi="Times New Roman"/>
          <w:sz w:val="24"/>
          <w:szCs w:val="24"/>
        </w:rPr>
        <w:t xml:space="preserve"> including gastrointestinal disorders, inflammation</w:t>
      </w:r>
      <w:r w:rsidR="008475B0">
        <w:rPr>
          <w:rFonts w:ascii="Times New Roman" w:hAnsi="Times New Roman"/>
          <w:sz w:val="24"/>
          <w:szCs w:val="24"/>
        </w:rPr>
        <w:t>,</w:t>
      </w:r>
      <w:r w:rsidRPr="00CB7D14">
        <w:rPr>
          <w:rFonts w:ascii="Times New Roman" w:hAnsi="Times New Roman"/>
          <w:sz w:val="24"/>
          <w:szCs w:val="24"/>
        </w:rPr>
        <w:t xml:space="preserve"> and microbial infections. The medicinal value of the plant has been attributed to its phytochemical constituents</w:t>
      </w:r>
      <w:r w:rsidR="008475B0">
        <w:rPr>
          <w:rFonts w:ascii="Times New Roman" w:hAnsi="Times New Roman"/>
          <w:sz w:val="24"/>
          <w:szCs w:val="24"/>
        </w:rPr>
        <w:t>,</w:t>
      </w:r>
      <w:r w:rsidRPr="00CB7D14">
        <w:rPr>
          <w:rFonts w:ascii="Times New Roman" w:hAnsi="Times New Roman"/>
          <w:sz w:val="24"/>
          <w:szCs w:val="24"/>
        </w:rPr>
        <w:t xml:space="preserve"> which may help in scavenging free radicals and stabilizing cellular membranes against oxidative damage (</w:t>
      </w:r>
      <w:proofErr w:type="spellStart"/>
      <w:r w:rsidRPr="00CB7D14">
        <w:rPr>
          <w:rFonts w:ascii="Times New Roman" w:hAnsi="Times New Roman"/>
          <w:sz w:val="24"/>
          <w:szCs w:val="24"/>
        </w:rPr>
        <w:t>Edeoga</w:t>
      </w:r>
      <w:proofErr w:type="spellEnd"/>
      <w:r w:rsidRPr="00CB7D14">
        <w:rPr>
          <w:rFonts w:ascii="Times New Roman" w:hAnsi="Times New Roman"/>
          <w:sz w:val="24"/>
          <w:szCs w:val="24"/>
        </w:rPr>
        <w:t xml:space="preserve"> </w:t>
      </w:r>
      <w:r w:rsidRPr="0044042F">
        <w:rPr>
          <w:rFonts w:ascii="Times New Roman" w:hAnsi="Times New Roman"/>
          <w:i/>
          <w:sz w:val="24"/>
          <w:szCs w:val="24"/>
        </w:rPr>
        <w:t>et al</w:t>
      </w:r>
      <w:r w:rsidRPr="00CB7D14">
        <w:rPr>
          <w:rFonts w:ascii="Times New Roman" w:hAnsi="Times New Roman"/>
          <w:sz w:val="24"/>
          <w:szCs w:val="24"/>
        </w:rPr>
        <w:t>., 2005).</w:t>
      </w:r>
    </w:p>
    <w:p w14:paraId="11C69911" w14:textId="77777777" w:rsidR="00EA7300" w:rsidRDefault="00EA7300" w:rsidP="00EA7300">
      <w:pPr>
        <w:spacing w:line="480" w:lineRule="auto"/>
        <w:jc w:val="both"/>
        <w:rPr>
          <w:rFonts w:ascii="Times New Roman" w:hAnsi="Times New Roman"/>
          <w:sz w:val="24"/>
          <w:szCs w:val="24"/>
        </w:rPr>
      </w:pPr>
      <w:r>
        <w:rPr>
          <w:rFonts w:ascii="Times New Roman" w:hAnsi="Times New Roman"/>
          <w:sz w:val="24"/>
          <w:szCs w:val="24"/>
        </w:rPr>
        <w:t xml:space="preserve">The result of this </w:t>
      </w:r>
      <w:r w:rsidRPr="00CB7D14">
        <w:rPr>
          <w:rFonts w:ascii="Times New Roman" w:hAnsi="Times New Roman"/>
          <w:sz w:val="24"/>
          <w:szCs w:val="24"/>
        </w:rPr>
        <w:t>study showed that cadmium exposure altered the lipid parameters of the experimental animals. The negative control group exhibited elevated LDL-c and triacylglycerol levels when compared with the normal control group, indicating lipid disturbances associated with cadmium toxicity. Increased LDL-c concentration has been linked with impaired lipid metabolism and oxidative damage induced by heavy metals. This observation agrees with the findings of El-</w:t>
      </w:r>
      <w:proofErr w:type="spellStart"/>
      <w:r w:rsidRPr="00CB7D14">
        <w:rPr>
          <w:rFonts w:ascii="Times New Roman" w:hAnsi="Times New Roman"/>
          <w:sz w:val="24"/>
          <w:szCs w:val="24"/>
        </w:rPr>
        <w:t>Demerdash</w:t>
      </w:r>
      <w:proofErr w:type="spellEnd"/>
      <w:r w:rsidRPr="00CB7D14">
        <w:rPr>
          <w:rFonts w:ascii="Times New Roman" w:hAnsi="Times New Roman"/>
          <w:sz w:val="24"/>
          <w:szCs w:val="24"/>
        </w:rPr>
        <w:t xml:space="preserve"> </w:t>
      </w:r>
      <w:r w:rsidRPr="0044042F">
        <w:rPr>
          <w:rFonts w:ascii="Times New Roman" w:hAnsi="Times New Roman"/>
          <w:i/>
          <w:sz w:val="24"/>
          <w:szCs w:val="24"/>
        </w:rPr>
        <w:t>et al</w:t>
      </w:r>
      <w:r w:rsidRPr="00CB7D14">
        <w:rPr>
          <w:rFonts w:ascii="Times New Roman" w:hAnsi="Times New Roman"/>
          <w:sz w:val="24"/>
          <w:szCs w:val="24"/>
        </w:rPr>
        <w:t xml:space="preserve">. (2018), who reported that cadmium intoxication significantly increased serum LDL-c and triglyceride levels in experimental rats. Similarly, </w:t>
      </w:r>
      <w:proofErr w:type="spellStart"/>
      <w:r w:rsidRPr="00CB7D14">
        <w:rPr>
          <w:rFonts w:ascii="Times New Roman" w:hAnsi="Times New Roman"/>
          <w:sz w:val="24"/>
          <w:szCs w:val="24"/>
        </w:rPr>
        <w:t>Samarghandian</w:t>
      </w:r>
      <w:proofErr w:type="spellEnd"/>
      <w:r w:rsidRPr="00CB7D14">
        <w:rPr>
          <w:rFonts w:ascii="Times New Roman" w:hAnsi="Times New Roman"/>
          <w:sz w:val="24"/>
          <w:szCs w:val="24"/>
        </w:rPr>
        <w:t xml:space="preserve"> </w:t>
      </w:r>
      <w:r w:rsidRPr="0044042F">
        <w:rPr>
          <w:rFonts w:ascii="Times New Roman" w:hAnsi="Times New Roman"/>
          <w:i/>
          <w:sz w:val="24"/>
          <w:szCs w:val="24"/>
        </w:rPr>
        <w:t>et al</w:t>
      </w:r>
      <w:r w:rsidRPr="00CB7D14">
        <w:rPr>
          <w:rFonts w:ascii="Times New Roman" w:hAnsi="Times New Roman"/>
          <w:sz w:val="24"/>
          <w:szCs w:val="24"/>
        </w:rPr>
        <w:t>. (2015)</w:t>
      </w:r>
      <w:r>
        <w:rPr>
          <w:rFonts w:ascii="Times New Roman" w:hAnsi="Times New Roman"/>
          <w:sz w:val="24"/>
          <w:szCs w:val="24"/>
        </w:rPr>
        <w:t>,</w:t>
      </w:r>
      <w:r w:rsidRPr="00CB7D14">
        <w:rPr>
          <w:rFonts w:ascii="Times New Roman" w:hAnsi="Times New Roman"/>
          <w:sz w:val="24"/>
          <w:szCs w:val="24"/>
        </w:rPr>
        <w:t xml:space="preserve"> observed that cadmium exposure disrupted lipid metabolism through oxidative stress-mediated </w:t>
      </w:r>
      <w:r>
        <w:rPr>
          <w:rFonts w:ascii="Times New Roman" w:hAnsi="Times New Roman"/>
          <w:sz w:val="24"/>
          <w:szCs w:val="24"/>
        </w:rPr>
        <w:t>mechanisms.</w:t>
      </w:r>
    </w:p>
    <w:p w14:paraId="0AEADA33" w14:textId="77777777" w:rsidR="00EA7300" w:rsidRDefault="00EA7300" w:rsidP="00EA7300">
      <w:pPr>
        <w:spacing w:line="480" w:lineRule="auto"/>
        <w:jc w:val="both"/>
        <w:rPr>
          <w:rFonts w:ascii="Times New Roman" w:hAnsi="Times New Roman"/>
          <w:sz w:val="24"/>
          <w:szCs w:val="24"/>
        </w:rPr>
      </w:pPr>
      <w:r w:rsidRPr="00CB7D14">
        <w:rPr>
          <w:rFonts w:ascii="Times New Roman" w:hAnsi="Times New Roman"/>
          <w:sz w:val="24"/>
          <w:szCs w:val="24"/>
        </w:rPr>
        <w:lastRenderedPageBreak/>
        <w:t xml:space="preserve">Administration of </w:t>
      </w:r>
      <w:r w:rsidRPr="00244486">
        <w:rPr>
          <w:rFonts w:ascii="Times New Roman" w:hAnsi="Times New Roman"/>
          <w:i/>
          <w:sz w:val="24"/>
          <w:szCs w:val="24"/>
        </w:rPr>
        <w:t xml:space="preserve">Pterocarpus </w:t>
      </w:r>
      <w:proofErr w:type="spellStart"/>
      <w:r w:rsidRPr="00244486">
        <w:rPr>
          <w:rFonts w:ascii="Times New Roman" w:hAnsi="Times New Roman"/>
          <w:i/>
          <w:sz w:val="24"/>
          <w:szCs w:val="24"/>
        </w:rPr>
        <w:t>santalinoides</w:t>
      </w:r>
      <w:proofErr w:type="spellEnd"/>
      <w:r w:rsidRPr="00CB7D14">
        <w:rPr>
          <w:rFonts w:ascii="Times New Roman" w:hAnsi="Times New Roman"/>
          <w:sz w:val="24"/>
          <w:szCs w:val="24"/>
        </w:rPr>
        <w:t xml:space="preserve"> leaf </w:t>
      </w:r>
      <w:r>
        <w:rPr>
          <w:rFonts w:ascii="Times New Roman" w:hAnsi="Times New Roman"/>
          <w:sz w:val="24"/>
          <w:szCs w:val="24"/>
        </w:rPr>
        <w:t>diet</w:t>
      </w:r>
      <w:r w:rsidRPr="00CB7D14">
        <w:rPr>
          <w:rFonts w:ascii="Times New Roman" w:hAnsi="Times New Roman"/>
          <w:sz w:val="24"/>
          <w:szCs w:val="24"/>
        </w:rPr>
        <w:t xml:space="preserve"> appeared to influence the lipid profile parameters across the treatment groups. The reduction observed in LDL-c and triacylglycerol levels, particularly in Ps2 and Ps3 groups, suggests an improvement in lipid metabolism following treatment. The comparatively lower VLDL-c values recorded in the treated groups further indicate possible hypolipidemic activity of the leaf </w:t>
      </w:r>
      <w:r>
        <w:rPr>
          <w:rFonts w:ascii="Times New Roman" w:hAnsi="Times New Roman"/>
          <w:sz w:val="24"/>
          <w:szCs w:val="24"/>
        </w:rPr>
        <w:t>diet</w:t>
      </w:r>
      <w:r w:rsidRPr="00CB7D14">
        <w:rPr>
          <w:rFonts w:ascii="Times New Roman" w:hAnsi="Times New Roman"/>
          <w:sz w:val="24"/>
          <w:szCs w:val="24"/>
        </w:rPr>
        <w:t xml:space="preserve">. This finding is consistent with the report of </w:t>
      </w:r>
      <w:proofErr w:type="spellStart"/>
      <w:r w:rsidRPr="00CB7D14">
        <w:rPr>
          <w:rFonts w:ascii="Times New Roman" w:hAnsi="Times New Roman"/>
          <w:sz w:val="24"/>
          <w:szCs w:val="24"/>
        </w:rPr>
        <w:t>Akinmoladun</w:t>
      </w:r>
      <w:proofErr w:type="spellEnd"/>
      <w:r w:rsidRPr="00CB7D14">
        <w:rPr>
          <w:rFonts w:ascii="Times New Roman" w:hAnsi="Times New Roman"/>
          <w:sz w:val="24"/>
          <w:szCs w:val="24"/>
        </w:rPr>
        <w:t xml:space="preserve"> </w:t>
      </w:r>
      <w:r w:rsidRPr="0044042F">
        <w:rPr>
          <w:rFonts w:ascii="Times New Roman" w:hAnsi="Times New Roman"/>
          <w:i/>
          <w:sz w:val="24"/>
          <w:szCs w:val="24"/>
        </w:rPr>
        <w:t>et al</w:t>
      </w:r>
      <w:r w:rsidRPr="00CB7D14">
        <w:rPr>
          <w:rFonts w:ascii="Times New Roman" w:hAnsi="Times New Roman"/>
          <w:sz w:val="24"/>
          <w:szCs w:val="24"/>
        </w:rPr>
        <w:t xml:space="preserve">. (2015), who demonstrated that medicinal plants rich in flavonoids and phenolic compounds could improve serum lipid profiles by reducing lipid peroxidation and enhancing antioxidant defense systems. The elevated HDL-c values observed in some treated groups may also suggest improved reverse cholesterol transport and protective cardiovascular effects. Similar findings were reported by </w:t>
      </w:r>
      <w:proofErr w:type="spellStart"/>
      <w:r w:rsidRPr="00CB7D14">
        <w:rPr>
          <w:rFonts w:ascii="Times New Roman" w:hAnsi="Times New Roman"/>
          <w:sz w:val="24"/>
          <w:szCs w:val="24"/>
        </w:rPr>
        <w:t>Olorunnisola</w:t>
      </w:r>
      <w:proofErr w:type="spellEnd"/>
      <w:r w:rsidRPr="00CB7D14">
        <w:rPr>
          <w:rFonts w:ascii="Times New Roman" w:hAnsi="Times New Roman"/>
          <w:sz w:val="24"/>
          <w:szCs w:val="24"/>
        </w:rPr>
        <w:t xml:space="preserve"> </w:t>
      </w:r>
      <w:r w:rsidRPr="0044042F">
        <w:rPr>
          <w:rFonts w:ascii="Times New Roman" w:hAnsi="Times New Roman"/>
          <w:i/>
          <w:sz w:val="24"/>
          <w:szCs w:val="24"/>
        </w:rPr>
        <w:t>et al</w:t>
      </w:r>
      <w:r w:rsidRPr="00CB7D14">
        <w:rPr>
          <w:rFonts w:ascii="Times New Roman" w:hAnsi="Times New Roman"/>
          <w:sz w:val="24"/>
          <w:szCs w:val="24"/>
        </w:rPr>
        <w:t>. (2012), who observed increased HDL-c levels following treatment with plant-derived antioxidants in toxicant-i</w:t>
      </w:r>
      <w:r>
        <w:rPr>
          <w:rFonts w:ascii="Times New Roman" w:hAnsi="Times New Roman"/>
          <w:sz w:val="24"/>
          <w:szCs w:val="24"/>
        </w:rPr>
        <w:t>nduced animal models.</w:t>
      </w:r>
    </w:p>
    <w:p w14:paraId="6EC192C4" w14:textId="77777777" w:rsidR="00EA7300" w:rsidRDefault="00EA7300" w:rsidP="00EA7300">
      <w:pPr>
        <w:spacing w:line="480" w:lineRule="auto"/>
        <w:jc w:val="both"/>
        <w:rPr>
          <w:rFonts w:ascii="Times New Roman" w:hAnsi="Times New Roman"/>
          <w:sz w:val="24"/>
          <w:szCs w:val="24"/>
        </w:rPr>
      </w:pPr>
      <w:r w:rsidRPr="00CB7D14">
        <w:rPr>
          <w:rFonts w:ascii="Times New Roman" w:hAnsi="Times New Roman"/>
          <w:sz w:val="24"/>
          <w:szCs w:val="24"/>
        </w:rPr>
        <w:t xml:space="preserve">The variations observed among the treatment groups may be associated with differences in the concentration or effectiveness of the leaf </w:t>
      </w:r>
      <w:r>
        <w:rPr>
          <w:rFonts w:ascii="Times New Roman" w:hAnsi="Times New Roman"/>
          <w:sz w:val="24"/>
          <w:szCs w:val="24"/>
        </w:rPr>
        <w:t>diet</w:t>
      </w:r>
      <w:r w:rsidRPr="00CB7D14">
        <w:rPr>
          <w:rFonts w:ascii="Times New Roman" w:hAnsi="Times New Roman"/>
          <w:sz w:val="24"/>
          <w:szCs w:val="24"/>
        </w:rPr>
        <w:t xml:space="preserve"> administered. The progressive improvement in some lipid parameters from Ps1 to Ps3 may indicate dose-related activity of the leaf </w:t>
      </w:r>
      <w:r>
        <w:rPr>
          <w:rFonts w:ascii="Times New Roman" w:hAnsi="Times New Roman"/>
          <w:sz w:val="24"/>
          <w:szCs w:val="24"/>
        </w:rPr>
        <w:t>diet</w:t>
      </w:r>
      <w:r w:rsidRPr="00CB7D14">
        <w:rPr>
          <w:rFonts w:ascii="Times New Roman" w:hAnsi="Times New Roman"/>
          <w:sz w:val="24"/>
          <w:szCs w:val="24"/>
        </w:rPr>
        <w:t xml:space="preserve"> against cadmium-induced lipid abnormalities. This agrees with the report of Uchendu </w:t>
      </w:r>
      <w:r w:rsidRPr="0044042F">
        <w:rPr>
          <w:rFonts w:ascii="Times New Roman" w:hAnsi="Times New Roman"/>
          <w:i/>
          <w:sz w:val="24"/>
          <w:szCs w:val="24"/>
        </w:rPr>
        <w:t>et al</w:t>
      </w:r>
      <w:r w:rsidRPr="00CB7D14">
        <w:rPr>
          <w:rFonts w:ascii="Times New Roman" w:hAnsi="Times New Roman"/>
          <w:sz w:val="24"/>
          <w:szCs w:val="24"/>
        </w:rPr>
        <w:t>.</w:t>
      </w:r>
      <w:r>
        <w:rPr>
          <w:rFonts w:ascii="Times New Roman" w:hAnsi="Times New Roman"/>
          <w:sz w:val="24"/>
          <w:szCs w:val="24"/>
        </w:rPr>
        <w:t xml:space="preserve"> </w:t>
      </w:r>
      <w:r w:rsidRPr="00CB7D14">
        <w:rPr>
          <w:rFonts w:ascii="Times New Roman" w:hAnsi="Times New Roman"/>
          <w:sz w:val="24"/>
          <w:szCs w:val="24"/>
        </w:rPr>
        <w:t xml:space="preserve">(2018), who noted that medicinal plant </w:t>
      </w:r>
      <w:r w:rsidR="008475B0">
        <w:rPr>
          <w:rFonts w:ascii="Times New Roman" w:hAnsi="Times New Roman"/>
          <w:sz w:val="24"/>
          <w:szCs w:val="24"/>
        </w:rPr>
        <w:t>diets</w:t>
      </w:r>
      <w:r w:rsidRPr="00CB7D14">
        <w:rPr>
          <w:rFonts w:ascii="Times New Roman" w:hAnsi="Times New Roman"/>
          <w:sz w:val="24"/>
          <w:szCs w:val="24"/>
        </w:rPr>
        <w:t xml:space="preserve"> often exhibit dose-dependent protective effect</w:t>
      </w:r>
      <w:r>
        <w:rPr>
          <w:rFonts w:ascii="Times New Roman" w:hAnsi="Times New Roman"/>
          <w:sz w:val="24"/>
          <w:szCs w:val="24"/>
        </w:rPr>
        <w:t>s against heavy metal toxicity.</w:t>
      </w:r>
    </w:p>
    <w:p w14:paraId="13286AE8" w14:textId="77777777" w:rsidR="00EA7300" w:rsidRDefault="00EA7300" w:rsidP="00EA7300">
      <w:pPr>
        <w:spacing w:line="480" w:lineRule="auto"/>
        <w:jc w:val="both"/>
        <w:rPr>
          <w:rFonts w:ascii="Times New Roman" w:hAnsi="Times New Roman"/>
          <w:sz w:val="24"/>
          <w:szCs w:val="24"/>
        </w:rPr>
      </w:pPr>
      <w:r w:rsidRPr="00CB7D14">
        <w:rPr>
          <w:rFonts w:ascii="Times New Roman" w:hAnsi="Times New Roman"/>
          <w:sz w:val="24"/>
          <w:szCs w:val="24"/>
        </w:rPr>
        <w:t xml:space="preserve">The findings obtained for liver marker enzymes revealed elevated AST, ALT, ALP and GGT activities in the negative control group compared with the normal control group. Elevated serum liver enzymes are commonly regarded as indicators of hepatocellular damage and membrane leakage. The increased enzyme activities observed following cadmium exposure suggest hepatic injury induced by the toxic effect of cadmium. This observation agrees with the findings of </w:t>
      </w:r>
      <w:proofErr w:type="spellStart"/>
      <w:r w:rsidRPr="00CB7D14">
        <w:rPr>
          <w:rFonts w:ascii="Times New Roman" w:hAnsi="Times New Roman"/>
          <w:sz w:val="24"/>
          <w:szCs w:val="24"/>
        </w:rPr>
        <w:t>Thévenod</w:t>
      </w:r>
      <w:proofErr w:type="spellEnd"/>
      <w:r w:rsidRPr="00CB7D14">
        <w:rPr>
          <w:rFonts w:ascii="Times New Roman" w:hAnsi="Times New Roman"/>
          <w:sz w:val="24"/>
          <w:szCs w:val="24"/>
        </w:rPr>
        <w:t xml:space="preserve"> (2009), who reported that cadmium accumulation in hepatic tissues results in cellular degeneration and increased release of liver enzymes into circulation. Likewise, Patra </w:t>
      </w:r>
      <w:r w:rsidRPr="0044042F">
        <w:rPr>
          <w:rFonts w:ascii="Times New Roman" w:hAnsi="Times New Roman"/>
          <w:i/>
          <w:sz w:val="24"/>
          <w:szCs w:val="24"/>
        </w:rPr>
        <w:t>et al</w:t>
      </w:r>
      <w:r w:rsidRPr="00CB7D14">
        <w:rPr>
          <w:rFonts w:ascii="Times New Roman" w:hAnsi="Times New Roman"/>
          <w:sz w:val="24"/>
          <w:szCs w:val="24"/>
        </w:rPr>
        <w:t>. (2011)</w:t>
      </w:r>
      <w:r>
        <w:rPr>
          <w:rFonts w:ascii="Times New Roman" w:hAnsi="Times New Roman"/>
          <w:sz w:val="24"/>
          <w:szCs w:val="24"/>
        </w:rPr>
        <w:t>,</w:t>
      </w:r>
      <w:r w:rsidRPr="00CB7D14">
        <w:rPr>
          <w:rFonts w:ascii="Times New Roman" w:hAnsi="Times New Roman"/>
          <w:sz w:val="24"/>
          <w:szCs w:val="24"/>
        </w:rPr>
        <w:t xml:space="preserve"> reported elevated AST and ALT activities in cadmium-treated experimental animals due to oxidative stress and hepatocellular necrosis. </w:t>
      </w:r>
      <w:r>
        <w:rPr>
          <w:rFonts w:ascii="Times New Roman" w:hAnsi="Times New Roman"/>
          <w:sz w:val="24"/>
          <w:szCs w:val="24"/>
        </w:rPr>
        <w:t xml:space="preserve">Administration of </w:t>
      </w:r>
      <w:r w:rsidRPr="00244486">
        <w:rPr>
          <w:rFonts w:ascii="Times New Roman" w:hAnsi="Times New Roman"/>
          <w:i/>
          <w:sz w:val="24"/>
          <w:szCs w:val="24"/>
        </w:rPr>
        <w:t xml:space="preserve">Pterocarpus </w:t>
      </w:r>
      <w:proofErr w:type="spellStart"/>
      <w:r w:rsidRPr="00244486">
        <w:rPr>
          <w:rFonts w:ascii="Times New Roman" w:hAnsi="Times New Roman"/>
          <w:i/>
          <w:sz w:val="24"/>
          <w:szCs w:val="24"/>
        </w:rPr>
        <w:t>santalinoides</w:t>
      </w:r>
      <w:proofErr w:type="spellEnd"/>
      <w:r w:rsidRPr="00CB7D14">
        <w:rPr>
          <w:rFonts w:ascii="Times New Roman" w:hAnsi="Times New Roman"/>
          <w:sz w:val="24"/>
          <w:szCs w:val="24"/>
        </w:rPr>
        <w:t xml:space="preserve"> leaf </w:t>
      </w:r>
      <w:r>
        <w:rPr>
          <w:rFonts w:ascii="Times New Roman" w:hAnsi="Times New Roman"/>
          <w:sz w:val="24"/>
          <w:szCs w:val="24"/>
        </w:rPr>
        <w:t>diet</w:t>
      </w:r>
      <w:r w:rsidRPr="00CB7D14">
        <w:rPr>
          <w:rFonts w:ascii="Times New Roman" w:hAnsi="Times New Roman"/>
          <w:sz w:val="24"/>
          <w:szCs w:val="24"/>
        </w:rPr>
        <w:t xml:space="preserve"> resulted in reduced AST, ALT, ALP and GGT activities across the treated groups when compared with the negative control group. The </w:t>
      </w:r>
      <w:r w:rsidRPr="00CB7D14">
        <w:rPr>
          <w:rFonts w:ascii="Times New Roman" w:hAnsi="Times New Roman"/>
          <w:sz w:val="24"/>
          <w:szCs w:val="24"/>
        </w:rPr>
        <w:lastRenderedPageBreak/>
        <w:t xml:space="preserve">progressive decrease in enzyme activities from Ps1 to Ps3 suggests that the leaf </w:t>
      </w:r>
      <w:r>
        <w:rPr>
          <w:rFonts w:ascii="Times New Roman" w:hAnsi="Times New Roman"/>
          <w:sz w:val="24"/>
          <w:szCs w:val="24"/>
        </w:rPr>
        <w:t>diet</w:t>
      </w:r>
      <w:r w:rsidRPr="00CB7D14">
        <w:rPr>
          <w:rFonts w:ascii="Times New Roman" w:hAnsi="Times New Roman"/>
          <w:sz w:val="24"/>
          <w:szCs w:val="24"/>
        </w:rPr>
        <w:t xml:space="preserve"> may possess hepatoprotective properties capable of stabilizing hepatocyte membr</w:t>
      </w:r>
      <w:r>
        <w:rPr>
          <w:rFonts w:ascii="Times New Roman" w:hAnsi="Times New Roman"/>
          <w:sz w:val="24"/>
          <w:szCs w:val="24"/>
        </w:rPr>
        <w:t>anes and reducing liver damage.</w:t>
      </w:r>
    </w:p>
    <w:p w14:paraId="109A09F2" w14:textId="77777777" w:rsidR="00C30A0F" w:rsidRDefault="00EA7300" w:rsidP="00EA7300">
      <w:pPr>
        <w:pStyle w:val="Body"/>
        <w:spacing w:after="0"/>
        <w:rPr>
          <w:rFonts w:ascii="Arial" w:hAnsi="Arial" w:cs="Arial"/>
        </w:rPr>
      </w:pPr>
      <w:r w:rsidRPr="00CB7D14">
        <w:rPr>
          <w:rFonts w:ascii="Times New Roman" w:hAnsi="Times New Roman"/>
          <w:sz w:val="24"/>
          <w:szCs w:val="24"/>
        </w:rPr>
        <w:t xml:space="preserve">Similar findings were reported by </w:t>
      </w:r>
      <w:proofErr w:type="spellStart"/>
      <w:r w:rsidRPr="00CB7D14">
        <w:rPr>
          <w:rFonts w:ascii="Times New Roman" w:hAnsi="Times New Roman"/>
          <w:sz w:val="24"/>
          <w:szCs w:val="24"/>
        </w:rPr>
        <w:t>Ezejindu</w:t>
      </w:r>
      <w:proofErr w:type="spellEnd"/>
      <w:r w:rsidRPr="00CB7D14">
        <w:rPr>
          <w:rFonts w:ascii="Times New Roman" w:hAnsi="Times New Roman"/>
          <w:sz w:val="24"/>
          <w:szCs w:val="24"/>
        </w:rPr>
        <w:t xml:space="preserve"> </w:t>
      </w:r>
      <w:r w:rsidRPr="0044042F">
        <w:rPr>
          <w:rFonts w:ascii="Times New Roman" w:hAnsi="Times New Roman"/>
          <w:i/>
          <w:sz w:val="24"/>
          <w:szCs w:val="24"/>
        </w:rPr>
        <w:t>et al</w:t>
      </w:r>
      <w:r w:rsidRPr="00CB7D14">
        <w:rPr>
          <w:rFonts w:ascii="Times New Roman" w:hAnsi="Times New Roman"/>
          <w:sz w:val="24"/>
          <w:szCs w:val="24"/>
        </w:rPr>
        <w:t xml:space="preserve">. (2014), who observed reductions in serum liver enzymes following administration of medicinal plant </w:t>
      </w:r>
      <w:r>
        <w:rPr>
          <w:rFonts w:ascii="Times New Roman" w:hAnsi="Times New Roman"/>
          <w:sz w:val="24"/>
          <w:szCs w:val="24"/>
        </w:rPr>
        <w:t>diet</w:t>
      </w:r>
      <w:r w:rsidRPr="00CB7D14">
        <w:rPr>
          <w:rFonts w:ascii="Times New Roman" w:hAnsi="Times New Roman"/>
          <w:sz w:val="24"/>
          <w:szCs w:val="24"/>
        </w:rPr>
        <w:t xml:space="preserve"> rich in antioxidant phytochemicals. The reduction in GGT activity particularly indicates possible improvement in hepatic function and detoxification processes. The comparatively lower liver enzyme activities recorded in Ps3 suggest greater protective activity at that treatment level. This may be attributed to increased availability of bioactive compounds capable of neutralizing free radicals generated by cadmium exposure. According to Valko </w:t>
      </w:r>
      <w:r w:rsidRPr="0044042F">
        <w:rPr>
          <w:rFonts w:ascii="Times New Roman" w:hAnsi="Times New Roman"/>
          <w:i/>
          <w:sz w:val="24"/>
          <w:szCs w:val="24"/>
        </w:rPr>
        <w:t>et al</w:t>
      </w:r>
      <w:r w:rsidRPr="00CB7D14">
        <w:rPr>
          <w:rFonts w:ascii="Times New Roman" w:hAnsi="Times New Roman"/>
          <w:sz w:val="24"/>
          <w:szCs w:val="24"/>
        </w:rPr>
        <w:t xml:space="preserve">. (2005), antioxidants from medicinal plants play important roles in protecting tissues against oxidative stress-mediated cellular injury. The hepatoprotective effect observed in this study also aligns with the findings of </w:t>
      </w:r>
      <w:proofErr w:type="spellStart"/>
      <w:r w:rsidRPr="00CB7D14">
        <w:rPr>
          <w:rFonts w:ascii="Times New Roman" w:hAnsi="Times New Roman"/>
          <w:sz w:val="24"/>
          <w:szCs w:val="24"/>
        </w:rPr>
        <w:t>Adedara</w:t>
      </w:r>
      <w:proofErr w:type="spellEnd"/>
      <w:r w:rsidRPr="00CB7D14">
        <w:rPr>
          <w:rFonts w:ascii="Times New Roman" w:hAnsi="Times New Roman"/>
          <w:sz w:val="24"/>
          <w:szCs w:val="24"/>
        </w:rPr>
        <w:t xml:space="preserve"> </w:t>
      </w:r>
      <w:r w:rsidRPr="0044042F">
        <w:rPr>
          <w:rFonts w:ascii="Times New Roman" w:hAnsi="Times New Roman"/>
          <w:i/>
          <w:sz w:val="24"/>
          <w:szCs w:val="24"/>
        </w:rPr>
        <w:t>et al</w:t>
      </w:r>
      <w:r w:rsidRPr="00CB7D14">
        <w:rPr>
          <w:rFonts w:ascii="Times New Roman" w:hAnsi="Times New Roman"/>
          <w:sz w:val="24"/>
          <w:szCs w:val="24"/>
        </w:rPr>
        <w:t>. (2015), who reported that plant-derived antioxidants significantly attenuated cadmium-induced hepatic damage in rats.</w:t>
      </w:r>
      <w:r>
        <w:rPr>
          <w:rFonts w:ascii="Times New Roman" w:hAnsi="Times New Roman"/>
          <w:sz w:val="24"/>
          <w:szCs w:val="24"/>
        </w:rPr>
        <w:t xml:space="preserve"> The </w:t>
      </w:r>
      <w:r w:rsidRPr="00CB7D14">
        <w:rPr>
          <w:rFonts w:ascii="Times New Roman" w:hAnsi="Times New Roman"/>
          <w:sz w:val="24"/>
          <w:szCs w:val="24"/>
        </w:rPr>
        <w:t xml:space="preserve">findings of </w:t>
      </w:r>
      <w:r>
        <w:rPr>
          <w:rFonts w:ascii="Times New Roman" w:hAnsi="Times New Roman"/>
          <w:sz w:val="24"/>
          <w:szCs w:val="24"/>
        </w:rPr>
        <w:t>this</w:t>
      </w:r>
      <w:r w:rsidRPr="00CB7D14">
        <w:rPr>
          <w:rFonts w:ascii="Times New Roman" w:hAnsi="Times New Roman"/>
          <w:sz w:val="24"/>
          <w:szCs w:val="24"/>
        </w:rPr>
        <w:t xml:space="preserve"> study indicate that cadmium exposure adversely affected lipid metabolism and liver function in Wistar rats, as evidenced by altered lipid profile indices and elevated liver marker enzymes. However, administration of </w:t>
      </w:r>
      <w:r w:rsidRPr="00244486">
        <w:rPr>
          <w:rFonts w:ascii="Times New Roman" w:hAnsi="Times New Roman"/>
          <w:i/>
          <w:sz w:val="24"/>
          <w:szCs w:val="24"/>
        </w:rPr>
        <w:t xml:space="preserve">Pterocarpus </w:t>
      </w:r>
      <w:proofErr w:type="spellStart"/>
      <w:r w:rsidRPr="00244486">
        <w:rPr>
          <w:rFonts w:ascii="Times New Roman" w:hAnsi="Times New Roman"/>
          <w:i/>
          <w:sz w:val="24"/>
          <w:szCs w:val="24"/>
        </w:rPr>
        <w:t>santalinoides</w:t>
      </w:r>
      <w:proofErr w:type="spellEnd"/>
      <w:r w:rsidRPr="00CB7D14">
        <w:rPr>
          <w:rFonts w:ascii="Times New Roman" w:hAnsi="Times New Roman"/>
          <w:sz w:val="24"/>
          <w:szCs w:val="24"/>
        </w:rPr>
        <w:t xml:space="preserve"> leaf </w:t>
      </w:r>
      <w:r>
        <w:rPr>
          <w:rFonts w:ascii="Times New Roman" w:hAnsi="Times New Roman"/>
          <w:sz w:val="24"/>
          <w:szCs w:val="24"/>
        </w:rPr>
        <w:t>diet</w:t>
      </w:r>
      <w:r w:rsidRPr="00CB7D14">
        <w:rPr>
          <w:rFonts w:ascii="Times New Roman" w:hAnsi="Times New Roman"/>
          <w:sz w:val="24"/>
          <w:szCs w:val="24"/>
        </w:rPr>
        <w:t xml:space="preserve"> appeared to ameliorate these alterations by improving lipid parameters and reducing liver enzyme activities. The observed protective effects may be associated with the antioxidant and bioactive constituents of the </w:t>
      </w:r>
      <w:r>
        <w:rPr>
          <w:rFonts w:ascii="Times New Roman" w:hAnsi="Times New Roman"/>
          <w:sz w:val="24"/>
          <w:szCs w:val="24"/>
        </w:rPr>
        <w:t>leaf</w:t>
      </w:r>
      <w:r w:rsidRPr="00CB7D14">
        <w:rPr>
          <w:rFonts w:ascii="Times New Roman" w:hAnsi="Times New Roman"/>
          <w:sz w:val="24"/>
          <w:szCs w:val="24"/>
        </w:rPr>
        <w:t>, which possibly reduced oxidative stress and stabilized cellular integrity in cadmium-exposed rats</w:t>
      </w:r>
      <w:r w:rsidR="00C30A0F" w:rsidRPr="00FB3A86">
        <w:rPr>
          <w:rFonts w:ascii="Arial" w:hAnsi="Arial" w:cs="Arial"/>
        </w:rPr>
        <w:t xml:space="preserve"> </w:t>
      </w:r>
    </w:p>
    <w:p w14:paraId="007C3D38" w14:textId="77777777" w:rsidR="00B01FCD" w:rsidRDefault="00B01FCD" w:rsidP="00441B6F">
      <w:pPr>
        <w:pStyle w:val="ConcHead"/>
        <w:spacing w:after="0"/>
        <w:jc w:val="both"/>
        <w:rPr>
          <w:rFonts w:ascii="Arial" w:hAnsi="Arial" w:cs="Arial"/>
        </w:rPr>
      </w:pPr>
      <w:r w:rsidRPr="00FB3A86">
        <w:rPr>
          <w:rFonts w:ascii="Arial" w:hAnsi="Arial" w:cs="Arial"/>
        </w:rPr>
        <w:t>Conclusion</w:t>
      </w:r>
    </w:p>
    <w:p w14:paraId="39453894" w14:textId="77777777" w:rsidR="00EA7300" w:rsidRDefault="00EA7300" w:rsidP="00EA7300">
      <w:pPr>
        <w:spacing w:line="480" w:lineRule="auto"/>
        <w:jc w:val="both"/>
        <w:rPr>
          <w:rFonts w:ascii="Times New Roman" w:hAnsi="Times New Roman"/>
          <w:sz w:val="24"/>
          <w:szCs w:val="24"/>
        </w:rPr>
      </w:pPr>
      <w:r>
        <w:rPr>
          <w:rFonts w:ascii="Times New Roman" w:hAnsi="Times New Roman"/>
          <w:sz w:val="24"/>
          <w:szCs w:val="24"/>
        </w:rPr>
        <w:t xml:space="preserve">The findings of this study establish that cadmium exposure induces significant biochemical alterations associated with lipid abnormalities and liver dysfunction in Wistar rats. However, treatment with </w:t>
      </w:r>
      <w:r w:rsidRPr="00244486">
        <w:rPr>
          <w:rFonts w:ascii="Times New Roman" w:hAnsi="Times New Roman"/>
          <w:i/>
          <w:sz w:val="24"/>
          <w:szCs w:val="24"/>
        </w:rPr>
        <w:t xml:space="preserve">Pterocarpus </w:t>
      </w:r>
      <w:proofErr w:type="spellStart"/>
      <w:r w:rsidRPr="00244486">
        <w:rPr>
          <w:rFonts w:ascii="Times New Roman" w:hAnsi="Times New Roman"/>
          <w:i/>
          <w:sz w:val="24"/>
          <w:szCs w:val="24"/>
        </w:rPr>
        <w:t>santalinoides</w:t>
      </w:r>
      <w:proofErr w:type="spellEnd"/>
      <w:r>
        <w:rPr>
          <w:rFonts w:ascii="Times New Roman" w:hAnsi="Times New Roman"/>
          <w:sz w:val="24"/>
          <w:szCs w:val="24"/>
        </w:rPr>
        <w:t xml:space="preserve"> leaf diet</w:t>
      </w:r>
      <w:r w:rsidRPr="00CB7D14">
        <w:rPr>
          <w:rFonts w:ascii="Times New Roman" w:hAnsi="Times New Roman"/>
          <w:sz w:val="24"/>
          <w:szCs w:val="24"/>
        </w:rPr>
        <w:t xml:space="preserve"> </w:t>
      </w:r>
      <w:r>
        <w:rPr>
          <w:rFonts w:ascii="Times New Roman" w:hAnsi="Times New Roman"/>
          <w:sz w:val="24"/>
          <w:szCs w:val="24"/>
        </w:rPr>
        <w:t>ameliorated these adverse effects by improving lipid profile indices and reducing liver enzyme activities.</w:t>
      </w:r>
    </w:p>
    <w:p w14:paraId="2F985830" w14:textId="77777777" w:rsidR="00EA7300" w:rsidRDefault="00EA7300" w:rsidP="00EA7300">
      <w:pPr>
        <w:spacing w:line="480" w:lineRule="auto"/>
        <w:jc w:val="both"/>
        <w:rPr>
          <w:rFonts w:ascii="Times New Roman" w:hAnsi="Times New Roman"/>
          <w:sz w:val="24"/>
          <w:szCs w:val="24"/>
        </w:rPr>
      </w:pPr>
      <w:r>
        <w:rPr>
          <w:rFonts w:ascii="Times New Roman" w:hAnsi="Times New Roman"/>
          <w:sz w:val="24"/>
          <w:szCs w:val="24"/>
        </w:rPr>
        <w:t xml:space="preserve">The study, therefore, suggests that </w:t>
      </w:r>
      <w:r w:rsidRPr="00244486">
        <w:rPr>
          <w:rFonts w:ascii="Times New Roman" w:hAnsi="Times New Roman"/>
          <w:i/>
          <w:sz w:val="24"/>
          <w:szCs w:val="24"/>
        </w:rPr>
        <w:t xml:space="preserve">Pterocarpus </w:t>
      </w:r>
      <w:proofErr w:type="spellStart"/>
      <w:r w:rsidRPr="00244486">
        <w:rPr>
          <w:rFonts w:ascii="Times New Roman" w:hAnsi="Times New Roman"/>
          <w:i/>
          <w:sz w:val="24"/>
          <w:szCs w:val="24"/>
        </w:rPr>
        <w:t>santalinoides</w:t>
      </w:r>
      <w:proofErr w:type="spellEnd"/>
      <w:r>
        <w:rPr>
          <w:rFonts w:ascii="Times New Roman" w:hAnsi="Times New Roman"/>
          <w:sz w:val="24"/>
          <w:szCs w:val="24"/>
        </w:rPr>
        <w:t xml:space="preserve"> possesses beneficial pharmacological properties with potential application in the management of cadmium-induced toxicity and related metabolic disorders. The plant may serve as a promising natural source of protective agents against oxidative stress and hepatic injury caused by heavy metal exposure.</w:t>
      </w:r>
    </w:p>
    <w:p w14:paraId="012B76D5" w14:textId="77777777" w:rsidR="00860000" w:rsidRPr="002770DC" w:rsidRDefault="00860000" w:rsidP="00441B6F">
      <w:pPr>
        <w:pStyle w:val="ReferHead"/>
        <w:spacing w:after="0"/>
        <w:jc w:val="both"/>
        <w:rPr>
          <w:rFonts w:ascii="Arial" w:hAnsi="Arial" w:cs="Arial"/>
          <w:bCs/>
        </w:rPr>
      </w:pPr>
      <w:r w:rsidRPr="00786D36">
        <w:rPr>
          <w:rFonts w:ascii="Arial" w:hAnsi="Arial" w:cs="Arial"/>
          <w:bCs/>
        </w:rPr>
        <w:t>Competing interests</w:t>
      </w:r>
    </w:p>
    <w:p w14:paraId="7B7A75CF" w14:textId="77777777" w:rsidR="00371FB6" w:rsidRDefault="002770DC" w:rsidP="00441B6F">
      <w:pPr>
        <w:pStyle w:val="ReferHead"/>
        <w:spacing w:after="0"/>
        <w:jc w:val="both"/>
        <w:rPr>
          <w:rFonts w:ascii="Arial" w:hAnsi="Arial" w:cs="Arial"/>
          <w:b w:val="0"/>
          <w:caps w:val="0"/>
          <w:sz w:val="20"/>
        </w:rPr>
      </w:pPr>
      <w:r w:rsidRPr="002770DC">
        <w:rPr>
          <w:rFonts w:ascii="Arial" w:hAnsi="Arial" w:cs="Arial"/>
          <w:b w:val="0"/>
          <w:caps w:val="0"/>
          <w:sz w:val="20"/>
        </w:rPr>
        <w:t>Authors have declared that no competing interests exist</w:t>
      </w:r>
      <w:r>
        <w:rPr>
          <w:rFonts w:ascii="Arial" w:hAnsi="Arial" w:cs="Arial"/>
          <w:b w:val="0"/>
          <w:caps w:val="0"/>
          <w:sz w:val="20"/>
        </w:rPr>
        <w:t>.</w:t>
      </w:r>
    </w:p>
    <w:p w14:paraId="03367FF6" w14:textId="77777777" w:rsidR="00C2677C" w:rsidRDefault="00C2677C" w:rsidP="00441B6F">
      <w:pPr>
        <w:pStyle w:val="ReferHead"/>
        <w:spacing w:after="0"/>
        <w:jc w:val="both"/>
        <w:rPr>
          <w:rFonts w:ascii="Arial" w:hAnsi="Arial" w:cs="Arial"/>
          <w:bCs/>
        </w:rPr>
      </w:pPr>
    </w:p>
    <w:p w14:paraId="7FA80DC5" w14:textId="0FE5F00B" w:rsidR="005C784C" w:rsidRPr="002B685A" w:rsidRDefault="005C784C" w:rsidP="00441B6F">
      <w:pPr>
        <w:pStyle w:val="ReferHead"/>
        <w:spacing w:after="0"/>
        <w:jc w:val="both"/>
        <w:rPr>
          <w:rFonts w:ascii="Arial" w:hAnsi="Arial" w:cs="Arial"/>
          <w:bCs/>
        </w:rPr>
      </w:pPr>
      <w:r>
        <w:rPr>
          <w:rFonts w:ascii="Arial" w:hAnsi="Arial" w:cs="Arial"/>
          <w:bCs/>
        </w:rPr>
        <w:t xml:space="preserve">Ethical approval </w:t>
      </w:r>
    </w:p>
    <w:p w14:paraId="6D2529F0" w14:textId="77777777" w:rsidR="00860000" w:rsidRDefault="005D7ECD" w:rsidP="00441B6F">
      <w:pPr>
        <w:pStyle w:val="ReferHead"/>
        <w:spacing w:after="0"/>
        <w:jc w:val="both"/>
        <w:rPr>
          <w:rFonts w:ascii="Arial" w:hAnsi="Arial" w:cs="Arial"/>
          <w:b w:val="0"/>
          <w:caps w:val="0"/>
          <w:sz w:val="20"/>
        </w:rPr>
      </w:pPr>
      <w:r w:rsidRPr="005D7ECD">
        <w:rPr>
          <w:rFonts w:ascii="Arial" w:hAnsi="Arial" w:cs="Arial"/>
          <w:b w:val="0"/>
          <w:caps w:val="0"/>
          <w:sz w:val="20"/>
        </w:rPr>
        <w:t>All authors hereby declare that all experiments have been examined and approved by the appropriate ethics committee and have therefore been performed in accordance with the ethical standards laid down in the 1964 Declaration of Helsinki.”</w:t>
      </w:r>
    </w:p>
    <w:p w14:paraId="63CC0375" w14:textId="77777777" w:rsidR="00E0273A" w:rsidRDefault="00E0273A" w:rsidP="00441B6F">
      <w:pPr>
        <w:pStyle w:val="ReferHead"/>
        <w:spacing w:after="0"/>
        <w:jc w:val="both"/>
        <w:rPr>
          <w:rFonts w:ascii="Arial" w:hAnsi="Arial" w:cs="Arial"/>
          <w:b w:val="0"/>
          <w:caps w:val="0"/>
          <w:sz w:val="20"/>
        </w:rPr>
      </w:pPr>
    </w:p>
    <w:p w14:paraId="587D49C4" w14:textId="77777777" w:rsidR="00C2677C" w:rsidRDefault="00C2677C" w:rsidP="00E0273A">
      <w:pPr>
        <w:jc w:val="both"/>
        <w:outlineLvl w:val="0"/>
        <w:rPr>
          <w:rFonts w:ascii="Arial" w:hAnsi="Arial" w:cs="Arial"/>
          <w:b/>
          <w:bCs/>
        </w:rPr>
      </w:pPr>
    </w:p>
    <w:p w14:paraId="43A3218C" w14:textId="5CD7A90D" w:rsidR="00E0273A" w:rsidRPr="003A29C6" w:rsidRDefault="00E0273A" w:rsidP="00E0273A">
      <w:pPr>
        <w:jc w:val="both"/>
        <w:outlineLvl w:val="0"/>
        <w:rPr>
          <w:rFonts w:ascii="Arial" w:hAnsi="Arial" w:cs="Arial"/>
        </w:rPr>
      </w:pPr>
      <w:r w:rsidRPr="003A29C6">
        <w:rPr>
          <w:rFonts w:ascii="Arial" w:hAnsi="Arial" w:cs="Arial"/>
          <w:b/>
          <w:bCs/>
        </w:rPr>
        <w:t>COMPETING INTERESTS DISCLAIMER:</w:t>
      </w:r>
    </w:p>
    <w:p w14:paraId="644ADFC8" w14:textId="77777777" w:rsidR="00E0273A" w:rsidRDefault="00E0273A" w:rsidP="00E0273A">
      <w:r w:rsidRPr="00A10EDE">
        <w:t>Authors have declared that they have no known competing financial interests OR non-financial interests OR personal relationships that could have appeared to influence the work reported in this paper.</w:t>
      </w:r>
    </w:p>
    <w:p w14:paraId="2777F963" w14:textId="77777777" w:rsidR="00E0273A" w:rsidRDefault="00E0273A" w:rsidP="00E0273A"/>
    <w:p w14:paraId="0900CE01" w14:textId="77777777" w:rsidR="00E0273A" w:rsidRDefault="00E0273A" w:rsidP="00E0273A">
      <w:pPr>
        <w:rPr>
          <w:rFonts w:ascii="Times New Roman" w:hAnsi="Times New Roman"/>
          <w:b/>
        </w:rPr>
      </w:pPr>
      <w:r w:rsidRPr="000839CE">
        <w:rPr>
          <w:rFonts w:ascii="Times New Roman" w:hAnsi="Times New Roman"/>
          <w:b/>
        </w:rPr>
        <w:t>Declaration of AI Use</w:t>
      </w:r>
    </w:p>
    <w:p w14:paraId="7EEBBAED" w14:textId="77777777" w:rsidR="00E0273A" w:rsidRDefault="00E0273A" w:rsidP="00E0273A">
      <w:pPr>
        <w:rPr>
          <w:rFonts w:ascii="Times New Roman" w:hAnsi="Times New Roman"/>
          <w:b/>
        </w:rPr>
      </w:pPr>
    </w:p>
    <w:p w14:paraId="346F09A3" w14:textId="77777777" w:rsidR="00E0273A" w:rsidRDefault="00E0273A" w:rsidP="00E0273A">
      <w:pPr>
        <w:rPr>
          <w:rFonts w:ascii="Times New Roman" w:hAnsi="Times New Roman"/>
          <w:b/>
        </w:rPr>
      </w:pPr>
    </w:p>
    <w:p w14:paraId="22D18FA7" w14:textId="77777777" w:rsidR="00E0273A" w:rsidRDefault="00E0273A" w:rsidP="00E0273A">
      <w:pPr>
        <w:rPr>
          <w:rFonts w:ascii="Times New Roman" w:hAnsi="Times New Roman"/>
          <w:b/>
        </w:rPr>
      </w:pPr>
    </w:p>
    <w:p w14:paraId="5C80C08C" w14:textId="77777777" w:rsidR="00E0273A" w:rsidRPr="002D08AC" w:rsidRDefault="00E0273A" w:rsidP="00E0273A">
      <w:pPr>
        <w:rPr>
          <w:rFonts w:ascii="Arial" w:hAnsi="Arial" w:cs="Arial"/>
        </w:rPr>
      </w:pPr>
      <w:r w:rsidRPr="002D08AC">
        <w:rPr>
          <w:rFonts w:ascii="Arial" w:hAnsi="Arial" w:cs="Arial"/>
        </w:rPr>
        <w:t xml:space="preserve">This manuscript was prepared through the intellectual contributions of the author(s) to the study design, data analysis, interpretation of results, and scholarly content. Grammarly and ChatGPT were used solely to assist with grammatical </w:t>
      </w:r>
      <w:r w:rsidRPr="002D08AC">
        <w:rPr>
          <w:rFonts w:ascii="Arial" w:hAnsi="Arial" w:cs="Arial"/>
        </w:rPr>
        <w:lastRenderedPageBreak/>
        <w:t>refinement and reference formatting during manuscript revision. The author(s) accept full responsibility for the accuracy, integrity, and final content of the manuscript.</w:t>
      </w:r>
    </w:p>
    <w:p w14:paraId="40A71CDD" w14:textId="77777777" w:rsidR="00E0273A" w:rsidRDefault="00E0273A" w:rsidP="00E0273A"/>
    <w:p w14:paraId="2CEB4D10" w14:textId="77777777" w:rsidR="00E0273A" w:rsidRDefault="00E0273A" w:rsidP="00441B6F">
      <w:pPr>
        <w:pStyle w:val="ReferHead"/>
        <w:spacing w:after="0"/>
        <w:jc w:val="both"/>
        <w:rPr>
          <w:rFonts w:ascii="Arial" w:hAnsi="Arial" w:cs="Arial"/>
        </w:rPr>
      </w:pPr>
    </w:p>
    <w:p w14:paraId="45C6C144"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74F128E3" w14:textId="77777777" w:rsidR="005D7ECD" w:rsidRDefault="005D7ECD" w:rsidP="005D7ECD">
      <w:pPr>
        <w:pStyle w:val="NormalWeb"/>
      </w:pPr>
      <w:proofErr w:type="spellStart"/>
      <w:r>
        <w:t>Adedara</w:t>
      </w:r>
      <w:proofErr w:type="spellEnd"/>
      <w:r>
        <w:t xml:space="preserve">, I. A., </w:t>
      </w:r>
      <w:proofErr w:type="spellStart"/>
      <w:r>
        <w:t>Vaithinathan</w:t>
      </w:r>
      <w:proofErr w:type="spellEnd"/>
      <w:r>
        <w:t xml:space="preserve">, S., </w:t>
      </w:r>
      <w:proofErr w:type="spellStart"/>
      <w:r>
        <w:t>Jubendradass</w:t>
      </w:r>
      <w:proofErr w:type="spellEnd"/>
      <w:r>
        <w:t xml:space="preserve">, R., Mathur, P. P., &amp; </w:t>
      </w:r>
      <w:proofErr w:type="spellStart"/>
      <w:r>
        <w:t>Farombi</w:t>
      </w:r>
      <w:proofErr w:type="spellEnd"/>
      <w:r>
        <w:t xml:space="preserve">, E. O. (2015). </w:t>
      </w:r>
      <w:proofErr w:type="spellStart"/>
      <w:r>
        <w:t>Kolaviron</w:t>
      </w:r>
      <w:proofErr w:type="spellEnd"/>
      <w:r>
        <w:t xml:space="preserve"> prevents cadmium-induced testicular apoptosis, inflammation and oxidative stress in rats. </w:t>
      </w:r>
      <w:r>
        <w:rPr>
          <w:rStyle w:val="Emphasis"/>
        </w:rPr>
        <w:t>Environmental Toxicology and Pharmacology, 39</w:t>
      </w:r>
      <w:r>
        <w:t>(1), 229–239.</w:t>
      </w:r>
    </w:p>
    <w:p w14:paraId="62BA8ED7" w14:textId="77777777" w:rsidR="005D7ECD" w:rsidRDefault="005D7ECD" w:rsidP="005D7ECD">
      <w:pPr>
        <w:pStyle w:val="NormalWeb"/>
      </w:pPr>
      <w:proofErr w:type="spellStart"/>
      <w:r>
        <w:t>Akinmoladun</w:t>
      </w:r>
      <w:proofErr w:type="spellEnd"/>
      <w:r>
        <w:t xml:space="preserve">, A. C., Ibukun, E. O., </w:t>
      </w:r>
      <w:proofErr w:type="spellStart"/>
      <w:r>
        <w:t>Afor</w:t>
      </w:r>
      <w:proofErr w:type="spellEnd"/>
      <w:r>
        <w:t xml:space="preserve">, E., </w:t>
      </w:r>
      <w:proofErr w:type="spellStart"/>
      <w:r>
        <w:t>Obuotor</w:t>
      </w:r>
      <w:proofErr w:type="spellEnd"/>
      <w:r>
        <w:t xml:space="preserve">, E. M., &amp; </w:t>
      </w:r>
      <w:proofErr w:type="spellStart"/>
      <w:r>
        <w:t>Farombi</w:t>
      </w:r>
      <w:proofErr w:type="spellEnd"/>
      <w:r>
        <w:t xml:space="preserve">, E. O. (2015). Phytochemical constituent and antioxidant activity of extract from the leaves of </w:t>
      </w:r>
      <w:r>
        <w:rPr>
          <w:rStyle w:val="Emphasis"/>
        </w:rPr>
        <w:t xml:space="preserve">Ocimum </w:t>
      </w:r>
      <w:proofErr w:type="spellStart"/>
      <w:r>
        <w:rPr>
          <w:rStyle w:val="Emphasis"/>
        </w:rPr>
        <w:t>gratissimum</w:t>
      </w:r>
      <w:proofErr w:type="spellEnd"/>
      <w:r>
        <w:t xml:space="preserve">. </w:t>
      </w:r>
      <w:r>
        <w:rPr>
          <w:rStyle w:val="Emphasis"/>
        </w:rPr>
        <w:t>Scientific Research and Essays, 2</w:t>
      </w:r>
      <w:r>
        <w:t>(5), 163–166.</w:t>
      </w:r>
    </w:p>
    <w:p w14:paraId="2A06AA0B" w14:textId="77777777" w:rsidR="005D7ECD" w:rsidRDefault="005D7ECD" w:rsidP="005D7ECD">
      <w:pPr>
        <w:pStyle w:val="pdq2pgselectionanchorcontainer"/>
      </w:pPr>
      <w:r>
        <w:t xml:space="preserve">Bernhoft, R. A. (2013). Cadmium toxicity and treatment. </w:t>
      </w:r>
      <w:r>
        <w:rPr>
          <w:rStyle w:val="Emphasis"/>
        </w:rPr>
        <w:t>The Scientific World Journal</w:t>
      </w:r>
      <w:r>
        <w:t>, 1–7.</w:t>
      </w:r>
    </w:p>
    <w:p w14:paraId="5CB63CF7" w14:textId="77777777" w:rsidR="005D7ECD" w:rsidRDefault="005D7ECD" w:rsidP="005D7ECD">
      <w:pPr>
        <w:pStyle w:val="NormalWeb"/>
      </w:pPr>
      <w:r>
        <w:t xml:space="preserve">Buhari, O., Dayyab, F. M., </w:t>
      </w:r>
      <w:proofErr w:type="spellStart"/>
      <w:r>
        <w:t>Igbinoba</w:t>
      </w:r>
      <w:proofErr w:type="spellEnd"/>
      <w:r>
        <w:t xml:space="preserve">, O., </w:t>
      </w:r>
      <w:proofErr w:type="spellStart"/>
      <w:r>
        <w:t>Medhane</w:t>
      </w:r>
      <w:proofErr w:type="spellEnd"/>
      <w:r>
        <w:t xml:space="preserve">, F., &amp; Faillace, R. T. (2020). The association between heavy metal and serum cholesterol levels in the US population: National Health and Nutrition Examination Survey 2009–2012. </w:t>
      </w:r>
      <w:r>
        <w:rPr>
          <w:rStyle w:val="Emphasis"/>
        </w:rPr>
        <w:t>Human and Experimental Toxicology, 39</w:t>
      </w:r>
      <w:r>
        <w:t>(3), 355–364.</w:t>
      </w:r>
    </w:p>
    <w:p w14:paraId="564DA8D2" w14:textId="77777777" w:rsidR="005D7ECD" w:rsidRDefault="005D7ECD" w:rsidP="005D7ECD">
      <w:pPr>
        <w:pStyle w:val="NormalWeb"/>
      </w:pPr>
      <w:r>
        <w:t xml:space="preserve">Burtis, C. A., &amp; Bruns, D. E. (2014). </w:t>
      </w:r>
      <w:r>
        <w:rPr>
          <w:rStyle w:val="Emphasis"/>
        </w:rPr>
        <w:t>Tietz fundamentals of clinical chemistry and molecular diagnostics</w:t>
      </w:r>
      <w:r>
        <w:t>. Elsevier Health Sciences.</w:t>
      </w:r>
    </w:p>
    <w:p w14:paraId="7C525900" w14:textId="77777777" w:rsidR="005D7ECD" w:rsidRDefault="005D7ECD" w:rsidP="005D7ECD">
      <w:pPr>
        <w:pStyle w:val="NormalWeb"/>
      </w:pPr>
      <w:r>
        <w:t xml:space="preserve">Chen, X., Zhu, G., Wang, Z., Zhou, H., He, P., Liu, Y., &amp; Jin, T. (2019). The association between lead and cadmium co-exposure and renal dysfunction. </w:t>
      </w:r>
      <w:r>
        <w:rPr>
          <w:rStyle w:val="Emphasis"/>
        </w:rPr>
        <w:t>Ecotoxicology and Environmental Safety, 173</w:t>
      </w:r>
      <w:r>
        <w:t>, 429–435.</w:t>
      </w:r>
    </w:p>
    <w:p w14:paraId="7E2D5799" w14:textId="77777777" w:rsidR="005D7ECD" w:rsidRDefault="005D7ECD" w:rsidP="005D7ECD">
      <w:pPr>
        <w:pStyle w:val="NormalWeb"/>
      </w:pPr>
      <w:proofErr w:type="spellStart"/>
      <w:r>
        <w:t>Devarbhavi</w:t>
      </w:r>
      <w:proofErr w:type="spellEnd"/>
      <w:r>
        <w:t xml:space="preserve">, H., Asrani, S. K., Arab, J. P., Nartey, Y. A., Pose, E., &amp; Kamath, P. S. (2023). Global burden of liver disease: 2023 update. </w:t>
      </w:r>
      <w:r>
        <w:rPr>
          <w:rStyle w:val="Emphasis"/>
        </w:rPr>
        <w:t>Journal of Hepatology, 79</w:t>
      </w:r>
      <w:r>
        <w:t>(2), 516–537.</w:t>
      </w:r>
    </w:p>
    <w:p w14:paraId="2C867980" w14:textId="77777777" w:rsidR="005D7ECD" w:rsidRDefault="005D7ECD" w:rsidP="005D7ECD">
      <w:pPr>
        <w:pStyle w:val="NormalWeb"/>
      </w:pPr>
      <w:proofErr w:type="spellStart"/>
      <w:r>
        <w:t>Edeoga</w:t>
      </w:r>
      <w:proofErr w:type="spellEnd"/>
      <w:r>
        <w:t xml:space="preserve">, H. O., Okwu, D. E., &amp; </w:t>
      </w:r>
      <w:proofErr w:type="spellStart"/>
      <w:r>
        <w:t>Mbaebie</w:t>
      </w:r>
      <w:proofErr w:type="spellEnd"/>
      <w:r>
        <w:t xml:space="preserve">, B. O. (2005). Phytochemical constituents of some Nigerian medicinal plants. </w:t>
      </w:r>
      <w:r>
        <w:rPr>
          <w:rStyle w:val="Emphasis"/>
        </w:rPr>
        <w:t>African Journal of Biotechnology, 4</w:t>
      </w:r>
      <w:r>
        <w:t>(7), 685–688.</w:t>
      </w:r>
    </w:p>
    <w:p w14:paraId="3DEFF326" w14:textId="77777777" w:rsidR="005D7ECD" w:rsidRDefault="005D7ECD" w:rsidP="005D7ECD">
      <w:pPr>
        <w:pStyle w:val="NormalWeb"/>
      </w:pPr>
      <w:r>
        <w:t>El-</w:t>
      </w:r>
      <w:proofErr w:type="spellStart"/>
      <w:r>
        <w:t>Demerdash</w:t>
      </w:r>
      <w:proofErr w:type="spellEnd"/>
      <w:r>
        <w:t xml:space="preserve">, F. M., Yousef, M. I., </w:t>
      </w:r>
      <w:proofErr w:type="spellStart"/>
      <w:r>
        <w:t>Kedwany</w:t>
      </w:r>
      <w:proofErr w:type="spellEnd"/>
      <w:r>
        <w:t xml:space="preserve">, F. S., &amp; Baghdadi, H. H. (2018). Cadmium-induced changes in lipid peroxidation, blood hematology, biochemical parameters and semen quality of male rats. </w:t>
      </w:r>
      <w:r>
        <w:rPr>
          <w:rStyle w:val="Emphasis"/>
        </w:rPr>
        <w:t>Food and Chemical Toxicology, 42</w:t>
      </w:r>
      <w:r>
        <w:t>(10), 1563–1571.</w:t>
      </w:r>
    </w:p>
    <w:p w14:paraId="394FD5DE" w14:textId="77777777" w:rsidR="005D7ECD" w:rsidRDefault="005D7ECD" w:rsidP="005D7ECD">
      <w:pPr>
        <w:pStyle w:val="NormalWeb"/>
      </w:pPr>
      <w:proofErr w:type="spellStart"/>
      <w:r>
        <w:t>Elhelaly</w:t>
      </w:r>
      <w:proofErr w:type="spellEnd"/>
      <w:r>
        <w:t xml:space="preserve">, A. E., </w:t>
      </w:r>
      <w:proofErr w:type="spellStart"/>
      <w:r>
        <w:t>AlBasher</w:t>
      </w:r>
      <w:proofErr w:type="spellEnd"/>
      <w:r>
        <w:t xml:space="preserve">, G., &amp; Alfarraj, S. (2019). Protective effects of hesperidin and </w:t>
      </w:r>
      <w:proofErr w:type="spellStart"/>
      <w:r>
        <w:t>diosmin</w:t>
      </w:r>
      <w:proofErr w:type="spellEnd"/>
      <w:r>
        <w:t xml:space="preserve"> against acrylamide-induced liver, kidney and brain oxidative damage in rats. </w:t>
      </w:r>
      <w:r>
        <w:rPr>
          <w:rStyle w:val="Emphasis"/>
        </w:rPr>
        <w:t>Environmental Science and Pollution Research International, 26</w:t>
      </w:r>
      <w:r>
        <w:t>(34), 35151–35162.</w:t>
      </w:r>
    </w:p>
    <w:p w14:paraId="46CC700D" w14:textId="77777777" w:rsidR="005D7ECD" w:rsidRDefault="005D7ECD" w:rsidP="005D7ECD">
      <w:pPr>
        <w:pStyle w:val="NormalWeb"/>
      </w:pPr>
      <w:proofErr w:type="spellStart"/>
      <w:r>
        <w:t>Ezejindu</w:t>
      </w:r>
      <w:proofErr w:type="spellEnd"/>
      <w:r>
        <w:t xml:space="preserve">, D. N., Udemezue, O. O., &amp; </w:t>
      </w:r>
      <w:proofErr w:type="spellStart"/>
      <w:r>
        <w:t>Akingboye</w:t>
      </w:r>
      <w:proofErr w:type="spellEnd"/>
      <w:r>
        <w:t xml:space="preserve">, A. A. (2014). Hepatoprotective effects of medicinal plant extracts against chemically induced liver damage in experimental animals. </w:t>
      </w:r>
      <w:r>
        <w:rPr>
          <w:rStyle w:val="Emphasis"/>
        </w:rPr>
        <w:t>International Journal of Biological and Chemical Sciences, 8</w:t>
      </w:r>
      <w:r>
        <w:t>(2), 713–721.</w:t>
      </w:r>
    </w:p>
    <w:p w14:paraId="2BF38ABA" w14:textId="77777777" w:rsidR="005D7ECD" w:rsidRDefault="005D7ECD" w:rsidP="005D7ECD">
      <w:pPr>
        <w:pStyle w:val="NormalWeb"/>
      </w:pPr>
      <w:r>
        <w:t xml:space="preserve">Genchi, G., Sinicropi, M. S., Lauria, G., Carocci, A., &amp; Catalano, A. (2020). The effects of cadmium toxicity. </w:t>
      </w:r>
      <w:r>
        <w:rPr>
          <w:rStyle w:val="Emphasis"/>
        </w:rPr>
        <w:t>International Journal of Environmental Research and Public Health, 17</w:t>
      </w:r>
      <w:r>
        <w:t>(11), 3782.</w:t>
      </w:r>
    </w:p>
    <w:p w14:paraId="391DB98B" w14:textId="77777777" w:rsidR="005D7ECD" w:rsidRDefault="005D7ECD" w:rsidP="005D7ECD">
      <w:pPr>
        <w:pStyle w:val="NormalWeb"/>
      </w:pPr>
      <w:r>
        <w:t xml:space="preserve">Ipsen, D. H., Lykkesfeldt, J., &amp; Tveden-Nyborg, P. (2018). Molecular mechanisms of hepatic lipid accumulation in non-alcoholic fatty liver disease. </w:t>
      </w:r>
      <w:r>
        <w:rPr>
          <w:rStyle w:val="Emphasis"/>
        </w:rPr>
        <w:t>Cellular and Molecular Life Sciences, 75</w:t>
      </w:r>
      <w:r>
        <w:t>(18), 3313–3327.</w:t>
      </w:r>
    </w:p>
    <w:p w14:paraId="4463D746" w14:textId="77777777" w:rsidR="005D7ECD" w:rsidRDefault="005D7ECD" w:rsidP="005D7ECD">
      <w:pPr>
        <w:pStyle w:val="NormalWeb"/>
      </w:pPr>
      <w:proofErr w:type="spellStart"/>
      <w:r>
        <w:lastRenderedPageBreak/>
        <w:t>Järup</w:t>
      </w:r>
      <w:proofErr w:type="spellEnd"/>
      <w:r>
        <w:t xml:space="preserve">, L., Berglund, M., Elinder, C. G., Nordberg, G., &amp; </w:t>
      </w:r>
      <w:proofErr w:type="spellStart"/>
      <w:r>
        <w:t>Vahter</w:t>
      </w:r>
      <w:proofErr w:type="spellEnd"/>
      <w:r>
        <w:t xml:space="preserve">, M. (1998). Health effects of cadmium exposure—a review of the literature and a risk estimate. </w:t>
      </w:r>
      <w:r>
        <w:rPr>
          <w:rStyle w:val="Emphasis"/>
        </w:rPr>
        <w:t>Scandinavian Journal of Work, Environment &amp; Health, 24</w:t>
      </w:r>
      <w:r>
        <w:t>(1), 1–51.</w:t>
      </w:r>
    </w:p>
    <w:p w14:paraId="454660BC" w14:textId="77777777" w:rsidR="005D7ECD" w:rsidRDefault="005D7ECD" w:rsidP="005D7ECD">
      <w:pPr>
        <w:pStyle w:val="NormalWeb"/>
      </w:pPr>
      <w:r>
        <w:t xml:space="preserve">Kalantzi, I., </w:t>
      </w:r>
      <w:proofErr w:type="spellStart"/>
      <w:r>
        <w:t>Pergantis</w:t>
      </w:r>
      <w:proofErr w:type="spellEnd"/>
      <w:r>
        <w:t xml:space="preserve">, S. A., Black, K. D., </w:t>
      </w:r>
      <w:proofErr w:type="spellStart"/>
      <w:r>
        <w:t>Shimmield</w:t>
      </w:r>
      <w:proofErr w:type="spellEnd"/>
      <w:r>
        <w:t xml:space="preserve">, T. M., Papageorgiou, N., </w:t>
      </w:r>
      <w:proofErr w:type="spellStart"/>
      <w:r>
        <w:t>Tsapakis</w:t>
      </w:r>
      <w:proofErr w:type="spellEnd"/>
      <w:r>
        <w:t xml:space="preserve">, M., &amp; </w:t>
      </w:r>
      <w:proofErr w:type="spellStart"/>
      <w:r>
        <w:t>Karakassis</w:t>
      </w:r>
      <w:proofErr w:type="spellEnd"/>
      <w:r>
        <w:t xml:space="preserve">, I. (2016). Metals in tissues of seabass and seabream reared in sites with </w:t>
      </w:r>
      <w:proofErr w:type="spellStart"/>
      <w:r>
        <w:t>oxic</w:t>
      </w:r>
      <w:proofErr w:type="spellEnd"/>
      <w:r>
        <w:t xml:space="preserve"> and anoxic substrata and risk assessment for consumers. </w:t>
      </w:r>
      <w:r>
        <w:rPr>
          <w:rStyle w:val="Emphasis"/>
        </w:rPr>
        <w:t>Food Chemistry, 194</w:t>
      </w:r>
      <w:r>
        <w:t>, 659–670.</w:t>
      </w:r>
    </w:p>
    <w:p w14:paraId="37F9F100" w14:textId="77777777" w:rsidR="005D7ECD" w:rsidRDefault="005D7ECD" w:rsidP="005D7ECD">
      <w:pPr>
        <w:pStyle w:val="NormalWeb"/>
      </w:pPr>
      <w:r>
        <w:t xml:space="preserve">Kathak, R. R., Sumon, A. H., Molla, N. H., Hasan, M., Miah, R., Tuba, H. R., Habib, A., &amp; Ali, N. (2022). The association between elevated lipid profile and liver enzymes: A study on Bangladeshi adults. </w:t>
      </w:r>
      <w:r>
        <w:rPr>
          <w:rStyle w:val="Emphasis"/>
        </w:rPr>
        <w:t>Scientific Reports, 12</w:t>
      </w:r>
      <w:r>
        <w:t>, 1711.</w:t>
      </w:r>
    </w:p>
    <w:p w14:paraId="0A9F6BA3" w14:textId="77777777" w:rsidR="005D7ECD" w:rsidRDefault="005D7ECD" w:rsidP="005D7ECD">
      <w:pPr>
        <w:pStyle w:val="NormalWeb"/>
      </w:pPr>
      <w:r>
        <w:t>Lamas, G. A., Ujueta, F., &amp; Navas-</w:t>
      </w:r>
      <w:proofErr w:type="spellStart"/>
      <w:r>
        <w:t>Acien</w:t>
      </w:r>
      <w:proofErr w:type="spellEnd"/>
      <w:r>
        <w:t xml:space="preserve">, A. (2021). Lead and cadmium as cardiovascular risk factors: The burden of proof has been met. </w:t>
      </w:r>
      <w:r>
        <w:rPr>
          <w:rStyle w:val="Emphasis"/>
        </w:rPr>
        <w:t>Journal of the American Heart Association, 10</w:t>
      </w:r>
      <w:r>
        <w:t>(10), 18–24.</w:t>
      </w:r>
    </w:p>
    <w:p w14:paraId="20F10F81" w14:textId="77777777" w:rsidR="005D7ECD" w:rsidRDefault="005D7ECD" w:rsidP="005D7ECD">
      <w:pPr>
        <w:pStyle w:val="pdq2pgselectionanchorcontainer"/>
      </w:pPr>
      <w:r>
        <w:t xml:space="preserve">Ledda, C., Iavicoli, I., Bracci, M., Avola, R., Senia, P., Santarelli, L., &amp; Rapisarda, V. (2018). Serum lipid, lipoprotein and apolipoprotein profiles in workers exposed to low arsenic levels. </w:t>
      </w:r>
      <w:r>
        <w:rPr>
          <w:rStyle w:val="Emphasis"/>
        </w:rPr>
        <w:t>Toxicology Letters, 282</w:t>
      </w:r>
      <w:r>
        <w:t>, 49–56.</w:t>
      </w:r>
    </w:p>
    <w:p w14:paraId="5AEC7FAF" w14:textId="77777777" w:rsidR="005D7ECD" w:rsidRDefault="005D7ECD" w:rsidP="005D7ECD">
      <w:pPr>
        <w:pStyle w:val="NormalWeb"/>
      </w:pPr>
      <w:proofErr w:type="spellStart"/>
      <w:r>
        <w:t>Leem</w:t>
      </w:r>
      <w:proofErr w:type="spellEnd"/>
      <w:r>
        <w:t xml:space="preserve">, A. Y., Kim, H. Y., Kim, Y. S., Park, M. S., Chang, J., &amp; Jung, J. Y. (2018). Association of serum bilirubin level with lung function decline: A Korean community-based cohort study. </w:t>
      </w:r>
      <w:r>
        <w:rPr>
          <w:rStyle w:val="Emphasis"/>
        </w:rPr>
        <w:t>Respiratory Research, 19</w:t>
      </w:r>
      <w:r>
        <w:t>(1), 99.</w:t>
      </w:r>
    </w:p>
    <w:p w14:paraId="3DEB42C7" w14:textId="77777777" w:rsidR="005D7ECD" w:rsidRDefault="005D7ECD" w:rsidP="005D7ECD">
      <w:pPr>
        <w:pStyle w:val="NormalWeb"/>
      </w:pPr>
      <w:proofErr w:type="spellStart"/>
      <w:r>
        <w:t>Magelsir</w:t>
      </w:r>
      <w:proofErr w:type="spellEnd"/>
      <w:r>
        <w:t xml:space="preserve">, H. M. I. (2016). Heavy metal toxicity—metabolism, absorption, distribution, excretion and mechanism of toxicity for each of the metals. </w:t>
      </w:r>
      <w:r>
        <w:rPr>
          <w:rStyle w:val="Emphasis"/>
        </w:rPr>
        <w:t>World News of Natural Sciences</w:t>
      </w:r>
      <w:r>
        <w:t>, (4), 20–32.</w:t>
      </w:r>
    </w:p>
    <w:p w14:paraId="056D9CD8" w14:textId="77777777" w:rsidR="005D7ECD" w:rsidRDefault="005D7ECD" w:rsidP="005D7ECD">
      <w:pPr>
        <w:pStyle w:val="NormalWeb"/>
      </w:pPr>
      <w:r>
        <w:t>Nigra, A. E., Ruiz-Hernandez, A., Redon, J., Navas-</w:t>
      </w:r>
      <w:proofErr w:type="spellStart"/>
      <w:r>
        <w:t>Acien</w:t>
      </w:r>
      <w:proofErr w:type="spellEnd"/>
      <w:r>
        <w:t xml:space="preserve">, A., &amp; Tellez-Plaza, M. (2016). Environmental metals and cardiovascular disease in adults: A systematic review beyond lead and cadmium. </w:t>
      </w:r>
      <w:r>
        <w:rPr>
          <w:rStyle w:val="Emphasis"/>
        </w:rPr>
        <w:t>Current Environmental Health Reports, 3</w:t>
      </w:r>
      <w:r>
        <w:t>(4), 416–433.</w:t>
      </w:r>
    </w:p>
    <w:p w14:paraId="5926C80F" w14:textId="77777777" w:rsidR="005D7ECD" w:rsidRDefault="005D7ECD" w:rsidP="005D7ECD">
      <w:pPr>
        <w:pStyle w:val="NormalWeb"/>
      </w:pPr>
      <w:r>
        <w:t xml:space="preserve">Okpo, S. O., Ching, F. P., &amp; </w:t>
      </w:r>
      <w:proofErr w:type="spellStart"/>
      <w:r>
        <w:t>Ekeleme</w:t>
      </w:r>
      <w:proofErr w:type="spellEnd"/>
      <w:r>
        <w:t xml:space="preserve">, I. C. (2011). Evaluation of the antidiarrheal activity of the aqueous extract from leaves of </w:t>
      </w:r>
      <w:r>
        <w:rPr>
          <w:rStyle w:val="Emphasis"/>
        </w:rPr>
        <w:t xml:space="preserve">Pterocarpus </w:t>
      </w:r>
      <w:proofErr w:type="spellStart"/>
      <w:r>
        <w:rPr>
          <w:rStyle w:val="Emphasis"/>
        </w:rPr>
        <w:t>santalinoides</w:t>
      </w:r>
      <w:proofErr w:type="spellEnd"/>
      <w:r>
        <w:t xml:space="preserve">. </w:t>
      </w:r>
      <w:r>
        <w:rPr>
          <w:rStyle w:val="Emphasis"/>
        </w:rPr>
        <w:t>Research Journal of Pharmaceutical, Biological and Chemical Sciences, 2</w:t>
      </w:r>
      <w:r>
        <w:t>(3), 590–597.</w:t>
      </w:r>
    </w:p>
    <w:p w14:paraId="3FD5CD21" w14:textId="77777777" w:rsidR="005D7ECD" w:rsidRDefault="005D7ECD" w:rsidP="005D7ECD">
      <w:pPr>
        <w:pStyle w:val="pdq2pgselectionanchorcontainer"/>
      </w:pPr>
      <w:r>
        <w:t xml:space="preserve">Okwuosa, C. N., Unekwe, P. C., Achukwu, P. U., Udeani, T. K. C., &amp; Ogidi, U. H. (2011). Glucose and triglyceride lowering activity of </w:t>
      </w:r>
      <w:r>
        <w:rPr>
          <w:rStyle w:val="Emphasis"/>
        </w:rPr>
        <w:t>Pterocarpus santaniloides</w:t>
      </w:r>
      <w:r>
        <w:t xml:space="preserve"> leaf extracts against dexamethasone-induced hyperlipidemia and insulin resistance in rats. </w:t>
      </w:r>
      <w:r>
        <w:rPr>
          <w:rStyle w:val="Emphasis"/>
        </w:rPr>
        <w:t>African Journal of Biotechnology, 10</w:t>
      </w:r>
      <w:r>
        <w:t xml:space="preserve">(46), 9415–9420. </w:t>
      </w:r>
    </w:p>
    <w:p w14:paraId="082B3120" w14:textId="77777777" w:rsidR="005D7ECD" w:rsidRDefault="005D7ECD" w:rsidP="005D7ECD">
      <w:pPr>
        <w:pStyle w:val="NormalWeb"/>
      </w:pPr>
      <w:proofErr w:type="spellStart"/>
      <w:r>
        <w:t>Olorunnisola</w:t>
      </w:r>
      <w:proofErr w:type="spellEnd"/>
      <w:r>
        <w:t xml:space="preserve">, O. S., Bradley, G., &amp; Afolayan, A. J. (2012). Protective effect of </w:t>
      </w:r>
      <w:r>
        <w:rPr>
          <w:rStyle w:val="Emphasis"/>
        </w:rPr>
        <w:t>T. violacea</w:t>
      </w:r>
      <w:r>
        <w:t xml:space="preserve"> rhizome extract against hypercholesterolemia-induced oxidative stress in Wistar rats. </w:t>
      </w:r>
      <w:r>
        <w:rPr>
          <w:rStyle w:val="Emphasis"/>
        </w:rPr>
        <w:t>Molecules, 17</w:t>
      </w:r>
      <w:r>
        <w:t xml:space="preserve">(5), 6033–6045. </w:t>
      </w:r>
    </w:p>
    <w:p w14:paraId="7C084CB2" w14:textId="77777777" w:rsidR="005D7ECD" w:rsidRDefault="005D7ECD" w:rsidP="005D7ECD">
      <w:pPr>
        <w:pStyle w:val="NormalWeb"/>
      </w:pPr>
      <w:r>
        <w:t xml:space="preserve">Patra, R. C., Rautray, A. K., &amp; Swarup, D. (2011). Oxidative stress in lead and cadmium toxicity and its amelioration. </w:t>
      </w:r>
      <w:r>
        <w:rPr>
          <w:rStyle w:val="Emphasis"/>
        </w:rPr>
        <w:t>Veterinary Medicine International</w:t>
      </w:r>
      <w:r>
        <w:t xml:space="preserve">, 1–9. </w:t>
      </w:r>
    </w:p>
    <w:p w14:paraId="65735215" w14:textId="77777777" w:rsidR="005D7ECD" w:rsidRDefault="005D7ECD" w:rsidP="005D7ECD">
      <w:pPr>
        <w:pStyle w:val="NormalWeb"/>
      </w:pPr>
      <w:r>
        <w:t xml:space="preserve">Ranasinghe, P., </w:t>
      </w:r>
      <w:proofErr w:type="spellStart"/>
      <w:r>
        <w:t>Wathurapatha</w:t>
      </w:r>
      <w:proofErr w:type="spellEnd"/>
      <w:r>
        <w:t xml:space="preserve">, W. S., Ishara, M. H., Jayawardana, R., </w:t>
      </w:r>
      <w:proofErr w:type="spellStart"/>
      <w:r>
        <w:t>Galappatthy</w:t>
      </w:r>
      <w:proofErr w:type="spellEnd"/>
      <w:r>
        <w:t xml:space="preserve">, P., </w:t>
      </w:r>
      <w:proofErr w:type="spellStart"/>
      <w:r>
        <w:t>Katulanda</w:t>
      </w:r>
      <w:proofErr w:type="spellEnd"/>
      <w:r>
        <w:t xml:space="preserve">, P., &amp; Constantine, G. R. (2015). Effects of zinc supplementation on serum lipids: A systematic review and meta-analysis. </w:t>
      </w:r>
      <w:r>
        <w:rPr>
          <w:rStyle w:val="Emphasis"/>
        </w:rPr>
        <w:t>Nutrition &amp; Metabolism, 12</w:t>
      </w:r>
      <w:r>
        <w:t xml:space="preserve">(1), 26. </w:t>
      </w:r>
    </w:p>
    <w:p w14:paraId="1420CE91" w14:textId="77777777" w:rsidR="005D7ECD" w:rsidRDefault="005D7ECD" w:rsidP="005D7ECD">
      <w:pPr>
        <w:pStyle w:val="NormalWeb"/>
      </w:pPr>
      <w:proofErr w:type="spellStart"/>
      <w:r>
        <w:t>Samarghandian</w:t>
      </w:r>
      <w:proofErr w:type="spellEnd"/>
      <w:r>
        <w:t xml:space="preserve">, S., Azimi-Nezhad, M., &amp; Farkhondeh, T. (2015). Protective effects of herbal extracts against cadmium toxicity in biological systems. </w:t>
      </w:r>
      <w:r>
        <w:rPr>
          <w:rStyle w:val="Emphasis"/>
        </w:rPr>
        <w:t>Avicenna Journal of Phytomedicine, 5</w:t>
      </w:r>
      <w:r>
        <w:t>(2), 95–105.</w:t>
      </w:r>
    </w:p>
    <w:p w14:paraId="49A14979" w14:textId="77777777" w:rsidR="005D7ECD" w:rsidRDefault="005D7ECD" w:rsidP="005D7ECD">
      <w:pPr>
        <w:pStyle w:val="NormalWeb"/>
      </w:pPr>
      <w:proofErr w:type="spellStart"/>
      <w:r>
        <w:lastRenderedPageBreak/>
        <w:t>Satarug</w:t>
      </w:r>
      <w:proofErr w:type="spellEnd"/>
      <w:r>
        <w:t xml:space="preserve">, S. (2019). Cadmium sources and toxicity. </w:t>
      </w:r>
      <w:r>
        <w:rPr>
          <w:rStyle w:val="Emphasis"/>
        </w:rPr>
        <w:t>Toxics, 7</w:t>
      </w:r>
      <w:r>
        <w:t>(2), 25.</w:t>
      </w:r>
    </w:p>
    <w:p w14:paraId="4B8C74A8" w14:textId="77777777" w:rsidR="005D7ECD" w:rsidRDefault="005D7ECD" w:rsidP="005D7ECD">
      <w:pPr>
        <w:pStyle w:val="NormalWeb"/>
      </w:pPr>
      <w:proofErr w:type="spellStart"/>
      <w:r>
        <w:t>Sofowora</w:t>
      </w:r>
      <w:proofErr w:type="spellEnd"/>
      <w:r>
        <w:t xml:space="preserve">, A. (2008). </w:t>
      </w:r>
      <w:r>
        <w:rPr>
          <w:rStyle w:val="Emphasis"/>
        </w:rPr>
        <w:t>Medicinal plants and traditional medicine in Africa</w:t>
      </w:r>
      <w:r>
        <w:t xml:space="preserve"> (3rd ed.). Spectrum Books Limited.</w:t>
      </w:r>
    </w:p>
    <w:p w14:paraId="666438BB" w14:textId="77777777" w:rsidR="005D7ECD" w:rsidRDefault="005D7ECD" w:rsidP="005D7ECD">
      <w:pPr>
        <w:pStyle w:val="NormalWeb"/>
      </w:pPr>
      <w:proofErr w:type="spellStart"/>
      <w:r>
        <w:t>Tchounwou</w:t>
      </w:r>
      <w:proofErr w:type="spellEnd"/>
      <w:r>
        <w:t xml:space="preserve">, P. B., </w:t>
      </w:r>
      <w:proofErr w:type="spellStart"/>
      <w:r>
        <w:t>Yedjou</w:t>
      </w:r>
      <w:proofErr w:type="spellEnd"/>
      <w:r>
        <w:t xml:space="preserve">, C. G., Patlolla, A. K., &amp; Sutton, D. J. (2012). Heavy metal toxicity and the environment. </w:t>
      </w:r>
      <w:r>
        <w:rPr>
          <w:rStyle w:val="Emphasis"/>
        </w:rPr>
        <w:t>EXS, 101</w:t>
      </w:r>
      <w:r>
        <w:t>, 133–138.</w:t>
      </w:r>
    </w:p>
    <w:p w14:paraId="2DE146C2" w14:textId="77777777" w:rsidR="005D7ECD" w:rsidRDefault="005D7ECD" w:rsidP="005D7ECD">
      <w:pPr>
        <w:pStyle w:val="NormalWeb"/>
      </w:pPr>
      <w:proofErr w:type="spellStart"/>
      <w:r>
        <w:t>Thevenod</w:t>
      </w:r>
      <w:proofErr w:type="spellEnd"/>
      <w:r>
        <w:t xml:space="preserve">, F. (2009). Cadmium and cellular signaling cascades: Interactions with ROS, mitochondria, and apoptotic pathways. </w:t>
      </w:r>
      <w:r>
        <w:rPr>
          <w:rStyle w:val="Emphasis"/>
        </w:rPr>
        <w:t>Toxicology and Applied Pharmacology, 238</w:t>
      </w:r>
      <w:r>
        <w:t>(3), 221–237.</w:t>
      </w:r>
    </w:p>
    <w:p w14:paraId="36645EBD" w14:textId="77777777" w:rsidR="005D7ECD" w:rsidRDefault="005D7ECD" w:rsidP="005D7ECD">
      <w:pPr>
        <w:pStyle w:val="NormalWeb"/>
      </w:pPr>
      <w:r>
        <w:t>Uchendu, C. N., Iweala, E. J., &amp; Asiedu-</w:t>
      </w:r>
      <w:proofErr w:type="spellStart"/>
      <w:r>
        <w:t>Gyekye</w:t>
      </w:r>
      <w:proofErr w:type="spellEnd"/>
      <w:r>
        <w:t xml:space="preserve">, I. J. (2018). Protective roles of medicinal plants against heavy metal toxicity. </w:t>
      </w:r>
      <w:r>
        <w:rPr>
          <w:rStyle w:val="Emphasis"/>
        </w:rPr>
        <w:t>Journal of Complementary and Integrative Medicine, 15</w:t>
      </w:r>
      <w:r>
        <w:t>(3), 1–12.</w:t>
      </w:r>
    </w:p>
    <w:p w14:paraId="43933F78" w14:textId="77777777" w:rsidR="005D7ECD" w:rsidRDefault="005D7ECD" w:rsidP="005D7ECD">
      <w:pPr>
        <w:pStyle w:val="NormalWeb"/>
      </w:pPr>
      <w:r>
        <w:t xml:space="preserve">Valko, M., Morris, H., &amp; Cronin, M. T. D. (2005). Metals, toxicity and oxidative stress. </w:t>
      </w:r>
      <w:r>
        <w:rPr>
          <w:rStyle w:val="Emphasis"/>
        </w:rPr>
        <w:t>Current Medicinal Chemistry, 12</w:t>
      </w:r>
      <w:r>
        <w:t>(10), 1161–1208.</w:t>
      </w:r>
    </w:p>
    <w:p w14:paraId="02F6AB06" w14:textId="77777777" w:rsidR="005D7ECD" w:rsidRDefault="005D7ECD" w:rsidP="005D7ECD">
      <w:pPr>
        <w:pStyle w:val="NormalWeb"/>
      </w:pPr>
      <w:r>
        <w:t xml:space="preserve">Xu, Z., Weng, Z., Liang, J., Liu, Q., Zhang, X., Xu, J., &amp; Gu, A. (2022). Association between urinary cadmium concentrations and liver function in adolescents. </w:t>
      </w:r>
      <w:r>
        <w:rPr>
          <w:rStyle w:val="Emphasis"/>
        </w:rPr>
        <w:t>Environmental Science and Pollution Research, 29</w:t>
      </w:r>
      <w:r>
        <w:t>(26), 39768–39776.</w:t>
      </w:r>
    </w:p>
    <w:p w14:paraId="4C0BC325" w14:textId="77777777" w:rsidR="00441B6F" w:rsidRDefault="005D7ECD" w:rsidP="00441B6F">
      <w:pPr>
        <w:pStyle w:val="Body"/>
        <w:spacing w:after="0"/>
        <w:jc w:val="left"/>
        <w:rPr>
          <w:rFonts w:ascii="Arial" w:hAnsi="Arial" w:cs="Arial"/>
        </w:rPr>
      </w:pPr>
      <w:r w:rsidRPr="005D7ECD">
        <w:rPr>
          <w:rFonts w:ascii="Arial" w:hAnsi="Arial" w:cs="Arial"/>
        </w:rPr>
        <w:t xml:space="preserve">Lamkarkach, F., </w:t>
      </w:r>
      <w:proofErr w:type="spellStart"/>
      <w:r w:rsidRPr="005D7ECD">
        <w:rPr>
          <w:rFonts w:ascii="Arial" w:hAnsi="Arial" w:cs="Arial"/>
        </w:rPr>
        <w:t>Ougier</w:t>
      </w:r>
      <w:proofErr w:type="spellEnd"/>
      <w:r w:rsidRPr="005D7ECD">
        <w:rPr>
          <w:rFonts w:ascii="Arial" w:hAnsi="Arial" w:cs="Arial"/>
        </w:rPr>
        <w:t xml:space="preserve">, E., Garnier, R., Viau, C., </w:t>
      </w:r>
      <w:proofErr w:type="spellStart"/>
      <w:r w:rsidRPr="005D7ECD">
        <w:rPr>
          <w:rFonts w:ascii="Arial" w:hAnsi="Arial" w:cs="Arial"/>
        </w:rPr>
        <w:t>Kolossa</w:t>
      </w:r>
      <w:proofErr w:type="spellEnd"/>
      <w:r w:rsidRPr="005D7ECD">
        <w:rPr>
          <w:rFonts w:ascii="Arial" w:hAnsi="Arial" w:cs="Arial"/>
        </w:rPr>
        <w:t xml:space="preserve">-Gehring, M., Lange, R., &amp; Apel, P. (2021). Human biomonitoring initiative (HBM4EU): Human biomonitoring guidance values (HBM-GVs) derived for cadmium and its compounds. </w:t>
      </w:r>
      <w:r w:rsidRPr="005D7ECD">
        <w:rPr>
          <w:rFonts w:ascii="Arial" w:hAnsi="Arial" w:cs="Arial"/>
          <w:i/>
          <w:iCs/>
        </w:rPr>
        <w:t>Environment International, 147</w:t>
      </w:r>
      <w:r w:rsidRPr="005D7ECD">
        <w:rPr>
          <w:rFonts w:ascii="Arial" w:hAnsi="Arial" w:cs="Arial"/>
        </w:rPr>
        <w:t xml:space="preserve">, 106337. </w:t>
      </w:r>
      <w:hyperlink r:id="rId14" w:history="1">
        <w:r w:rsidRPr="00685E44">
          <w:rPr>
            <w:rStyle w:val="Hyperlink"/>
            <w:rFonts w:ascii="Arial" w:hAnsi="Arial" w:cs="Arial"/>
          </w:rPr>
          <w:t>https://doi.org/10.1016/j.envint.2020.106337</w:t>
        </w:r>
      </w:hyperlink>
    </w:p>
    <w:p w14:paraId="7A4A4499" w14:textId="77777777" w:rsidR="005D7ECD" w:rsidRDefault="005D7ECD" w:rsidP="00441B6F">
      <w:pPr>
        <w:pStyle w:val="Body"/>
        <w:spacing w:after="0"/>
        <w:jc w:val="left"/>
      </w:pPr>
      <w:proofErr w:type="spellStart"/>
      <w:r>
        <w:t>Anyam</w:t>
      </w:r>
      <w:proofErr w:type="spellEnd"/>
      <w:r>
        <w:t xml:space="preserve">, J. V., </w:t>
      </w:r>
      <w:proofErr w:type="spellStart"/>
      <w:r>
        <w:t>Apaa</w:t>
      </w:r>
      <w:proofErr w:type="spellEnd"/>
      <w:r>
        <w:t xml:space="preserve">, E. I., </w:t>
      </w:r>
      <w:proofErr w:type="spellStart"/>
      <w:r>
        <w:t>Igoli</w:t>
      </w:r>
      <w:proofErr w:type="spellEnd"/>
      <w:r>
        <w:t>, J. O., &amp; Tor-</w:t>
      </w:r>
      <w:proofErr w:type="spellStart"/>
      <w:r>
        <w:t>Anyiin</w:t>
      </w:r>
      <w:proofErr w:type="spellEnd"/>
      <w:r>
        <w:t xml:space="preserve">, T. A. (2025). Isolation and </w:t>
      </w:r>
      <w:proofErr w:type="spellStart"/>
      <w:r>
        <w:t>characterisation</w:t>
      </w:r>
      <w:proofErr w:type="spellEnd"/>
      <w:r>
        <w:t xml:space="preserve"> of bioactive principles from sapwood of </w:t>
      </w:r>
      <w:r>
        <w:rPr>
          <w:rStyle w:val="Emphasis"/>
        </w:rPr>
        <w:t xml:space="preserve">Pterocarpus </w:t>
      </w:r>
      <w:proofErr w:type="spellStart"/>
      <w:r>
        <w:rPr>
          <w:rStyle w:val="Emphasis"/>
        </w:rPr>
        <w:t>santalinoides</w:t>
      </w:r>
      <w:proofErr w:type="spellEnd"/>
      <w:r>
        <w:t xml:space="preserve">. </w:t>
      </w:r>
      <w:r>
        <w:rPr>
          <w:rStyle w:val="Emphasis"/>
        </w:rPr>
        <w:t>Tropical Journal of Natural Product Research, 9</w:t>
      </w:r>
      <w:r>
        <w:t xml:space="preserve">(7), 3225–3229. </w:t>
      </w:r>
      <w:hyperlink r:id="rId15" w:history="1">
        <w:r w:rsidRPr="00685E44">
          <w:rPr>
            <w:rStyle w:val="Hyperlink"/>
          </w:rPr>
          <w:t>https://doi.org/10.26538/tjnpr/v9i7.49</w:t>
        </w:r>
      </w:hyperlink>
    </w:p>
    <w:p w14:paraId="0E36907B" w14:textId="77777777" w:rsidR="005D7ECD" w:rsidRDefault="005D7ECD" w:rsidP="00441B6F">
      <w:pPr>
        <w:pStyle w:val="Body"/>
        <w:spacing w:after="0"/>
        <w:jc w:val="left"/>
        <w:rPr>
          <w:rFonts w:ascii="Arial" w:hAnsi="Arial" w:cs="Arial"/>
        </w:rPr>
      </w:pPr>
      <w:proofErr w:type="spellStart"/>
      <w:r>
        <w:t>Ayéna</w:t>
      </w:r>
      <w:proofErr w:type="spellEnd"/>
      <w:r>
        <w:t xml:space="preserve">, A. C., Anani, K., Dosseh, K., </w:t>
      </w:r>
      <w:proofErr w:type="spellStart"/>
      <w:r>
        <w:t>Agbonon</w:t>
      </w:r>
      <w:proofErr w:type="spellEnd"/>
      <w:r>
        <w:t xml:space="preserve">, A., &amp; </w:t>
      </w:r>
      <w:proofErr w:type="spellStart"/>
      <w:r>
        <w:t>Gbeassor</w:t>
      </w:r>
      <w:proofErr w:type="spellEnd"/>
      <w:r>
        <w:t xml:space="preserve">, M. (2021). Comparative study of antimicrobial, anti-inflammatory, and antioxidant activities of different parts from </w:t>
      </w:r>
      <w:r>
        <w:rPr>
          <w:rStyle w:val="Emphasis"/>
        </w:rPr>
        <w:t xml:space="preserve">Pterocarpus </w:t>
      </w:r>
      <w:proofErr w:type="spellStart"/>
      <w:r>
        <w:rPr>
          <w:rStyle w:val="Emphasis"/>
        </w:rPr>
        <w:t>santalinoides</w:t>
      </w:r>
      <w:proofErr w:type="spellEnd"/>
      <w:r>
        <w:t xml:space="preserve"> </w:t>
      </w:r>
      <w:proofErr w:type="spellStart"/>
      <w:r>
        <w:t>L'Hér</w:t>
      </w:r>
      <w:proofErr w:type="spellEnd"/>
      <w:r>
        <w:t xml:space="preserve">. ex DC. (Fabaceae). </w:t>
      </w:r>
      <w:r>
        <w:rPr>
          <w:rStyle w:val="Emphasis"/>
        </w:rPr>
        <w:t>Evidence-Based Complementary and Alternative Medicine, 2021</w:t>
      </w:r>
      <w:r>
        <w:t>, Article 8938534</w:t>
      </w:r>
    </w:p>
    <w:p w14:paraId="16720DB1" w14:textId="77777777" w:rsidR="00B01FCD" w:rsidRPr="00FB3A86" w:rsidRDefault="00B01FCD" w:rsidP="00441B6F">
      <w:pPr>
        <w:pStyle w:val="Appendix"/>
        <w:spacing w:after="0"/>
        <w:jc w:val="both"/>
        <w:rPr>
          <w:rFonts w:ascii="Arial" w:hAnsi="Arial" w:cs="Arial"/>
          <w:b w:val="0"/>
        </w:rPr>
      </w:pPr>
    </w:p>
    <w:sectPr w:rsidR="00B01FCD" w:rsidRPr="00FB3A86" w:rsidSect="00EA4C8E">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2601B" w14:textId="77777777" w:rsidR="00432586" w:rsidRDefault="00432586" w:rsidP="00C37E61">
      <w:r>
        <w:separator/>
      </w:r>
    </w:p>
  </w:endnote>
  <w:endnote w:type="continuationSeparator" w:id="0">
    <w:p w14:paraId="4041DF7C" w14:textId="77777777" w:rsidR="00432586" w:rsidRDefault="00432586"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50AB" w14:textId="77777777" w:rsidR="00C2677C" w:rsidRDefault="00C267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C1186" w14:textId="77777777" w:rsidR="00C2677C" w:rsidRDefault="00C267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5A7D8" w14:textId="4DAE561D" w:rsidR="00754C9A" w:rsidRPr="00C2677C" w:rsidRDefault="00754C9A" w:rsidP="00C267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29EEA"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69C86" w14:textId="77777777" w:rsidR="00432586" w:rsidRDefault="00432586" w:rsidP="00C37E61">
      <w:r>
        <w:separator/>
      </w:r>
    </w:p>
  </w:footnote>
  <w:footnote w:type="continuationSeparator" w:id="0">
    <w:p w14:paraId="3E17CCF2" w14:textId="77777777" w:rsidR="00432586" w:rsidRDefault="00432586"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5139" w14:textId="43747B1D" w:rsidR="00C2677C" w:rsidRDefault="00C2677C">
    <w:pPr>
      <w:pStyle w:val="Header"/>
    </w:pPr>
    <w:r>
      <w:rPr>
        <w:noProof/>
      </w:rPr>
      <w:pict w14:anchorId="64A25A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094313"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4583C" w14:textId="4E124FEA" w:rsidR="00C2677C" w:rsidRDefault="00C2677C">
    <w:pPr>
      <w:pStyle w:val="Header"/>
    </w:pPr>
    <w:r>
      <w:rPr>
        <w:noProof/>
      </w:rPr>
      <w:pict w14:anchorId="6DD637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094314"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746B" w14:textId="158036E9" w:rsidR="00296529" w:rsidRPr="00296529" w:rsidRDefault="00C2677C" w:rsidP="00296529">
    <w:pPr>
      <w:ind w:left="2160"/>
      <w:jc w:val="center"/>
      <w:rPr>
        <w:rFonts w:ascii="Times New Roman" w:eastAsia="Calibri" w:hAnsi="Times New Roman"/>
        <w:i/>
        <w:sz w:val="18"/>
        <w:szCs w:val="22"/>
      </w:rPr>
    </w:pPr>
    <w:r>
      <w:rPr>
        <w:noProof/>
      </w:rPr>
      <w:pict w14:anchorId="231270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094312"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81F310C"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4FA95CB8"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F56E400"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3758FB8"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01756C4"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A687DA2"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C7855" w14:textId="0AF733F6" w:rsidR="00C2677C" w:rsidRDefault="00C2677C">
    <w:pPr>
      <w:pStyle w:val="Header"/>
    </w:pPr>
    <w:r>
      <w:rPr>
        <w:noProof/>
      </w:rPr>
      <w:pict w14:anchorId="71B6C0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094316"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307BD0D">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8E804" w14:textId="69442F8A" w:rsidR="00C2677C" w:rsidRDefault="00C2677C">
    <w:pPr>
      <w:pStyle w:val="Header"/>
    </w:pPr>
    <w:r>
      <w:rPr>
        <w:noProof/>
      </w:rPr>
      <w:pict w14:anchorId="43F000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094317"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739E0313">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8A98" w14:textId="16C1096F" w:rsidR="00C2677C" w:rsidRPr="00296529" w:rsidRDefault="00C2677C" w:rsidP="00296529">
    <w:pPr>
      <w:ind w:left="2160"/>
      <w:jc w:val="center"/>
      <w:rPr>
        <w:rFonts w:ascii="Times New Roman" w:eastAsia="Calibri" w:hAnsi="Times New Roman"/>
        <w:i/>
        <w:sz w:val="18"/>
        <w:szCs w:val="22"/>
      </w:rPr>
    </w:pPr>
    <w:r>
      <w:rPr>
        <w:noProof/>
      </w:rPr>
      <w:pict w14:anchorId="07E27C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094315"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F6CBA07">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69B699D8" w14:textId="77777777" w:rsidR="00C2677C" w:rsidRPr="00296529" w:rsidRDefault="00C2677C"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D38EF41" w14:textId="77777777" w:rsidR="00C2677C" w:rsidRPr="00296529" w:rsidRDefault="00C2677C"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C3F46CA" w14:textId="77777777" w:rsidR="00C2677C" w:rsidRPr="00296529" w:rsidRDefault="00C2677C"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28B7360" w14:textId="77777777" w:rsidR="00C2677C" w:rsidRDefault="00C2677C"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AD5E200" w14:textId="77777777" w:rsidR="00C2677C" w:rsidRDefault="00C2677C"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A4BCF59" w14:textId="77777777" w:rsidR="00C2677C" w:rsidRDefault="00C2677C">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50397479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295331561">
    <w:abstractNumId w:val="15"/>
  </w:num>
  <w:num w:numId="3" w16cid:durableId="1711607412">
    <w:abstractNumId w:val="23"/>
  </w:num>
  <w:num w:numId="4" w16cid:durableId="12373597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980256355">
    <w:abstractNumId w:val="7"/>
  </w:num>
  <w:num w:numId="6" w16cid:durableId="1802654464">
    <w:abstractNumId w:val="6"/>
  </w:num>
  <w:num w:numId="7" w16cid:durableId="1687051853">
    <w:abstractNumId w:val="1"/>
  </w:num>
  <w:num w:numId="8" w16cid:durableId="258491740">
    <w:abstractNumId w:val="12"/>
  </w:num>
  <w:num w:numId="9" w16cid:durableId="149366082">
    <w:abstractNumId w:val="25"/>
  </w:num>
  <w:num w:numId="10" w16cid:durableId="212812816">
    <w:abstractNumId w:val="2"/>
  </w:num>
  <w:num w:numId="11" w16cid:durableId="1416785345">
    <w:abstractNumId w:val="18"/>
  </w:num>
  <w:num w:numId="12" w16cid:durableId="555626917">
    <w:abstractNumId w:val="3"/>
  </w:num>
  <w:num w:numId="13" w16cid:durableId="705301312">
    <w:abstractNumId w:val="17"/>
  </w:num>
  <w:num w:numId="14" w16cid:durableId="1972906292">
    <w:abstractNumId w:val="8"/>
  </w:num>
  <w:num w:numId="15" w16cid:durableId="2041199993">
    <w:abstractNumId w:val="21"/>
  </w:num>
  <w:num w:numId="16" w16cid:durableId="51003067">
    <w:abstractNumId w:val="5"/>
  </w:num>
  <w:num w:numId="17" w16cid:durableId="1946646075">
    <w:abstractNumId w:val="22"/>
  </w:num>
  <w:num w:numId="18" w16cid:durableId="1407340237">
    <w:abstractNumId w:val="14"/>
  </w:num>
  <w:num w:numId="19" w16cid:durableId="2028022109">
    <w:abstractNumId w:val="28"/>
  </w:num>
  <w:num w:numId="20" w16cid:durableId="702369576">
    <w:abstractNumId w:val="11"/>
  </w:num>
  <w:num w:numId="21" w16cid:durableId="514657678">
    <w:abstractNumId w:val="9"/>
  </w:num>
  <w:num w:numId="22" w16cid:durableId="519399138">
    <w:abstractNumId w:val="13"/>
  </w:num>
  <w:num w:numId="23" w16cid:durableId="1768883929">
    <w:abstractNumId w:val="19"/>
  </w:num>
  <w:num w:numId="24" w16cid:durableId="2073379817">
    <w:abstractNumId w:val="26"/>
  </w:num>
  <w:num w:numId="25" w16cid:durableId="2136410277">
    <w:abstractNumId w:val="4"/>
  </w:num>
  <w:num w:numId="26" w16cid:durableId="1894147969">
    <w:abstractNumId w:val="16"/>
  </w:num>
  <w:num w:numId="27" w16cid:durableId="1250307598">
    <w:abstractNumId w:val="20"/>
  </w:num>
  <w:num w:numId="28" w16cid:durableId="1641030409">
    <w:abstractNumId w:val="27"/>
  </w:num>
  <w:num w:numId="29" w16cid:durableId="871461258">
    <w:abstractNumId w:val="24"/>
  </w:num>
  <w:num w:numId="30" w16cid:durableId="4693727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A47FA"/>
    <w:rsid w:val="000A65D3"/>
    <w:rsid w:val="000B1E33"/>
    <w:rsid w:val="000D689F"/>
    <w:rsid w:val="000E7B7B"/>
    <w:rsid w:val="000E7D62"/>
    <w:rsid w:val="00103357"/>
    <w:rsid w:val="00123C9F"/>
    <w:rsid w:val="00126190"/>
    <w:rsid w:val="00130F17"/>
    <w:rsid w:val="001320BF"/>
    <w:rsid w:val="00163BC4"/>
    <w:rsid w:val="00191062"/>
    <w:rsid w:val="00191FC8"/>
    <w:rsid w:val="00192B72"/>
    <w:rsid w:val="001A29D8"/>
    <w:rsid w:val="001A5CAA"/>
    <w:rsid w:val="001B0427"/>
    <w:rsid w:val="001D3A51"/>
    <w:rsid w:val="001E10D2"/>
    <w:rsid w:val="001E25B4"/>
    <w:rsid w:val="001E44FE"/>
    <w:rsid w:val="00200595"/>
    <w:rsid w:val="00204835"/>
    <w:rsid w:val="00231920"/>
    <w:rsid w:val="0023195C"/>
    <w:rsid w:val="00241831"/>
    <w:rsid w:val="0024282C"/>
    <w:rsid w:val="002460DC"/>
    <w:rsid w:val="00250985"/>
    <w:rsid w:val="002556F6"/>
    <w:rsid w:val="002770DC"/>
    <w:rsid w:val="00283105"/>
    <w:rsid w:val="00284C4C"/>
    <w:rsid w:val="00287E68"/>
    <w:rsid w:val="00296529"/>
    <w:rsid w:val="002B27FB"/>
    <w:rsid w:val="002B685A"/>
    <w:rsid w:val="002C57D2"/>
    <w:rsid w:val="002E0D56"/>
    <w:rsid w:val="00315186"/>
    <w:rsid w:val="0033343E"/>
    <w:rsid w:val="00335E4D"/>
    <w:rsid w:val="003512C2"/>
    <w:rsid w:val="00371FB6"/>
    <w:rsid w:val="003763C1"/>
    <w:rsid w:val="00376BBE"/>
    <w:rsid w:val="0039224F"/>
    <w:rsid w:val="003A43A4"/>
    <w:rsid w:val="003A7E18"/>
    <w:rsid w:val="003C4C86"/>
    <w:rsid w:val="003C6258"/>
    <w:rsid w:val="003E2904"/>
    <w:rsid w:val="00401927"/>
    <w:rsid w:val="0041027F"/>
    <w:rsid w:val="00412475"/>
    <w:rsid w:val="00423789"/>
    <w:rsid w:val="00432586"/>
    <w:rsid w:val="00440F43"/>
    <w:rsid w:val="00441B6F"/>
    <w:rsid w:val="00446221"/>
    <w:rsid w:val="00450E62"/>
    <w:rsid w:val="004539DB"/>
    <w:rsid w:val="00471A80"/>
    <w:rsid w:val="004D305E"/>
    <w:rsid w:val="004D4277"/>
    <w:rsid w:val="004F3DAF"/>
    <w:rsid w:val="00502516"/>
    <w:rsid w:val="0050343D"/>
    <w:rsid w:val="00505F06"/>
    <w:rsid w:val="00506828"/>
    <w:rsid w:val="0053056E"/>
    <w:rsid w:val="0055123A"/>
    <w:rsid w:val="00554FDA"/>
    <w:rsid w:val="005A5B4D"/>
    <w:rsid w:val="005C784C"/>
    <w:rsid w:val="005D17F6"/>
    <w:rsid w:val="005D7ECD"/>
    <w:rsid w:val="005E5539"/>
    <w:rsid w:val="005F50B1"/>
    <w:rsid w:val="00602BF5"/>
    <w:rsid w:val="006044A6"/>
    <w:rsid w:val="00617FDD"/>
    <w:rsid w:val="00633614"/>
    <w:rsid w:val="00633F68"/>
    <w:rsid w:val="00636EB2"/>
    <w:rsid w:val="006375B8"/>
    <w:rsid w:val="0066510A"/>
    <w:rsid w:val="00670BD4"/>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D5DA0"/>
    <w:rsid w:val="007E088F"/>
    <w:rsid w:val="007F7B32"/>
    <w:rsid w:val="00804BC2"/>
    <w:rsid w:val="0081431A"/>
    <w:rsid w:val="0083216F"/>
    <w:rsid w:val="008475B0"/>
    <w:rsid w:val="00860000"/>
    <w:rsid w:val="00863BD3"/>
    <w:rsid w:val="008641ED"/>
    <w:rsid w:val="00866D66"/>
    <w:rsid w:val="008671C6"/>
    <w:rsid w:val="00875803"/>
    <w:rsid w:val="008A496A"/>
    <w:rsid w:val="008B459E"/>
    <w:rsid w:val="008E13AE"/>
    <w:rsid w:val="008E1506"/>
    <w:rsid w:val="008E710C"/>
    <w:rsid w:val="008F69D6"/>
    <w:rsid w:val="00902823"/>
    <w:rsid w:val="00915CA6"/>
    <w:rsid w:val="00921B1D"/>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2758"/>
    <w:rsid w:val="00AA6219"/>
    <w:rsid w:val="00AA74E0"/>
    <w:rsid w:val="00AB703F"/>
    <w:rsid w:val="00AC6BB8"/>
    <w:rsid w:val="00AE008F"/>
    <w:rsid w:val="00B01FCD"/>
    <w:rsid w:val="00B1776C"/>
    <w:rsid w:val="00B40AD6"/>
    <w:rsid w:val="00B52583"/>
    <w:rsid w:val="00B52896"/>
    <w:rsid w:val="00B95236"/>
    <w:rsid w:val="00B96BD9"/>
    <w:rsid w:val="00BA1B01"/>
    <w:rsid w:val="00BA2641"/>
    <w:rsid w:val="00BB37AA"/>
    <w:rsid w:val="00BB4C46"/>
    <w:rsid w:val="00BC53A0"/>
    <w:rsid w:val="00BE62AD"/>
    <w:rsid w:val="00BF121F"/>
    <w:rsid w:val="00BF1F80"/>
    <w:rsid w:val="00C166EF"/>
    <w:rsid w:val="00C17EB0"/>
    <w:rsid w:val="00C2677C"/>
    <w:rsid w:val="00C27F5F"/>
    <w:rsid w:val="00C30A0F"/>
    <w:rsid w:val="00C37E61"/>
    <w:rsid w:val="00C70F1B"/>
    <w:rsid w:val="00C71A47"/>
    <w:rsid w:val="00C7464C"/>
    <w:rsid w:val="00C85110"/>
    <w:rsid w:val="00C85588"/>
    <w:rsid w:val="00CB2F38"/>
    <w:rsid w:val="00CD6755"/>
    <w:rsid w:val="00CD6856"/>
    <w:rsid w:val="00CE0089"/>
    <w:rsid w:val="00CE793C"/>
    <w:rsid w:val="00CF193C"/>
    <w:rsid w:val="00D173F1"/>
    <w:rsid w:val="00D74CB0"/>
    <w:rsid w:val="00D8295D"/>
    <w:rsid w:val="00DC2A65"/>
    <w:rsid w:val="00DE15F0"/>
    <w:rsid w:val="00DE5663"/>
    <w:rsid w:val="00DE78AA"/>
    <w:rsid w:val="00E0273A"/>
    <w:rsid w:val="00E053D0"/>
    <w:rsid w:val="00E15994"/>
    <w:rsid w:val="00E3114E"/>
    <w:rsid w:val="00E31A70"/>
    <w:rsid w:val="00E35B02"/>
    <w:rsid w:val="00E66496"/>
    <w:rsid w:val="00E66B35"/>
    <w:rsid w:val="00E66E10"/>
    <w:rsid w:val="00E769F6"/>
    <w:rsid w:val="00E8407C"/>
    <w:rsid w:val="00E84F3C"/>
    <w:rsid w:val="00EA012C"/>
    <w:rsid w:val="00EA4C8E"/>
    <w:rsid w:val="00EA7300"/>
    <w:rsid w:val="00EC6A55"/>
    <w:rsid w:val="00ED0288"/>
    <w:rsid w:val="00ED7A10"/>
    <w:rsid w:val="00EE52CB"/>
    <w:rsid w:val="00EF581D"/>
    <w:rsid w:val="00EF7FD8"/>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728BDF"/>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unhideWhenUsed/>
    <w:qFormat/>
    <w:rsid w:val="0050343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50343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rsid w:val="0050343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50343D"/>
    <w:rPr>
      <w:rFonts w:asciiTheme="majorHAnsi" w:eastAsiaTheme="majorEastAsia" w:hAnsiTheme="majorHAnsi" w:cstheme="majorBidi"/>
      <w:i/>
      <w:iCs/>
      <w:color w:val="365F91" w:themeColor="accent1" w:themeShade="BF"/>
    </w:rPr>
  </w:style>
  <w:style w:type="paragraph" w:styleId="NormalWeb">
    <w:name w:val="Normal (Web)"/>
    <w:basedOn w:val="Normal"/>
    <w:uiPriority w:val="99"/>
    <w:unhideWhenUsed/>
    <w:rsid w:val="0050343D"/>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50343D"/>
    <w:rPr>
      <w:b/>
      <w:bCs/>
    </w:rPr>
  </w:style>
  <w:style w:type="paragraph" w:customStyle="1" w:styleId="pdq2pgselectionanchorcontainer">
    <w:name w:val="pdq2pg_selectionanchorcontainer"/>
    <w:basedOn w:val="Normal"/>
    <w:rsid w:val="005D7ECD"/>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31365731">
      <w:bodyDiv w:val="1"/>
      <w:marLeft w:val="0"/>
      <w:marRight w:val="0"/>
      <w:marTop w:val="0"/>
      <w:marBottom w:val="0"/>
      <w:divBdr>
        <w:top w:val="none" w:sz="0" w:space="0" w:color="auto"/>
        <w:left w:val="none" w:sz="0" w:space="0" w:color="auto"/>
        <w:bottom w:val="none" w:sz="0" w:space="0" w:color="auto"/>
        <w:right w:val="none" w:sz="0" w:space="0" w:color="auto"/>
      </w:divBdr>
    </w:div>
    <w:div w:id="1137603409">
      <w:bodyDiv w:val="1"/>
      <w:marLeft w:val="0"/>
      <w:marRight w:val="0"/>
      <w:marTop w:val="0"/>
      <w:marBottom w:val="0"/>
      <w:divBdr>
        <w:top w:val="none" w:sz="0" w:space="0" w:color="auto"/>
        <w:left w:val="none" w:sz="0" w:space="0" w:color="auto"/>
        <w:bottom w:val="none" w:sz="0" w:space="0" w:color="auto"/>
        <w:right w:val="none" w:sz="0" w:space="0" w:color="auto"/>
      </w:divBdr>
    </w:div>
    <w:div w:id="1190991931">
      <w:bodyDiv w:val="1"/>
      <w:marLeft w:val="0"/>
      <w:marRight w:val="0"/>
      <w:marTop w:val="0"/>
      <w:marBottom w:val="0"/>
      <w:divBdr>
        <w:top w:val="none" w:sz="0" w:space="0" w:color="auto"/>
        <w:left w:val="none" w:sz="0" w:space="0" w:color="auto"/>
        <w:bottom w:val="none" w:sz="0" w:space="0" w:color="auto"/>
        <w:right w:val="none" w:sz="0" w:space="0" w:color="auto"/>
      </w:divBdr>
      <w:divsChild>
        <w:div w:id="2145928115">
          <w:marLeft w:val="0"/>
          <w:marRight w:val="0"/>
          <w:marTop w:val="0"/>
          <w:marBottom w:val="0"/>
          <w:divBdr>
            <w:top w:val="none" w:sz="0" w:space="0" w:color="auto"/>
            <w:left w:val="none" w:sz="0" w:space="0" w:color="auto"/>
            <w:bottom w:val="none" w:sz="0" w:space="0" w:color="auto"/>
            <w:right w:val="none" w:sz="0" w:space="0" w:color="auto"/>
          </w:divBdr>
          <w:divsChild>
            <w:div w:id="403646033">
              <w:marLeft w:val="0"/>
              <w:marRight w:val="0"/>
              <w:marTop w:val="0"/>
              <w:marBottom w:val="0"/>
              <w:divBdr>
                <w:top w:val="none" w:sz="0" w:space="0" w:color="auto"/>
                <w:left w:val="none" w:sz="0" w:space="0" w:color="auto"/>
                <w:bottom w:val="none" w:sz="0" w:space="0" w:color="auto"/>
                <w:right w:val="none" w:sz="0" w:space="0" w:color="auto"/>
              </w:divBdr>
              <w:divsChild>
                <w:div w:id="238172792">
                  <w:marLeft w:val="0"/>
                  <w:marRight w:val="0"/>
                  <w:marTop w:val="0"/>
                  <w:marBottom w:val="0"/>
                  <w:divBdr>
                    <w:top w:val="none" w:sz="0" w:space="0" w:color="auto"/>
                    <w:left w:val="none" w:sz="0" w:space="0" w:color="auto"/>
                    <w:bottom w:val="none" w:sz="0" w:space="0" w:color="auto"/>
                    <w:right w:val="none" w:sz="0" w:space="0" w:color="auto"/>
                  </w:divBdr>
                  <w:divsChild>
                    <w:div w:id="912853797">
                      <w:marLeft w:val="0"/>
                      <w:marRight w:val="0"/>
                      <w:marTop w:val="0"/>
                      <w:marBottom w:val="0"/>
                      <w:divBdr>
                        <w:top w:val="none" w:sz="0" w:space="0" w:color="auto"/>
                        <w:left w:val="none" w:sz="0" w:space="0" w:color="auto"/>
                        <w:bottom w:val="none" w:sz="0" w:space="0" w:color="auto"/>
                        <w:right w:val="none" w:sz="0" w:space="0" w:color="auto"/>
                      </w:divBdr>
                      <w:divsChild>
                        <w:div w:id="1200318412">
                          <w:marLeft w:val="0"/>
                          <w:marRight w:val="0"/>
                          <w:marTop w:val="0"/>
                          <w:marBottom w:val="0"/>
                          <w:divBdr>
                            <w:top w:val="none" w:sz="0" w:space="0" w:color="auto"/>
                            <w:left w:val="none" w:sz="0" w:space="0" w:color="auto"/>
                            <w:bottom w:val="none" w:sz="0" w:space="0" w:color="auto"/>
                            <w:right w:val="none" w:sz="0" w:space="0" w:color="auto"/>
                          </w:divBdr>
                          <w:divsChild>
                            <w:div w:id="1450202767">
                              <w:marLeft w:val="0"/>
                              <w:marRight w:val="0"/>
                              <w:marTop w:val="0"/>
                              <w:marBottom w:val="0"/>
                              <w:divBdr>
                                <w:top w:val="none" w:sz="0" w:space="0" w:color="auto"/>
                                <w:left w:val="none" w:sz="0" w:space="0" w:color="auto"/>
                                <w:bottom w:val="none" w:sz="0" w:space="0" w:color="auto"/>
                                <w:right w:val="none" w:sz="0" w:space="0" w:color="auto"/>
                              </w:divBdr>
                              <w:divsChild>
                                <w:div w:id="1021511125">
                                  <w:marLeft w:val="0"/>
                                  <w:marRight w:val="0"/>
                                  <w:marTop w:val="0"/>
                                  <w:marBottom w:val="0"/>
                                  <w:divBdr>
                                    <w:top w:val="none" w:sz="0" w:space="0" w:color="auto"/>
                                    <w:left w:val="none" w:sz="0" w:space="0" w:color="auto"/>
                                    <w:bottom w:val="none" w:sz="0" w:space="0" w:color="auto"/>
                                    <w:right w:val="none" w:sz="0" w:space="0" w:color="auto"/>
                                  </w:divBdr>
                                  <w:divsChild>
                                    <w:div w:id="142661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7464813">
      <w:bodyDiv w:val="1"/>
      <w:marLeft w:val="0"/>
      <w:marRight w:val="0"/>
      <w:marTop w:val="0"/>
      <w:marBottom w:val="0"/>
      <w:divBdr>
        <w:top w:val="none" w:sz="0" w:space="0" w:color="auto"/>
        <w:left w:val="none" w:sz="0" w:space="0" w:color="auto"/>
        <w:bottom w:val="none" w:sz="0" w:space="0" w:color="auto"/>
        <w:right w:val="none" w:sz="0" w:space="0" w:color="auto"/>
      </w:divBdr>
      <w:divsChild>
        <w:div w:id="1186140877">
          <w:marLeft w:val="0"/>
          <w:marRight w:val="0"/>
          <w:marTop w:val="0"/>
          <w:marBottom w:val="0"/>
          <w:divBdr>
            <w:top w:val="none" w:sz="0" w:space="0" w:color="auto"/>
            <w:left w:val="none" w:sz="0" w:space="0" w:color="auto"/>
            <w:bottom w:val="none" w:sz="0" w:space="0" w:color="auto"/>
            <w:right w:val="none" w:sz="0" w:space="0" w:color="auto"/>
          </w:divBdr>
          <w:divsChild>
            <w:div w:id="926307739">
              <w:marLeft w:val="0"/>
              <w:marRight w:val="0"/>
              <w:marTop w:val="0"/>
              <w:marBottom w:val="0"/>
              <w:divBdr>
                <w:top w:val="none" w:sz="0" w:space="0" w:color="auto"/>
                <w:left w:val="none" w:sz="0" w:space="0" w:color="auto"/>
                <w:bottom w:val="none" w:sz="0" w:space="0" w:color="auto"/>
                <w:right w:val="none" w:sz="0" w:space="0" w:color="auto"/>
              </w:divBdr>
              <w:divsChild>
                <w:div w:id="1419011988">
                  <w:marLeft w:val="0"/>
                  <w:marRight w:val="0"/>
                  <w:marTop w:val="0"/>
                  <w:marBottom w:val="0"/>
                  <w:divBdr>
                    <w:top w:val="none" w:sz="0" w:space="0" w:color="auto"/>
                    <w:left w:val="none" w:sz="0" w:space="0" w:color="auto"/>
                    <w:bottom w:val="none" w:sz="0" w:space="0" w:color="auto"/>
                    <w:right w:val="none" w:sz="0" w:space="0" w:color="auto"/>
                  </w:divBdr>
                  <w:divsChild>
                    <w:div w:id="20667144">
                      <w:marLeft w:val="0"/>
                      <w:marRight w:val="0"/>
                      <w:marTop w:val="0"/>
                      <w:marBottom w:val="0"/>
                      <w:divBdr>
                        <w:top w:val="none" w:sz="0" w:space="0" w:color="auto"/>
                        <w:left w:val="none" w:sz="0" w:space="0" w:color="auto"/>
                        <w:bottom w:val="none" w:sz="0" w:space="0" w:color="auto"/>
                        <w:right w:val="none" w:sz="0" w:space="0" w:color="auto"/>
                      </w:divBdr>
                      <w:divsChild>
                        <w:div w:id="1036733645">
                          <w:marLeft w:val="0"/>
                          <w:marRight w:val="0"/>
                          <w:marTop w:val="0"/>
                          <w:marBottom w:val="0"/>
                          <w:divBdr>
                            <w:top w:val="none" w:sz="0" w:space="0" w:color="auto"/>
                            <w:left w:val="none" w:sz="0" w:space="0" w:color="auto"/>
                            <w:bottom w:val="none" w:sz="0" w:space="0" w:color="auto"/>
                            <w:right w:val="none" w:sz="0" w:space="0" w:color="auto"/>
                          </w:divBdr>
                          <w:divsChild>
                            <w:div w:id="417755135">
                              <w:marLeft w:val="0"/>
                              <w:marRight w:val="0"/>
                              <w:marTop w:val="0"/>
                              <w:marBottom w:val="0"/>
                              <w:divBdr>
                                <w:top w:val="none" w:sz="0" w:space="0" w:color="auto"/>
                                <w:left w:val="none" w:sz="0" w:space="0" w:color="auto"/>
                                <w:bottom w:val="none" w:sz="0" w:space="0" w:color="auto"/>
                                <w:right w:val="none" w:sz="0" w:space="0" w:color="auto"/>
                              </w:divBdr>
                              <w:divsChild>
                                <w:div w:id="135923336">
                                  <w:marLeft w:val="0"/>
                                  <w:marRight w:val="0"/>
                                  <w:marTop w:val="0"/>
                                  <w:marBottom w:val="0"/>
                                  <w:divBdr>
                                    <w:top w:val="none" w:sz="0" w:space="0" w:color="auto"/>
                                    <w:left w:val="none" w:sz="0" w:space="0" w:color="auto"/>
                                    <w:bottom w:val="none" w:sz="0" w:space="0" w:color="auto"/>
                                    <w:right w:val="none" w:sz="0" w:space="0" w:color="auto"/>
                                  </w:divBdr>
                                  <w:divsChild>
                                    <w:div w:id="27271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7337650">
      <w:bodyDiv w:val="1"/>
      <w:marLeft w:val="0"/>
      <w:marRight w:val="0"/>
      <w:marTop w:val="0"/>
      <w:marBottom w:val="0"/>
      <w:divBdr>
        <w:top w:val="none" w:sz="0" w:space="0" w:color="auto"/>
        <w:left w:val="none" w:sz="0" w:space="0" w:color="auto"/>
        <w:bottom w:val="none" w:sz="0" w:space="0" w:color="auto"/>
        <w:right w:val="none" w:sz="0" w:space="0" w:color="auto"/>
      </w:divBdr>
    </w:div>
    <w:div w:id="160453276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19695830">
      <w:bodyDiv w:val="1"/>
      <w:marLeft w:val="0"/>
      <w:marRight w:val="0"/>
      <w:marTop w:val="0"/>
      <w:marBottom w:val="0"/>
      <w:divBdr>
        <w:top w:val="none" w:sz="0" w:space="0" w:color="auto"/>
        <w:left w:val="none" w:sz="0" w:space="0" w:color="auto"/>
        <w:bottom w:val="none" w:sz="0" w:space="0" w:color="auto"/>
        <w:right w:val="none" w:sz="0" w:space="0" w:color="auto"/>
      </w:divBdr>
    </w:div>
    <w:div w:id="211335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26538/tjnpr/v9i7.49" TargetMode="Externa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envint.2020.10633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0F71E-C636-43FA-B9B8-406447297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156</TotalTime>
  <Pages>14</Pages>
  <Words>4960</Words>
  <Characters>28277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33171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10</cp:revision>
  <cp:lastPrinted>1999-07-06T11:00:00Z</cp:lastPrinted>
  <dcterms:created xsi:type="dcterms:W3CDTF">2026-09-03T05:51:00Z</dcterms:created>
  <dcterms:modified xsi:type="dcterms:W3CDTF">2026-09-04T11:30:00Z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9453e6fc-f7ee-45d1-aa31-821130a32d77</vt:lpwstr>
  </property>
</Properties>
</file>