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0C5C5" w14:textId="77777777" w:rsidR="001D665B" w:rsidRPr="00883413" w:rsidRDefault="001D665B" w:rsidP="00B80458">
      <w:pPr>
        <w:spacing w:line="360" w:lineRule="auto"/>
        <w:jc w:val="both"/>
        <w:rPr>
          <w:rFonts w:ascii="Times New Roman" w:hAnsi="Times New Roman" w:cs="Times New Roman"/>
          <w:lang w:val="en-US"/>
        </w:rPr>
      </w:pPr>
      <w:proofErr w:type="spellStart"/>
      <w:r w:rsidRPr="00B80458">
        <w:rPr>
          <w:rFonts w:ascii="Times New Roman" w:hAnsi="Times New Roman" w:cs="Times New Roman"/>
          <w:i/>
          <w:iCs/>
          <w:lang w:val="en-US"/>
        </w:rPr>
        <w:t>Leptadenia</w:t>
      </w:r>
      <w:proofErr w:type="spellEnd"/>
      <w:r w:rsidRPr="00B80458">
        <w:rPr>
          <w:rFonts w:ascii="Times New Roman" w:hAnsi="Times New Roman" w:cs="Times New Roman"/>
          <w:i/>
          <w:iCs/>
          <w:lang w:val="en-US"/>
        </w:rPr>
        <w:t xml:space="preserve"> hastata</w:t>
      </w:r>
      <w:r w:rsidRPr="00883413">
        <w:rPr>
          <w:rFonts w:ascii="Times New Roman" w:hAnsi="Times New Roman" w:cs="Times New Roman"/>
          <w:lang w:val="en-US"/>
        </w:rPr>
        <w:t xml:space="preserve"> and </w:t>
      </w:r>
      <w:proofErr w:type="spellStart"/>
      <w:r w:rsidRPr="00B80458">
        <w:rPr>
          <w:rFonts w:ascii="Times New Roman" w:hAnsi="Times New Roman" w:cs="Times New Roman"/>
          <w:i/>
          <w:iCs/>
          <w:lang w:val="en-US"/>
        </w:rPr>
        <w:t>Sclerocarya</w:t>
      </w:r>
      <w:proofErr w:type="spellEnd"/>
      <w:r w:rsidRPr="00B80458">
        <w:rPr>
          <w:rFonts w:ascii="Times New Roman" w:hAnsi="Times New Roman" w:cs="Times New Roman"/>
          <w:i/>
          <w:iCs/>
          <w:lang w:val="en-US"/>
        </w:rPr>
        <w:t xml:space="preserve"> </w:t>
      </w:r>
      <w:proofErr w:type="spellStart"/>
      <w:r w:rsidRPr="00B80458">
        <w:rPr>
          <w:rFonts w:ascii="Times New Roman" w:hAnsi="Times New Roman" w:cs="Times New Roman"/>
          <w:i/>
          <w:iCs/>
          <w:lang w:val="en-US"/>
        </w:rPr>
        <w:t>birrea</w:t>
      </w:r>
      <w:proofErr w:type="spellEnd"/>
      <w:r w:rsidRPr="00883413">
        <w:rPr>
          <w:rFonts w:ascii="Times New Roman" w:hAnsi="Times New Roman" w:cs="Times New Roman"/>
          <w:lang w:val="en-US"/>
        </w:rPr>
        <w:t>: Ethnobotany, Phytochemical Profile, and Antioxidant Potential in the Traditional Management of Diabetes</w:t>
      </w:r>
    </w:p>
    <w:p w14:paraId="6ACFE803" w14:textId="081771C2" w:rsidR="001D665B" w:rsidRDefault="001D665B" w:rsidP="00B80458">
      <w:pPr>
        <w:spacing w:line="360" w:lineRule="auto"/>
        <w:jc w:val="both"/>
        <w:rPr>
          <w:rFonts w:ascii="Times New Roman" w:hAnsi="Times New Roman" w:cs="Times New Roman"/>
          <w:lang w:val="en-US"/>
        </w:rPr>
      </w:pPr>
    </w:p>
    <w:p w14:paraId="3A78F0A6" w14:textId="77777777" w:rsidR="00B80458" w:rsidRPr="00883413" w:rsidRDefault="00B80458" w:rsidP="00B80458">
      <w:pPr>
        <w:spacing w:line="360" w:lineRule="auto"/>
        <w:jc w:val="both"/>
        <w:rPr>
          <w:rFonts w:ascii="Times New Roman" w:hAnsi="Times New Roman" w:cs="Times New Roman"/>
          <w:lang w:val="en-US"/>
        </w:rPr>
      </w:pPr>
    </w:p>
    <w:p w14:paraId="4504A5F0" w14:textId="77777777" w:rsidR="001D665B" w:rsidRPr="00883413" w:rsidRDefault="001D665B"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Abstract</w:t>
      </w:r>
    </w:p>
    <w:p w14:paraId="5E5EC2ED" w14:textId="77777777" w:rsidR="001D665B" w:rsidRPr="00883413" w:rsidRDefault="001D665B"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Background: Type 2 diabetes is a public health problem. The objective of this study was to conduct an ethnobotanical survey to identify traditional herbal remedies used in the management of diabetes mellitus and to evaluate their phytochemical composition and antioxidant activity.</w:t>
      </w:r>
    </w:p>
    <w:p w14:paraId="7468D6A9" w14:textId="77777777" w:rsidR="001D665B" w:rsidRPr="00883413" w:rsidRDefault="001D665B"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Methodology: To this end, a questionnaire was used to collect sociodemographic and ethnopharmacological data from traditional healers. Following this survey, two species were selected based on the frequency of mention for further study. The content of phenolics, total flavonoids, ascorbic acid, and total sugars in the ethanolic macerates was determined using the Folin-Ciocalteu reagent, aluminum trichloride, potassium permanganate, and sulfuric acid methods, respectively. Similarly, the antioxidant activity of the extracts was evaluated using three methods (DPPH•, FRAP, and ABTS•+). In addition, microbiological quality was assessed by counting the Total Mesophilic Aerobic Flora (TMAF) using the microdilution method on PCA agar.</w:t>
      </w:r>
    </w:p>
    <w:p w14:paraId="496F6FDB" w14:textId="77777777" w:rsidR="001D665B" w:rsidRPr="00883413" w:rsidRDefault="001D665B"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 xml:space="preserve">Results: With regard to the ethnobotanical surveys, a total of 50 traditional health practitioners were interviewed. In terms of sociodemographic data, women were the most represented group, accounting for 56% of the sample, compared to 44% for men. Analysis of the ethnopharmacological data identified 30 species of medicinal plants belonging to 19 botanical families. The highest levels of ascorbic acid (1.5 mg EAA/100 mg) were found in extracts of </w:t>
      </w:r>
      <w:proofErr w:type="spellStart"/>
      <w:r w:rsidRPr="00883413">
        <w:rPr>
          <w:rFonts w:ascii="Times New Roman" w:hAnsi="Times New Roman" w:cs="Times New Roman"/>
          <w:lang w:val="en-US"/>
        </w:rPr>
        <w:t>Sclerocarya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birrea</w:t>
      </w:r>
      <w:proofErr w:type="spellEnd"/>
      <w:r w:rsidRPr="00883413">
        <w:rPr>
          <w:rFonts w:ascii="Times New Roman" w:hAnsi="Times New Roman" w:cs="Times New Roman"/>
          <w:lang w:val="en-US"/>
        </w:rPr>
        <w:t xml:space="preserve"> trunk bark, along with the highest levels of total sugars (363.66 µg ES/100 mg). The highest levels of total flavonoids were 3.93 ± 0.038 µg EQ/100 mg, recorded in extracts from the leaves of </w:t>
      </w:r>
      <w:proofErr w:type="spellStart"/>
      <w:r w:rsidRPr="00883413">
        <w:rPr>
          <w:rFonts w:ascii="Times New Roman" w:hAnsi="Times New Roman" w:cs="Times New Roman"/>
          <w:lang w:val="en-US"/>
        </w:rPr>
        <w:t>Leptadenia</w:t>
      </w:r>
      <w:proofErr w:type="spellEnd"/>
      <w:r w:rsidRPr="00883413">
        <w:rPr>
          <w:rFonts w:ascii="Times New Roman" w:hAnsi="Times New Roman" w:cs="Times New Roman"/>
          <w:lang w:val="en-US"/>
        </w:rPr>
        <w:t xml:space="preserve"> hastata, while extracts from the bark of </w:t>
      </w:r>
      <w:proofErr w:type="spellStart"/>
      <w:r w:rsidRPr="00883413">
        <w:rPr>
          <w:rFonts w:ascii="Times New Roman" w:hAnsi="Times New Roman" w:cs="Times New Roman"/>
          <w:lang w:val="en-US"/>
        </w:rPr>
        <w:t>Sclerocarya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birrea</w:t>
      </w:r>
      <w:proofErr w:type="spellEnd"/>
      <w:r w:rsidRPr="00883413">
        <w:rPr>
          <w:rFonts w:ascii="Times New Roman" w:hAnsi="Times New Roman" w:cs="Times New Roman"/>
          <w:lang w:val="en-US"/>
        </w:rPr>
        <w:t xml:space="preserve"> exhibited the best antioxidant properties as measured by the ABTS•+ method.</w:t>
      </w:r>
    </w:p>
    <w:p w14:paraId="5322EDD6" w14:textId="77777777" w:rsidR="001D665B" w:rsidRPr="00883413" w:rsidRDefault="001D665B"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Conclusion: Quality control of the samples provided an overview of the microbiological quality of the various plant samples in the study. Analysis of the various results obtained may support their use in the management of diabetes.</w:t>
      </w:r>
    </w:p>
    <w:p w14:paraId="7E0B1D4E" w14:textId="77777777" w:rsidR="001D665B" w:rsidRPr="00883413" w:rsidRDefault="001D665B"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Keywords: Type 2 diabetes, ethnobotany, quality control, medicinal plants.</w:t>
      </w:r>
    </w:p>
    <w:p w14:paraId="0B702F20" w14:textId="77777777" w:rsidR="001D665B" w:rsidRPr="00883413" w:rsidRDefault="001D665B" w:rsidP="00B80458">
      <w:pPr>
        <w:spacing w:line="360" w:lineRule="auto"/>
        <w:jc w:val="both"/>
        <w:rPr>
          <w:rFonts w:ascii="Times New Roman" w:hAnsi="Times New Roman" w:cs="Times New Roman"/>
          <w:lang w:val="en-US"/>
        </w:rPr>
      </w:pPr>
    </w:p>
    <w:p w14:paraId="5988FA15" w14:textId="05776CE8" w:rsidR="006955AD" w:rsidRPr="00883413" w:rsidRDefault="006955AD"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1. Introduction</w:t>
      </w:r>
    </w:p>
    <w:p w14:paraId="382726E0" w14:textId="3A02F044" w:rsidR="006955AD" w:rsidRPr="00883413" w:rsidRDefault="006955AD"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Diabetes is a chronic metabolic disease characterized by high blood glucose levels due to defects in insulin secretion and/or action (Dong et al., 2024). High blood glucose levels lead to the production of reactive oxygen species (ROS), which promote oxidative stress, impair insulin signaling, and induce insulin resistance (</w:t>
      </w:r>
      <w:proofErr w:type="spellStart"/>
      <w:r w:rsidRPr="00883413">
        <w:rPr>
          <w:rFonts w:ascii="Times New Roman" w:hAnsi="Times New Roman" w:cs="Times New Roman"/>
          <w:lang w:val="en-US"/>
        </w:rPr>
        <w:t>Belemnaba</w:t>
      </w:r>
      <w:proofErr w:type="spellEnd"/>
      <w:r w:rsidRPr="00883413">
        <w:rPr>
          <w:rFonts w:ascii="Times New Roman" w:hAnsi="Times New Roman" w:cs="Times New Roman"/>
          <w:lang w:val="en-US"/>
        </w:rPr>
        <w:t xml:space="preserve"> et al., 2024). According to Islem </w:t>
      </w:r>
      <w:proofErr w:type="spellStart"/>
      <w:r w:rsidRPr="00883413">
        <w:rPr>
          <w:rFonts w:ascii="Times New Roman" w:hAnsi="Times New Roman" w:cs="Times New Roman"/>
          <w:lang w:val="en-US"/>
        </w:rPr>
        <w:t>Jlali</w:t>
      </w:r>
      <w:proofErr w:type="spellEnd"/>
      <w:r w:rsidRPr="00883413">
        <w:rPr>
          <w:rFonts w:ascii="Times New Roman" w:hAnsi="Times New Roman" w:cs="Times New Roman"/>
          <w:lang w:val="en-US"/>
        </w:rPr>
        <w:t xml:space="preserve"> (2023), diabetes mellitus is primarily divided into two forms: type 1 diabetes (T1D) and type 2 diabetes (T2D). Both non-modifiable factors (autoimmune destruction of pancreatic beta cells, genetic predisposition) and modifiable factors (viral infections, overeating, physical inactivity, obesity) can contribute to the development of this disease (Leduc et al., 2006; </w:t>
      </w:r>
      <w:proofErr w:type="spellStart"/>
      <w:r w:rsidRPr="00883413">
        <w:rPr>
          <w:rFonts w:ascii="Times New Roman" w:hAnsi="Times New Roman" w:cs="Times New Roman"/>
          <w:lang w:val="en-US"/>
        </w:rPr>
        <w:t>Ricciardolo</w:t>
      </w:r>
      <w:proofErr w:type="spellEnd"/>
      <w:r w:rsidRPr="00883413">
        <w:rPr>
          <w:rFonts w:ascii="Times New Roman" w:hAnsi="Times New Roman" w:cs="Times New Roman"/>
          <w:lang w:val="en-US"/>
        </w:rPr>
        <w:t>, 2023). According to the 2024 report by the International Diabetes Federation (IDF), approximately 588.7 million people worldwide are living with this disease (</w:t>
      </w:r>
      <w:proofErr w:type="spellStart"/>
      <w:r w:rsidRPr="00883413">
        <w:rPr>
          <w:rFonts w:ascii="Times New Roman" w:hAnsi="Times New Roman" w:cs="Times New Roman"/>
          <w:lang w:val="en-US"/>
        </w:rPr>
        <w:t>Genitsaridi</w:t>
      </w:r>
      <w:proofErr w:type="spellEnd"/>
      <w:r w:rsidRPr="00883413">
        <w:rPr>
          <w:rFonts w:ascii="Times New Roman" w:hAnsi="Times New Roman" w:cs="Times New Roman"/>
          <w:lang w:val="en-US"/>
        </w:rPr>
        <w:t xml:space="preserve"> et al., 2026). In Africa, the IDF estimates that 24.6 million people have diabetes (Abbas &amp; Gangji, 2025). In Burkina Faso, according to the STEPS survey, the overall prevalence rose from 4.9% in 2013 to 7.6% in 2021 (Millogo et al., 2015; </w:t>
      </w:r>
      <w:proofErr w:type="spellStart"/>
      <w:r w:rsidRPr="00883413">
        <w:rPr>
          <w:rFonts w:ascii="Times New Roman" w:hAnsi="Times New Roman" w:cs="Times New Roman"/>
          <w:lang w:val="en-US"/>
        </w:rPr>
        <w:t>Séré</w:t>
      </w:r>
      <w:proofErr w:type="spellEnd"/>
      <w:r w:rsidRPr="00883413">
        <w:rPr>
          <w:rFonts w:ascii="Times New Roman" w:hAnsi="Times New Roman" w:cs="Times New Roman"/>
          <w:lang w:val="en-US"/>
        </w:rPr>
        <w:t xml:space="preserve"> et al., 2021).</w:t>
      </w:r>
      <w:r w:rsidR="00C26807">
        <w:rPr>
          <w:rFonts w:ascii="Times New Roman" w:hAnsi="Times New Roman" w:cs="Times New Roman"/>
          <w:lang w:val="en-US"/>
        </w:rPr>
        <w:t xml:space="preserve"> </w:t>
      </w:r>
      <w:r w:rsidRPr="00883413">
        <w:rPr>
          <w:rFonts w:ascii="Times New Roman" w:hAnsi="Times New Roman" w:cs="Times New Roman"/>
          <w:lang w:val="en-US"/>
        </w:rPr>
        <w:t>Each year, it causes nearly 6.7 million deaths worldwide, and in Africa, approximately 416,000 deaths per year (Duncan et al., 2025). According to Chen et al. (2026), managing this condition represents a heavy economic and social burden worldwide. Modern treatments lead to adverse effects and complications such as acidosis, severe hypoglycemia, edema, obesity, ketoacidosis, high blood pressure, neuropathy, and cardiovascular diseases (heart failure, stroke) (Coulidiaty et al., 2025). To address this issue, it is therefore necessary to search for new bioactive compounds capable of managing diabetes and exhibiting fewer iatrogenic effects (</w:t>
      </w:r>
      <w:proofErr w:type="spellStart"/>
      <w:r w:rsidRPr="00883413">
        <w:rPr>
          <w:rFonts w:ascii="Times New Roman" w:hAnsi="Times New Roman" w:cs="Times New Roman"/>
          <w:lang w:val="en-US"/>
        </w:rPr>
        <w:t>Yameny</w:t>
      </w:r>
      <w:proofErr w:type="spellEnd"/>
      <w:r w:rsidRPr="00883413">
        <w:rPr>
          <w:rFonts w:ascii="Times New Roman" w:hAnsi="Times New Roman" w:cs="Times New Roman"/>
          <w:lang w:val="en-US"/>
        </w:rPr>
        <w:t xml:space="preserve">, 2025). Herbal medicine proves to be a good alternative because it has been used for centuries in the management of metabolic diseases, has fewer side effects and complications, and is more accessible (Jamshidi-kia et al., 2018; Mongolia, 2009). Thus, </w:t>
      </w:r>
      <w:proofErr w:type="spellStart"/>
      <w:r w:rsidRPr="00883413">
        <w:rPr>
          <w:rFonts w:ascii="Times New Roman" w:hAnsi="Times New Roman" w:cs="Times New Roman"/>
          <w:lang w:val="en-US"/>
        </w:rPr>
        <w:t>Alouki</w:t>
      </w:r>
      <w:proofErr w:type="spellEnd"/>
      <w:r w:rsidRPr="00883413">
        <w:rPr>
          <w:rFonts w:ascii="Times New Roman" w:hAnsi="Times New Roman" w:cs="Times New Roman"/>
          <w:lang w:val="en-US"/>
        </w:rPr>
        <w:t xml:space="preserve"> et al. (2015) and Wang et al. (2023) estimate that more than 80% of the world’s population and 90% of developing countries rely on traditional medicine for their primary care needs (Wang et al., 2023). In fact, plants are a major source of bioactive compounds that can repair certain types of cellular damage caused by oxidative stress (Duarte et al., 2025; N’Do et al., 2024). </w:t>
      </w:r>
    </w:p>
    <w:p w14:paraId="231558F2" w14:textId="0871C4FC" w:rsidR="00D95AAB" w:rsidRPr="00883413" w:rsidRDefault="00D95AAB"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 xml:space="preserve">Ethnobotanical studies have shown that a wide variety of medicinal plants are used locally to treat diabetes (N’do et al., 2024); among these are </w:t>
      </w:r>
      <w:r w:rsidRPr="00C26807">
        <w:rPr>
          <w:rFonts w:ascii="Times New Roman" w:hAnsi="Times New Roman" w:cs="Times New Roman"/>
          <w:i/>
          <w:iCs/>
          <w:lang w:val="en-US"/>
        </w:rPr>
        <w:t>Anacardium occidentale</w:t>
      </w:r>
      <w:r w:rsidRPr="00883413">
        <w:rPr>
          <w:rFonts w:ascii="Times New Roman" w:hAnsi="Times New Roman" w:cs="Times New Roman"/>
          <w:lang w:val="en-US"/>
        </w:rPr>
        <w:t xml:space="preserve"> L., </w:t>
      </w:r>
      <w:r w:rsidRPr="00C26807">
        <w:rPr>
          <w:rFonts w:ascii="Times New Roman" w:hAnsi="Times New Roman" w:cs="Times New Roman"/>
          <w:i/>
          <w:iCs/>
          <w:lang w:val="en-US"/>
        </w:rPr>
        <w:t xml:space="preserve">Moringa oleifera </w:t>
      </w:r>
      <w:r w:rsidRPr="00883413">
        <w:rPr>
          <w:rFonts w:ascii="Times New Roman" w:hAnsi="Times New Roman" w:cs="Times New Roman"/>
          <w:lang w:val="en-US"/>
        </w:rPr>
        <w:t xml:space="preserve">Lam., </w:t>
      </w:r>
      <w:r w:rsidRPr="00C26807">
        <w:rPr>
          <w:rFonts w:ascii="Times New Roman" w:hAnsi="Times New Roman" w:cs="Times New Roman"/>
          <w:i/>
          <w:iCs/>
          <w:lang w:val="en-US"/>
        </w:rPr>
        <w:t xml:space="preserve">Cassia </w:t>
      </w:r>
      <w:proofErr w:type="spellStart"/>
      <w:r w:rsidRPr="00C26807">
        <w:rPr>
          <w:rFonts w:ascii="Times New Roman" w:hAnsi="Times New Roman" w:cs="Times New Roman"/>
          <w:i/>
          <w:iCs/>
          <w:lang w:val="en-US"/>
        </w:rPr>
        <w:t>siamea</w:t>
      </w:r>
      <w:proofErr w:type="spellEnd"/>
      <w:r w:rsidRPr="00883413">
        <w:rPr>
          <w:rFonts w:ascii="Times New Roman" w:hAnsi="Times New Roman" w:cs="Times New Roman"/>
          <w:lang w:val="en-US"/>
        </w:rPr>
        <w:t xml:space="preserve"> Lam., </w:t>
      </w:r>
      <w:r w:rsidRPr="00C26807">
        <w:rPr>
          <w:rFonts w:ascii="Times New Roman" w:hAnsi="Times New Roman" w:cs="Times New Roman"/>
          <w:i/>
          <w:iCs/>
          <w:lang w:val="en-US"/>
        </w:rPr>
        <w:t xml:space="preserve">Phyllanthus </w:t>
      </w:r>
      <w:proofErr w:type="spellStart"/>
      <w:r w:rsidRPr="00C26807">
        <w:rPr>
          <w:rFonts w:ascii="Times New Roman" w:hAnsi="Times New Roman" w:cs="Times New Roman"/>
          <w:i/>
          <w:iCs/>
          <w:lang w:val="en-US"/>
        </w:rPr>
        <w:t>amarus</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Schumach</w:t>
      </w:r>
      <w:proofErr w:type="spellEnd"/>
      <w:r w:rsidRPr="00883413">
        <w:rPr>
          <w:rFonts w:ascii="Times New Roman" w:hAnsi="Times New Roman" w:cs="Times New Roman"/>
          <w:lang w:val="en-US"/>
        </w:rPr>
        <w:t xml:space="preserve">. et Thonn., </w:t>
      </w:r>
      <w:proofErr w:type="spellStart"/>
      <w:r w:rsidRPr="00C26807">
        <w:rPr>
          <w:rFonts w:ascii="Times New Roman" w:hAnsi="Times New Roman" w:cs="Times New Roman"/>
          <w:i/>
          <w:iCs/>
          <w:lang w:val="en-US"/>
        </w:rPr>
        <w:t>Chrysanthellum</w:t>
      </w:r>
      <w:proofErr w:type="spellEnd"/>
      <w:r w:rsidRPr="00C26807">
        <w:rPr>
          <w:rFonts w:ascii="Times New Roman" w:hAnsi="Times New Roman" w:cs="Times New Roman"/>
          <w:i/>
          <w:iCs/>
          <w:lang w:val="en-US"/>
        </w:rPr>
        <w:t xml:space="preserve"> americanum</w:t>
      </w:r>
      <w:r w:rsidRPr="00883413">
        <w:rPr>
          <w:rFonts w:ascii="Times New Roman" w:hAnsi="Times New Roman" w:cs="Times New Roman"/>
          <w:lang w:val="en-US"/>
        </w:rPr>
        <w:t xml:space="preserve"> (L.) Vatke, </w:t>
      </w:r>
      <w:proofErr w:type="spellStart"/>
      <w:r w:rsidRPr="00C26807">
        <w:rPr>
          <w:rFonts w:ascii="Times New Roman" w:hAnsi="Times New Roman" w:cs="Times New Roman"/>
          <w:i/>
          <w:iCs/>
          <w:lang w:val="en-US"/>
        </w:rPr>
        <w:t>Chamaecrista</w:t>
      </w:r>
      <w:proofErr w:type="spellEnd"/>
      <w:r w:rsidRPr="00C26807">
        <w:rPr>
          <w:rFonts w:ascii="Times New Roman" w:hAnsi="Times New Roman" w:cs="Times New Roman"/>
          <w:i/>
          <w:iCs/>
          <w:lang w:val="en-US"/>
        </w:rPr>
        <w:t xml:space="preserve"> nigricans</w:t>
      </w:r>
      <w:r w:rsidRPr="00883413">
        <w:rPr>
          <w:rFonts w:ascii="Times New Roman" w:hAnsi="Times New Roman" w:cs="Times New Roman"/>
          <w:lang w:val="en-US"/>
        </w:rPr>
        <w:t xml:space="preserve"> (Vahl) Greene, </w:t>
      </w:r>
      <w:r w:rsidRPr="00C26807">
        <w:rPr>
          <w:rFonts w:ascii="Times New Roman" w:hAnsi="Times New Roman" w:cs="Times New Roman"/>
          <w:i/>
          <w:iCs/>
          <w:lang w:val="en-US"/>
        </w:rPr>
        <w:t xml:space="preserve">Ziziphus </w:t>
      </w:r>
      <w:proofErr w:type="spellStart"/>
      <w:r w:rsidRPr="00C26807">
        <w:rPr>
          <w:rFonts w:ascii="Times New Roman" w:hAnsi="Times New Roman" w:cs="Times New Roman"/>
          <w:i/>
          <w:iCs/>
          <w:lang w:val="en-US"/>
        </w:rPr>
        <w:t>mauritiana</w:t>
      </w:r>
      <w:proofErr w:type="spellEnd"/>
      <w:r w:rsidRPr="00883413">
        <w:rPr>
          <w:rFonts w:ascii="Times New Roman" w:hAnsi="Times New Roman" w:cs="Times New Roman"/>
          <w:lang w:val="en-US"/>
        </w:rPr>
        <w:t xml:space="preserve"> Lam., </w:t>
      </w:r>
      <w:proofErr w:type="spellStart"/>
      <w:r w:rsidRPr="00C26807">
        <w:rPr>
          <w:rFonts w:ascii="Times New Roman" w:hAnsi="Times New Roman" w:cs="Times New Roman"/>
          <w:i/>
          <w:iCs/>
          <w:lang w:val="en-US"/>
        </w:rPr>
        <w:lastRenderedPageBreak/>
        <w:t>Leptadenia</w:t>
      </w:r>
      <w:proofErr w:type="spellEnd"/>
      <w:r w:rsidRPr="00C26807">
        <w:rPr>
          <w:rFonts w:ascii="Times New Roman" w:hAnsi="Times New Roman" w:cs="Times New Roman"/>
          <w:i/>
          <w:iCs/>
          <w:lang w:val="en-US"/>
        </w:rPr>
        <w:t xml:space="preserve"> hastata</w:t>
      </w:r>
      <w:r w:rsidRPr="00883413">
        <w:rPr>
          <w:rFonts w:ascii="Times New Roman" w:hAnsi="Times New Roman" w:cs="Times New Roman"/>
          <w:lang w:val="en-US"/>
        </w:rPr>
        <w:t xml:space="preserve"> (Pers.) </w:t>
      </w:r>
      <w:proofErr w:type="spellStart"/>
      <w:r w:rsidRPr="00883413">
        <w:rPr>
          <w:rFonts w:ascii="Times New Roman" w:hAnsi="Times New Roman" w:cs="Times New Roman"/>
        </w:rPr>
        <w:t>Decne</w:t>
      </w:r>
      <w:proofErr w:type="spellEnd"/>
      <w:r w:rsidRPr="00883413">
        <w:rPr>
          <w:rFonts w:ascii="Times New Roman" w:hAnsi="Times New Roman" w:cs="Times New Roman"/>
        </w:rPr>
        <w:t xml:space="preserve">., and </w:t>
      </w:r>
      <w:proofErr w:type="spellStart"/>
      <w:r w:rsidRPr="00C26807">
        <w:rPr>
          <w:rFonts w:ascii="Times New Roman" w:hAnsi="Times New Roman" w:cs="Times New Roman"/>
          <w:i/>
          <w:iCs/>
        </w:rPr>
        <w:t>Sclerocarya</w:t>
      </w:r>
      <w:proofErr w:type="spellEnd"/>
      <w:r w:rsidR="00C26807" w:rsidRPr="00C26807">
        <w:rPr>
          <w:rFonts w:ascii="Times New Roman" w:hAnsi="Times New Roman" w:cs="Times New Roman"/>
          <w:i/>
          <w:iCs/>
        </w:rPr>
        <w:t xml:space="preserve"> </w:t>
      </w:r>
      <w:proofErr w:type="spellStart"/>
      <w:r w:rsidR="00C26807" w:rsidRPr="00C26807">
        <w:rPr>
          <w:rFonts w:ascii="Times New Roman" w:hAnsi="Times New Roman" w:cs="Times New Roman"/>
          <w:i/>
          <w:iCs/>
        </w:rPr>
        <w:t>birrea</w:t>
      </w:r>
      <w:proofErr w:type="spellEnd"/>
      <w:r w:rsidRPr="00883413">
        <w:rPr>
          <w:rFonts w:ascii="Times New Roman" w:hAnsi="Times New Roman" w:cs="Times New Roman"/>
        </w:rPr>
        <w:t xml:space="preserve"> (A. Rich.) </w:t>
      </w:r>
      <w:proofErr w:type="spellStart"/>
      <w:r w:rsidRPr="00883413">
        <w:rPr>
          <w:rFonts w:ascii="Times New Roman" w:hAnsi="Times New Roman" w:cs="Times New Roman"/>
        </w:rPr>
        <w:t>Hochst</w:t>
      </w:r>
      <w:proofErr w:type="spellEnd"/>
      <w:r w:rsidRPr="00883413">
        <w:rPr>
          <w:rFonts w:ascii="Times New Roman" w:hAnsi="Times New Roman" w:cs="Times New Roman"/>
        </w:rPr>
        <w:t xml:space="preserve">. (Gnagne et al., </w:t>
      </w:r>
      <w:r w:rsidR="00883413" w:rsidRPr="00883413">
        <w:rPr>
          <w:rFonts w:ascii="Times New Roman" w:hAnsi="Times New Roman" w:cs="Times New Roman"/>
        </w:rPr>
        <w:t>2017 ;</w:t>
      </w:r>
      <w:r w:rsidRPr="00883413">
        <w:rPr>
          <w:rFonts w:ascii="Times New Roman" w:hAnsi="Times New Roman" w:cs="Times New Roman"/>
        </w:rPr>
        <w:t xml:space="preserve"> Dembélé et al., </w:t>
      </w:r>
      <w:r w:rsidR="00883413" w:rsidRPr="00883413">
        <w:rPr>
          <w:rFonts w:ascii="Times New Roman" w:hAnsi="Times New Roman" w:cs="Times New Roman"/>
        </w:rPr>
        <w:t>2020 ;</w:t>
      </w:r>
      <w:r w:rsidRPr="00883413">
        <w:rPr>
          <w:rFonts w:ascii="Times New Roman" w:hAnsi="Times New Roman" w:cs="Times New Roman"/>
        </w:rPr>
        <w:t xml:space="preserve"> N’Do et al., 2024). </w:t>
      </w:r>
      <w:r w:rsidRPr="00883413">
        <w:rPr>
          <w:rFonts w:ascii="Times New Roman" w:hAnsi="Times New Roman" w:cs="Times New Roman"/>
          <w:lang w:val="en-US"/>
        </w:rPr>
        <w:t>Furthermore, the efficacy of certain plant parts must be supported by a scientific basis through experimental and clinical studies, which may lead to the formulation of herbal medicines (Cisse et al., 2025). Thus, the efficacy, safety, and security of remedies (N’Do et al., 2025) constitute three essential principles for the quality assurance of plant-based products. In Burkina Faso, the use of medicinal plants by the majority of the population is often based on indigenous knowledge. This makes certain applications—such as formulating medicines from this natural resource—difficult for the simple reason that this knowledge is not supported by scientific data. To help resolve this ambiguity, it was necessary to conduct a survey of the plants used by the local population to manage type 2 diabetes and to screen extracts from some of the most commonly used medicinal plants. The aim of this study was to identify medicinal plants through an ethnobotanical survey of traditional healers regarding the medicinal plants traditionally used in the management of diabetes. Specifically, the study aimed to identify the herbal formulas traditionally used in the management of diabetes, quantify the content of certain primary and secondary metabolites in extracts from the selected plants, and evaluate their antioxidant activities; it also aimed to assess the microbiological quality of the plant samples through microbial counting.</w:t>
      </w:r>
    </w:p>
    <w:p w14:paraId="3BEFB03A" w14:textId="77777777" w:rsidR="00D95AAB" w:rsidRPr="00883413" w:rsidRDefault="00D95AAB" w:rsidP="00B80458">
      <w:pPr>
        <w:spacing w:line="360" w:lineRule="auto"/>
        <w:jc w:val="both"/>
        <w:rPr>
          <w:rFonts w:ascii="Times New Roman" w:hAnsi="Times New Roman" w:cs="Times New Roman"/>
          <w:lang w:val="en-US"/>
        </w:rPr>
      </w:pPr>
    </w:p>
    <w:p w14:paraId="76FF4111" w14:textId="77777777" w:rsidR="00D95AAB" w:rsidRPr="00883413" w:rsidRDefault="00D95AAB" w:rsidP="00B80458">
      <w:pPr>
        <w:spacing w:line="360" w:lineRule="auto"/>
        <w:jc w:val="both"/>
        <w:rPr>
          <w:rFonts w:ascii="Times New Roman" w:hAnsi="Times New Roman" w:cs="Times New Roman"/>
          <w:lang w:val="en-US"/>
        </w:rPr>
      </w:pPr>
    </w:p>
    <w:p w14:paraId="1C721CB3" w14:textId="77777777" w:rsidR="00D95AAB" w:rsidRPr="00883413" w:rsidRDefault="00D95AAB" w:rsidP="00B80458">
      <w:pPr>
        <w:spacing w:line="360" w:lineRule="auto"/>
        <w:jc w:val="both"/>
        <w:rPr>
          <w:rFonts w:ascii="Times New Roman" w:hAnsi="Times New Roman" w:cs="Times New Roman"/>
          <w:lang w:val="en-US"/>
        </w:rPr>
      </w:pPr>
    </w:p>
    <w:p w14:paraId="4EBDAF5F" w14:textId="77777777" w:rsidR="00D95AAB" w:rsidRPr="00883413" w:rsidRDefault="00D95AAB" w:rsidP="00B80458">
      <w:pPr>
        <w:spacing w:line="360" w:lineRule="auto"/>
        <w:jc w:val="both"/>
        <w:rPr>
          <w:rFonts w:ascii="Times New Roman" w:hAnsi="Times New Roman" w:cs="Times New Roman"/>
          <w:lang w:val="en-US"/>
        </w:rPr>
      </w:pPr>
    </w:p>
    <w:p w14:paraId="677651F1" w14:textId="77777777" w:rsidR="00D95AAB" w:rsidRPr="00883413" w:rsidRDefault="00D95AAB" w:rsidP="00B80458">
      <w:pPr>
        <w:spacing w:line="360" w:lineRule="auto"/>
        <w:jc w:val="both"/>
        <w:rPr>
          <w:rFonts w:ascii="Times New Roman" w:hAnsi="Times New Roman" w:cs="Times New Roman"/>
          <w:lang w:val="en-US"/>
        </w:rPr>
      </w:pPr>
    </w:p>
    <w:p w14:paraId="49E54C97" w14:textId="77777777" w:rsidR="00D95AAB" w:rsidRPr="00883413" w:rsidRDefault="00D95AAB" w:rsidP="00B80458">
      <w:pPr>
        <w:spacing w:line="360" w:lineRule="auto"/>
        <w:jc w:val="both"/>
        <w:rPr>
          <w:rFonts w:ascii="Times New Roman" w:hAnsi="Times New Roman" w:cs="Times New Roman"/>
          <w:lang w:val="en-US"/>
        </w:rPr>
      </w:pPr>
    </w:p>
    <w:p w14:paraId="3B20B54C" w14:textId="77777777" w:rsidR="00D95AAB" w:rsidRPr="00883413" w:rsidRDefault="00D95AAB" w:rsidP="00B80458">
      <w:pPr>
        <w:spacing w:line="360" w:lineRule="auto"/>
        <w:jc w:val="both"/>
        <w:rPr>
          <w:rFonts w:ascii="Times New Roman" w:hAnsi="Times New Roman" w:cs="Times New Roman"/>
          <w:lang w:val="en-US"/>
        </w:rPr>
      </w:pPr>
    </w:p>
    <w:p w14:paraId="27B125D1" w14:textId="77777777" w:rsidR="00D95AAB" w:rsidRPr="00883413" w:rsidRDefault="00D95AAB" w:rsidP="00B80458">
      <w:pPr>
        <w:spacing w:line="360" w:lineRule="auto"/>
        <w:jc w:val="both"/>
        <w:rPr>
          <w:rFonts w:ascii="Times New Roman" w:hAnsi="Times New Roman" w:cs="Times New Roman"/>
          <w:lang w:val="en-US"/>
        </w:rPr>
      </w:pPr>
    </w:p>
    <w:p w14:paraId="11A38F0E" w14:textId="77777777" w:rsidR="00D95AAB" w:rsidRPr="00883413" w:rsidRDefault="00D95AAB" w:rsidP="00B80458">
      <w:pPr>
        <w:spacing w:line="360" w:lineRule="auto"/>
        <w:jc w:val="both"/>
        <w:rPr>
          <w:rFonts w:ascii="Times New Roman" w:hAnsi="Times New Roman" w:cs="Times New Roman"/>
          <w:lang w:val="en-US"/>
        </w:rPr>
      </w:pPr>
    </w:p>
    <w:p w14:paraId="709FDCC1" w14:textId="77777777" w:rsidR="00D95AAB" w:rsidRPr="00883413" w:rsidRDefault="00D95AAB" w:rsidP="00B80458">
      <w:pPr>
        <w:spacing w:line="360" w:lineRule="auto"/>
        <w:jc w:val="both"/>
        <w:rPr>
          <w:rFonts w:ascii="Times New Roman" w:hAnsi="Times New Roman" w:cs="Times New Roman"/>
          <w:lang w:val="en-US"/>
        </w:rPr>
      </w:pPr>
    </w:p>
    <w:p w14:paraId="4470C682" w14:textId="77777777" w:rsidR="00883413" w:rsidRDefault="00883413" w:rsidP="00B80458">
      <w:pPr>
        <w:spacing w:line="360" w:lineRule="auto"/>
        <w:jc w:val="both"/>
        <w:rPr>
          <w:rFonts w:ascii="Times New Roman" w:hAnsi="Times New Roman" w:cs="Times New Roman"/>
          <w:lang w:val="en-US"/>
        </w:rPr>
      </w:pPr>
    </w:p>
    <w:p w14:paraId="49412C1A" w14:textId="77777777" w:rsidR="00E02DCD" w:rsidRDefault="00E02DCD" w:rsidP="00B80458">
      <w:pPr>
        <w:spacing w:line="360" w:lineRule="auto"/>
        <w:jc w:val="both"/>
        <w:rPr>
          <w:rFonts w:ascii="Times New Roman" w:hAnsi="Times New Roman" w:cs="Times New Roman"/>
          <w:lang w:val="en-US"/>
        </w:rPr>
      </w:pPr>
    </w:p>
    <w:p w14:paraId="181843CC" w14:textId="58121875" w:rsidR="00D95AAB" w:rsidRPr="00883413" w:rsidRDefault="00D95AAB"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lastRenderedPageBreak/>
        <w:t>2. Methodology</w:t>
      </w:r>
    </w:p>
    <w:p w14:paraId="75EDACEB" w14:textId="77777777" w:rsidR="00D95AAB" w:rsidRPr="00883413" w:rsidRDefault="00D95AAB"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2.1. Study Setting</w:t>
      </w:r>
    </w:p>
    <w:p w14:paraId="3A0F9BF9" w14:textId="77777777" w:rsidR="00D95AAB" w:rsidRPr="00883413" w:rsidRDefault="00D95AAB"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The study was conducted in the cities of Bobo-Dioulasso and Ouagadougou (Burkina Faso). Laboratory work was performed at Joseph Ki Zerbo University, specifically at the Laboratory of Biochemistry and Applied Chemistry (LABIOCA) within the Life and Earth Sciences Education and Research Unit for photochemistry and antioxidant activity. It was also conducted at the Center for Research in Biological, Food, and Nutritional Sciences (CRSBAN)/Laboratory of Microbiology and Microbial Biotechnology (LAMBM) for the evaluation of microbiological quality.</w:t>
      </w:r>
    </w:p>
    <w:p w14:paraId="03DF68D1" w14:textId="77777777" w:rsidR="00D95AAB" w:rsidRPr="00883413" w:rsidRDefault="00D95AAB" w:rsidP="00B80458">
      <w:pPr>
        <w:spacing w:line="360" w:lineRule="auto"/>
        <w:jc w:val="both"/>
        <w:rPr>
          <w:rFonts w:ascii="Times New Roman" w:hAnsi="Times New Roman" w:cs="Times New Roman"/>
          <w:lang w:val="en-US"/>
        </w:rPr>
      </w:pPr>
    </w:p>
    <w:p w14:paraId="2CC4C6BC" w14:textId="557A68EF" w:rsidR="00D95AAB" w:rsidRPr="00883413" w:rsidRDefault="00D95AAB" w:rsidP="00B80458">
      <w:pPr>
        <w:spacing w:line="360" w:lineRule="auto"/>
        <w:jc w:val="both"/>
        <w:rPr>
          <w:rFonts w:ascii="Times New Roman" w:hAnsi="Times New Roman" w:cs="Times New Roman"/>
          <w:lang w:val="en-US"/>
        </w:rPr>
      </w:pPr>
      <w:r w:rsidRPr="00883413">
        <w:rPr>
          <w:rFonts w:ascii="Times New Roman" w:hAnsi="Times New Roman" w:cs="Times New Roman"/>
          <w:noProof/>
          <w:lang w:val="en-US"/>
        </w:rPr>
        <w:drawing>
          <wp:inline distT="0" distB="0" distL="0" distR="0" wp14:anchorId="170F4AB5" wp14:editId="66C60353">
            <wp:extent cx="3602990" cy="2402205"/>
            <wp:effectExtent l="0" t="0" r="0" b="0"/>
            <wp:docPr id="1759648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02990" cy="2402205"/>
                    </a:xfrm>
                    <a:prstGeom prst="rect">
                      <a:avLst/>
                    </a:prstGeom>
                    <a:noFill/>
                  </pic:spPr>
                </pic:pic>
              </a:graphicData>
            </a:graphic>
          </wp:inline>
        </w:drawing>
      </w:r>
    </w:p>
    <w:p w14:paraId="72134609" w14:textId="3F24B6FA" w:rsidR="00D95AAB" w:rsidRPr="00883413" w:rsidRDefault="00E10961" w:rsidP="00B80458">
      <w:pPr>
        <w:spacing w:line="360" w:lineRule="auto"/>
        <w:jc w:val="both"/>
        <w:rPr>
          <w:rFonts w:ascii="Times New Roman" w:hAnsi="Times New Roman" w:cs="Times New Roman"/>
          <w:lang w:val="en-US"/>
        </w:rPr>
      </w:pPr>
      <w:proofErr w:type="gramStart"/>
      <w:r>
        <w:rPr>
          <w:rFonts w:ascii="Times New Roman" w:hAnsi="Times New Roman" w:cs="Times New Roman"/>
          <w:lang w:val="en-US"/>
        </w:rPr>
        <w:t xml:space="preserve">Map </w:t>
      </w:r>
      <w:r w:rsidR="00D95AAB" w:rsidRPr="00883413">
        <w:rPr>
          <w:rFonts w:ascii="Times New Roman" w:hAnsi="Times New Roman" w:cs="Times New Roman"/>
          <w:lang w:val="en-US"/>
        </w:rPr>
        <w:t xml:space="preserve"> 1</w:t>
      </w:r>
      <w:proofErr w:type="gramEnd"/>
      <w:r w:rsidR="00D95AAB" w:rsidRPr="00883413">
        <w:rPr>
          <w:rFonts w:ascii="Times New Roman" w:hAnsi="Times New Roman" w:cs="Times New Roman"/>
          <w:lang w:val="en-US"/>
        </w:rPr>
        <w:t>: Data collection sites</w:t>
      </w:r>
    </w:p>
    <w:p w14:paraId="6872B137" w14:textId="77777777" w:rsidR="00D95AAB" w:rsidRPr="00883413" w:rsidRDefault="00D95AAB" w:rsidP="00B80458">
      <w:pPr>
        <w:spacing w:line="360" w:lineRule="auto"/>
        <w:jc w:val="both"/>
        <w:rPr>
          <w:rFonts w:ascii="Times New Roman" w:hAnsi="Times New Roman" w:cs="Times New Roman"/>
          <w:lang w:val="en-US"/>
        </w:rPr>
      </w:pPr>
    </w:p>
    <w:p w14:paraId="13058531" w14:textId="77777777" w:rsidR="00D95AAB" w:rsidRPr="00883413" w:rsidRDefault="00D95AAB"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2.2. Plant Material</w:t>
      </w:r>
    </w:p>
    <w:p w14:paraId="55D36617" w14:textId="77777777" w:rsidR="00D95AAB" w:rsidRPr="00883413" w:rsidRDefault="00D95AAB"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 xml:space="preserve">The plant material used consisted of leafy stems of </w:t>
      </w:r>
      <w:proofErr w:type="spellStart"/>
      <w:r w:rsidRPr="00C26807">
        <w:rPr>
          <w:rFonts w:ascii="Times New Roman" w:hAnsi="Times New Roman" w:cs="Times New Roman"/>
          <w:i/>
          <w:iCs/>
          <w:lang w:val="en-US"/>
        </w:rPr>
        <w:t>Leptadenia</w:t>
      </w:r>
      <w:proofErr w:type="spellEnd"/>
      <w:r w:rsidRPr="00C26807">
        <w:rPr>
          <w:rFonts w:ascii="Times New Roman" w:hAnsi="Times New Roman" w:cs="Times New Roman"/>
          <w:i/>
          <w:iCs/>
          <w:lang w:val="en-US"/>
        </w:rPr>
        <w:t xml:space="preserve"> hastata</w:t>
      </w:r>
      <w:r w:rsidRPr="00883413">
        <w:rPr>
          <w:rFonts w:ascii="Times New Roman" w:hAnsi="Times New Roman" w:cs="Times New Roman"/>
          <w:lang w:val="en-US"/>
        </w:rPr>
        <w:t xml:space="preserve"> (Pers.) </w:t>
      </w:r>
      <w:proofErr w:type="spellStart"/>
      <w:r w:rsidRPr="00883413">
        <w:rPr>
          <w:rFonts w:ascii="Times New Roman" w:hAnsi="Times New Roman" w:cs="Times New Roman"/>
          <w:lang w:val="en-US"/>
        </w:rPr>
        <w:t>Decne</w:t>
      </w:r>
      <w:proofErr w:type="spellEnd"/>
      <w:r w:rsidRPr="00883413">
        <w:rPr>
          <w:rFonts w:ascii="Times New Roman" w:hAnsi="Times New Roman" w:cs="Times New Roman"/>
          <w:lang w:val="en-US"/>
        </w:rPr>
        <w:t xml:space="preserve">. and bark from the trunk of </w:t>
      </w:r>
      <w:proofErr w:type="spellStart"/>
      <w:r w:rsidRPr="00C26807">
        <w:rPr>
          <w:rFonts w:ascii="Times New Roman" w:hAnsi="Times New Roman" w:cs="Times New Roman"/>
          <w:i/>
          <w:iCs/>
          <w:lang w:val="en-US"/>
        </w:rPr>
        <w:t>Sclerocarya</w:t>
      </w:r>
      <w:proofErr w:type="spellEnd"/>
      <w:r w:rsidRPr="00C26807">
        <w:rPr>
          <w:rFonts w:ascii="Times New Roman" w:hAnsi="Times New Roman" w:cs="Times New Roman"/>
          <w:i/>
          <w:iCs/>
          <w:lang w:val="en-US"/>
        </w:rPr>
        <w:t xml:space="preserve"> </w:t>
      </w:r>
      <w:proofErr w:type="spellStart"/>
      <w:r w:rsidRPr="00C26807">
        <w:rPr>
          <w:rFonts w:ascii="Times New Roman" w:hAnsi="Times New Roman" w:cs="Times New Roman"/>
          <w:i/>
          <w:iCs/>
          <w:lang w:val="en-US"/>
        </w:rPr>
        <w:t>birrea</w:t>
      </w:r>
      <w:proofErr w:type="spellEnd"/>
      <w:r w:rsidRPr="00883413">
        <w:rPr>
          <w:rFonts w:ascii="Times New Roman" w:hAnsi="Times New Roman" w:cs="Times New Roman"/>
          <w:lang w:val="en-US"/>
        </w:rPr>
        <w:t xml:space="preserve"> (A. Rich.) </w:t>
      </w:r>
      <w:proofErr w:type="spellStart"/>
      <w:r w:rsidRPr="00883413">
        <w:rPr>
          <w:rFonts w:ascii="Times New Roman" w:hAnsi="Times New Roman" w:cs="Times New Roman"/>
          <w:lang w:val="en-US"/>
        </w:rPr>
        <w:t>Hochst</w:t>
      </w:r>
      <w:proofErr w:type="spellEnd"/>
      <w:r w:rsidRPr="00883413">
        <w:rPr>
          <w:rFonts w:ascii="Times New Roman" w:hAnsi="Times New Roman" w:cs="Times New Roman"/>
          <w:lang w:val="en-US"/>
        </w:rPr>
        <w:t>. Samples were collected at two locations in Burkina Faso: the city of Bobo-Dioulasso (</w:t>
      </w:r>
      <w:proofErr w:type="spellStart"/>
      <w:r w:rsidRPr="00883413">
        <w:rPr>
          <w:rFonts w:ascii="Times New Roman" w:hAnsi="Times New Roman" w:cs="Times New Roman"/>
          <w:lang w:val="en-US"/>
        </w:rPr>
        <w:t>Dindéresso</w:t>
      </w:r>
      <w:proofErr w:type="spellEnd"/>
      <w:r w:rsidRPr="00883413">
        <w:rPr>
          <w:rFonts w:ascii="Times New Roman" w:hAnsi="Times New Roman" w:cs="Times New Roman"/>
          <w:lang w:val="en-US"/>
        </w:rPr>
        <w:t xml:space="preserve"> Protected Forest) and </w:t>
      </w:r>
      <w:proofErr w:type="spellStart"/>
      <w:r w:rsidRPr="00883413">
        <w:rPr>
          <w:rFonts w:ascii="Times New Roman" w:hAnsi="Times New Roman" w:cs="Times New Roman"/>
          <w:lang w:val="en-US"/>
        </w:rPr>
        <w:t>Boromo</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Bagassi</w:t>
      </w:r>
      <w:proofErr w:type="spellEnd"/>
      <w:r w:rsidRPr="00883413">
        <w:rPr>
          <w:rFonts w:ascii="Times New Roman" w:hAnsi="Times New Roman" w:cs="Times New Roman"/>
          <w:lang w:val="en-US"/>
        </w:rPr>
        <w:t xml:space="preserve"> Protected Forest) during the month of July 2025 at the following GPS coordinates: 30P 344621 1242188. Both plants were identified and authenticated. Specimens of these plants were deposited in the herbarium at Joseph Ki-Zerbo University under the following accession numbers: </w:t>
      </w:r>
      <w:proofErr w:type="spellStart"/>
      <w:r w:rsidRPr="00883413">
        <w:rPr>
          <w:rFonts w:ascii="Times New Roman" w:hAnsi="Times New Roman" w:cs="Times New Roman"/>
          <w:lang w:val="en-US"/>
        </w:rPr>
        <w:t>Leptadenia</w:t>
      </w:r>
      <w:proofErr w:type="spellEnd"/>
      <w:r w:rsidRPr="00883413">
        <w:rPr>
          <w:rFonts w:ascii="Times New Roman" w:hAnsi="Times New Roman" w:cs="Times New Roman"/>
          <w:lang w:val="en-US"/>
        </w:rPr>
        <w:t xml:space="preserve"> hastata (Pers.) </w:t>
      </w:r>
      <w:proofErr w:type="spellStart"/>
      <w:r w:rsidRPr="00883413">
        <w:rPr>
          <w:rFonts w:ascii="Times New Roman" w:hAnsi="Times New Roman" w:cs="Times New Roman"/>
          <w:lang w:val="en-US"/>
        </w:rPr>
        <w:t>Decne</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Apocynaceae</w:t>
      </w:r>
      <w:proofErr w:type="spellEnd"/>
      <w:r w:rsidRPr="00883413">
        <w:rPr>
          <w:rFonts w:ascii="Times New Roman" w:hAnsi="Times New Roman" w:cs="Times New Roman"/>
          <w:lang w:val="en-US"/>
        </w:rPr>
        <w:t xml:space="preserve">) – 16711, </w:t>
      </w:r>
      <w:proofErr w:type="spellStart"/>
      <w:r w:rsidRPr="00883413">
        <w:rPr>
          <w:rFonts w:ascii="Times New Roman" w:hAnsi="Times New Roman" w:cs="Times New Roman"/>
          <w:lang w:val="en-US"/>
        </w:rPr>
        <w:t>Sclerocarya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birrea</w:t>
      </w:r>
      <w:proofErr w:type="spellEnd"/>
      <w:r w:rsidRPr="00883413">
        <w:rPr>
          <w:rFonts w:ascii="Times New Roman" w:hAnsi="Times New Roman" w:cs="Times New Roman"/>
          <w:lang w:val="en-US"/>
        </w:rPr>
        <w:t xml:space="preserve"> (A. Rich.) </w:t>
      </w:r>
      <w:proofErr w:type="spellStart"/>
      <w:r w:rsidRPr="00883413">
        <w:rPr>
          <w:rFonts w:ascii="Times New Roman" w:hAnsi="Times New Roman" w:cs="Times New Roman"/>
          <w:lang w:val="en-US"/>
        </w:rPr>
        <w:t>Hochst</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Anacardiaceae</w:t>
      </w:r>
      <w:proofErr w:type="spellEnd"/>
      <w:r w:rsidRPr="00883413">
        <w:rPr>
          <w:rFonts w:ascii="Times New Roman" w:hAnsi="Times New Roman" w:cs="Times New Roman"/>
          <w:lang w:val="en-US"/>
        </w:rPr>
        <w:t>) – 16713.</w:t>
      </w:r>
    </w:p>
    <w:p w14:paraId="64153A92" w14:textId="77777777" w:rsidR="002E5BFA" w:rsidRPr="00883413" w:rsidRDefault="002E5BFA"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lastRenderedPageBreak/>
        <w:t>2.3. Ethnobotanical Survey Methodology</w:t>
      </w:r>
    </w:p>
    <w:p w14:paraId="1D74F172" w14:textId="77777777" w:rsidR="002E5BFA" w:rsidRPr="00883413" w:rsidRDefault="002E5BFA"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The ethnobotanical survey was conducted in the city of Bobo-Dioulasso. It consisted of a semi-structured interview with fifty (50) traditional healers, including women who sell traditional products in markets and from their homes. Data were collected in accordance with recommendations for ethnobotanical surveys (N’do et al., 2025).</w:t>
      </w:r>
    </w:p>
    <w:p w14:paraId="2A5F664D" w14:textId="77777777" w:rsidR="002E5BFA" w:rsidRPr="00883413" w:rsidRDefault="002E5BFA" w:rsidP="00B80458">
      <w:pPr>
        <w:spacing w:line="360" w:lineRule="auto"/>
        <w:jc w:val="both"/>
        <w:rPr>
          <w:rFonts w:ascii="Times New Roman" w:hAnsi="Times New Roman" w:cs="Times New Roman"/>
          <w:lang w:val="en-US"/>
        </w:rPr>
      </w:pPr>
    </w:p>
    <w:p w14:paraId="28E4612E" w14:textId="77777777" w:rsidR="002E5BFA" w:rsidRPr="00883413" w:rsidRDefault="002E5BFA"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2.4. Ethanol Maceration Extraction</w:t>
      </w:r>
    </w:p>
    <w:p w14:paraId="5C70E6F1" w14:textId="77777777" w:rsidR="002E5BFA" w:rsidRPr="00883413" w:rsidRDefault="002E5BFA"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To perform this procedure: twenty grams (20 g) of powder from each sample were weighed and placed in a flask. A volume of 200 mL of ethanol was added, corresponding to a ratio of 1:10 (g/mL). The mixture was placed on a shaker and left to macerate for 24 hours. The macerate was filtered through Whatman paper into an Erlenmeyer flask. The resulting filtrate was concentrated. The extracts obtained were used for the various tests.</w:t>
      </w:r>
    </w:p>
    <w:p w14:paraId="7DEBF40B" w14:textId="77777777" w:rsidR="002E5BFA" w:rsidRPr="00883413" w:rsidRDefault="002E5BFA"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2.5. Assay of Primary Metabolites</w:t>
      </w:r>
    </w:p>
    <w:p w14:paraId="5FFE5284" w14:textId="77777777" w:rsidR="002E5BFA" w:rsidRPr="00883413" w:rsidRDefault="002E5BFA"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2.5.1. Vitamin C (Ascorbic Acid) Assay</w:t>
      </w:r>
    </w:p>
    <w:p w14:paraId="1CDF1F86" w14:textId="5A9CBC9D" w:rsidR="002E5BFA" w:rsidRPr="00883413" w:rsidRDefault="002E5BFA"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 xml:space="preserve">The vitamin C content of the aqueous extracts was determined using the method adapted by (Zongo et al., 2023a). This assay is based on the ability of ascorbic acid to reduce potassium permanganate (a violet solution), resulting in a decrease in absorbance measured at 530 nm. To do this, 20 µL of extract (5 mg/mL) was mixed with 180 µL of an acidic potassium permanganate solution (0.1 mg/mL). A positive control was prepared using 20 µL of methanol and 180 µL of </w:t>
      </w:r>
      <w:proofErr w:type="spellStart"/>
      <w:r w:rsidRPr="00883413">
        <w:rPr>
          <w:rFonts w:ascii="Times New Roman" w:hAnsi="Times New Roman" w:cs="Times New Roman"/>
          <w:lang w:val="en-US"/>
        </w:rPr>
        <w:t>KMnO</w:t>
      </w:r>
      <w:proofErr w:type="spellEnd"/>
      <w:r w:rsidRPr="00883413">
        <w:rPr>
          <w:rFonts w:ascii="Times New Roman" w:hAnsi="Times New Roman" w:cs="Times New Roman"/>
          <w:lang w:val="en-US"/>
        </w:rPr>
        <w:t xml:space="preserve">₄. After homogenization, the mixtures were incubated for 5 minutes in the dark, and then the absorbance was measured at 530 nm. Ascorbic acid served as the standard (y = 6.0911x + 0.0523, R² = 0.997) (Appendix </w:t>
      </w:r>
      <w:r w:rsidR="00B7596D">
        <w:rPr>
          <w:rFonts w:ascii="Times New Roman" w:hAnsi="Times New Roman" w:cs="Times New Roman"/>
          <w:lang w:val="en-US"/>
        </w:rPr>
        <w:t>1</w:t>
      </w:r>
      <w:r w:rsidRPr="00883413">
        <w:rPr>
          <w:rFonts w:ascii="Times New Roman" w:hAnsi="Times New Roman" w:cs="Times New Roman"/>
          <w:lang w:val="en-US"/>
        </w:rPr>
        <w:t>). All tests were performed in triplicate, and the results were expressed in milligrams equivalent of ascorbic acid per 100 mg of dry extract (mg EAA/100 mg of dry extract), according to the following formula (Equation 1):</w:t>
      </w:r>
    </w:p>
    <w:p w14:paraId="2E348E14" w14:textId="632E6662" w:rsidR="002E5BFA" w:rsidRPr="00883413" w:rsidRDefault="002E5BFA" w:rsidP="00B80458">
      <w:pPr>
        <w:spacing w:line="360" w:lineRule="auto"/>
        <w:jc w:val="both"/>
        <w:rPr>
          <w:rFonts w:ascii="Times New Roman" w:eastAsia="DengXian" w:hAnsi="Times New Roman" w:cs="Times New Roman"/>
          <w:bCs/>
          <w:iCs/>
          <w:kern w:val="0"/>
          <w:lang w:val="en-US" w:eastAsia="fr-FR"/>
          <w14:ligatures w14:val="none"/>
        </w:rPr>
      </w:pPr>
      <m:oMath>
        <m:r>
          <w:rPr>
            <w:rFonts w:ascii="Cambria Math" w:eastAsia="DengXian" w:hAnsi="Cambria Math" w:cs="Times New Roman"/>
            <w:kern w:val="0"/>
            <w:lang w:eastAsia="fr-FR"/>
            <w14:ligatures w14:val="none"/>
          </w:rPr>
          <m:t>C</m:t>
        </m:r>
        <m:r>
          <m:rPr>
            <m:sty m:val="p"/>
          </m:rPr>
          <w:rPr>
            <w:rFonts w:ascii="Cambria Math" w:eastAsia="DengXian" w:hAnsi="Cambria Math" w:cs="Times New Roman"/>
            <w:kern w:val="0"/>
            <w:lang w:val="en-US" w:eastAsia="fr-FR"/>
            <w14:ligatures w14:val="none"/>
          </w:rPr>
          <m:t>=</m:t>
        </m:r>
        <m:f>
          <m:fPr>
            <m:ctrlPr>
              <w:rPr>
                <w:rFonts w:ascii="Cambria Math" w:eastAsia="DengXian" w:hAnsi="Cambria Math" w:cs="Times New Roman"/>
                <w:bCs/>
                <w:iCs/>
                <w:kern w:val="0"/>
                <w:lang w:eastAsia="fr-FR"/>
                <w14:ligatures w14:val="none"/>
              </w:rPr>
            </m:ctrlPr>
          </m:fPr>
          <m:num>
            <m:r>
              <m:rPr>
                <m:sty m:val="p"/>
              </m:rPr>
              <w:rPr>
                <w:rFonts w:ascii="Cambria Math" w:eastAsia="DengXian" w:hAnsi="Cambria Math" w:cs="Times New Roman"/>
                <w:kern w:val="0"/>
                <w:lang w:val="en-US" w:eastAsia="fr-FR"/>
                <w14:ligatures w14:val="none"/>
              </w:rPr>
              <m:t>Clue*FD</m:t>
            </m:r>
          </m:num>
          <m:den>
            <m:r>
              <m:rPr>
                <m:sty m:val="p"/>
              </m:rPr>
              <w:rPr>
                <w:rFonts w:ascii="Cambria Math" w:eastAsia="DengXian" w:hAnsi="Cambria Math" w:cs="Times New Roman"/>
                <w:kern w:val="0"/>
                <w:lang w:val="en-US" w:eastAsia="fr-FR"/>
                <w14:ligatures w14:val="none"/>
              </w:rPr>
              <m:t>Ci</m:t>
            </m:r>
          </m:den>
        </m:f>
        <m:r>
          <w:rPr>
            <w:rFonts w:ascii="Cambria Math" w:eastAsia="DengXian" w:hAnsi="Cambria Math" w:cs="Times New Roman"/>
            <w:kern w:val="0"/>
            <w:lang w:val="en-US" w:eastAsia="fr-FR"/>
            <w14:ligatures w14:val="none"/>
          </w:rPr>
          <m:t>*100</m:t>
        </m:r>
      </m:oMath>
      <w:r w:rsidRPr="00883413">
        <w:rPr>
          <w:rFonts w:ascii="Times New Roman" w:eastAsia="DengXian" w:hAnsi="Times New Roman" w:cs="Times New Roman"/>
          <w:bCs/>
          <w:kern w:val="0"/>
          <w:lang w:val="en-US" w:eastAsia="fr-FR"/>
          <w14:ligatures w14:val="none"/>
        </w:rPr>
        <w:t xml:space="preserve"> (Equation 1)</w:t>
      </w:r>
    </w:p>
    <w:p w14:paraId="694533AA" w14:textId="77777777" w:rsidR="002E5BFA" w:rsidRPr="00883413" w:rsidRDefault="002E5BFA" w:rsidP="00B80458">
      <w:pPr>
        <w:spacing w:line="360" w:lineRule="auto"/>
        <w:jc w:val="both"/>
        <w:rPr>
          <w:rFonts w:ascii="Times New Roman" w:hAnsi="Times New Roman" w:cs="Times New Roman"/>
          <w:lang w:val="en-US"/>
        </w:rPr>
      </w:pPr>
    </w:p>
    <w:p w14:paraId="1EDBEF48" w14:textId="77777777" w:rsidR="002E5BFA" w:rsidRPr="00883413" w:rsidRDefault="002E5BFA"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C: Vitamin C content in mg of ascorbic acid equivalent per 100 mg of dry extract; Clue: Measured sample concentration (mg/mL); FD: Dilution factor; Ci: Initial concentration in mg/</w:t>
      </w:r>
      <w:proofErr w:type="spellStart"/>
      <w:r w:rsidRPr="00883413">
        <w:rPr>
          <w:rFonts w:ascii="Times New Roman" w:hAnsi="Times New Roman" w:cs="Times New Roman"/>
          <w:lang w:val="en-US"/>
        </w:rPr>
        <w:t>mL.</w:t>
      </w:r>
      <w:proofErr w:type="spellEnd"/>
    </w:p>
    <w:p w14:paraId="76774D8F" w14:textId="77777777" w:rsidR="002E5BFA" w:rsidRPr="00883413" w:rsidRDefault="002E5BFA"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lastRenderedPageBreak/>
        <w:t>2.5.2. Total Sugar Assay</w:t>
      </w:r>
    </w:p>
    <w:p w14:paraId="59E74DD3" w14:textId="77777777" w:rsidR="002E5BFA" w:rsidRPr="00883413" w:rsidRDefault="002E5BFA"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 xml:space="preserve">The determination of soluble sugars was performed according to the method described by Dubois et al. (1951), based on the phenol–sulfuric acid reaction. In the presence of concentrated sulfuric acid, the </w:t>
      </w:r>
      <w:proofErr w:type="spellStart"/>
      <w:r w:rsidRPr="00883413">
        <w:rPr>
          <w:rFonts w:ascii="Times New Roman" w:hAnsi="Times New Roman" w:cs="Times New Roman"/>
          <w:lang w:val="en-US"/>
        </w:rPr>
        <w:t>oses</w:t>
      </w:r>
      <w:proofErr w:type="spellEnd"/>
      <w:r w:rsidRPr="00883413">
        <w:rPr>
          <w:rFonts w:ascii="Times New Roman" w:hAnsi="Times New Roman" w:cs="Times New Roman"/>
          <w:lang w:val="en-US"/>
        </w:rPr>
        <w:t xml:space="preserve"> contained in the extracts undergo dehydration and are converted into furfuryl derivatives (C₅H₆O₂). These react with phenol to form a yellow-orange complex, whose absorbance was measured at 490 nm. The intensity of the color is proportional to the amount of sugars present in the reaction medium.</w:t>
      </w:r>
    </w:p>
    <w:p w14:paraId="70FC56EC" w14:textId="77777777" w:rsidR="002E5BFA" w:rsidRPr="00883413" w:rsidRDefault="002E5BFA" w:rsidP="00B80458">
      <w:pPr>
        <w:spacing w:line="360" w:lineRule="auto"/>
        <w:jc w:val="both"/>
        <w:rPr>
          <w:rFonts w:ascii="Times New Roman" w:hAnsi="Times New Roman" w:cs="Times New Roman"/>
          <w:lang w:val="en-US"/>
        </w:rPr>
      </w:pPr>
      <w:r w:rsidRPr="00883413">
        <w:rPr>
          <w:rFonts w:ascii="Times New Roman" w:hAnsi="Times New Roman" w:cs="Times New Roman"/>
          <w:lang w:val="en-US"/>
        </w:rPr>
        <w:t>Specifically, 70 µL of sample solution (0.2 mg/mL) were mixed with 35 µL of 5% phenol and 175 µL of concentrated sulfuric acid. A blank was prepared by replacing the extract solution with 70 µL of 80% methanol. After 15 minutes of incubation, the absorbances were measured at 490 nm using a spectrophotometer. For quantification, a sucrose calibration curve was used (y = 9.0732x – 0.0592; R² = 0.993). The results were expressed in milligrams of sucrose equivalent per 100 mg of dry extract (mg DE/100 mg), according to the following formula (Equation 2):</w:t>
      </w:r>
    </w:p>
    <w:p w14:paraId="73FD4ED0" w14:textId="6A008F78" w:rsidR="002E5BFA" w:rsidRPr="00883413" w:rsidRDefault="002E5BFA" w:rsidP="00B80458">
      <w:pPr>
        <w:spacing w:line="360" w:lineRule="auto"/>
        <w:jc w:val="both"/>
        <w:rPr>
          <w:rFonts w:ascii="Times New Roman" w:eastAsia="DengXian" w:hAnsi="Times New Roman" w:cs="Times New Roman"/>
          <w:bCs/>
          <w:kern w:val="0"/>
          <w:lang w:val="en-US" w:eastAsia="fr-FR"/>
          <w14:ligatures w14:val="none"/>
        </w:rPr>
      </w:pPr>
      <m:oMath>
        <m:r>
          <w:rPr>
            <w:rFonts w:ascii="Cambria Math" w:eastAsia="DengXian" w:hAnsi="Cambria Math" w:cs="Times New Roman"/>
            <w:kern w:val="0"/>
            <w:lang w:eastAsia="fr-FR"/>
            <w14:ligatures w14:val="none"/>
          </w:rPr>
          <m:t>T</m:t>
        </m:r>
        <m:r>
          <m:rPr>
            <m:sty m:val="p"/>
          </m:rPr>
          <w:rPr>
            <w:rFonts w:ascii="Cambria Math" w:eastAsia="DengXian" w:hAnsi="Cambria Math" w:cs="Times New Roman"/>
            <w:kern w:val="0"/>
            <w:lang w:val="en-US" w:eastAsia="fr-FR"/>
            <w14:ligatures w14:val="none"/>
          </w:rPr>
          <m:t>=</m:t>
        </m:r>
        <m:f>
          <m:fPr>
            <m:ctrlPr>
              <w:rPr>
                <w:rFonts w:ascii="Cambria Math" w:eastAsia="DengXian" w:hAnsi="Cambria Math" w:cs="Times New Roman"/>
                <w:bCs/>
                <w:iCs/>
                <w:kern w:val="0"/>
                <w:lang w:eastAsia="fr-FR"/>
                <w14:ligatures w14:val="none"/>
              </w:rPr>
            </m:ctrlPr>
          </m:fPr>
          <m:num>
            <m:r>
              <m:rPr>
                <m:sty m:val="p"/>
              </m:rPr>
              <w:rPr>
                <w:rFonts w:ascii="Cambria Math" w:eastAsia="DengXian" w:hAnsi="Cambria Math" w:cs="Times New Roman"/>
                <w:kern w:val="0"/>
                <w:lang w:val="en-US" w:eastAsia="fr-FR"/>
                <w14:ligatures w14:val="none"/>
              </w:rPr>
              <m:t>Clue*FD</m:t>
            </m:r>
          </m:num>
          <m:den>
            <m:r>
              <m:rPr>
                <m:sty m:val="p"/>
              </m:rPr>
              <w:rPr>
                <w:rFonts w:ascii="Cambria Math" w:eastAsia="DengXian" w:hAnsi="Cambria Math" w:cs="Times New Roman"/>
                <w:kern w:val="0"/>
                <w:lang w:val="en-US" w:eastAsia="fr-FR"/>
                <w14:ligatures w14:val="none"/>
              </w:rPr>
              <m:t>Ci</m:t>
            </m:r>
          </m:den>
        </m:f>
        <m:r>
          <w:rPr>
            <w:rFonts w:ascii="Cambria Math" w:eastAsia="DengXian" w:hAnsi="Cambria Math" w:cs="Times New Roman"/>
            <w:kern w:val="0"/>
            <w:lang w:val="en-US" w:eastAsia="fr-FR"/>
            <w14:ligatures w14:val="none"/>
          </w:rPr>
          <m:t>*100</m:t>
        </m:r>
      </m:oMath>
      <w:r w:rsidRPr="00883413">
        <w:rPr>
          <w:rFonts w:ascii="Times New Roman" w:eastAsia="DengXian" w:hAnsi="Times New Roman" w:cs="Times New Roman"/>
          <w:bCs/>
          <w:kern w:val="0"/>
          <w:lang w:val="en-US" w:eastAsia="fr-FR"/>
          <w14:ligatures w14:val="none"/>
        </w:rPr>
        <w:t xml:space="preserve"> (Equation 2)</w:t>
      </w:r>
    </w:p>
    <w:p w14:paraId="742378B1" w14:textId="77777777" w:rsidR="002E5BFA" w:rsidRPr="00883413" w:rsidRDefault="002E5BFA" w:rsidP="00B80458">
      <w:pPr>
        <w:spacing w:line="360" w:lineRule="auto"/>
        <w:jc w:val="both"/>
        <w:rPr>
          <w:rFonts w:ascii="Times New Roman" w:eastAsia="DengXian" w:hAnsi="Times New Roman" w:cs="Times New Roman"/>
          <w:bCs/>
          <w:kern w:val="0"/>
          <w:lang w:val="en-US" w:eastAsia="fr-FR"/>
          <w14:ligatures w14:val="none"/>
        </w:rPr>
      </w:pPr>
      <w:r w:rsidRPr="00883413">
        <w:rPr>
          <w:rFonts w:ascii="Times New Roman" w:eastAsia="DengXian" w:hAnsi="Times New Roman" w:cs="Times New Roman"/>
          <w:bCs/>
          <w:kern w:val="0"/>
          <w:lang w:val="en-US" w:eastAsia="fr-FR"/>
          <w14:ligatures w14:val="none"/>
        </w:rPr>
        <w:t>T: Total sugar content of the sample in mg DS/100 mg of dry matter; Clue: Sample concentration in mg DS/mL; FD: Dilution factor; Ci: Initial sample concentration</w:t>
      </w:r>
    </w:p>
    <w:p w14:paraId="0FDA12D1" w14:textId="77777777" w:rsidR="002E5BFA" w:rsidRPr="00883413" w:rsidRDefault="002E5BFA" w:rsidP="00B80458">
      <w:pPr>
        <w:spacing w:line="360" w:lineRule="auto"/>
        <w:jc w:val="both"/>
        <w:rPr>
          <w:rFonts w:ascii="Times New Roman" w:eastAsia="DengXian" w:hAnsi="Times New Roman" w:cs="Times New Roman"/>
          <w:bCs/>
          <w:kern w:val="0"/>
          <w:lang w:val="en-US" w:eastAsia="fr-FR"/>
          <w14:ligatures w14:val="none"/>
        </w:rPr>
      </w:pPr>
    </w:p>
    <w:p w14:paraId="3C10A0C9" w14:textId="77777777" w:rsidR="002E5BFA" w:rsidRPr="00883413" w:rsidRDefault="002E5BFA" w:rsidP="00B80458">
      <w:pPr>
        <w:spacing w:line="360" w:lineRule="auto"/>
        <w:jc w:val="both"/>
        <w:rPr>
          <w:rFonts w:ascii="Times New Roman" w:eastAsia="DengXian" w:hAnsi="Times New Roman" w:cs="Times New Roman"/>
          <w:bCs/>
          <w:kern w:val="0"/>
          <w:lang w:val="en-US" w:eastAsia="fr-FR"/>
          <w14:ligatures w14:val="none"/>
        </w:rPr>
      </w:pPr>
      <w:r w:rsidRPr="00883413">
        <w:rPr>
          <w:rFonts w:ascii="Times New Roman" w:eastAsia="DengXian" w:hAnsi="Times New Roman" w:cs="Times New Roman"/>
          <w:bCs/>
          <w:kern w:val="0"/>
          <w:lang w:val="en-US" w:eastAsia="fr-FR"/>
          <w14:ligatures w14:val="none"/>
        </w:rPr>
        <w:t>2.6. Determination of phenolic compounds</w:t>
      </w:r>
    </w:p>
    <w:p w14:paraId="64F51616" w14:textId="77777777" w:rsidR="002E5BFA" w:rsidRPr="00883413" w:rsidRDefault="002E5BFA" w:rsidP="00B80458">
      <w:pPr>
        <w:spacing w:line="360" w:lineRule="auto"/>
        <w:jc w:val="both"/>
        <w:rPr>
          <w:rFonts w:ascii="Times New Roman" w:eastAsia="DengXian" w:hAnsi="Times New Roman" w:cs="Times New Roman"/>
          <w:bCs/>
          <w:kern w:val="0"/>
          <w:lang w:val="en-US" w:eastAsia="fr-FR"/>
          <w14:ligatures w14:val="none"/>
        </w:rPr>
      </w:pPr>
      <w:r w:rsidRPr="00883413">
        <w:rPr>
          <w:rFonts w:ascii="Times New Roman" w:eastAsia="DengXian" w:hAnsi="Times New Roman" w:cs="Times New Roman"/>
          <w:bCs/>
          <w:kern w:val="0"/>
          <w:lang w:val="en-US" w:eastAsia="fr-FR"/>
          <w14:ligatures w14:val="none"/>
        </w:rPr>
        <w:t>2.6.1. Determination of total phenolics</w:t>
      </w:r>
    </w:p>
    <w:p w14:paraId="295D2661" w14:textId="77777777" w:rsidR="002E5BFA" w:rsidRPr="00883413" w:rsidRDefault="002E5BFA" w:rsidP="00B80458">
      <w:pPr>
        <w:spacing w:line="360" w:lineRule="auto"/>
        <w:jc w:val="both"/>
        <w:rPr>
          <w:rFonts w:ascii="Times New Roman" w:eastAsia="DengXian" w:hAnsi="Times New Roman" w:cs="Times New Roman"/>
          <w:bCs/>
          <w:kern w:val="0"/>
          <w:lang w:val="en-US" w:eastAsia="fr-FR"/>
          <w14:ligatures w14:val="none"/>
        </w:rPr>
      </w:pPr>
      <w:r w:rsidRPr="00883413">
        <w:rPr>
          <w:rFonts w:ascii="Times New Roman" w:eastAsia="DengXian" w:hAnsi="Times New Roman" w:cs="Times New Roman"/>
          <w:bCs/>
          <w:kern w:val="0"/>
          <w:lang w:val="en-US" w:eastAsia="fr-FR"/>
          <w14:ligatures w14:val="none"/>
        </w:rPr>
        <w:t xml:space="preserve">The determination of total phenolics was performed according to the procedure described by Singleton et al. (1999). It is based on the high oxidizability of phenolic compounds. The reagent used was a mixture of phosphomolybdate and sodium tungstate, which is reduced during the oxidation of phenols in an alkaline medium to form a mixture of tungsten blue and molybdenum. This results in a change in the colorimetric properties of the Folin-Ciocalteu reagent, which reacts with the OH group of the phenols. 96-well microplates were used. The following were added sequentially to each well: 25 µL of extract solution (0.1 mg/mL) and 125 µL of FCR solution (0.2 N). After a 5-minute incubation, 100 µL of a sodium carbonate solution (75 g/L) was added. After one hour of incubation, the absorbance was measured at 760 nm against a gallic acid standard curve (100 mg/L). Three independent readings were taken for </w:t>
      </w:r>
      <w:r w:rsidRPr="00883413">
        <w:rPr>
          <w:rFonts w:ascii="Times New Roman" w:eastAsia="DengXian" w:hAnsi="Times New Roman" w:cs="Times New Roman"/>
          <w:bCs/>
          <w:kern w:val="0"/>
          <w:lang w:val="en-US" w:eastAsia="fr-FR"/>
          <w14:ligatures w14:val="none"/>
        </w:rPr>
        <w:lastRenderedPageBreak/>
        <w:t>each extract sample, and the results were expressed in µg gallic acid equivalent per 100 mg of dry extract. The total phenolic content was expressed in µg gallic acid equivalent per gram of dry extract, according to the following formula (Equation 3):</w:t>
      </w:r>
    </w:p>
    <w:p w14:paraId="6148467B" w14:textId="684C8A52" w:rsidR="002E5BFA" w:rsidRPr="00883413" w:rsidRDefault="002E5BFA" w:rsidP="00B80458">
      <w:pPr>
        <w:spacing w:line="360" w:lineRule="auto"/>
        <w:jc w:val="both"/>
        <w:rPr>
          <w:rFonts w:ascii="Times New Roman" w:eastAsiaTheme="minorEastAsia" w:hAnsi="Times New Roman" w:cs="Times New Roman"/>
          <w:lang w:val="en-US"/>
        </w:rPr>
      </w:pPr>
      <m:oMath>
        <m:r>
          <w:rPr>
            <w:rFonts w:ascii="Cambria Math" w:hAnsi="Cambria Math" w:cs="Times New Roman"/>
          </w:rPr>
          <m:t>T</m:t>
        </m:r>
        <m:r>
          <m:rPr>
            <m:sty m:val="p"/>
          </m:rPr>
          <w:rPr>
            <w:rFonts w:ascii="Cambria Math" w:hAnsi="Cambria Math" w:cs="Times New Roman"/>
            <w:lang w:val="en-US"/>
          </w:rPr>
          <m:t>=</m:t>
        </m:r>
        <m:f>
          <m:fPr>
            <m:ctrlPr>
              <w:rPr>
                <w:rFonts w:ascii="Cambria Math" w:hAnsi="Cambria Math" w:cs="Times New Roman"/>
              </w:rPr>
            </m:ctrlPr>
          </m:fPr>
          <m:num>
            <m:r>
              <m:rPr>
                <m:sty m:val="p"/>
              </m:rPr>
              <w:rPr>
                <w:rFonts w:ascii="Cambria Math" w:hAnsi="Cambria Math" w:cs="Times New Roman"/>
                <w:lang w:val="en-US"/>
              </w:rPr>
              <m:t>C*D</m:t>
            </m:r>
          </m:num>
          <m:den>
            <m:r>
              <m:rPr>
                <m:sty m:val="p"/>
              </m:rPr>
              <w:rPr>
                <w:rFonts w:ascii="Cambria Math" w:hAnsi="Cambria Math" w:cs="Times New Roman"/>
                <w:lang w:val="en-US"/>
              </w:rPr>
              <m:t>Ci</m:t>
            </m:r>
          </m:den>
        </m:f>
        <m:r>
          <w:rPr>
            <w:rFonts w:ascii="Cambria Math" w:hAnsi="Cambria Math" w:cs="Times New Roman"/>
            <w:lang w:val="en-US"/>
          </w:rPr>
          <m:t xml:space="preserve"> </m:t>
        </m:r>
        <m:r>
          <m:rPr>
            <m:sty m:val="p"/>
          </m:rPr>
          <w:rPr>
            <w:rFonts w:ascii="Cambria Math" w:hAnsi="Cambria Math" w:cs="Times New Roman"/>
            <w:lang w:val="en-US"/>
          </w:rPr>
          <m:t>*1000</m:t>
        </m:r>
      </m:oMath>
      <w:r w:rsidRPr="00883413">
        <w:rPr>
          <w:rFonts w:ascii="Times New Roman" w:eastAsiaTheme="minorEastAsia" w:hAnsi="Times New Roman" w:cs="Times New Roman"/>
          <w:lang w:val="en-US"/>
        </w:rPr>
        <w:t xml:space="preserve"> (Equation 3)</w:t>
      </w:r>
    </w:p>
    <w:p w14:paraId="33B4884C" w14:textId="77777777" w:rsidR="00443739" w:rsidRPr="00883413" w:rsidRDefault="00443739"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T = total phenolic concentration in µg EG/g of dry extract; C = concentration of the sample on the calibration curve; D = dilution factor of the sample to be assayed; Ci = initial concentration of the assayed sample solution.</w:t>
      </w:r>
    </w:p>
    <w:p w14:paraId="2FDDA9DF" w14:textId="77777777" w:rsidR="00443739" w:rsidRPr="00883413" w:rsidRDefault="00443739" w:rsidP="00B80458">
      <w:pPr>
        <w:spacing w:line="360" w:lineRule="auto"/>
        <w:jc w:val="both"/>
        <w:rPr>
          <w:rFonts w:ascii="Times New Roman" w:eastAsiaTheme="minorEastAsia" w:hAnsi="Times New Roman" w:cs="Times New Roman"/>
          <w:lang w:val="en-US"/>
        </w:rPr>
      </w:pPr>
    </w:p>
    <w:p w14:paraId="65CA96D1" w14:textId="77777777" w:rsidR="00443739" w:rsidRPr="00883413" w:rsidRDefault="00443739"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2.6.2. Determination of Total Flavonoids</w:t>
      </w:r>
    </w:p>
    <w:p w14:paraId="2808C2B8" w14:textId="77777777" w:rsidR="00443739" w:rsidRPr="00883413" w:rsidRDefault="00443739"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 xml:space="preserve">Total flavonoids were determined using the colorimetric method described by Arvouet-Grand et al. (1994). A volume of 100 µL of 2% </w:t>
      </w:r>
      <w:proofErr w:type="spellStart"/>
      <w:r w:rsidRPr="00883413">
        <w:rPr>
          <w:rFonts w:ascii="Times New Roman" w:eastAsiaTheme="minorEastAsia" w:hAnsi="Times New Roman" w:cs="Times New Roman"/>
          <w:lang w:val="en-US"/>
        </w:rPr>
        <w:t>AlCl</w:t>
      </w:r>
      <w:proofErr w:type="spellEnd"/>
      <w:r w:rsidRPr="00883413">
        <w:rPr>
          <w:rFonts w:ascii="Times New Roman" w:eastAsiaTheme="minorEastAsia" w:hAnsi="Times New Roman" w:cs="Times New Roman"/>
          <w:lang w:val="en-US"/>
        </w:rPr>
        <w:t>₃ in pure methanol was mixed with an equal volume of extract at 1 mg/mL in methanol. The optical densities were measured at 415 nm using a spectrophotometer based on a calibration curve established beforehand, following a 10-minute incubation period. The calibration curve was plotted using quercetin as the reference substance. Readings were taken in triplicate, and the results were expressed in milligrams of quercetin equivalent per 100 mg of dry extract (mg EQ/100 mg) according to the following formula (Equation 4):</w:t>
      </w:r>
    </w:p>
    <w:p w14:paraId="5ED23E36" w14:textId="7944822D" w:rsidR="00443739" w:rsidRPr="00883413" w:rsidRDefault="00443739" w:rsidP="00B80458">
      <w:pPr>
        <w:spacing w:line="360" w:lineRule="auto"/>
        <w:jc w:val="both"/>
        <w:rPr>
          <w:rFonts w:ascii="Times New Roman" w:eastAsiaTheme="minorEastAsia" w:hAnsi="Times New Roman" w:cs="Times New Roman"/>
          <w:lang w:val="en-US"/>
        </w:rPr>
      </w:pPr>
      <w:bookmarkStart w:id="0" w:name="_Hlk209687290"/>
      <m:oMath>
        <m:r>
          <w:rPr>
            <w:rFonts w:ascii="Cambria Math" w:hAnsi="Cambria Math" w:cs="Times New Roman"/>
          </w:rPr>
          <m:t>T</m:t>
        </m:r>
        <m:r>
          <m:rPr>
            <m:sty m:val="p"/>
          </m:rPr>
          <w:rPr>
            <w:rFonts w:ascii="Cambria Math" w:hAnsi="Cambria Math" w:cs="Times New Roman"/>
            <w:lang w:val="en-US"/>
          </w:rPr>
          <m:t>=</m:t>
        </m:r>
        <m:f>
          <m:fPr>
            <m:ctrlPr>
              <w:rPr>
                <w:rFonts w:ascii="Cambria Math" w:hAnsi="Cambria Math" w:cs="Times New Roman"/>
              </w:rPr>
            </m:ctrlPr>
          </m:fPr>
          <m:num>
            <m:r>
              <m:rPr>
                <m:sty m:val="p"/>
              </m:rPr>
              <w:rPr>
                <w:rFonts w:ascii="Cambria Math" w:hAnsi="Cambria Math" w:cs="Times New Roman"/>
                <w:lang w:val="en-US"/>
              </w:rPr>
              <m:t>C*D</m:t>
            </m:r>
          </m:num>
          <m:den>
            <m:r>
              <w:rPr>
                <w:rFonts w:ascii="Cambria Math" w:hAnsi="Cambria Math" w:cs="Times New Roman"/>
              </w:rPr>
              <m:t>Ci</m:t>
            </m:r>
          </m:den>
        </m:f>
        <m:r>
          <m:rPr>
            <m:sty m:val="p"/>
          </m:rPr>
          <w:rPr>
            <w:rFonts w:ascii="Cambria Math" w:hAnsi="Cambria Math" w:cs="Times New Roman"/>
            <w:lang w:val="en-US"/>
          </w:rPr>
          <m:t>*1000</m:t>
        </m:r>
      </m:oMath>
      <w:r w:rsidRPr="00883413">
        <w:rPr>
          <w:rFonts w:ascii="Times New Roman" w:eastAsiaTheme="minorEastAsia" w:hAnsi="Times New Roman" w:cs="Times New Roman"/>
          <w:lang w:val="en-US"/>
        </w:rPr>
        <w:t xml:space="preserve"> (Equation 4)</w:t>
      </w:r>
    </w:p>
    <w:p w14:paraId="39E05522" w14:textId="77777777" w:rsidR="00443739" w:rsidRPr="00883413" w:rsidRDefault="00443739"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T = total flavonoid concentration in µg EQ/100 mg of dry extract; C = sample concentration read from the calibration curve; D = dilution factor of the sample to be assayed; Ci = initial concentration of the sample solution to be assayed.</w:t>
      </w:r>
    </w:p>
    <w:p w14:paraId="6E2EC8D9" w14:textId="77777777" w:rsidR="00443739" w:rsidRPr="00883413" w:rsidRDefault="00443739" w:rsidP="00B80458">
      <w:pPr>
        <w:spacing w:line="360" w:lineRule="auto"/>
        <w:jc w:val="both"/>
        <w:rPr>
          <w:rFonts w:ascii="Times New Roman" w:eastAsiaTheme="minorEastAsia" w:hAnsi="Times New Roman" w:cs="Times New Roman"/>
          <w:lang w:val="en-US"/>
        </w:rPr>
      </w:pPr>
    </w:p>
    <w:p w14:paraId="13DC2253" w14:textId="77777777" w:rsidR="00443739" w:rsidRPr="00883413" w:rsidRDefault="00443739"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2.7. Biological Assays</w:t>
      </w:r>
    </w:p>
    <w:p w14:paraId="7F1D766E" w14:textId="77777777" w:rsidR="00443739" w:rsidRPr="00883413" w:rsidRDefault="00443739"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2.7.1. In Vitro Antioxidant Activities</w:t>
      </w:r>
    </w:p>
    <w:p w14:paraId="28556794" w14:textId="77777777" w:rsidR="00443739" w:rsidRPr="00883413" w:rsidRDefault="00443739"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 xml:space="preserve">Due to the diversity of natural compounds and reactive oxygen species, several methods have been used to evaluate the antioxidant activities of plant extracts (Zongo et al., 2023a). In this study, three methods were used: the DPPH• (2,2-diphenylpicrylhydrazyl) radical scavenging assay, the iron-reducing capacity using the FRAP (Ferric Reducing Antioxidant Power) method, </w:t>
      </w:r>
      <w:r w:rsidRPr="00883413">
        <w:rPr>
          <w:rFonts w:ascii="Times New Roman" w:eastAsiaTheme="minorEastAsia" w:hAnsi="Times New Roman" w:cs="Times New Roman"/>
          <w:lang w:val="en-US"/>
        </w:rPr>
        <w:lastRenderedPageBreak/>
        <w:t>and the ABTS•+ (2,2′-azino-</w:t>
      </w:r>
      <w:proofErr w:type="gramStart"/>
      <w:r w:rsidRPr="00883413">
        <w:rPr>
          <w:rFonts w:ascii="Times New Roman" w:eastAsiaTheme="minorEastAsia" w:hAnsi="Times New Roman" w:cs="Times New Roman"/>
          <w:lang w:val="en-US"/>
        </w:rPr>
        <w:t>bis(</w:t>
      </w:r>
      <w:proofErr w:type="gramEnd"/>
      <w:r w:rsidRPr="00883413">
        <w:rPr>
          <w:rFonts w:ascii="Times New Roman" w:eastAsiaTheme="minorEastAsia" w:hAnsi="Times New Roman" w:cs="Times New Roman"/>
          <w:lang w:val="en-US"/>
        </w:rPr>
        <w:t>3-ethylbenzothiazoline-6-sulfonic acid)) radical scavenging capacity were employed to evaluate the antioxidant activity of the extracts.</w:t>
      </w:r>
    </w:p>
    <w:p w14:paraId="6F7357ED" w14:textId="77777777" w:rsidR="00443739" w:rsidRPr="00883413" w:rsidRDefault="00443739" w:rsidP="00B80458">
      <w:pPr>
        <w:spacing w:line="360" w:lineRule="auto"/>
        <w:jc w:val="both"/>
        <w:rPr>
          <w:rFonts w:ascii="Times New Roman" w:eastAsiaTheme="minorEastAsia" w:hAnsi="Times New Roman" w:cs="Times New Roman"/>
          <w:lang w:val="en-US"/>
        </w:rPr>
      </w:pPr>
    </w:p>
    <w:p w14:paraId="5083123F" w14:textId="77777777" w:rsidR="00443739" w:rsidRPr="00883413" w:rsidRDefault="00443739"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2.7.1.1. DPPH• (2,2-diphenylpicrylhydrazyl) Radical Scavenging Assay</w:t>
      </w:r>
    </w:p>
    <w:p w14:paraId="291D8481" w14:textId="4D49BCB4" w:rsidR="00443739" w:rsidRPr="00883413" w:rsidRDefault="00443739"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The assessment of radical activity using the DPPH</w:t>
      </w:r>
      <w:r w:rsidRPr="00C26807">
        <w:rPr>
          <w:rFonts w:ascii="Times New Roman" w:eastAsiaTheme="minorEastAsia" w:hAnsi="Times New Roman" w:cs="Times New Roman"/>
          <w:vertAlign w:val="superscript"/>
          <w:lang w:val="en-US"/>
        </w:rPr>
        <w:t>•</w:t>
      </w:r>
      <w:r w:rsidRPr="00883413">
        <w:rPr>
          <w:rFonts w:ascii="Times New Roman" w:eastAsiaTheme="minorEastAsia" w:hAnsi="Times New Roman" w:cs="Times New Roman"/>
          <w:lang w:val="en-US"/>
        </w:rPr>
        <w:t xml:space="preserve"> (2,2-diphenyl-1-picrylhydrazyl) method, as described by Velazquez et al. (2003). This method is based on the reduction in absorbance at 517 nm caused by the stable free radical DPPH</w:t>
      </w:r>
      <w:r w:rsidRPr="00C26807">
        <w:rPr>
          <w:rFonts w:ascii="Times New Roman" w:eastAsiaTheme="minorEastAsia" w:hAnsi="Times New Roman" w:cs="Times New Roman"/>
          <w:vertAlign w:val="superscript"/>
          <w:lang w:val="en-US"/>
        </w:rPr>
        <w:t>•</w:t>
      </w:r>
      <w:r w:rsidRPr="00883413">
        <w:rPr>
          <w:rFonts w:ascii="Times New Roman" w:eastAsiaTheme="minorEastAsia" w:hAnsi="Times New Roman" w:cs="Times New Roman"/>
          <w:lang w:val="en-US"/>
        </w:rPr>
        <w:t xml:space="preserve"> in the presence of a radical donor H. A series of seven (07) successive dilutions was prepared from sample solutions at 0.1 mg/mL in methanol. For each concentration, three (03) replicates were prepared by mixing 100 µL of sample with 200 µL of DPPH</w:t>
      </w:r>
      <w:r w:rsidRPr="00C26807">
        <w:rPr>
          <w:rFonts w:ascii="Times New Roman" w:eastAsiaTheme="minorEastAsia" w:hAnsi="Times New Roman" w:cs="Times New Roman"/>
          <w:vertAlign w:val="superscript"/>
          <w:lang w:val="en-US"/>
        </w:rPr>
        <w:t>•</w:t>
      </w:r>
      <w:r w:rsidRPr="00883413">
        <w:rPr>
          <w:rFonts w:ascii="Times New Roman" w:eastAsiaTheme="minorEastAsia" w:hAnsi="Times New Roman" w:cs="Times New Roman"/>
          <w:lang w:val="en-US"/>
        </w:rPr>
        <w:t xml:space="preserve"> (20 mg/L in methanol). The blank consisted of 100 µL of methanol and 200 µL of DPPH</w:t>
      </w:r>
      <w:r w:rsidRPr="00C26807">
        <w:rPr>
          <w:rFonts w:ascii="Times New Roman" w:eastAsiaTheme="minorEastAsia" w:hAnsi="Times New Roman" w:cs="Times New Roman"/>
          <w:vertAlign w:val="superscript"/>
          <w:lang w:val="en-US"/>
        </w:rPr>
        <w:t>•</w:t>
      </w:r>
      <w:r w:rsidRPr="00883413">
        <w:rPr>
          <w:rFonts w:ascii="Times New Roman" w:eastAsiaTheme="minorEastAsia" w:hAnsi="Times New Roman" w:cs="Times New Roman"/>
          <w:lang w:val="en-US"/>
        </w:rPr>
        <w:t>.</w:t>
      </w:r>
      <w:r w:rsidR="00C26807">
        <w:rPr>
          <w:rFonts w:ascii="Times New Roman" w:eastAsiaTheme="minorEastAsia" w:hAnsi="Times New Roman" w:cs="Times New Roman"/>
          <w:lang w:val="en-US"/>
        </w:rPr>
        <w:t xml:space="preserve"> </w:t>
      </w:r>
      <w:r w:rsidRPr="00883413">
        <w:rPr>
          <w:rFonts w:ascii="Times New Roman" w:eastAsiaTheme="minorEastAsia" w:hAnsi="Times New Roman" w:cs="Times New Roman"/>
          <w:lang w:val="en-US"/>
        </w:rPr>
        <w:t>After 15 minutes of incubation, the absorbance was measured at 517 nm using a 96-well UV microplate spectrophotometer against a calibration curve of ascorbic acid (0 to 10 mg/mL) (N’do et al., 2025) according to Equation 5.</w:t>
      </w:r>
    </w:p>
    <w:p w14:paraId="6C7115D0" w14:textId="03CC7C5C" w:rsidR="00443739" w:rsidRPr="00883413" w:rsidRDefault="00443739" w:rsidP="00B80458">
      <w:pPr>
        <w:spacing w:before="240" w:after="240" w:line="360" w:lineRule="auto"/>
        <w:jc w:val="both"/>
        <w:rPr>
          <w:rFonts w:ascii="Times New Roman" w:eastAsiaTheme="minorEastAsia" w:hAnsi="Times New Roman" w:cs="Times New Roman"/>
          <w:lang w:val="en-US"/>
        </w:rPr>
      </w:pPr>
      <m:oMath>
        <m:r>
          <m:rPr>
            <m:sty m:val="p"/>
          </m:rPr>
          <w:rPr>
            <w:rFonts w:ascii="Cambria Math" w:eastAsiaTheme="minorEastAsia" w:hAnsi="Cambria Math" w:cs="Times New Roman"/>
            <w:lang w:val="en-US"/>
          </w:rPr>
          <m:t>Antioxidant activity</m:t>
        </m:r>
        <m:r>
          <m:rPr>
            <m:sty m:val="p"/>
          </m:rPr>
          <w:rPr>
            <w:rFonts w:ascii="Cambria Math" w:hAnsi="Cambria Math" w:cs="Times New Roman"/>
            <w:lang w:val="en-US"/>
          </w:rPr>
          <m:t>: AA=</m:t>
        </m:r>
        <m:f>
          <m:fPr>
            <m:ctrlPr>
              <w:rPr>
                <w:rFonts w:ascii="Cambria Math" w:hAnsi="Cambria Math" w:cs="Times New Roman"/>
              </w:rPr>
            </m:ctrlPr>
          </m:fPr>
          <m:num>
            <m:r>
              <w:rPr>
                <w:rFonts w:ascii="Cambria Math" w:hAnsi="Cambria Math" w:cs="Times New Roman"/>
                <w:lang w:val="en-US"/>
              </w:rPr>
              <m:t xml:space="preserve"> </m:t>
            </m:r>
            <m:r>
              <w:rPr>
                <w:rFonts w:ascii="Cambria Math" w:hAnsi="Cambria Math" w:cs="Times New Roman"/>
              </w:rPr>
              <m:t>C</m:t>
            </m:r>
            <m:r>
              <w:rPr>
                <w:rFonts w:ascii="Cambria Math" w:hAnsi="Cambria Math" w:cs="Times New Roman"/>
                <w:lang w:val="en-US"/>
              </w:rPr>
              <m:t>*</m:t>
            </m:r>
            <m:r>
              <w:rPr>
                <w:rFonts w:ascii="Cambria Math" w:hAnsi="Cambria Math" w:cs="Times New Roman"/>
              </w:rPr>
              <m:t>D</m:t>
            </m:r>
            <m:r>
              <w:rPr>
                <w:rFonts w:ascii="Cambria Math" w:hAnsi="Cambria Math" w:cs="Times New Roman"/>
                <w:lang w:val="en-US"/>
              </w:rPr>
              <m:t>:</m:t>
            </m:r>
          </m:num>
          <m:den>
            <m:r>
              <w:rPr>
                <w:rFonts w:ascii="Cambria Math" w:hAnsi="Cambria Math" w:cs="Times New Roman"/>
              </w:rPr>
              <m:t>Ci</m:t>
            </m:r>
          </m:den>
        </m:f>
      </m:oMath>
      <w:r w:rsidRPr="00883413">
        <w:rPr>
          <w:rFonts w:ascii="Times New Roman" w:eastAsiaTheme="minorEastAsia" w:hAnsi="Times New Roman" w:cs="Times New Roman"/>
          <w:lang w:val="en-US"/>
        </w:rPr>
        <w:t>*D (Equation 5)</w:t>
      </w:r>
    </w:p>
    <w:p w14:paraId="495EBB4E" w14:textId="59C84812" w:rsidR="00443739" w:rsidRPr="00883413" w:rsidRDefault="00443739" w:rsidP="00B80458">
      <w:pPr>
        <w:spacing w:line="360" w:lineRule="auto"/>
        <w:jc w:val="both"/>
        <w:rPr>
          <w:rFonts w:ascii="Times New Roman" w:eastAsiaTheme="minorEastAsia" w:hAnsi="Times New Roman" w:cs="Times New Roman"/>
          <w:lang w:val="en-US"/>
        </w:rPr>
      </w:pPr>
      <w:proofErr w:type="gramStart"/>
      <w:r w:rsidRPr="00883413">
        <w:rPr>
          <w:rFonts w:ascii="Times New Roman" w:eastAsiaTheme="minorEastAsia" w:hAnsi="Times New Roman" w:cs="Times New Roman"/>
          <w:lang w:val="en-US"/>
        </w:rPr>
        <w:t>AA :</w:t>
      </w:r>
      <w:proofErr w:type="gramEnd"/>
      <w:r w:rsidRPr="00883413">
        <w:rPr>
          <w:rFonts w:ascii="Times New Roman" w:eastAsiaTheme="minorEastAsia" w:hAnsi="Times New Roman" w:cs="Times New Roman"/>
          <w:lang w:val="en-US"/>
        </w:rPr>
        <w:t xml:space="preserve"> Antioxidant activity in </w:t>
      </w:r>
      <w:r w:rsidRPr="00883413">
        <w:rPr>
          <w:rFonts w:ascii="Times New Roman" w:eastAsiaTheme="minorEastAsia" w:hAnsi="Times New Roman" w:cs="Times New Roman"/>
        </w:rPr>
        <w:t>μ</w:t>
      </w:r>
      <w:r w:rsidRPr="00883413">
        <w:rPr>
          <w:rFonts w:ascii="Times New Roman" w:eastAsiaTheme="minorEastAsia" w:hAnsi="Times New Roman" w:cs="Times New Roman"/>
          <w:lang w:val="en-US"/>
        </w:rPr>
        <w:t>g/</w:t>
      </w:r>
      <w:proofErr w:type="gramStart"/>
      <w:r w:rsidR="008C25C1" w:rsidRPr="00883413">
        <w:rPr>
          <w:rFonts w:ascii="Times New Roman" w:eastAsiaTheme="minorEastAsia" w:hAnsi="Times New Roman" w:cs="Times New Roman"/>
          <w:lang w:val="en-US"/>
        </w:rPr>
        <w:t>mg ;</w:t>
      </w:r>
      <w:proofErr w:type="gramEnd"/>
      <w:r w:rsidRPr="00883413">
        <w:rPr>
          <w:rFonts w:ascii="Times New Roman" w:eastAsiaTheme="minorEastAsia" w:hAnsi="Times New Roman" w:cs="Times New Roman"/>
          <w:lang w:val="en-US"/>
        </w:rPr>
        <w:t xml:space="preserve"> </w:t>
      </w:r>
      <w:proofErr w:type="gramStart"/>
      <w:r w:rsidR="008C25C1" w:rsidRPr="00883413">
        <w:rPr>
          <w:rFonts w:ascii="Times New Roman" w:eastAsiaTheme="minorEastAsia" w:hAnsi="Times New Roman" w:cs="Times New Roman"/>
          <w:lang w:val="en-US"/>
        </w:rPr>
        <w:t>C :</w:t>
      </w:r>
      <w:proofErr w:type="gramEnd"/>
      <w:r w:rsidRPr="00883413">
        <w:rPr>
          <w:rFonts w:ascii="Times New Roman" w:eastAsiaTheme="minorEastAsia" w:hAnsi="Times New Roman" w:cs="Times New Roman"/>
          <w:lang w:val="en-US"/>
        </w:rPr>
        <w:t xml:space="preserve"> sample concentration in </w:t>
      </w:r>
      <w:r w:rsidRPr="00883413">
        <w:rPr>
          <w:rFonts w:ascii="Times New Roman" w:eastAsiaTheme="minorEastAsia" w:hAnsi="Times New Roman" w:cs="Times New Roman"/>
        </w:rPr>
        <w:t>μ</w:t>
      </w:r>
      <w:r w:rsidRPr="00883413">
        <w:rPr>
          <w:rFonts w:ascii="Times New Roman" w:eastAsiaTheme="minorEastAsia" w:hAnsi="Times New Roman" w:cs="Times New Roman"/>
          <w:lang w:val="en-US"/>
        </w:rPr>
        <w:t>g/</w:t>
      </w:r>
      <w:proofErr w:type="gramStart"/>
      <w:r w:rsidR="008C25C1" w:rsidRPr="00883413">
        <w:rPr>
          <w:rFonts w:ascii="Times New Roman" w:eastAsiaTheme="minorEastAsia" w:hAnsi="Times New Roman" w:cs="Times New Roman"/>
          <w:lang w:val="en-US"/>
        </w:rPr>
        <w:t>mL ;</w:t>
      </w:r>
      <w:proofErr w:type="gramEnd"/>
      <w:r w:rsidRPr="00883413">
        <w:rPr>
          <w:rFonts w:ascii="Times New Roman" w:eastAsiaTheme="minorEastAsia" w:hAnsi="Times New Roman" w:cs="Times New Roman"/>
          <w:lang w:val="en-US"/>
        </w:rPr>
        <w:t xml:space="preserve"> </w:t>
      </w:r>
      <w:proofErr w:type="gramStart"/>
      <w:r w:rsidR="008C25C1" w:rsidRPr="00883413">
        <w:rPr>
          <w:rFonts w:ascii="Times New Roman" w:eastAsiaTheme="minorEastAsia" w:hAnsi="Times New Roman" w:cs="Times New Roman"/>
          <w:lang w:val="en-US"/>
        </w:rPr>
        <w:t>D :</w:t>
      </w:r>
      <w:proofErr w:type="gramEnd"/>
      <w:r w:rsidRPr="00883413">
        <w:rPr>
          <w:rFonts w:ascii="Times New Roman" w:eastAsiaTheme="minorEastAsia" w:hAnsi="Times New Roman" w:cs="Times New Roman"/>
          <w:lang w:val="en-US"/>
        </w:rPr>
        <w:t xml:space="preserve"> dilution </w:t>
      </w:r>
      <w:proofErr w:type="gramStart"/>
      <w:r w:rsidR="008C25C1" w:rsidRPr="00883413">
        <w:rPr>
          <w:rFonts w:ascii="Times New Roman" w:eastAsiaTheme="minorEastAsia" w:hAnsi="Times New Roman" w:cs="Times New Roman"/>
          <w:lang w:val="en-US"/>
        </w:rPr>
        <w:t>factor ;</w:t>
      </w:r>
      <w:proofErr w:type="gramEnd"/>
      <w:r w:rsidRPr="00883413">
        <w:rPr>
          <w:rFonts w:ascii="Times New Roman" w:eastAsiaTheme="minorEastAsia" w:hAnsi="Times New Roman" w:cs="Times New Roman"/>
          <w:lang w:val="en-US"/>
        </w:rPr>
        <w:t xml:space="preserve"> </w:t>
      </w:r>
      <w:proofErr w:type="gramStart"/>
      <w:r w:rsidR="008C25C1" w:rsidRPr="00883413">
        <w:rPr>
          <w:rFonts w:ascii="Times New Roman" w:eastAsiaTheme="minorEastAsia" w:hAnsi="Times New Roman" w:cs="Times New Roman"/>
          <w:lang w:val="en-US"/>
        </w:rPr>
        <w:t>Ci :</w:t>
      </w:r>
      <w:proofErr w:type="gramEnd"/>
      <w:r w:rsidRPr="00883413">
        <w:rPr>
          <w:rFonts w:ascii="Times New Roman" w:eastAsiaTheme="minorEastAsia" w:hAnsi="Times New Roman" w:cs="Times New Roman"/>
          <w:lang w:val="en-US"/>
        </w:rPr>
        <w:t xml:space="preserve"> initial sample concentration (mg/mL).</w:t>
      </w:r>
    </w:p>
    <w:p w14:paraId="52448B28" w14:textId="77777777" w:rsidR="00443739" w:rsidRPr="00883413" w:rsidRDefault="00443739" w:rsidP="00B80458">
      <w:pPr>
        <w:spacing w:line="360" w:lineRule="auto"/>
        <w:jc w:val="both"/>
        <w:rPr>
          <w:rFonts w:ascii="Times New Roman" w:eastAsiaTheme="minorEastAsia" w:hAnsi="Times New Roman" w:cs="Times New Roman"/>
          <w:lang w:val="en-US"/>
        </w:rPr>
      </w:pPr>
    </w:p>
    <w:p w14:paraId="017D2324" w14:textId="77777777" w:rsidR="008C25C1" w:rsidRPr="00883413" w:rsidRDefault="008C25C1"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2.7.1.2. Iron-Reducing Capacity Using the FRAP (Ferric Reducing Antioxidant Power) Method</w:t>
      </w:r>
    </w:p>
    <w:p w14:paraId="38B9D2B4" w14:textId="77777777" w:rsidR="008C25C1" w:rsidRPr="00883413" w:rsidRDefault="008C25C1"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The FRAP (Ferric Reducing Antioxidant Power) method assesses the ability of compounds to reduce ferric ions (Fe³⁺) to ferrous ions (Fe²⁺) (</w:t>
      </w:r>
      <w:proofErr w:type="spellStart"/>
      <w:r w:rsidRPr="00883413">
        <w:rPr>
          <w:rFonts w:ascii="Times New Roman" w:eastAsiaTheme="minorEastAsia" w:hAnsi="Times New Roman" w:cs="Times New Roman"/>
          <w:lang w:val="en-US"/>
        </w:rPr>
        <w:t>Hinneburg</w:t>
      </w:r>
      <w:proofErr w:type="spellEnd"/>
      <w:r w:rsidRPr="00883413">
        <w:rPr>
          <w:rFonts w:ascii="Times New Roman" w:eastAsiaTheme="minorEastAsia" w:hAnsi="Times New Roman" w:cs="Times New Roman"/>
          <w:lang w:val="en-US"/>
        </w:rPr>
        <w:t xml:space="preserve"> et al., 2006). To a test tube containing 0.5 mL of sample solution (0.1 mg/mL), 1.25 mL of phosphate buffer (0.2 M, pH 6.6) was added, followed by 1.25 mL of 1% potassium hexacyanoferrate [</w:t>
      </w:r>
      <w:proofErr w:type="spellStart"/>
      <w:r w:rsidRPr="00883413">
        <w:rPr>
          <w:rFonts w:ascii="Times New Roman" w:eastAsiaTheme="minorEastAsia" w:hAnsi="Times New Roman" w:cs="Times New Roman"/>
          <w:lang w:val="en-US"/>
        </w:rPr>
        <w:t>K₃</w:t>
      </w:r>
      <w:proofErr w:type="gramStart"/>
      <w:r w:rsidRPr="00883413">
        <w:rPr>
          <w:rFonts w:ascii="Times New Roman" w:eastAsiaTheme="minorEastAsia" w:hAnsi="Times New Roman" w:cs="Times New Roman"/>
          <w:lang w:val="en-US"/>
        </w:rPr>
        <w:t>Fe</w:t>
      </w:r>
      <w:proofErr w:type="spellEnd"/>
      <w:r w:rsidRPr="00883413">
        <w:rPr>
          <w:rFonts w:ascii="Times New Roman" w:eastAsiaTheme="minorEastAsia" w:hAnsi="Times New Roman" w:cs="Times New Roman"/>
          <w:lang w:val="en-US"/>
        </w:rPr>
        <w:t>(</w:t>
      </w:r>
      <w:proofErr w:type="gramEnd"/>
      <w:r w:rsidRPr="00883413">
        <w:rPr>
          <w:rFonts w:ascii="Times New Roman" w:eastAsiaTheme="minorEastAsia" w:hAnsi="Times New Roman" w:cs="Times New Roman"/>
          <w:lang w:val="en-US"/>
        </w:rPr>
        <w:t xml:space="preserve">CN)₆] in water. The mixture was heated to 50°C in a water bath for 30 minutes. A volume of 1.25 mL of trichloroacetic acid (10%) was then added, and the mixture was centrifuged at 2,000 rpm for 10 minutes. A volume of 1.25 mL of the supernatant was mixed with 1.25 mL of distilled water and 0.25 mL of freshly prepared </w:t>
      </w:r>
      <w:proofErr w:type="spellStart"/>
      <w:r w:rsidRPr="00883413">
        <w:rPr>
          <w:rFonts w:ascii="Times New Roman" w:eastAsiaTheme="minorEastAsia" w:hAnsi="Times New Roman" w:cs="Times New Roman"/>
          <w:lang w:val="en-US"/>
        </w:rPr>
        <w:t>FeCl</w:t>
      </w:r>
      <w:proofErr w:type="spellEnd"/>
      <w:r w:rsidRPr="00883413">
        <w:rPr>
          <w:rFonts w:ascii="Times New Roman" w:eastAsiaTheme="minorEastAsia" w:hAnsi="Times New Roman" w:cs="Times New Roman"/>
          <w:lang w:val="en-US"/>
        </w:rPr>
        <w:t xml:space="preserve">₃ (1%) in water. A blank without a sample was prepared under the same conditions. The absorbance was measured at 700 nm against a standard curve of ascorbic acid (0–200 mg/L). Quercetin was used as a positive control. The extract’s ability to reduce iron (III) to iron (II) was expressed in µmol of ascorbic acid equivalent per milligram of extract (µmol AAE/100 mg). The concentration (content) of reducing compounds in the </w:t>
      </w:r>
      <w:r w:rsidRPr="00883413">
        <w:rPr>
          <w:rFonts w:ascii="Times New Roman" w:eastAsiaTheme="minorEastAsia" w:hAnsi="Times New Roman" w:cs="Times New Roman"/>
          <w:lang w:val="en-US"/>
        </w:rPr>
        <w:lastRenderedPageBreak/>
        <w:t>extracts was expressed in µmol ascorbic acid equivalent per 100 mg of dry extract (µmol AAE/100 mg) according to the formula (Equation 6):</w:t>
      </w:r>
    </w:p>
    <w:p w14:paraId="23B6D8C8" w14:textId="437B74EA" w:rsidR="008C25C1" w:rsidRPr="00883413" w:rsidRDefault="008C25C1" w:rsidP="00B80458">
      <w:pPr>
        <w:spacing w:before="240" w:line="360" w:lineRule="auto"/>
        <w:jc w:val="both"/>
        <w:rPr>
          <w:rFonts w:ascii="Times New Roman" w:hAnsi="Times New Roman" w:cs="Times New Roman"/>
          <w:lang w:val="en-US"/>
        </w:rPr>
      </w:pPr>
      <m:oMath>
        <m:r>
          <w:rPr>
            <w:rFonts w:ascii="Cambria Math" w:hAnsi="Cambria Math" w:cs="Times New Roman"/>
          </w:rPr>
          <m:t>T</m:t>
        </m:r>
        <m:r>
          <m:rPr>
            <m:sty m:val="p"/>
          </m:rPr>
          <w:rPr>
            <w:rFonts w:ascii="Cambria Math" w:hAnsi="Cambria Math" w:cs="Times New Roman"/>
            <w:lang w:val="en-US"/>
          </w:rPr>
          <m:t>=</m:t>
        </m:r>
        <m:f>
          <m:fPr>
            <m:ctrlPr>
              <w:rPr>
                <w:rFonts w:ascii="Cambria Math" w:hAnsi="Cambria Math" w:cs="Times New Roman"/>
              </w:rPr>
            </m:ctrlPr>
          </m:fPr>
          <m:num>
            <m:r>
              <m:rPr>
                <m:sty m:val="p"/>
              </m:rPr>
              <w:rPr>
                <w:rFonts w:ascii="Cambria Math" w:hAnsi="Cambria Math" w:cs="Times New Roman"/>
                <w:lang w:val="en-US"/>
              </w:rPr>
              <m:t>Cl*Vf*D</m:t>
            </m:r>
          </m:num>
          <m:den>
            <m:r>
              <m:rPr>
                <m:sty m:val="p"/>
              </m:rPr>
              <w:rPr>
                <w:rFonts w:ascii="Cambria Math" w:hAnsi="Cambria Math" w:cs="Times New Roman"/>
                <w:lang w:val="en-US"/>
              </w:rPr>
              <m:t>Ci*Vi</m:t>
            </m:r>
          </m:den>
        </m:f>
      </m:oMath>
      <w:r w:rsidRPr="00883413">
        <w:rPr>
          <w:rFonts w:ascii="Times New Roman" w:hAnsi="Times New Roman" w:cs="Times New Roman"/>
          <w:lang w:val="en-US"/>
        </w:rPr>
        <w:t>*100 (Equation 6)</w:t>
      </w:r>
    </w:p>
    <w:p w14:paraId="0DA463FC" w14:textId="77777777" w:rsidR="008C25C1" w:rsidRPr="00883413" w:rsidRDefault="008C25C1" w:rsidP="00B80458">
      <w:pPr>
        <w:spacing w:line="360" w:lineRule="auto"/>
        <w:jc w:val="both"/>
        <w:rPr>
          <w:rFonts w:ascii="Times New Roman" w:eastAsiaTheme="minorEastAsia" w:hAnsi="Times New Roman" w:cs="Times New Roman"/>
        </w:rPr>
      </w:pPr>
      <w:r w:rsidRPr="00883413">
        <w:rPr>
          <w:rFonts w:ascii="Times New Roman" w:eastAsiaTheme="minorEastAsia" w:hAnsi="Times New Roman" w:cs="Times New Roman"/>
        </w:rPr>
        <w:t>T = (Cl × Vf × D) / (Ci × Vi) × 100 (Equation 6)</w:t>
      </w:r>
    </w:p>
    <w:p w14:paraId="769C700B" w14:textId="77777777" w:rsidR="008C25C1" w:rsidRPr="00883413" w:rsidRDefault="008C25C1"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 xml:space="preserve">T: content of reducing compounds in µmol ascorbic acid equivalent/100 mg dry extract. Cl: measured concentration; </w:t>
      </w:r>
      <w:proofErr w:type="spellStart"/>
      <w:r w:rsidRPr="00883413">
        <w:rPr>
          <w:rFonts w:ascii="Times New Roman" w:eastAsiaTheme="minorEastAsia" w:hAnsi="Times New Roman" w:cs="Times New Roman"/>
          <w:lang w:val="en-US"/>
        </w:rPr>
        <w:t>Vf</w:t>
      </w:r>
      <w:proofErr w:type="spellEnd"/>
      <w:r w:rsidRPr="00883413">
        <w:rPr>
          <w:rFonts w:ascii="Times New Roman" w:eastAsiaTheme="minorEastAsia" w:hAnsi="Times New Roman" w:cs="Times New Roman"/>
          <w:lang w:val="en-US"/>
        </w:rPr>
        <w:t>: final volume; D: dilution factor; Ci: initial concentration; Vi: initial volume; C = concentration of antiradical compounds in µmol EAA/100 mg of dry extract; Clue = sample concentration read from the calibration curve; D = sample dilution factor.</w:t>
      </w:r>
    </w:p>
    <w:p w14:paraId="6A834A5C" w14:textId="77777777" w:rsidR="008C25C1" w:rsidRPr="00883413" w:rsidRDefault="008C25C1" w:rsidP="00B80458">
      <w:pPr>
        <w:spacing w:line="360" w:lineRule="auto"/>
        <w:jc w:val="both"/>
        <w:rPr>
          <w:rFonts w:ascii="Times New Roman" w:eastAsiaTheme="minorEastAsia" w:hAnsi="Times New Roman" w:cs="Times New Roman"/>
          <w:lang w:val="en-US"/>
        </w:rPr>
      </w:pPr>
    </w:p>
    <w:p w14:paraId="49C888B5" w14:textId="77777777" w:rsidR="008C25C1" w:rsidRPr="00883413" w:rsidRDefault="008C25C1"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2.7.1.3. Antiradical capacity of the ABTS•+ cation (2,2′-azinobis-(3-ethylbenzothiazoline-6-sulfonic acid))</w:t>
      </w:r>
    </w:p>
    <w:p w14:paraId="2D316710" w14:textId="77777777" w:rsidR="008C25C1" w:rsidRPr="00883413" w:rsidRDefault="008C25C1" w:rsidP="00B80458">
      <w:pPr>
        <w:spacing w:line="360" w:lineRule="auto"/>
        <w:jc w:val="both"/>
        <w:rPr>
          <w:rFonts w:ascii="Times New Roman" w:eastAsiaTheme="minorEastAsia" w:hAnsi="Times New Roman" w:cs="Times New Roman"/>
          <w:lang w:val="en-US"/>
        </w:rPr>
      </w:pPr>
      <w:r w:rsidRPr="00883413">
        <w:rPr>
          <w:rFonts w:ascii="Times New Roman" w:eastAsiaTheme="minorEastAsia" w:hAnsi="Times New Roman" w:cs="Times New Roman"/>
          <w:lang w:val="en-US"/>
        </w:rPr>
        <w:t xml:space="preserve">The principle of this reduction is based on the decolorization of the stable ABTS•+ radical cation [2,2′-azinobis-(3-ethylbenzothiazoline-6-sulfonic acid)] to ABTS•+ in the presence of antiradical compounds. The method described by Re et al. (1999) was used for this purpose. In practice, a 200 </w:t>
      </w:r>
      <w:r w:rsidRPr="00883413">
        <w:rPr>
          <w:rFonts w:ascii="Times New Roman" w:eastAsiaTheme="minorEastAsia" w:hAnsi="Times New Roman" w:cs="Times New Roman"/>
        </w:rPr>
        <w:t>μ</w:t>
      </w:r>
      <w:r w:rsidRPr="00883413">
        <w:rPr>
          <w:rFonts w:ascii="Times New Roman" w:eastAsiaTheme="minorEastAsia" w:hAnsi="Times New Roman" w:cs="Times New Roman"/>
          <w:lang w:val="en-US"/>
        </w:rPr>
        <w:t xml:space="preserve">L volume of prepared ABTS•+ solution was added to 50 </w:t>
      </w:r>
      <w:r w:rsidRPr="00883413">
        <w:rPr>
          <w:rFonts w:ascii="Times New Roman" w:eastAsiaTheme="minorEastAsia" w:hAnsi="Times New Roman" w:cs="Times New Roman"/>
        </w:rPr>
        <w:t>μ</w:t>
      </w:r>
      <w:r w:rsidRPr="00883413">
        <w:rPr>
          <w:rFonts w:ascii="Times New Roman" w:eastAsiaTheme="minorEastAsia" w:hAnsi="Times New Roman" w:cs="Times New Roman"/>
          <w:lang w:val="en-US"/>
        </w:rPr>
        <w:t>L of sample solution (0.625 mg/mL). Trolox served as the reference. The mixture was left in the dark for 15 min, and absorbances were measured at 734 nm using a spectrophotometer. The antiradical activity of the samples, as determined by the reduction of the ABTS•+ cation (an antiradical compound), was expressed in mg of Trolox equivalent per 100 mg (µg TE/100 mg) of dry extract according to the following formula (Equation 7):</w:t>
      </w:r>
    </w:p>
    <w:p w14:paraId="25086CEB" w14:textId="5603B7E3" w:rsidR="008C25C1" w:rsidRPr="00883413" w:rsidRDefault="008C25C1" w:rsidP="00B80458">
      <w:pPr>
        <w:spacing w:before="240" w:line="360" w:lineRule="auto"/>
        <w:jc w:val="both"/>
        <w:rPr>
          <w:rFonts w:ascii="Times New Roman" w:hAnsi="Times New Roman" w:cs="Times New Roman"/>
          <w:lang w:val="en-US"/>
        </w:rPr>
      </w:pPr>
      <m:oMath>
        <m:r>
          <m:rPr>
            <m:sty m:val="p"/>
          </m:rPr>
          <w:rPr>
            <w:rFonts w:ascii="Cambria Math" w:hAnsi="Cambria Math" w:cs="Times New Roman"/>
            <w:lang w:val="en-US"/>
          </w:rPr>
          <m:t>CAEA =</m:t>
        </m:r>
        <m:f>
          <m:fPr>
            <m:ctrlPr>
              <w:rPr>
                <w:rFonts w:ascii="Cambria Math" w:hAnsi="Cambria Math" w:cs="Times New Roman"/>
              </w:rPr>
            </m:ctrlPr>
          </m:fPr>
          <m:num>
            <m:r>
              <m:rPr>
                <m:sty m:val="p"/>
              </m:rPr>
              <w:rPr>
                <w:rFonts w:ascii="Cambria Math" w:hAnsi="Cambria Math" w:cs="Times New Roman"/>
                <w:lang w:val="en-US"/>
              </w:rPr>
              <m:t>C * D</m:t>
            </m:r>
          </m:num>
          <m:den>
            <m:r>
              <m:rPr>
                <m:sty m:val="p"/>
              </m:rPr>
              <w:rPr>
                <w:rFonts w:ascii="Cambria Math" w:hAnsi="Cambria Math" w:cs="Times New Roman"/>
                <w:lang w:val="en-US"/>
              </w:rPr>
              <m:t>Ci</m:t>
            </m:r>
          </m:den>
        </m:f>
      </m:oMath>
      <w:r w:rsidRPr="00883413">
        <w:rPr>
          <w:rFonts w:ascii="Times New Roman" w:hAnsi="Times New Roman" w:cs="Times New Roman"/>
          <w:lang w:val="en-US"/>
        </w:rPr>
        <w:t>* 100 (Equation 7) </w:t>
      </w:r>
    </w:p>
    <w:p w14:paraId="14963F2B"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CAEA: Antioxidant capacity; C: sample concentration read from the calibration curve; D: dilution factor of the sample to be assayed; Ci = initial.</w:t>
      </w:r>
    </w:p>
    <w:p w14:paraId="6302077F" w14:textId="77777777" w:rsidR="00322208" w:rsidRPr="00883413" w:rsidRDefault="00322208" w:rsidP="00B80458">
      <w:pPr>
        <w:spacing w:before="240" w:line="360" w:lineRule="auto"/>
        <w:jc w:val="both"/>
        <w:rPr>
          <w:rFonts w:ascii="Times New Roman" w:hAnsi="Times New Roman" w:cs="Times New Roman"/>
          <w:lang w:val="en-US"/>
        </w:rPr>
      </w:pPr>
    </w:p>
    <w:p w14:paraId="5FE679C9"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2.7.2. Enumeration of Total Mesophilic Aerobic Flora</w:t>
      </w:r>
    </w:p>
    <w:p w14:paraId="27DB0E61"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2.7.2.1. Sample Preparation</w:t>
      </w:r>
    </w:p>
    <w:p w14:paraId="19C36A78"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lastRenderedPageBreak/>
        <w:t>The samples were processed according to the International Organization for Standardization (ISO) protocol used by N’do et al. (2025). A stock solution with a concentration of 1 g/9 mL was prepared using physiological saline (9‰ NaCl). A mass of 1 g of powder from each sample was aseptically removed, added to 9 mL of sterile water, and homogenized for 30 minutes. From the stock solutions (SM), 1 mL was withdrawn for serial dilution into six (6) tubes (10⁻¹, 10⁻², 10⁻³, 10⁻⁴, 10⁻⁵, and 10⁻⁶), each containing 9 mL of physiological saline (9‰ NaCl).</w:t>
      </w:r>
    </w:p>
    <w:p w14:paraId="78D83F27" w14:textId="77777777" w:rsidR="00322208" w:rsidRPr="00883413" w:rsidRDefault="00322208" w:rsidP="00B80458">
      <w:pPr>
        <w:spacing w:before="240" w:line="360" w:lineRule="auto"/>
        <w:jc w:val="both"/>
        <w:rPr>
          <w:rFonts w:ascii="Times New Roman" w:hAnsi="Times New Roman" w:cs="Times New Roman"/>
          <w:lang w:val="en-US"/>
        </w:rPr>
      </w:pPr>
    </w:p>
    <w:p w14:paraId="2BC5D797"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2.7.2.2. Seeding</w:t>
      </w:r>
    </w:p>
    <w:p w14:paraId="5FEC80CA"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A 1 mL volume of each of the last three dilutions (10⁻⁴, 10⁻⁵, and 10⁻⁶) was withdrawn and added to sterile Petri dishes. Next, the previously prepared PCA medium was poured over the samples (10 to 15 mL), homogenized, and allowed to solidify for 30 minutes. After solidification, the Petri dishes containing the samples were incubated at 37 °C and examined after 24 hours. Incubation was carried out at 37 °C for 24 h, 48 h, and 72 h, followed by a count of the number of microorganisms according to ISO 4832 (2006), as used by Compaoré et al. (2021).</w:t>
      </w:r>
    </w:p>
    <w:p w14:paraId="0F15A36C" w14:textId="77777777" w:rsidR="00322208" w:rsidRPr="00883413" w:rsidRDefault="00322208" w:rsidP="00B80458">
      <w:pPr>
        <w:spacing w:before="240" w:line="360" w:lineRule="auto"/>
        <w:jc w:val="both"/>
        <w:rPr>
          <w:rFonts w:ascii="Times New Roman" w:hAnsi="Times New Roman" w:cs="Times New Roman"/>
          <w:lang w:val="en-US"/>
        </w:rPr>
      </w:pPr>
    </w:p>
    <w:p w14:paraId="4C2B1823"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2.7.2.3. Colony Counting</w:t>
      </w:r>
    </w:p>
    <w:p w14:paraId="2C49CF82"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According to ISO 4832 (2006), as used by N’do et al. (2025), plates containing more than 15 and fewer than 300 colonies were selected. The number of microorganisms present in a sample was calculated using the formula employed by N’do et al. (2025) (Equation 8).</w:t>
      </w:r>
    </w:p>
    <w:p w14:paraId="26AA6B12" w14:textId="3AD4E918" w:rsidR="00322208" w:rsidRPr="00883413" w:rsidRDefault="00322208" w:rsidP="00B80458">
      <w:pPr>
        <w:spacing w:line="360" w:lineRule="auto"/>
        <w:jc w:val="both"/>
        <w:rPr>
          <w:rFonts w:ascii="Times New Roman" w:eastAsia="Times New Roman" w:hAnsi="Times New Roman" w:cs="Times New Roman"/>
          <w:bCs/>
          <w:lang w:val="en-US"/>
        </w:rPr>
      </w:pPr>
      <m:oMath>
        <m:r>
          <w:rPr>
            <w:rFonts w:ascii="Cambria Math" w:hAnsi="Cambria Math" w:cs="Times New Roman"/>
          </w:rPr>
          <m:t>N</m:t>
        </m:r>
        <m:r>
          <m:rPr>
            <m:sty m:val="p"/>
          </m:rPr>
          <w:rPr>
            <w:rFonts w:ascii="Cambria Math" w:hAnsi="Cambria Math" w:cs="Times New Roman"/>
            <w:lang w:val="en-US"/>
          </w:rPr>
          <m:t>=</m:t>
        </m:r>
        <m:f>
          <m:fPr>
            <m:ctrlPr>
              <w:rPr>
                <w:rFonts w:ascii="Cambria Math" w:hAnsi="Cambria Math" w:cs="Times New Roman"/>
                <w:bCs/>
              </w:rPr>
            </m:ctrlPr>
          </m:fPr>
          <m:num>
            <m:r>
              <m:rPr>
                <m:sty m:val="p"/>
              </m:rPr>
              <w:rPr>
                <w:rFonts w:ascii="Cambria Math" w:hAnsi="Cambria Math" w:cs="Times New Roman"/>
                <w:lang w:val="en-US"/>
              </w:rPr>
              <m:t>∑C</m:t>
            </m:r>
          </m:num>
          <m:den>
            <m:r>
              <m:rPr>
                <m:sty m:val="p"/>
              </m:rPr>
              <w:rPr>
                <w:rFonts w:ascii="Cambria Math" w:hAnsi="Cambria Math" w:cs="Times New Roman"/>
                <w:lang w:val="en-US"/>
              </w:rPr>
              <m:t>V(n1 +0,1n2)d</m:t>
            </m:r>
          </m:den>
        </m:f>
        <m:r>
          <w:rPr>
            <w:rFonts w:ascii="Cambria Math" w:hAnsi="Cambria Math" w:cs="Times New Roman"/>
            <w:lang w:val="en-US"/>
          </w:rPr>
          <m:t xml:space="preserve"> </m:t>
        </m:r>
        <m:r>
          <m:rPr>
            <m:sty m:val="p"/>
          </m:rPr>
          <w:rPr>
            <w:rFonts w:ascii="Cambria Math" w:hAnsi="Cambria Math" w:cs="Times New Roman"/>
            <w:lang w:val="en-US"/>
          </w:rPr>
          <m:t>(Germs/mL)</m:t>
        </m:r>
      </m:oMath>
      <w:r w:rsidRPr="00883413">
        <w:rPr>
          <w:rFonts w:ascii="Times New Roman" w:eastAsia="Times New Roman" w:hAnsi="Times New Roman" w:cs="Times New Roman"/>
          <w:bCs/>
          <w:lang w:val="en-US"/>
        </w:rPr>
        <w:t xml:space="preserve"> (Equation 8)</w:t>
      </w:r>
    </w:p>
    <w:p w14:paraId="72DA57E5"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N = number of microorganisms; </w:t>
      </w:r>
      <w:r w:rsidRPr="00883413">
        <w:rPr>
          <w:rFonts w:ascii="Times New Roman" w:hAnsi="Times New Roman" w:cs="Times New Roman"/>
        </w:rPr>
        <w:t>Σ</w:t>
      </w:r>
      <w:r w:rsidRPr="00883413">
        <w:rPr>
          <w:rFonts w:ascii="Times New Roman" w:hAnsi="Times New Roman" w:cs="Times New Roman"/>
          <w:lang w:val="en-US"/>
        </w:rPr>
        <w:t>C = sum of colonies on the selected plates; V = volume of inoculum applied to each plate; n1 = number of plates in the first dilution; n2 = number of plates in the second dilution; d = dilution ratio corresponding to the first dilution.</w:t>
      </w:r>
    </w:p>
    <w:p w14:paraId="6DC0F83B"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2.8. Statistical Analysis</w:t>
      </w:r>
    </w:p>
    <w:p w14:paraId="1EFFD0FE"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The survey forms containing information on medicinal plants, their uses, and ethnobotanical knowledge were entered, coded, and then analyzed using Excel 2016. This software was used to list the most frequently cited plants, their uses, and their methods of preparation. The results </w:t>
      </w:r>
      <w:r w:rsidRPr="00883413">
        <w:rPr>
          <w:rFonts w:ascii="Times New Roman" w:hAnsi="Times New Roman" w:cs="Times New Roman"/>
          <w:lang w:val="en-US"/>
        </w:rPr>
        <w:lastRenderedPageBreak/>
        <w:t>of the phytochemical assays and antioxidant activities were calculated using Excel 2016 and analyzed using GraphPad Prism 10. A significant difference was considered at p = 0.05.</w:t>
      </w:r>
    </w:p>
    <w:p w14:paraId="2FCB9861" w14:textId="77777777" w:rsidR="00883413" w:rsidRDefault="00883413" w:rsidP="00B80458">
      <w:pPr>
        <w:spacing w:before="240" w:line="360" w:lineRule="auto"/>
        <w:jc w:val="both"/>
        <w:rPr>
          <w:rFonts w:ascii="Times New Roman" w:hAnsi="Times New Roman" w:cs="Times New Roman"/>
          <w:lang w:val="en-US"/>
        </w:rPr>
      </w:pPr>
    </w:p>
    <w:p w14:paraId="3F0CCAE0" w14:textId="77777777" w:rsidR="00883413" w:rsidRDefault="00883413" w:rsidP="00B80458">
      <w:pPr>
        <w:spacing w:before="240" w:line="360" w:lineRule="auto"/>
        <w:jc w:val="both"/>
        <w:rPr>
          <w:rFonts w:ascii="Times New Roman" w:hAnsi="Times New Roman" w:cs="Times New Roman"/>
          <w:lang w:val="en-US"/>
        </w:rPr>
      </w:pPr>
    </w:p>
    <w:p w14:paraId="0500DFAD" w14:textId="77777777" w:rsidR="00883413" w:rsidRDefault="00883413" w:rsidP="00B80458">
      <w:pPr>
        <w:spacing w:before="240" w:line="360" w:lineRule="auto"/>
        <w:jc w:val="both"/>
        <w:rPr>
          <w:rFonts w:ascii="Times New Roman" w:hAnsi="Times New Roman" w:cs="Times New Roman"/>
          <w:lang w:val="en-US"/>
        </w:rPr>
      </w:pPr>
    </w:p>
    <w:p w14:paraId="27D47195" w14:textId="77777777" w:rsidR="00883413" w:rsidRDefault="00883413" w:rsidP="00B80458">
      <w:pPr>
        <w:spacing w:before="240" w:line="360" w:lineRule="auto"/>
        <w:jc w:val="both"/>
        <w:rPr>
          <w:rFonts w:ascii="Times New Roman" w:hAnsi="Times New Roman" w:cs="Times New Roman"/>
          <w:lang w:val="en-US"/>
        </w:rPr>
      </w:pPr>
    </w:p>
    <w:p w14:paraId="1BB8CF94" w14:textId="77777777" w:rsidR="00883413" w:rsidRDefault="00883413" w:rsidP="00B80458">
      <w:pPr>
        <w:spacing w:before="240" w:line="360" w:lineRule="auto"/>
        <w:jc w:val="both"/>
        <w:rPr>
          <w:rFonts w:ascii="Times New Roman" w:hAnsi="Times New Roman" w:cs="Times New Roman"/>
          <w:lang w:val="en-US"/>
        </w:rPr>
      </w:pPr>
    </w:p>
    <w:p w14:paraId="4CE9BF9B" w14:textId="77777777" w:rsidR="00883413" w:rsidRDefault="00883413" w:rsidP="00B80458">
      <w:pPr>
        <w:spacing w:before="240" w:line="360" w:lineRule="auto"/>
        <w:jc w:val="both"/>
        <w:rPr>
          <w:rFonts w:ascii="Times New Roman" w:hAnsi="Times New Roman" w:cs="Times New Roman"/>
          <w:lang w:val="en-US"/>
        </w:rPr>
      </w:pPr>
    </w:p>
    <w:p w14:paraId="483703E8" w14:textId="77777777" w:rsidR="00883413" w:rsidRDefault="00883413" w:rsidP="00B80458">
      <w:pPr>
        <w:spacing w:before="240" w:line="360" w:lineRule="auto"/>
        <w:jc w:val="both"/>
        <w:rPr>
          <w:rFonts w:ascii="Times New Roman" w:hAnsi="Times New Roman" w:cs="Times New Roman"/>
          <w:lang w:val="en-US"/>
        </w:rPr>
      </w:pPr>
    </w:p>
    <w:p w14:paraId="1D1A16D4" w14:textId="77777777" w:rsidR="00883413" w:rsidRDefault="00883413" w:rsidP="00B80458">
      <w:pPr>
        <w:spacing w:before="240" w:line="360" w:lineRule="auto"/>
        <w:jc w:val="both"/>
        <w:rPr>
          <w:rFonts w:ascii="Times New Roman" w:hAnsi="Times New Roman" w:cs="Times New Roman"/>
          <w:lang w:val="en-US"/>
        </w:rPr>
      </w:pPr>
    </w:p>
    <w:p w14:paraId="1C9F3C9E" w14:textId="77777777" w:rsidR="00883413" w:rsidRDefault="00883413" w:rsidP="00B80458">
      <w:pPr>
        <w:spacing w:before="240" w:line="360" w:lineRule="auto"/>
        <w:jc w:val="both"/>
        <w:rPr>
          <w:rFonts w:ascii="Times New Roman" w:hAnsi="Times New Roman" w:cs="Times New Roman"/>
          <w:lang w:val="en-US"/>
        </w:rPr>
      </w:pPr>
    </w:p>
    <w:p w14:paraId="2CECCCF9" w14:textId="77777777" w:rsidR="00883413" w:rsidRDefault="00883413" w:rsidP="00B80458">
      <w:pPr>
        <w:spacing w:before="240" w:line="360" w:lineRule="auto"/>
        <w:jc w:val="both"/>
        <w:rPr>
          <w:rFonts w:ascii="Times New Roman" w:hAnsi="Times New Roman" w:cs="Times New Roman"/>
          <w:lang w:val="en-US"/>
        </w:rPr>
      </w:pPr>
    </w:p>
    <w:p w14:paraId="59100338" w14:textId="77777777" w:rsidR="00C26807" w:rsidRDefault="00C26807" w:rsidP="00B80458">
      <w:pPr>
        <w:spacing w:before="240" w:line="360" w:lineRule="auto"/>
        <w:jc w:val="both"/>
        <w:rPr>
          <w:rFonts w:ascii="Times New Roman" w:hAnsi="Times New Roman" w:cs="Times New Roman"/>
          <w:lang w:val="en-US"/>
        </w:rPr>
      </w:pPr>
    </w:p>
    <w:p w14:paraId="1C320FD7" w14:textId="71A0256C"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 Results</w:t>
      </w:r>
    </w:p>
    <w:p w14:paraId="47967F53"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3.1. Data from the ethnobotanical survey</w:t>
      </w:r>
    </w:p>
    <w:p w14:paraId="739F7348"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3.1.1. Sociodemographic characteristics of the respondents</w:t>
      </w:r>
    </w:p>
    <w:p w14:paraId="47169315" w14:textId="77777777"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3.1.1.1. Sociodemographic distribution of respondents by gender</w:t>
      </w:r>
    </w:p>
    <w:p w14:paraId="48156545" w14:textId="01061EF8"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Figure I illustrates the distribution of traditional health practitioners surveyed during the study by gender in the city of Bobo-Dioulasso. A total of 50 traditional health practitioners were surveyed; women accounted for 56% of the respondents, compared to 44% men.</w:t>
      </w:r>
    </w:p>
    <w:p w14:paraId="77DADD55" w14:textId="79219648" w:rsidR="00322208" w:rsidRPr="00883413" w:rsidRDefault="00322208" w:rsidP="00B80458">
      <w:pPr>
        <w:spacing w:before="240" w:line="360" w:lineRule="auto"/>
        <w:jc w:val="both"/>
        <w:rPr>
          <w:rFonts w:ascii="Times New Roman" w:hAnsi="Times New Roman" w:cs="Times New Roman"/>
          <w:lang w:val="en-US"/>
        </w:rPr>
      </w:pPr>
      <w:r w:rsidRPr="00883413">
        <w:rPr>
          <w:rFonts w:ascii="Times New Roman" w:hAnsi="Times New Roman" w:cs="Times New Roman"/>
          <w:noProof/>
          <w:lang w:val="en-US"/>
        </w:rPr>
        <w:lastRenderedPageBreak/>
        <w:drawing>
          <wp:inline distT="0" distB="0" distL="0" distR="0" wp14:anchorId="188F461D" wp14:editId="0F15F5F3">
            <wp:extent cx="4476750" cy="2648585"/>
            <wp:effectExtent l="0" t="0" r="0" b="18415"/>
            <wp:docPr id="315642884" name="Graphique 1">
              <a:extLst xmlns:a="http://schemas.openxmlformats.org/drawingml/2006/main">
                <a:ext uri="{FF2B5EF4-FFF2-40B4-BE49-F238E27FC236}">
                  <a16:creationId xmlns:a16="http://schemas.microsoft.com/office/drawing/2014/main" id="{FD8A33E8-C6B8-345E-AAF9-7FCD6E8B6E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21C2081"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Figure I: Sociodemographic Distribution of Respondents by Gender</w:t>
      </w:r>
    </w:p>
    <w:p w14:paraId="1C17C530" w14:textId="77777777" w:rsidR="004747E0" w:rsidRPr="00883413" w:rsidRDefault="004747E0" w:rsidP="00B80458">
      <w:pPr>
        <w:spacing w:before="240" w:line="360" w:lineRule="auto"/>
        <w:jc w:val="both"/>
        <w:rPr>
          <w:rFonts w:ascii="Times New Roman" w:hAnsi="Times New Roman" w:cs="Times New Roman"/>
          <w:lang w:val="en-US"/>
        </w:rPr>
      </w:pPr>
    </w:p>
    <w:p w14:paraId="56F4917C"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3.1.1.2. Sociodemographic Distribution of Respondents by Age and Professional Experience</w:t>
      </w:r>
    </w:p>
    <w:p w14:paraId="7F7E3416"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Table I shows the distribution of respondents by age and experience. The ages of the respondents ranged from 20 to 80 years. The most represented age group among traditional practitioners was between 61 and 70 years old. Professional experience ranged from 2 to 65 years.</w:t>
      </w:r>
    </w:p>
    <w:p w14:paraId="27A11B5E"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Table I: Sociodemographic distribution of respondents by age and experience:</w:t>
      </w:r>
    </w:p>
    <w:p w14:paraId="6AA3A3DC" w14:textId="77777777" w:rsidR="004747E0" w:rsidRPr="00883413" w:rsidRDefault="004747E0" w:rsidP="00B80458">
      <w:pPr>
        <w:spacing w:before="240" w:line="360" w:lineRule="auto"/>
        <w:jc w:val="both"/>
        <w:rPr>
          <w:rFonts w:ascii="Times New Roman" w:hAnsi="Times New Roman" w:cs="Times New Roman"/>
        </w:rPr>
      </w:pPr>
      <w:r w:rsidRPr="00883413">
        <w:rPr>
          <w:rFonts w:ascii="Times New Roman" w:hAnsi="Times New Roman" w:cs="Times New Roman"/>
        </w:rPr>
        <w:t>Number of respondents</w:t>
      </w:r>
    </w:p>
    <w:tbl>
      <w:tblPr>
        <w:tblStyle w:val="PlainTable2"/>
        <w:tblW w:w="0" w:type="auto"/>
        <w:jc w:val="center"/>
        <w:tblBorders>
          <w:top w:val="none" w:sz="0" w:space="0" w:color="auto"/>
          <w:bottom w:val="none" w:sz="0" w:space="0" w:color="auto"/>
        </w:tblBorders>
        <w:tblLook w:val="04A0" w:firstRow="1" w:lastRow="0" w:firstColumn="1" w:lastColumn="0" w:noHBand="0" w:noVBand="1"/>
      </w:tblPr>
      <w:tblGrid>
        <w:gridCol w:w="1843"/>
        <w:gridCol w:w="112"/>
        <w:gridCol w:w="2156"/>
      </w:tblGrid>
      <w:tr w:rsidR="004747E0" w:rsidRPr="00883413" w14:paraId="6BC7C9BE" w14:textId="77777777" w:rsidTr="00ED2118">
        <w:trPr>
          <w:cnfStyle w:val="100000000000" w:firstRow="1" w:lastRow="0" w:firstColumn="0" w:lastColumn="0" w:oddVBand="0" w:evenVBand="0" w:oddHBand="0" w:evenHBand="0" w:firstRowFirstColumn="0" w:firstRowLastColumn="0" w:lastRowFirstColumn="0" w:lastRowLastColumn="0"/>
          <w:trHeight w:val="392"/>
          <w:jc w:val="center"/>
        </w:trPr>
        <w:tc>
          <w:tcPr>
            <w:cnfStyle w:val="001000000000" w:firstRow="0" w:lastRow="0" w:firstColumn="1" w:lastColumn="0" w:oddVBand="0" w:evenVBand="0" w:oddHBand="0" w:evenHBand="0" w:firstRowFirstColumn="0" w:firstRowLastColumn="0" w:lastRowFirstColumn="0" w:lastRowLastColumn="0"/>
            <w:tcW w:w="1843" w:type="dxa"/>
            <w:tcBorders>
              <w:top w:val="single" w:sz="24" w:space="0" w:color="4472C4" w:themeColor="accent1"/>
              <w:bottom w:val="single" w:sz="24" w:space="0" w:color="4472C4" w:themeColor="accent1"/>
            </w:tcBorders>
          </w:tcPr>
          <w:p w14:paraId="1E578782" w14:textId="77777777" w:rsidR="004747E0" w:rsidRPr="00883413" w:rsidRDefault="004747E0" w:rsidP="00B80458">
            <w:pPr>
              <w:spacing w:line="360" w:lineRule="auto"/>
              <w:jc w:val="both"/>
              <w:rPr>
                <w:rFonts w:ascii="Times New Roman" w:hAnsi="Times New Roman" w:cs="Times New Roman"/>
                <w:sz w:val="24"/>
                <w:szCs w:val="24"/>
              </w:rPr>
            </w:pPr>
          </w:p>
        </w:tc>
        <w:tc>
          <w:tcPr>
            <w:tcW w:w="2268" w:type="dxa"/>
            <w:gridSpan w:val="2"/>
            <w:tcBorders>
              <w:top w:val="single" w:sz="24" w:space="0" w:color="4472C4" w:themeColor="accent1"/>
              <w:bottom w:val="single" w:sz="24" w:space="0" w:color="4472C4" w:themeColor="accent1"/>
            </w:tcBorders>
          </w:tcPr>
          <w:p w14:paraId="1EF6592D" w14:textId="77777777" w:rsidR="004747E0" w:rsidRPr="00883413" w:rsidRDefault="004747E0" w:rsidP="00B8045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Effectif</w:t>
            </w:r>
          </w:p>
        </w:tc>
      </w:tr>
      <w:tr w:rsidR="004747E0" w:rsidRPr="00883413" w14:paraId="48F50D80" w14:textId="77777777" w:rsidTr="00ED2118">
        <w:trPr>
          <w:cnfStyle w:val="000000100000" w:firstRow="0" w:lastRow="0" w:firstColumn="0" w:lastColumn="0" w:oddVBand="0" w:evenVBand="0" w:oddHBand="1" w:evenHBand="0" w:firstRowFirstColumn="0" w:firstRowLastColumn="0" w:lastRowFirstColumn="0" w:lastRowLastColumn="0"/>
          <w:trHeight w:val="396"/>
          <w:jc w:val="center"/>
        </w:trPr>
        <w:tc>
          <w:tcPr>
            <w:cnfStyle w:val="001000000000" w:firstRow="0" w:lastRow="0" w:firstColumn="1" w:lastColumn="0" w:oddVBand="0" w:evenVBand="0" w:oddHBand="0" w:evenHBand="0" w:firstRowFirstColumn="0" w:firstRowLastColumn="0" w:lastRowFirstColumn="0" w:lastRowLastColumn="0"/>
            <w:tcW w:w="1955" w:type="dxa"/>
            <w:gridSpan w:val="2"/>
            <w:tcBorders>
              <w:top w:val="single" w:sz="24" w:space="0" w:color="4472C4" w:themeColor="accent1"/>
            </w:tcBorders>
          </w:tcPr>
          <w:p w14:paraId="6A937947" w14:textId="5194E068" w:rsidR="004747E0" w:rsidRPr="00883413" w:rsidRDefault="004747E0" w:rsidP="00B80458">
            <w:pPr>
              <w:spacing w:line="360" w:lineRule="auto"/>
              <w:jc w:val="both"/>
              <w:rPr>
                <w:rFonts w:ascii="Times New Roman" w:hAnsi="Times New Roman" w:cs="Times New Roman"/>
                <w:sz w:val="24"/>
                <w:szCs w:val="24"/>
              </w:rPr>
            </w:pPr>
            <w:r w:rsidRPr="00883413">
              <w:rPr>
                <w:rFonts w:ascii="Times New Roman" w:hAnsi="Times New Roman" w:cs="Times New Roman"/>
                <w:sz w:val="24"/>
                <w:szCs w:val="24"/>
              </w:rPr>
              <w:t xml:space="preserve"> </w:t>
            </w:r>
            <w:r w:rsidR="002E4A57" w:rsidRPr="00883413">
              <w:rPr>
                <w:rFonts w:ascii="Times New Roman" w:hAnsi="Times New Roman" w:cs="Times New Roman"/>
                <w:sz w:val="24"/>
                <w:szCs w:val="24"/>
              </w:rPr>
              <w:t>Age</w:t>
            </w:r>
            <w:r w:rsidRPr="00883413">
              <w:rPr>
                <w:rFonts w:ascii="Times New Roman" w:hAnsi="Times New Roman" w:cs="Times New Roman"/>
                <w:sz w:val="24"/>
                <w:szCs w:val="24"/>
              </w:rPr>
              <w:t xml:space="preserve"> (</w:t>
            </w:r>
            <w:proofErr w:type="spellStart"/>
            <w:r w:rsidR="002E4A57" w:rsidRPr="00883413">
              <w:rPr>
                <w:rFonts w:ascii="Times New Roman" w:hAnsi="Times New Roman" w:cs="Times New Roman"/>
                <w:sz w:val="24"/>
                <w:szCs w:val="24"/>
              </w:rPr>
              <w:t>years</w:t>
            </w:r>
            <w:proofErr w:type="spellEnd"/>
            <w:r w:rsidRPr="00883413">
              <w:rPr>
                <w:rFonts w:ascii="Times New Roman" w:hAnsi="Times New Roman" w:cs="Times New Roman"/>
                <w:sz w:val="24"/>
                <w:szCs w:val="24"/>
              </w:rPr>
              <w:t>)</w:t>
            </w:r>
          </w:p>
        </w:tc>
        <w:tc>
          <w:tcPr>
            <w:tcW w:w="2156" w:type="dxa"/>
            <w:tcBorders>
              <w:top w:val="single" w:sz="24" w:space="0" w:color="4472C4" w:themeColor="accent1"/>
            </w:tcBorders>
          </w:tcPr>
          <w:p w14:paraId="36A0915A" w14:textId="77777777" w:rsidR="004747E0" w:rsidRPr="00883413" w:rsidRDefault="004747E0"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r>
      <w:tr w:rsidR="004747E0" w:rsidRPr="00883413" w14:paraId="3A4A0065" w14:textId="77777777" w:rsidTr="00ED2118">
        <w:trPr>
          <w:jc w:val="center"/>
        </w:trPr>
        <w:tc>
          <w:tcPr>
            <w:cnfStyle w:val="001000000000" w:firstRow="0" w:lastRow="0" w:firstColumn="1" w:lastColumn="0" w:oddVBand="0" w:evenVBand="0" w:oddHBand="0" w:evenHBand="0" w:firstRowFirstColumn="0" w:firstRowLastColumn="0" w:lastRowFirstColumn="0" w:lastRowLastColumn="0"/>
            <w:tcW w:w="1955" w:type="dxa"/>
            <w:gridSpan w:val="2"/>
          </w:tcPr>
          <w:p w14:paraId="7C13BF3D" w14:textId="3F336C35" w:rsidR="004747E0" w:rsidRPr="00883413" w:rsidRDefault="004747E0" w:rsidP="00B80458">
            <w:pPr>
              <w:spacing w:line="360" w:lineRule="auto"/>
              <w:jc w:val="both"/>
              <w:rPr>
                <w:rFonts w:ascii="Times New Roman" w:hAnsi="Times New Roman" w:cs="Times New Roman"/>
                <w:sz w:val="24"/>
                <w:szCs w:val="24"/>
              </w:rPr>
            </w:pPr>
            <w:r w:rsidRPr="00883413">
              <w:rPr>
                <w:rFonts w:ascii="Times New Roman" w:hAnsi="Times New Roman" w:cs="Times New Roman"/>
                <w:sz w:val="24"/>
                <w:szCs w:val="24"/>
              </w:rPr>
              <w:t xml:space="preserve">20 </w:t>
            </w:r>
            <w:r w:rsidR="002C6A79">
              <w:rPr>
                <w:rFonts w:ascii="Times New Roman" w:hAnsi="Times New Roman" w:cs="Times New Roman"/>
                <w:sz w:val="24"/>
                <w:szCs w:val="24"/>
              </w:rPr>
              <w:t>to</w:t>
            </w:r>
            <w:r w:rsidRPr="00883413">
              <w:rPr>
                <w:rFonts w:ascii="Times New Roman" w:hAnsi="Times New Roman" w:cs="Times New Roman"/>
                <w:sz w:val="24"/>
                <w:szCs w:val="24"/>
              </w:rPr>
              <w:t xml:space="preserve"> 30 </w:t>
            </w:r>
          </w:p>
        </w:tc>
        <w:tc>
          <w:tcPr>
            <w:tcW w:w="2156" w:type="dxa"/>
          </w:tcPr>
          <w:p w14:paraId="1C9C7BE7" w14:textId="77777777" w:rsidR="004747E0" w:rsidRPr="00883413" w:rsidRDefault="004747E0"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3</w:t>
            </w:r>
          </w:p>
        </w:tc>
      </w:tr>
      <w:tr w:rsidR="004747E0" w:rsidRPr="00883413" w14:paraId="592D2592" w14:textId="77777777" w:rsidTr="00ED21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55" w:type="dxa"/>
            <w:gridSpan w:val="2"/>
          </w:tcPr>
          <w:p w14:paraId="43FDF45D" w14:textId="5EA010EE" w:rsidR="004747E0" w:rsidRPr="00883413" w:rsidRDefault="004747E0" w:rsidP="00B80458">
            <w:pPr>
              <w:spacing w:line="360" w:lineRule="auto"/>
              <w:jc w:val="both"/>
              <w:rPr>
                <w:rFonts w:ascii="Times New Roman" w:hAnsi="Times New Roman" w:cs="Times New Roman"/>
                <w:sz w:val="24"/>
                <w:szCs w:val="24"/>
              </w:rPr>
            </w:pPr>
            <w:r w:rsidRPr="00883413">
              <w:rPr>
                <w:rFonts w:ascii="Times New Roman" w:hAnsi="Times New Roman" w:cs="Times New Roman"/>
                <w:sz w:val="24"/>
                <w:szCs w:val="24"/>
              </w:rPr>
              <w:t xml:space="preserve">31 </w:t>
            </w:r>
            <w:r w:rsidR="002C6A79">
              <w:rPr>
                <w:rFonts w:ascii="Times New Roman" w:hAnsi="Times New Roman" w:cs="Times New Roman"/>
                <w:sz w:val="24"/>
                <w:szCs w:val="24"/>
              </w:rPr>
              <w:t>to</w:t>
            </w:r>
            <w:r w:rsidRPr="00883413">
              <w:rPr>
                <w:rFonts w:ascii="Times New Roman" w:hAnsi="Times New Roman" w:cs="Times New Roman"/>
                <w:sz w:val="24"/>
                <w:szCs w:val="24"/>
              </w:rPr>
              <w:t xml:space="preserve"> 40</w:t>
            </w:r>
          </w:p>
        </w:tc>
        <w:tc>
          <w:tcPr>
            <w:tcW w:w="2156" w:type="dxa"/>
          </w:tcPr>
          <w:p w14:paraId="00946D2E" w14:textId="77777777" w:rsidR="004747E0" w:rsidRPr="00883413" w:rsidRDefault="004747E0"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9</w:t>
            </w:r>
          </w:p>
        </w:tc>
      </w:tr>
      <w:tr w:rsidR="004747E0" w:rsidRPr="00883413" w14:paraId="2F8FEE53" w14:textId="77777777" w:rsidTr="00ED2118">
        <w:trPr>
          <w:jc w:val="center"/>
        </w:trPr>
        <w:tc>
          <w:tcPr>
            <w:cnfStyle w:val="001000000000" w:firstRow="0" w:lastRow="0" w:firstColumn="1" w:lastColumn="0" w:oddVBand="0" w:evenVBand="0" w:oddHBand="0" w:evenHBand="0" w:firstRowFirstColumn="0" w:firstRowLastColumn="0" w:lastRowFirstColumn="0" w:lastRowLastColumn="0"/>
            <w:tcW w:w="1955" w:type="dxa"/>
            <w:gridSpan w:val="2"/>
          </w:tcPr>
          <w:p w14:paraId="34074428" w14:textId="71D25A5E" w:rsidR="004747E0" w:rsidRPr="00883413" w:rsidRDefault="004747E0" w:rsidP="00B80458">
            <w:pPr>
              <w:spacing w:line="360" w:lineRule="auto"/>
              <w:jc w:val="both"/>
              <w:rPr>
                <w:rFonts w:ascii="Times New Roman" w:hAnsi="Times New Roman" w:cs="Times New Roman"/>
                <w:sz w:val="24"/>
                <w:szCs w:val="24"/>
              </w:rPr>
            </w:pPr>
            <w:r w:rsidRPr="00883413">
              <w:rPr>
                <w:rFonts w:ascii="Times New Roman" w:hAnsi="Times New Roman" w:cs="Times New Roman"/>
                <w:sz w:val="24"/>
                <w:szCs w:val="24"/>
              </w:rPr>
              <w:t xml:space="preserve">41 </w:t>
            </w:r>
            <w:r w:rsidR="002C6A79">
              <w:rPr>
                <w:rFonts w:ascii="Times New Roman" w:hAnsi="Times New Roman" w:cs="Times New Roman"/>
                <w:sz w:val="24"/>
                <w:szCs w:val="24"/>
              </w:rPr>
              <w:t>to</w:t>
            </w:r>
            <w:r w:rsidRPr="00883413">
              <w:rPr>
                <w:rFonts w:ascii="Times New Roman" w:hAnsi="Times New Roman" w:cs="Times New Roman"/>
                <w:sz w:val="24"/>
                <w:szCs w:val="24"/>
              </w:rPr>
              <w:t xml:space="preserve"> 50 </w:t>
            </w:r>
          </w:p>
        </w:tc>
        <w:tc>
          <w:tcPr>
            <w:tcW w:w="2156" w:type="dxa"/>
          </w:tcPr>
          <w:p w14:paraId="15CE89FA" w14:textId="77777777" w:rsidR="004747E0" w:rsidRPr="00883413" w:rsidRDefault="004747E0"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5</w:t>
            </w:r>
          </w:p>
        </w:tc>
      </w:tr>
      <w:tr w:rsidR="004747E0" w:rsidRPr="00883413" w14:paraId="57B43573" w14:textId="77777777" w:rsidTr="00ED21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55" w:type="dxa"/>
            <w:gridSpan w:val="2"/>
          </w:tcPr>
          <w:p w14:paraId="3FB6A9F6" w14:textId="5FD4A8C0" w:rsidR="004747E0" w:rsidRPr="00883413" w:rsidRDefault="004747E0" w:rsidP="00B80458">
            <w:pPr>
              <w:spacing w:line="360" w:lineRule="auto"/>
              <w:jc w:val="both"/>
              <w:rPr>
                <w:rFonts w:ascii="Times New Roman" w:hAnsi="Times New Roman" w:cs="Times New Roman"/>
                <w:sz w:val="24"/>
                <w:szCs w:val="24"/>
              </w:rPr>
            </w:pPr>
            <w:r w:rsidRPr="00883413">
              <w:rPr>
                <w:rFonts w:ascii="Times New Roman" w:hAnsi="Times New Roman" w:cs="Times New Roman"/>
                <w:sz w:val="24"/>
                <w:szCs w:val="24"/>
              </w:rPr>
              <w:t xml:space="preserve">51 </w:t>
            </w:r>
            <w:r w:rsidR="002C6A79">
              <w:rPr>
                <w:rFonts w:ascii="Times New Roman" w:hAnsi="Times New Roman" w:cs="Times New Roman"/>
                <w:sz w:val="24"/>
                <w:szCs w:val="24"/>
              </w:rPr>
              <w:t>to</w:t>
            </w:r>
            <w:r w:rsidRPr="00883413">
              <w:rPr>
                <w:rFonts w:ascii="Times New Roman" w:hAnsi="Times New Roman" w:cs="Times New Roman"/>
                <w:sz w:val="24"/>
                <w:szCs w:val="24"/>
              </w:rPr>
              <w:t> 60</w:t>
            </w:r>
          </w:p>
        </w:tc>
        <w:tc>
          <w:tcPr>
            <w:tcW w:w="2156" w:type="dxa"/>
          </w:tcPr>
          <w:p w14:paraId="5DA32AF7" w14:textId="77777777" w:rsidR="004747E0" w:rsidRPr="00883413" w:rsidRDefault="004747E0"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13</w:t>
            </w:r>
          </w:p>
        </w:tc>
      </w:tr>
      <w:tr w:rsidR="004747E0" w:rsidRPr="00883413" w14:paraId="65BD64A8" w14:textId="77777777" w:rsidTr="00ED2118">
        <w:trPr>
          <w:jc w:val="center"/>
        </w:trPr>
        <w:tc>
          <w:tcPr>
            <w:cnfStyle w:val="001000000000" w:firstRow="0" w:lastRow="0" w:firstColumn="1" w:lastColumn="0" w:oddVBand="0" w:evenVBand="0" w:oddHBand="0" w:evenHBand="0" w:firstRowFirstColumn="0" w:firstRowLastColumn="0" w:lastRowFirstColumn="0" w:lastRowLastColumn="0"/>
            <w:tcW w:w="1955" w:type="dxa"/>
            <w:gridSpan w:val="2"/>
          </w:tcPr>
          <w:p w14:paraId="37734FF3" w14:textId="66B6F148" w:rsidR="004747E0" w:rsidRPr="00883413" w:rsidRDefault="004747E0" w:rsidP="00B80458">
            <w:pPr>
              <w:spacing w:line="360" w:lineRule="auto"/>
              <w:jc w:val="both"/>
              <w:rPr>
                <w:rFonts w:ascii="Times New Roman" w:hAnsi="Times New Roman" w:cs="Times New Roman"/>
                <w:sz w:val="24"/>
                <w:szCs w:val="24"/>
              </w:rPr>
            </w:pPr>
            <w:r w:rsidRPr="00883413">
              <w:rPr>
                <w:rFonts w:ascii="Times New Roman" w:hAnsi="Times New Roman" w:cs="Times New Roman"/>
                <w:sz w:val="24"/>
                <w:szCs w:val="24"/>
              </w:rPr>
              <w:t xml:space="preserve">61 </w:t>
            </w:r>
            <w:r w:rsidR="002C6A79">
              <w:rPr>
                <w:rFonts w:ascii="Times New Roman" w:hAnsi="Times New Roman" w:cs="Times New Roman"/>
                <w:sz w:val="24"/>
                <w:szCs w:val="24"/>
              </w:rPr>
              <w:t>to</w:t>
            </w:r>
            <w:r w:rsidRPr="00883413">
              <w:rPr>
                <w:rFonts w:ascii="Times New Roman" w:hAnsi="Times New Roman" w:cs="Times New Roman"/>
                <w:sz w:val="24"/>
                <w:szCs w:val="24"/>
              </w:rPr>
              <w:t>70</w:t>
            </w:r>
          </w:p>
        </w:tc>
        <w:tc>
          <w:tcPr>
            <w:tcW w:w="2156" w:type="dxa"/>
          </w:tcPr>
          <w:p w14:paraId="5DCEE894" w14:textId="77777777" w:rsidR="004747E0" w:rsidRPr="00883413" w:rsidRDefault="004747E0"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b/>
                <w:bCs/>
                <w:sz w:val="24"/>
                <w:szCs w:val="24"/>
              </w:rPr>
              <w:t>16</w:t>
            </w:r>
          </w:p>
        </w:tc>
      </w:tr>
      <w:tr w:rsidR="004747E0" w:rsidRPr="00883413" w14:paraId="3895EA9B" w14:textId="77777777" w:rsidTr="00ED21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55" w:type="dxa"/>
            <w:gridSpan w:val="2"/>
          </w:tcPr>
          <w:p w14:paraId="2DCB7AA4" w14:textId="0A75F803" w:rsidR="004747E0" w:rsidRPr="00883413" w:rsidRDefault="004747E0" w:rsidP="00B80458">
            <w:pPr>
              <w:spacing w:line="360" w:lineRule="auto"/>
              <w:jc w:val="both"/>
              <w:rPr>
                <w:rFonts w:ascii="Times New Roman" w:hAnsi="Times New Roman" w:cs="Times New Roman"/>
                <w:sz w:val="24"/>
                <w:szCs w:val="24"/>
              </w:rPr>
            </w:pPr>
            <w:r w:rsidRPr="00883413">
              <w:rPr>
                <w:rFonts w:ascii="Times New Roman" w:hAnsi="Times New Roman" w:cs="Times New Roman"/>
                <w:sz w:val="24"/>
                <w:szCs w:val="24"/>
              </w:rPr>
              <w:t xml:space="preserve">71 </w:t>
            </w:r>
            <w:proofErr w:type="gramStart"/>
            <w:r w:rsidR="002C6A79">
              <w:rPr>
                <w:rFonts w:ascii="Times New Roman" w:hAnsi="Times New Roman" w:cs="Times New Roman"/>
                <w:sz w:val="24"/>
                <w:szCs w:val="24"/>
              </w:rPr>
              <w:t xml:space="preserve">to </w:t>
            </w:r>
            <w:r w:rsidRPr="00883413">
              <w:rPr>
                <w:rFonts w:ascii="Times New Roman" w:hAnsi="Times New Roman" w:cs="Times New Roman"/>
                <w:sz w:val="24"/>
                <w:szCs w:val="24"/>
              </w:rPr>
              <w:t xml:space="preserve"> 80</w:t>
            </w:r>
            <w:proofErr w:type="gramEnd"/>
          </w:p>
        </w:tc>
        <w:tc>
          <w:tcPr>
            <w:tcW w:w="2156" w:type="dxa"/>
          </w:tcPr>
          <w:p w14:paraId="722CB7D9" w14:textId="77777777" w:rsidR="004747E0" w:rsidRPr="00883413" w:rsidRDefault="004747E0"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4</w:t>
            </w:r>
          </w:p>
        </w:tc>
      </w:tr>
      <w:tr w:rsidR="004747E0" w:rsidRPr="00883413" w14:paraId="539213AD" w14:textId="77777777" w:rsidTr="00ED2118">
        <w:trPr>
          <w:trHeight w:val="87"/>
          <w:jc w:val="center"/>
        </w:trPr>
        <w:tc>
          <w:tcPr>
            <w:cnfStyle w:val="001000000000" w:firstRow="0" w:lastRow="0" w:firstColumn="1" w:lastColumn="0" w:oddVBand="0" w:evenVBand="0" w:oddHBand="0" w:evenHBand="0" w:firstRowFirstColumn="0" w:firstRowLastColumn="0" w:lastRowFirstColumn="0" w:lastRowLastColumn="0"/>
            <w:tcW w:w="1955" w:type="dxa"/>
            <w:gridSpan w:val="2"/>
          </w:tcPr>
          <w:p w14:paraId="6A561000" w14:textId="77777777" w:rsidR="004747E0" w:rsidRPr="00883413" w:rsidRDefault="004747E0" w:rsidP="00B80458">
            <w:pPr>
              <w:spacing w:line="360" w:lineRule="auto"/>
              <w:jc w:val="both"/>
              <w:rPr>
                <w:rFonts w:ascii="Times New Roman" w:hAnsi="Times New Roman" w:cs="Times New Roman"/>
                <w:sz w:val="24"/>
                <w:szCs w:val="24"/>
              </w:rPr>
            </w:pPr>
            <w:r w:rsidRPr="00883413">
              <w:rPr>
                <w:rFonts w:ascii="Times New Roman" w:hAnsi="Times New Roman" w:cs="Times New Roman"/>
                <w:sz w:val="24"/>
                <w:szCs w:val="24"/>
              </w:rPr>
              <w:t>Total=</w:t>
            </w:r>
          </w:p>
        </w:tc>
        <w:tc>
          <w:tcPr>
            <w:tcW w:w="2156" w:type="dxa"/>
          </w:tcPr>
          <w:p w14:paraId="02B0CC16" w14:textId="77777777" w:rsidR="004747E0" w:rsidRPr="00883413" w:rsidRDefault="004747E0"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50</w:t>
            </w:r>
          </w:p>
        </w:tc>
      </w:tr>
      <w:tr w:rsidR="004747E0" w:rsidRPr="00883413" w14:paraId="0DD76828" w14:textId="77777777" w:rsidTr="00ED2118">
        <w:trPr>
          <w:cnfStyle w:val="000000100000" w:firstRow="0" w:lastRow="0" w:firstColumn="0" w:lastColumn="0" w:oddVBand="0" w:evenVBand="0" w:oddHBand="1" w:evenHBand="0" w:firstRowFirstColumn="0" w:firstRowLastColumn="0" w:lastRowFirstColumn="0" w:lastRowLastColumn="0"/>
          <w:trHeight w:val="70"/>
          <w:jc w:val="center"/>
        </w:trPr>
        <w:tc>
          <w:tcPr>
            <w:cnfStyle w:val="001000000000" w:firstRow="0" w:lastRow="0" w:firstColumn="1" w:lastColumn="0" w:oddVBand="0" w:evenVBand="0" w:oddHBand="0" w:evenHBand="0" w:firstRowFirstColumn="0" w:firstRowLastColumn="0" w:lastRowFirstColumn="0" w:lastRowLastColumn="0"/>
            <w:tcW w:w="1955" w:type="dxa"/>
            <w:gridSpan w:val="2"/>
          </w:tcPr>
          <w:p w14:paraId="2609A9B8" w14:textId="77777777" w:rsidR="004747E0" w:rsidRPr="00883413" w:rsidRDefault="004747E0" w:rsidP="00B80458">
            <w:pPr>
              <w:spacing w:line="360" w:lineRule="auto"/>
              <w:jc w:val="both"/>
              <w:rPr>
                <w:rFonts w:ascii="Times New Roman" w:hAnsi="Times New Roman" w:cs="Times New Roman"/>
                <w:sz w:val="24"/>
                <w:szCs w:val="24"/>
              </w:rPr>
            </w:pPr>
            <w:r w:rsidRPr="00883413">
              <w:rPr>
                <w:rFonts w:ascii="Times New Roman" w:hAnsi="Times New Roman" w:cs="Times New Roman"/>
                <w:sz w:val="24"/>
                <w:szCs w:val="24"/>
              </w:rPr>
              <w:lastRenderedPageBreak/>
              <w:t>Expérience (ans)</w:t>
            </w:r>
          </w:p>
        </w:tc>
        <w:tc>
          <w:tcPr>
            <w:tcW w:w="2156" w:type="dxa"/>
          </w:tcPr>
          <w:p w14:paraId="5BC0C877" w14:textId="77777777" w:rsidR="004747E0" w:rsidRPr="00883413" w:rsidRDefault="004747E0"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r>
    </w:tbl>
    <w:p w14:paraId="75D6A4DB" w14:textId="77777777" w:rsidR="004747E0" w:rsidRPr="00883413" w:rsidRDefault="004747E0" w:rsidP="00B80458">
      <w:pPr>
        <w:spacing w:before="240" w:line="360" w:lineRule="auto"/>
        <w:jc w:val="both"/>
        <w:rPr>
          <w:rFonts w:ascii="Times New Roman" w:hAnsi="Times New Roman" w:cs="Times New Roman"/>
        </w:rPr>
      </w:pPr>
      <w:r w:rsidRPr="00883413">
        <w:rPr>
          <w:rFonts w:ascii="Times New Roman" w:hAnsi="Times New Roman" w:cs="Times New Roman"/>
        </w:rPr>
        <w:t xml:space="preserve">3.1.2. </w:t>
      </w:r>
      <w:proofErr w:type="spellStart"/>
      <w:r w:rsidRPr="00883413">
        <w:rPr>
          <w:rFonts w:ascii="Times New Roman" w:hAnsi="Times New Roman" w:cs="Times New Roman"/>
        </w:rPr>
        <w:t>Ethnopharmacological</w:t>
      </w:r>
      <w:proofErr w:type="spellEnd"/>
      <w:r w:rsidRPr="00883413">
        <w:rPr>
          <w:rFonts w:ascii="Times New Roman" w:hAnsi="Times New Roman" w:cs="Times New Roman"/>
        </w:rPr>
        <w:t xml:space="preserve"> </w:t>
      </w:r>
      <w:proofErr w:type="spellStart"/>
      <w:r w:rsidRPr="00883413">
        <w:rPr>
          <w:rFonts w:ascii="Times New Roman" w:hAnsi="Times New Roman" w:cs="Times New Roman"/>
        </w:rPr>
        <w:t>Characteristics</w:t>
      </w:r>
      <w:proofErr w:type="spellEnd"/>
    </w:p>
    <w:p w14:paraId="467F6430" w14:textId="77777777" w:rsidR="004747E0" w:rsidRPr="00883413" w:rsidRDefault="004747E0" w:rsidP="00B80458">
      <w:pPr>
        <w:spacing w:before="240" w:line="360" w:lineRule="auto"/>
        <w:jc w:val="both"/>
        <w:rPr>
          <w:rFonts w:ascii="Times New Roman" w:hAnsi="Times New Roman" w:cs="Times New Roman"/>
        </w:rPr>
      </w:pPr>
      <w:r w:rsidRPr="00883413">
        <w:rPr>
          <w:rFonts w:ascii="Times New Roman" w:hAnsi="Times New Roman" w:cs="Times New Roman"/>
        </w:rPr>
        <w:t>3.1.2.1. Parts of Plants Used</w:t>
      </w:r>
    </w:p>
    <w:p w14:paraId="20335E61"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Figure II illustrates the parts of plants used by the respondents. Bark, leaves, roots, and seeds were the various parts used by traditional healers in their preparations for treating diabetes. Leaves were the most commonly used, accounting for approximately 58% of the preparations, followed by bark (20%).</w:t>
      </w:r>
    </w:p>
    <w:p w14:paraId="6DB87A04" w14:textId="77777777" w:rsidR="004747E0" w:rsidRPr="00883413" w:rsidRDefault="004747E0" w:rsidP="00B80458">
      <w:pPr>
        <w:spacing w:before="240" w:line="360" w:lineRule="auto"/>
        <w:jc w:val="both"/>
        <w:rPr>
          <w:rFonts w:ascii="Times New Roman" w:hAnsi="Times New Roman" w:cs="Times New Roman"/>
          <w:lang w:val="en-US"/>
        </w:rPr>
      </w:pPr>
    </w:p>
    <w:p w14:paraId="22D23066" w14:textId="749E9D2D"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noProof/>
          <w:lang w:val="en-US"/>
          <w14:ligatures w14:val="none"/>
        </w:rPr>
        <w:drawing>
          <wp:inline distT="0" distB="0" distL="0" distR="0" wp14:anchorId="0400B1D3" wp14:editId="4FE73037">
            <wp:extent cx="4212000" cy="2736000"/>
            <wp:effectExtent l="0" t="0" r="17145" b="7620"/>
            <wp:docPr id="536771549" name="Graphique 1">
              <a:extLst xmlns:a="http://schemas.openxmlformats.org/drawingml/2006/main">
                <a:ext uri="{FF2B5EF4-FFF2-40B4-BE49-F238E27FC236}">
                  <a16:creationId xmlns:a16="http://schemas.microsoft.com/office/drawing/2014/main" id="{B81314A5-B5F5-E081-4FA2-0315340364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FF8E49F"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Figure II: Distribution of the Parts Used</w:t>
      </w:r>
    </w:p>
    <w:p w14:paraId="1A678A98" w14:textId="77777777" w:rsidR="004747E0" w:rsidRPr="00883413" w:rsidRDefault="004747E0" w:rsidP="00B80458">
      <w:pPr>
        <w:spacing w:before="240" w:line="360" w:lineRule="auto"/>
        <w:jc w:val="both"/>
        <w:rPr>
          <w:rFonts w:ascii="Times New Roman" w:hAnsi="Times New Roman" w:cs="Times New Roman"/>
          <w:lang w:val="en-US"/>
        </w:rPr>
      </w:pPr>
    </w:p>
    <w:p w14:paraId="113CB31A"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3.1.2.2. Distribution by Method of Plant Preparation</w:t>
      </w:r>
    </w:p>
    <w:p w14:paraId="60AFA3AA"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Figure III shows the different preparation methods used by practitioners of traditional medicine, such as decoction, infusion, ingestion, and maceration. Decoction had the highest percentage at 72%. Segda et al. (2023) and Bonkian et al. (2025) report a predominance of decoction, with percentages of 73.21% and 82%, respectively. Decoction is the most commonly used extraction method because it allows for better diffusion of metabolites into the solvent.</w:t>
      </w:r>
    </w:p>
    <w:p w14:paraId="4D26ABF0" w14:textId="77777777" w:rsidR="004747E0" w:rsidRPr="00883413" w:rsidRDefault="004747E0" w:rsidP="00B80458">
      <w:pPr>
        <w:spacing w:before="240" w:line="360" w:lineRule="auto"/>
        <w:jc w:val="both"/>
        <w:rPr>
          <w:rFonts w:ascii="Times New Roman" w:hAnsi="Times New Roman" w:cs="Times New Roman"/>
          <w:lang w:val="en-US"/>
        </w:rPr>
      </w:pPr>
    </w:p>
    <w:p w14:paraId="597E02BA" w14:textId="77777777" w:rsidR="00C26807" w:rsidRDefault="0089358D" w:rsidP="00B80458">
      <w:pPr>
        <w:spacing w:before="240" w:line="360" w:lineRule="auto"/>
        <w:jc w:val="both"/>
        <w:rPr>
          <w:rFonts w:ascii="Times New Roman" w:hAnsi="Times New Roman" w:cs="Times New Roman"/>
          <w:lang w:val="en-US"/>
        </w:rPr>
      </w:pPr>
      <w:r w:rsidRPr="00883413">
        <w:rPr>
          <w:rFonts w:ascii="Times New Roman" w:hAnsi="Times New Roman" w:cs="Times New Roman"/>
          <w:noProof/>
        </w:rPr>
        <w:lastRenderedPageBreak/>
        <mc:AlternateContent>
          <mc:Choice Requires="wps">
            <w:drawing>
              <wp:inline distT="0" distB="0" distL="0" distR="0" wp14:anchorId="257DF9F8" wp14:editId="1669847D">
                <wp:extent cx="304800" cy="304800"/>
                <wp:effectExtent l="0" t="0" r="0" b="0"/>
                <wp:docPr id="101903353" name="Rectangle 5"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4825D0" id="Rectangle 5"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6899CB48" wp14:editId="308BF3A6">
                <wp:extent cx="304800" cy="304800"/>
                <wp:effectExtent l="0" t="0" r="0" b="0"/>
                <wp:docPr id="2088833751" name="Rectangle 6"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D8772A" id="Rectangle 6"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7ABE57B2" wp14:editId="40510A22">
                <wp:extent cx="304800" cy="304800"/>
                <wp:effectExtent l="0" t="0" r="0" b="0"/>
                <wp:docPr id="202972654" name="Rectangle 7"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F6DA67" id="Rectangle 7"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47F1465B" wp14:editId="64DD8E78">
                <wp:extent cx="304800" cy="304800"/>
                <wp:effectExtent l="0" t="0" r="0" b="0"/>
                <wp:docPr id="608664557" name="Rectangle 8"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EF5155" id="Rectangle 8"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298422F8" wp14:editId="0D625831">
                <wp:extent cx="304800" cy="304800"/>
                <wp:effectExtent l="0" t="0" r="0" b="0"/>
                <wp:docPr id="1353846331" name="Rectangle 9"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7A2B43" id="Rectangle 9"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4200327A" wp14:editId="513ECE11">
                <wp:extent cx="304800" cy="304800"/>
                <wp:effectExtent l="0" t="0" r="0" b="0"/>
                <wp:docPr id="1554969319" name="Rectangle 10"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868B78" id="Rectangle 10"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0EABEFD9" wp14:editId="1ADB77B8">
                <wp:extent cx="304800" cy="304800"/>
                <wp:effectExtent l="0" t="0" r="0" b="0"/>
                <wp:docPr id="946381652" name="Rectangle 11"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53F4F2" id="Rectangle 11"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594B0B73" wp14:editId="196E40FD">
                <wp:extent cx="304800" cy="304800"/>
                <wp:effectExtent l="0" t="0" r="0" b="0"/>
                <wp:docPr id="428800746" name="Rectangle 12"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68B348" id="Rectangle 12"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2A319378" wp14:editId="2E30404F">
                <wp:extent cx="304800" cy="304800"/>
                <wp:effectExtent l="0" t="0" r="0" b="0"/>
                <wp:docPr id="2093961794" name="Rectangle 13"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1749B8" id="Rectangle 13"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3EBEF6E3" wp14:editId="594BA0BC">
                <wp:extent cx="304800" cy="304800"/>
                <wp:effectExtent l="0" t="0" r="0" b="0"/>
                <wp:docPr id="293991978" name="Rectangle 14"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F9B415" id="Rectangle 14"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3D548234" wp14:editId="0D8D6CB5">
                <wp:extent cx="1219200" cy="304800"/>
                <wp:effectExtent l="0" t="0" r="0" b="0"/>
                <wp:docPr id="1920433150" name="Rectangle 183"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192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493536" id="Rectangle 183" o:spid="_x0000_s1026" alt="14%&#10;&#10;6%&#10;&#10;6%&#10;&#10;2%&#10;&#10;72%&#10;&#10;Decoction&#10;&#10;Fumigation&#10;&#10;Infusion&#10;&#10;Ingestion&#10;&#10;Maceration" style="width:96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UFH1QEAAJ8DAAAOAAAAZHJzL2Uyb0RvYy54bWysU9uO0zAQfUfiHyy/0ySlwG7UdLXa1SKk&#10;5SItfIDr2I1F4jEzbtPy9YydblvgDfFizcU5c+b4ZHmzH3qxM0gOfCOrWSmF8Rpa5zeN/Pb14dWV&#10;FBSVb1UP3jTyYEjerF6+WI6hNnPooG8NCgbxVI+hkV2MoS4K0p0ZFM0gGM9NCzioyCluihbVyOhD&#10;X8zL8m0xArYBQRsirt5PTbnK+NYaHT9bSyaKvpHMLeYT87lOZ7FaqnqDKnROH2mof2AxKOd56Anq&#10;XkUltuj+ghqcRiCwcaZhKMBap03egbepyj+2eepUMHkXFofCSSb6f7D60+4pfMFEncIj6O8kPNx1&#10;ym/MLQWWjx9VnkuIMHZGtcygStoVY6D6hJESYjSxHj9Cy6+tthGyLHuLQ5rBC4t9Vv9wUt/so9Bc&#10;rObVNT+pFJp7r8vFFcdphKqfvw5I8b2BQaSgkcj0MrraPVKcrj5fScM8PLi+zy/c+98KjJkqmX0i&#10;nOxC9RraA5NHmFzCruagA/wpxcgOaST92Co0UvQfPAtwXS0WyVI5Wbx5N+cELzvry47ymqEaGaWY&#10;wrs42XAb0G26rPPE8ZZFsy7vc2Z1JMsuyIocHZtsdpnnW+f/avULAAD//wMAUEsDBBQABgAIAAAA&#10;IQCIKf3L2wAAAAQBAAAPAAAAZHJzL2Rvd25yZXYueG1sTI9BS8NAEIXvgv9hGcGL2I1FpMZMihTE&#10;IkIx1Z632TEJZmfT7DaJ/96pF708eLzhvW+y5eRaNVAfGs8IN7MEFHHpbcMVwvv26XoBKkTD1rSe&#10;CeGbAizz87PMpNaP/EZDESslJRxSg1DH2KVah7ImZ8LMd8SSffremSi2r7TtzSjlrtXzJLnTzjQs&#10;C7XpaFVT+VUcHcJYbobd9vVZb652a8+H9WFVfLwgXl5Mjw+gIk3x7xhO+IIOuTDt/ZFtUC2CPBJ/&#10;9ZTdz8XuEW4XCeg80//h8x8AAAD//wMAUEsBAi0AFAAGAAgAAAAhALaDOJL+AAAA4QEAABMAAAAA&#10;AAAAAAAAAAAAAAAAAFtDb250ZW50X1R5cGVzXS54bWxQSwECLQAUAAYACAAAACEAOP0h/9YAAACU&#10;AQAACwAAAAAAAAAAAAAAAAAvAQAAX3JlbHMvLnJlbHNQSwECLQAUAAYACAAAACEA4wVBR9UBAACf&#10;AwAADgAAAAAAAAAAAAAAAAAuAgAAZHJzL2Uyb0RvYy54bWxQSwECLQAUAAYACAAAACEAiCn9y9sA&#10;AAAEAQAADwAAAAAAAAAAAAAAAAAvBAAAZHJzL2Rvd25yZXYueG1sUEsFBgAAAAAEAAQA8wAAADcF&#10;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14FA9B63" wp14:editId="22B6AC0E">
                <wp:extent cx="304800" cy="304800"/>
                <wp:effectExtent l="0" t="0" r="0" b="0"/>
                <wp:docPr id="1593766426" name="Rectangle 15"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BF430C" id="Rectangle 15"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1A66A9B3" wp14:editId="771530E3">
                <wp:extent cx="304800" cy="304800"/>
                <wp:effectExtent l="0" t="0" r="0" b="0"/>
                <wp:docPr id="378334520" name="Rectangle 16"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289223" id="Rectangle 16"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5DADC90E" wp14:editId="02868F7E">
                <wp:extent cx="304800" cy="304800"/>
                <wp:effectExtent l="0" t="0" r="0" b="0"/>
                <wp:docPr id="1055819148" name="Rectangle 17"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5EB86D" id="Rectangle 17"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15A32B94" wp14:editId="38B53C76">
                <wp:extent cx="304800" cy="304800"/>
                <wp:effectExtent l="0" t="0" r="0" b="0"/>
                <wp:docPr id="796511197" name="Rectangle 18"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8D1E6E" id="Rectangle 18"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0527FEAF" wp14:editId="21559DFE">
                <wp:extent cx="304800" cy="304800"/>
                <wp:effectExtent l="0" t="0" r="0" b="0"/>
                <wp:docPr id="651144679" name="Rectangle 19"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3F10DE" id="Rectangle 19"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289EC43F" wp14:editId="4BF9A17A">
                <wp:extent cx="304800" cy="304800"/>
                <wp:effectExtent l="0" t="0" r="0" b="0"/>
                <wp:docPr id="663931303" name="Rectangle 20"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69C735" id="Rectangle 20"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678BADE1" wp14:editId="59A6FAAB">
                <wp:extent cx="304800" cy="304800"/>
                <wp:effectExtent l="0" t="0" r="0" b="0"/>
                <wp:docPr id="966768856" name="Rectangle 21"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F615D2" id="Rectangle 21"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5B9C98FC" wp14:editId="53CCBC1F">
                <wp:extent cx="304800" cy="304800"/>
                <wp:effectExtent l="0" t="0" r="0" b="0"/>
                <wp:docPr id="1978321836" name="Rectangle 22"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89C8D4" id="Rectangle 22"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06FB14B0" wp14:editId="636DC118">
                <wp:extent cx="304800" cy="304800"/>
                <wp:effectExtent l="0" t="0" r="0" b="0"/>
                <wp:docPr id="355372924" name="Rectangle 23"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30BC03" id="Rectangle 23"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77F749FE" wp14:editId="3C86690B">
                <wp:extent cx="304800" cy="304800"/>
                <wp:effectExtent l="0" t="0" r="0" b="0"/>
                <wp:docPr id="1472374048" name="Rectangle 24"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92350A" id="Rectangle 24"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03CAEAEE" wp14:editId="4BAF422D">
                <wp:extent cx="304800" cy="304800"/>
                <wp:effectExtent l="0" t="0" r="0" b="0"/>
                <wp:docPr id="995831541" name="Rectangle 25"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94CA6A" id="Rectangle 25"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7CDB63FE" wp14:editId="482550F8">
                <wp:extent cx="304800" cy="304800"/>
                <wp:effectExtent l="0" t="0" r="0" b="0"/>
                <wp:docPr id="1436833594" name="Rectangle 26"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0CCD09" id="Rectangle 26"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51CD621F" wp14:editId="4FF48B11">
                <wp:extent cx="304800" cy="304800"/>
                <wp:effectExtent l="0" t="0" r="0" b="0"/>
                <wp:docPr id="526562217" name="Rectangle 27"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38E58E" id="Rectangle 27"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C26807">
        <w:rPr>
          <w:noProof/>
        </w:rPr>
        <w:drawing>
          <wp:inline distT="0" distB="0" distL="0" distR="0" wp14:anchorId="5EFA632F" wp14:editId="46BBDA7D">
            <wp:extent cx="4572000" cy="2743200"/>
            <wp:effectExtent l="0" t="0" r="12700" b="12700"/>
            <wp:docPr id="1" name="Graphique 1">
              <a:extLst xmlns:a="http://schemas.openxmlformats.org/drawingml/2006/main">
                <a:ext uri="{FF2B5EF4-FFF2-40B4-BE49-F238E27FC236}">
                  <a16:creationId xmlns:a16="http://schemas.microsoft.com/office/drawing/2014/main" id="{48A617F6-1B41-784B-BE9C-0FF7EB65CB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90C140E" w14:textId="5ADE9267" w:rsidR="004747E0" w:rsidRPr="00883413" w:rsidRDefault="0089358D" w:rsidP="00B80458">
      <w:pPr>
        <w:spacing w:before="240" w:line="360" w:lineRule="auto"/>
        <w:jc w:val="both"/>
        <w:rPr>
          <w:rFonts w:ascii="Times New Roman" w:hAnsi="Times New Roman" w:cs="Times New Roman"/>
          <w:lang w:val="en-US"/>
        </w:rPr>
      </w:pPr>
      <w:r w:rsidRPr="00883413">
        <w:rPr>
          <w:rFonts w:ascii="Times New Roman" w:hAnsi="Times New Roman" w:cs="Times New Roman"/>
          <w:noProof/>
        </w:rPr>
        <mc:AlternateContent>
          <mc:Choice Requires="wps">
            <w:drawing>
              <wp:inline distT="0" distB="0" distL="0" distR="0" wp14:anchorId="4F01EF6C" wp14:editId="14C049A6">
                <wp:extent cx="304800" cy="304800"/>
                <wp:effectExtent l="0" t="0" r="0" b="0"/>
                <wp:docPr id="513595848" name="Rectangle 28"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5A567B" id="Rectangle 28"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0OPLwIAAGoEAAAOAAAAZHJzL2Uyb0RvYy54bWysVNuO0zAQfUfiHywjeKNJuuluNzRdVVsV&#10;VdqFFQsf4DpOYpHYZuw0Xb6esdMriBfEizW3HJ85M87sbtc2ZCvASq1ymoxiSoTiupCqyum3r6v3&#10;U0qsY6pgjVYipy/C0rv561ez3mRirGvdFAIIgiib9SantXMmiyLLa9EyO9JGKEyWGlrm0IUqKoD1&#10;iN420TiOr6NeQ2FAc2EtRpdDks4DflkK7j6XpRWONDlFbi6cEM6NP6P5jGUVMFNLvqfB/oFFy6TC&#10;S49QS+YY6UD+AdVKDtrq0o24biNdlpKL0AN2k8S/dfNcMyNCLyiONUeZ7P+D5Z+2T0BkkdNJcjW5&#10;nUxTHJhiLY7qC4rHVNUIMsZYISxH3ZL07bs3u8WHcFz/xR6fxW/OnaXgmjtclRPGqmtlxS5ja1V2&#10;fqFOVWtVCXtZ9Mi4gPChH2JvbIa9PJsn8GOw5kHz75YofV9jD2JhDXaD9LG5QwhA97VgBaqZeIjo&#10;AsM7FtHIpn/UBcrBOqfDiHcltP4OHB7ZhU16OW6S2DnCMXgVp9MY941jam/7G1h2+NiAdR+Fbok3&#10;cgrILoCz7YN1Q+mhxN+l9Eo2DcZZ1qiLAGL6SCDv+Q5SbHTxgtxBDwuPDxSNWsNPSnpc9pzaHx0D&#10;QUmzVtj/bZKm/nUEJ53cjNGB88zmPMMUR6icOkoG894NL6ozIKs6yDxwXKBmpQz9eD0HVnuyuNBB&#10;kf3j8y/m3A9Vp1/E/BcAAAD//wMAUEsDBBQABgAIAAAAIQD9WirP2gAAAAgBAAAPAAAAZHJzL2Rv&#10;d25yZXYueG1sTE/RSsNAEHwX/IdjBV/EXhSRkuZSpCIWEYqp9nmbW5Ngbi/NXZP49676oC+zDMPM&#10;zmTLybVqoD40ng1czRJQxKW3DVcGXrcPl3NQISJbbD2TgU8KsMxPTzJMrR/5hYYiVkpCOKRooI6x&#10;S7UOZU0Ow8x3xKK9+95hFNpX2vY4Srhr9XWS3GqHDcuHGjta1VR+FEdnYCw3w277/Kg3F7u158P6&#10;sCrenow5P5vuFwJ3C1CRpvjngO8N0h9yKbb3R7ZBtQZkTfxB0W7mwva/V+eZ/j8g/wIAAP//AwBQ&#10;SwECLQAUAAYACAAAACEAtoM4kv4AAADhAQAAEwAAAAAAAAAAAAAAAAAAAAAAW0NvbnRlbnRfVHlw&#10;ZXNdLnhtbFBLAQItABQABgAIAAAAIQA4/SH/1gAAAJQBAAALAAAAAAAAAAAAAAAAAC8BAABfcmVs&#10;cy8ucmVsc1BLAQItABQABgAIAAAAIQBlb0OPLwIAAGoEAAAOAAAAAAAAAAAAAAAAAC4CAABkcnMv&#10;ZTJvRG9jLnhtbFBLAQItABQABgAIAAAAIQD9WirP2gAAAAgBAAAPAAAAAAAAAAAAAAAAAIkEAABk&#10;cnMvZG93bnJldi54bWxQSwUGAAAAAAQABADzAAAAkAUAAAAA&#10;" filled="f" stroked="f">
                <o:lock v:ext="edit" aspectratio="t"/>
                <w10:anchorlock/>
              </v:rect>
            </w:pict>
          </mc:Fallback>
        </mc:AlternateContent>
      </w:r>
      <w:r w:rsidRPr="00883413">
        <w:rPr>
          <w:rFonts w:ascii="Times New Roman" w:hAnsi="Times New Roman" w:cs="Times New Roman"/>
          <w:noProof/>
        </w:rPr>
        <mc:AlternateContent>
          <mc:Choice Requires="wps">
            <w:drawing>
              <wp:inline distT="0" distB="0" distL="0" distR="0" wp14:anchorId="6F60C648" wp14:editId="604F433E">
                <wp:extent cx="304800" cy="304800"/>
                <wp:effectExtent l="0" t="0" r="0" b="0"/>
                <wp:docPr id="1813490937" name="Rectangle 29" descr="14%&#10;&#10;6%&#10;&#10;6%&#10;&#10;2%&#10;&#10;72%&#10;&#10;Decoction&#10;&#10;Fumigation&#10;&#10;Infusion&#10;&#10;Ingestion&#10;&#10;Macerati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CBE589" id="Rectangle 29" o:spid="_x0000_s1026" alt="14%&#10;&#10;6%&#10;&#10;6%&#10;&#10;2%&#10;&#10;72%&#10;&#10;Decoction&#10;&#10;Fumigation&#10;&#10;Infusion&#10;&#10;Ingestion&#10;&#10;Maceratio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4747E0" w:rsidRPr="00883413">
        <w:rPr>
          <w:rFonts w:ascii="Times New Roman" w:hAnsi="Times New Roman" w:cs="Times New Roman"/>
          <w:lang w:val="en-US"/>
        </w:rPr>
        <w:t xml:space="preserve">Figure III: Distribution of </w:t>
      </w:r>
      <w:r w:rsidR="00C26807">
        <w:rPr>
          <w:rFonts w:ascii="Times New Roman" w:hAnsi="Times New Roman" w:cs="Times New Roman"/>
          <w:lang w:val="en-US"/>
        </w:rPr>
        <w:t>p</w:t>
      </w:r>
      <w:r w:rsidR="004747E0" w:rsidRPr="00883413">
        <w:rPr>
          <w:rFonts w:ascii="Times New Roman" w:hAnsi="Times New Roman" w:cs="Times New Roman"/>
          <w:lang w:val="en-US"/>
        </w:rPr>
        <w:t xml:space="preserve">lant </w:t>
      </w:r>
      <w:r w:rsidR="00C26807">
        <w:rPr>
          <w:rFonts w:ascii="Times New Roman" w:hAnsi="Times New Roman" w:cs="Times New Roman"/>
          <w:lang w:val="en-US"/>
        </w:rPr>
        <w:t>p</w:t>
      </w:r>
      <w:r w:rsidR="004747E0" w:rsidRPr="00883413">
        <w:rPr>
          <w:rFonts w:ascii="Times New Roman" w:hAnsi="Times New Roman" w:cs="Times New Roman"/>
          <w:lang w:val="en-US"/>
        </w:rPr>
        <w:t xml:space="preserve">reparation </w:t>
      </w:r>
      <w:r w:rsidR="00C26807">
        <w:rPr>
          <w:rFonts w:ascii="Times New Roman" w:hAnsi="Times New Roman" w:cs="Times New Roman"/>
          <w:lang w:val="en-US"/>
        </w:rPr>
        <w:t>m</w:t>
      </w:r>
      <w:r w:rsidR="004747E0" w:rsidRPr="00883413">
        <w:rPr>
          <w:rFonts w:ascii="Times New Roman" w:hAnsi="Times New Roman" w:cs="Times New Roman"/>
          <w:lang w:val="en-US"/>
        </w:rPr>
        <w:t>ethods</w:t>
      </w:r>
    </w:p>
    <w:p w14:paraId="3F6A48E8" w14:textId="77777777" w:rsidR="004747E0" w:rsidRPr="00883413" w:rsidRDefault="004747E0" w:rsidP="00B80458">
      <w:pPr>
        <w:spacing w:before="240" w:line="360" w:lineRule="auto"/>
        <w:jc w:val="both"/>
        <w:rPr>
          <w:rFonts w:ascii="Times New Roman" w:hAnsi="Times New Roman" w:cs="Times New Roman"/>
          <w:lang w:val="en-US"/>
        </w:rPr>
      </w:pPr>
    </w:p>
    <w:p w14:paraId="6B7BD4BB"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3.1.2.3. Frequency of Plant Mentions by Respondents</w:t>
      </w:r>
    </w:p>
    <w:p w14:paraId="089CEBB8"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A total of 50 traditional health practitioners and sellers of traditional products were surveyed. Thirty (30) species belonging to 19 botanical families were identified (Figure IV). In this phase, 18 traditional health practitioners were interviewed, and 13 species belonging to 8 families were identified. Additionally, 32 sellers of traditional health products were surveyed, and 17 species belonging to 11 botanical families were identified. The most frequently cited species were </w:t>
      </w:r>
      <w:proofErr w:type="spellStart"/>
      <w:r w:rsidRPr="00883413">
        <w:rPr>
          <w:rFonts w:ascii="Times New Roman" w:hAnsi="Times New Roman" w:cs="Times New Roman"/>
          <w:lang w:val="en-US"/>
        </w:rPr>
        <w:t>Leptadenia</w:t>
      </w:r>
      <w:proofErr w:type="spellEnd"/>
      <w:r w:rsidRPr="00883413">
        <w:rPr>
          <w:rFonts w:ascii="Times New Roman" w:hAnsi="Times New Roman" w:cs="Times New Roman"/>
          <w:lang w:val="en-US"/>
        </w:rPr>
        <w:t xml:space="preserve"> hastata and </w:t>
      </w:r>
      <w:proofErr w:type="spellStart"/>
      <w:r w:rsidRPr="00883413">
        <w:rPr>
          <w:rFonts w:ascii="Times New Roman" w:hAnsi="Times New Roman" w:cs="Times New Roman"/>
          <w:lang w:val="en-US"/>
        </w:rPr>
        <w:t>Sclerocarya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birrea</w:t>
      </w:r>
      <w:proofErr w:type="spellEnd"/>
      <w:r w:rsidRPr="00883413">
        <w:rPr>
          <w:rFonts w:ascii="Times New Roman" w:hAnsi="Times New Roman" w:cs="Times New Roman"/>
          <w:lang w:val="en-US"/>
        </w:rPr>
        <w:t>, with frequencies of 14% and 10%, respectively.</w:t>
      </w:r>
    </w:p>
    <w:p w14:paraId="68276A6F" w14:textId="4B2B242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noProof/>
          <w:lang w:val="en-US"/>
          <w14:ligatures w14:val="none"/>
        </w:rPr>
        <w:lastRenderedPageBreak/>
        <w:drawing>
          <wp:inline distT="0" distB="0" distL="0" distR="0" wp14:anchorId="5116C15C" wp14:editId="5F7DEA46">
            <wp:extent cx="6157608" cy="4620638"/>
            <wp:effectExtent l="0" t="0" r="14605" b="8890"/>
            <wp:docPr id="745120078" name="Graphique 1">
              <a:extLst xmlns:a="http://schemas.openxmlformats.org/drawingml/2006/main">
                <a:ext uri="{FF2B5EF4-FFF2-40B4-BE49-F238E27FC236}">
                  <a16:creationId xmlns:a16="http://schemas.microsoft.com/office/drawing/2014/main" id="{94807C0D-F1B9-0640-07A1-8749CBDAAB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7AD92D6" w14:textId="2E8F24F2" w:rsidR="00F84329" w:rsidRPr="00F84329" w:rsidRDefault="00F84329" w:rsidP="00F84329">
      <w:pPr>
        <w:spacing w:before="240" w:line="360" w:lineRule="auto"/>
        <w:jc w:val="both"/>
        <w:rPr>
          <w:rFonts w:ascii="Times New Roman" w:hAnsi="Times New Roman" w:cs="Times New Roman"/>
          <w:b/>
          <w:bCs/>
        </w:rPr>
      </w:pPr>
      <w:r>
        <w:rPr>
          <w:rFonts w:ascii="Times New Roman" w:hAnsi="Times New Roman" w:cs="Times New Roman"/>
          <w:b/>
          <w:bCs/>
        </w:rPr>
        <w:t xml:space="preserve">                                                                          </w:t>
      </w:r>
      <w:proofErr w:type="spellStart"/>
      <w:proofErr w:type="gramStart"/>
      <w:r w:rsidRPr="00F84329">
        <w:rPr>
          <w:rFonts w:ascii="Times New Roman" w:hAnsi="Times New Roman" w:cs="Times New Roman"/>
          <w:b/>
          <w:bCs/>
        </w:rPr>
        <w:t>surveyed</w:t>
      </w:r>
      <w:proofErr w:type="spellEnd"/>
      <w:proofErr w:type="gramEnd"/>
      <w:r w:rsidRPr="00F84329">
        <w:rPr>
          <w:rFonts w:ascii="Times New Roman" w:hAnsi="Times New Roman" w:cs="Times New Roman"/>
          <w:b/>
          <w:bCs/>
        </w:rPr>
        <w:t xml:space="preserve"> </w:t>
      </w:r>
      <w:proofErr w:type="spellStart"/>
      <w:r w:rsidRPr="00F84329">
        <w:rPr>
          <w:rFonts w:ascii="Times New Roman" w:hAnsi="Times New Roman" w:cs="Times New Roman"/>
          <w:b/>
          <w:bCs/>
        </w:rPr>
        <w:t>species</w:t>
      </w:r>
      <w:proofErr w:type="spellEnd"/>
    </w:p>
    <w:p w14:paraId="12FBA172" w14:textId="57916F1D"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Figure IV: Frequency of species citations</w:t>
      </w:r>
    </w:p>
    <w:p w14:paraId="5A6D413E" w14:textId="77777777" w:rsidR="004747E0" w:rsidRPr="00883413" w:rsidRDefault="004747E0" w:rsidP="00B80458">
      <w:pPr>
        <w:spacing w:before="240" w:line="360" w:lineRule="auto"/>
        <w:jc w:val="both"/>
        <w:rPr>
          <w:rFonts w:ascii="Times New Roman" w:hAnsi="Times New Roman" w:cs="Times New Roman"/>
          <w:lang w:val="en-US"/>
        </w:rPr>
      </w:pPr>
    </w:p>
    <w:p w14:paraId="2C6CD585"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3.2. Results of Biochemical Parameters</w:t>
      </w:r>
    </w:p>
    <w:p w14:paraId="66481BAB"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3.2.1. Vitamin C (ascorbic acid) Assay</w:t>
      </w:r>
    </w:p>
    <w:p w14:paraId="775A4C7B"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Table II shows the vitamin C content of the extracts, expressed in (mg EAA/mg of extract). The ascorbic acid content of the extracts ranged from 0.1 to 1.5 mg EAA/100 mg of extract. The highest levels were obtained from the </w:t>
      </w:r>
      <w:proofErr w:type="spellStart"/>
      <w:r w:rsidRPr="00883413">
        <w:rPr>
          <w:rFonts w:ascii="Times New Roman" w:hAnsi="Times New Roman" w:cs="Times New Roman"/>
          <w:lang w:val="en-US"/>
        </w:rPr>
        <w:t>Sclerocarya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birrea</w:t>
      </w:r>
      <w:proofErr w:type="spellEnd"/>
      <w:r w:rsidRPr="00883413">
        <w:rPr>
          <w:rFonts w:ascii="Times New Roman" w:hAnsi="Times New Roman" w:cs="Times New Roman"/>
          <w:lang w:val="en-US"/>
        </w:rPr>
        <w:t xml:space="preserve"> extract from </w:t>
      </w:r>
      <w:proofErr w:type="spellStart"/>
      <w:r w:rsidRPr="00883413">
        <w:rPr>
          <w:rFonts w:ascii="Times New Roman" w:hAnsi="Times New Roman" w:cs="Times New Roman"/>
          <w:lang w:val="en-US"/>
        </w:rPr>
        <w:t>Boromo</w:t>
      </w:r>
      <w:proofErr w:type="spellEnd"/>
      <w:r w:rsidRPr="00883413">
        <w:rPr>
          <w:rFonts w:ascii="Times New Roman" w:hAnsi="Times New Roman" w:cs="Times New Roman"/>
          <w:lang w:val="en-US"/>
        </w:rPr>
        <w:t xml:space="preserve"> (1.5 mg EAA/100 mg), followed by the extract from Bobo-Dioulasso (0.6 mg EAA/100 mg). The lowest levels were found in the </w:t>
      </w:r>
      <w:proofErr w:type="spellStart"/>
      <w:r w:rsidRPr="00883413">
        <w:rPr>
          <w:rFonts w:ascii="Times New Roman" w:hAnsi="Times New Roman" w:cs="Times New Roman"/>
          <w:lang w:val="en-US"/>
        </w:rPr>
        <w:t>Leptadenia</w:t>
      </w:r>
      <w:proofErr w:type="spellEnd"/>
      <w:r w:rsidRPr="00883413">
        <w:rPr>
          <w:rFonts w:ascii="Times New Roman" w:hAnsi="Times New Roman" w:cs="Times New Roman"/>
          <w:lang w:val="en-US"/>
        </w:rPr>
        <w:t xml:space="preserve"> hastata extract from Bobo-Dioulasso (0.2 mg EAA/100 mg) and that from </w:t>
      </w:r>
      <w:proofErr w:type="spellStart"/>
      <w:r w:rsidRPr="00883413">
        <w:rPr>
          <w:rFonts w:ascii="Times New Roman" w:hAnsi="Times New Roman" w:cs="Times New Roman"/>
          <w:lang w:val="en-US"/>
        </w:rPr>
        <w:t>Boromo</w:t>
      </w:r>
      <w:proofErr w:type="spellEnd"/>
      <w:r w:rsidRPr="00883413">
        <w:rPr>
          <w:rFonts w:ascii="Times New Roman" w:hAnsi="Times New Roman" w:cs="Times New Roman"/>
          <w:lang w:val="en-US"/>
        </w:rPr>
        <w:t xml:space="preserve"> (0.1 mg EAA/100 mg).</w:t>
      </w:r>
    </w:p>
    <w:p w14:paraId="5E34F0F6"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lastRenderedPageBreak/>
        <w:t xml:space="preserve">The use of these vitamin C-rich medicinal plants in the treatment of diabetes may be due to their high ascorbic acid content. This study corroborates the work of Mashaba, </w:t>
      </w:r>
      <w:proofErr w:type="spellStart"/>
      <w:r w:rsidRPr="00883413">
        <w:rPr>
          <w:rFonts w:ascii="Times New Roman" w:hAnsi="Times New Roman" w:cs="Times New Roman"/>
          <w:lang w:val="en-US"/>
        </w:rPr>
        <w:t>Mokgalaboni</w:t>
      </w:r>
      <w:proofErr w:type="spellEnd"/>
      <w:r w:rsidRPr="00883413">
        <w:rPr>
          <w:rFonts w:ascii="Times New Roman" w:hAnsi="Times New Roman" w:cs="Times New Roman"/>
          <w:lang w:val="en-US"/>
        </w:rPr>
        <w:t>, and Lebelo (2025), who demonstrated that extracts rich in ascorbic acid possess antidiabetic properties.</w:t>
      </w:r>
    </w:p>
    <w:p w14:paraId="4218245E"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3.2.2. Total Sugar Content Assay</w:t>
      </w:r>
    </w:p>
    <w:p w14:paraId="33380D21"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The results for total sugar content in the extracts, expressed in µg ES/mg of extract from the two locations, are presented in Table II. Total sugar content ranged from 140.29 to 363.66 µg ES/100 mg of extract. The highest levels were observed in the </w:t>
      </w:r>
      <w:proofErr w:type="spellStart"/>
      <w:r w:rsidRPr="00883413">
        <w:rPr>
          <w:rFonts w:ascii="Times New Roman" w:hAnsi="Times New Roman" w:cs="Times New Roman"/>
          <w:lang w:val="en-US"/>
        </w:rPr>
        <w:t>Leptadenia</w:t>
      </w:r>
      <w:proofErr w:type="spellEnd"/>
      <w:r w:rsidRPr="00883413">
        <w:rPr>
          <w:rFonts w:ascii="Times New Roman" w:hAnsi="Times New Roman" w:cs="Times New Roman"/>
          <w:lang w:val="en-US"/>
        </w:rPr>
        <w:t xml:space="preserve"> hastata extract from </w:t>
      </w:r>
      <w:proofErr w:type="spellStart"/>
      <w:r w:rsidRPr="00883413">
        <w:rPr>
          <w:rFonts w:ascii="Times New Roman" w:hAnsi="Times New Roman" w:cs="Times New Roman"/>
          <w:lang w:val="en-US"/>
        </w:rPr>
        <w:t>Boromo</w:t>
      </w:r>
      <w:proofErr w:type="spellEnd"/>
      <w:r w:rsidRPr="00883413">
        <w:rPr>
          <w:rFonts w:ascii="Times New Roman" w:hAnsi="Times New Roman" w:cs="Times New Roman"/>
          <w:lang w:val="en-US"/>
        </w:rPr>
        <w:t xml:space="preserve"> (363.66 µg ES/100 mg), followed by the </w:t>
      </w:r>
      <w:proofErr w:type="spellStart"/>
      <w:r w:rsidRPr="00883413">
        <w:rPr>
          <w:rFonts w:ascii="Times New Roman" w:hAnsi="Times New Roman" w:cs="Times New Roman"/>
          <w:lang w:val="en-US"/>
        </w:rPr>
        <w:t>Sclerocarya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birrea</w:t>
      </w:r>
      <w:proofErr w:type="spellEnd"/>
      <w:r w:rsidRPr="00883413">
        <w:rPr>
          <w:rFonts w:ascii="Times New Roman" w:hAnsi="Times New Roman" w:cs="Times New Roman"/>
          <w:lang w:val="en-US"/>
        </w:rPr>
        <w:t xml:space="preserve"> extract from Bobo-Dioulasso (343.38 µg ES/100 mg). The lowest levels were obtained from the </w:t>
      </w:r>
      <w:proofErr w:type="spellStart"/>
      <w:r w:rsidRPr="00883413">
        <w:rPr>
          <w:rFonts w:ascii="Times New Roman" w:hAnsi="Times New Roman" w:cs="Times New Roman"/>
          <w:lang w:val="en-US"/>
        </w:rPr>
        <w:t>Leptadenia</w:t>
      </w:r>
      <w:proofErr w:type="spellEnd"/>
      <w:r w:rsidRPr="00883413">
        <w:rPr>
          <w:rFonts w:ascii="Times New Roman" w:hAnsi="Times New Roman" w:cs="Times New Roman"/>
          <w:lang w:val="en-US"/>
        </w:rPr>
        <w:t xml:space="preserve"> hastata extract from Bobo-Dioulasso (169.39 µg ES/100 mg) and the </w:t>
      </w:r>
      <w:proofErr w:type="spellStart"/>
      <w:r w:rsidRPr="00883413">
        <w:rPr>
          <w:rFonts w:ascii="Times New Roman" w:hAnsi="Times New Roman" w:cs="Times New Roman"/>
          <w:lang w:val="en-US"/>
        </w:rPr>
        <w:t>Sclerocarya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birrea</w:t>
      </w:r>
      <w:proofErr w:type="spellEnd"/>
      <w:r w:rsidRPr="00883413">
        <w:rPr>
          <w:rFonts w:ascii="Times New Roman" w:hAnsi="Times New Roman" w:cs="Times New Roman"/>
          <w:lang w:val="en-US"/>
        </w:rPr>
        <w:t xml:space="preserve"> extract from </w:t>
      </w:r>
      <w:proofErr w:type="spellStart"/>
      <w:r w:rsidRPr="00883413">
        <w:rPr>
          <w:rFonts w:ascii="Times New Roman" w:hAnsi="Times New Roman" w:cs="Times New Roman"/>
          <w:lang w:val="en-US"/>
        </w:rPr>
        <w:t>Boromo</w:t>
      </w:r>
      <w:proofErr w:type="spellEnd"/>
      <w:r w:rsidRPr="00883413">
        <w:rPr>
          <w:rFonts w:ascii="Times New Roman" w:hAnsi="Times New Roman" w:cs="Times New Roman"/>
          <w:lang w:val="en-US"/>
        </w:rPr>
        <w:t xml:space="preserve"> (140.29 µg ES/100 mg).</w:t>
      </w:r>
    </w:p>
    <w:p w14:paraId="085C82CF" w14:textId="77777777" w:rsidR="004747E0" w:rsidRPr="00883413" w:rsidRDefault="004747E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Table II: Results for ascorbic acid and total sugar content</w:t>
      </w:r>
    </w:p>
    <w:p w14:paraId="6012EE2D" w14:textId="77777777" w:rsidR="004747E0" w:rsidRPr="00883413" w:rsidRDefault="004747E0" w:rsidP="00B80458">
      <w:pPr>
        <w:spacing w:before="240" w:line="360" w:lineRule="auto"/>
        <w:jc w:val="both"/>
        <w:rPr>
          <w:rFonts w:ascii="Times New Roman" w:hAnsi="Times New Roman" w:cs="Times New Roman"/>
          <w:lang w:val="en-US"/>
        </w:rPr>
      </w:pPr>
    </w:p>
    <w:tbl>
      <w:tblPr>
        <w:tblStyle w:val="PlainTable2"/>
        <w:tblW w:w="9356" w:type="dxa"/>
        <w:jc w:val="center"/>
        <w:tblBorders>
          <w:top w:val="single" w:sz="18" w:space="0" w:color="0070C0"/>
          <w:bottom w:val="single" w:sz="18" w:space="0" w:color="0070C0"/>
          <w:insideH w:val="single" w:sz="4" w:space="0" w:color="7F7F7F" w:themeColor="text1" w:themeTint="80"/>
        </w:tblBorders>
        <w:tblLook w:val="04A0" w:firstRow="1" w:lastRow="0" w:firstColumn="1" w:lastColumn="0" w:noHBand="0" w:noVBand="1"/>
      </w:tblPr>
      <w:tblGrid>
        <w:gridCol w:w="1977"/>
        <w:gridCol w:w="2100"/>
        <w:gridCol w:w="2382"/>
        <w:gridCol w:w="2897"/>
      </w:tblGrid>
      <w:tr w:rsidR="002A25E2" w:rsidRPr="00883413" w14:paraId="0BE3F30A" w14:textId="77777777" w:rsidTr="00ED211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43" w:type="dxa"/>
            <w:tcBorders>
              <w:top w:val="single" w:sz="18" w:space="0" w:color="0070C0"/>
              <w:bottom w:val="single" w:sz="18" w:space="0" w:color="0070C0"/>
            </w:tcBorders>
          </w:tcPr>
          <w:p w14:paraId="2D0B2788" w14:textId="77777777" w:rsidR="00BD7DF1" w:rsidRPr="00883413" w:rsidRDefault="00BD7DF1" w:rsidP="00B80458">
            <w:pPr>
              <w:pStyle w:val="ListParagraph"/>
              <w:spacing w:line="360" w:lineRule="auto"/>
              <w:jc w:val="both"/>
              <w:rPr>
                <w:rFonts w:ascii="Times New Roman" w:hAnsi="Times New Roman" w:cs="Times New Roman"/>
                <w:sz w:val="24"/>
                <w:szCs w:val="24"/>
              </w:rPr>
            </w:pPr>
            <w:r w:rsidRPr="00883413">
              <w:rPr>
                <w:rFonts w:ascii="Times New Roman" w:hAnsi="Times New Roman" w:cs="Times New Roman"/>
                <w:sz w:val="24"/>
                <w:szCs w:val="24"/>
              </w:rPr>
              <w:t>Collection Location</w:t>
            </w:r>
          </w:p>
          <w:p w14:paraId="378F267E" w14:textId="1AF9E1C3" w:rsidR="002A25E2" w:rsidRPr="00883413" w:rsidRDefault="002A25E2" w:rsidP="00B80458">
            <w:pPr>
              <w:pStyle w:val="ListParagraph"/>
              <w:spacing w:line="360" w:lineRule="auto"/>
              <w:ind w:left="0"/>
              <w:jc w:val="both"/>
              <w:rPr>
                <w:rFonts w:ascii="Times New Roman" w:hAnsi="Times New Roman" w:cs="Times New Roman"/>
                <w:b w:val="0"/>
                <w:bCs w:val="0"/>
                <w:sz w:val="24"/>
                <w:szCs w:val="24"/>
              </w:rPr>
            </w:pPr>
          </w:p>
        </w:tc>
        <w:tc>
          <w:tcPr>
            <w:tcW w:w="2126" w:type="dxa"/>
            <w:tcBorders>
              <w:top w:val="single" w:sz="18" w:space="0" w:color="0070C0"/>
              <w:bottom w:val="single" w:sz="18" w:space="0" w:color="0070C0"/>
            </w:tcBorders>
          </w:tcPr>
          <w:p w14:paraId="7D794CBA" w14:textId="77777777" w:rsidR="00FD5D50" w:rsidRPr="00883413" w:rsidRDefault="00FD5D50" w:rsidP="00B80458">
            <w:pPr>
              <w:pStyle w:val="ListParagraph"/>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883413">
              <w:rPr>
                <w:rFonts w:ascii="Times New Roman" w:hAnsi="Times New Roman" w:cs="Times New Roman"/>
                <w:sz w:val="24"/>
                <w:szCs w:val="24"/>
              </w:rPr>
              <w:t>Species</w:t>
            </w:r>
            <w:proofErr w:type="spellEnd"/>
          </w:p>
          <w:p w14:paraId="09C48844" w14:textId="0CAF82D9" w:rsidR="002A25E2" w:rsidRPr="00883413" w:rsidRDefault="002A25E2" w:rsidP="00B80458">
            <w:pPr>
              <w:pStyle w:val="ListParagraph"/>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
        </w:tc>
        <w:tc>
          <w:tcPr>
            <w:tcW w:w="2410" w:type="dxa"/>
            <w:tcBorders>
              <w:top w:val="single" w:sz="18" w:space="0" w:color="0070C0"/>
              <w:bottom w:val="single" w:sz="18" w:space="0" w:color="0070C0"/>
            </w:tcBorders>
          </w:tcPr>
          <w:p w14:paraId="53AC6009" w14:textId="4458FE0A" w:rsidR="002A25E2" w:rsidRPr="00883413" w:rsidRDefault="002A25E2" w:rsidP="00B80458">
            <w:pPr>
              <w:pStyle w:val="ListParagraph"/>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n-US"/>
              </w:rPr>
            </w:pPr>
            <w:r w:rsidRPr="00883413">
              <w:rPr>
                <w:rFonts w:ascii="Times New Roman" w:hAnsi="Times New Roman" w:cs="Times New Roman"/>
                <w:sz w:val="24"/>
                <w:szCs w:val="24"/>
                <w:lang w:val="en-US"/>
              </w:rPr>
              <w:t>Vitamin C</w:t>
            </w:r>
          </w:p>
          <w:p w14:paraId="131D4214" w14:textId="7D594001" w:rsidR="00FD5D50" w:rsidRPr="00883413" w:rsidRDefault="002A25E2" w:rsidP="00B80458">
            <w:pPr>
              <w:pStyle w:val="ListParagraph"/>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w:t>
            </w:r>
            <w:proofErr w:type="gramStart"/>
            <w:r w:rsidRPr="00883413">
              <w:rPr>
                <w:rFonts w:ascii="Times New Roman" w:hAnsi="Times New Roman" w:cs="Times New Roman"/>
                <w:sz w:val="24"/>
                <w:szCs w:val="24"/>
              </w:rPr>
              <w:t>mg</w:t>
            </w:r>
            <w:proofErr w:type="gramEnd"/>
            <w:r w:rsidRPr="00883413">
              <w:rPr>
                <w:rFonts w:ascii="Times New Roman" w:hAnsi="Times New Roman" w:cs="Times New Roman"/>
                <w:sz w:val="24"/>
                <w:szCs w:val="24"/>
              </w:rPr>
              <w:t xml:space="preserve"> EAA /100 mg </w:t>
            </w:r>
            <w:proofErr w:type="spellStart"/>
            <w:r w:rsidR="00FD5D50" w:rsidRPr="00883413">
              <w:rPr>
                <w:rFonts w:ascii="Times New Roman" w:hAnsi="Times New Roman" w:cs="Times New Roman"/>
                <w:sz w:val="24"/>
                <w:szCs w:val="24"/>
              </w:rPr>
              <w:t>extracts</w:t>
            </w:r>
            <w:proofErr w:type="spellEnd"/>
          </w:p>
          <w:p w14:paraId="16ED101D" w14:textId="647CAF23" w:rsidR="002A25E2" w:rsidRPr="00883413" w:rsidRDefault="002A25E2" w:rsidP="00B80458">
            <w:pPr>
              <w:pStyle w:val="ListParagraph"/>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883413">
              <w:rPr>
                <w:rFonts w:ascii="Times New Roman" w:hAnsi="Times New Roman" w:cs="Times New Roman"/>
                <w:sz w:val="24"/>
                <w:szCs w:val="24"/>
              </w:rPr>
              <w:t>)</w:t>
            </w:r>
          </w:p>
        </w:tc>
        <w:tc>
          <w:tcPr>
            <w:tcW w:w="2977" w:type="dxa"/>
            <w:tcBorders>
              <w:top w:val="single" w:sz="18" w:space="0" w:color="0070C0"/>
              <w:bottom w:val="single" w:sz="18" w:space="0" w:color="0070C0"/>
            </w:tcBorders>
          </w:tcPr>
          <w:p w14:paraId="67822AD2" w14:textId="77777777" w:rsidR="00FD5D50" w:rsidRPr="00883413" w:rsidRDefault="00FD5D50" w:rsidP="00B80458">
            <w:pPr>
              <w:pStyle w:val="ListParagraph"/>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gramStart"/>
            <w:r w:rsidRPr="00883413">
              <w:rPr>
                <w:rFonts w:ascii="Times New Roman" w:hAnsi="Times New Roman" w:cs="Times New Roman"/>
                <w:sz w:val="24"/>
                <w:szCs w:val="24"/>
              </w:rPr>
              <w:t>total</w:t>
            </w:r>
            <w:proofErr w:type="gramEnd"/>
            <w:r w:rsidRPr="00883413">
              <w:rPr>
                <w:rFonts w:ascii="Times New Roman" w:hAnsi="Times New Roman" w:cs="Times New Roman"/>
                <w:sz w:val="24"/>
                <w:szCs w:val="24"/>
              </w:rPr>
              <w:t xml:space="preserve"> </w:t>
            </w:r>
            <w:proofErr w:type="spellStart"/>
            <w:r w:rsidRPr="00883413">
              <w:rPr>
                <w:rFonts w:ascii="Times New Roman" w:hAnsi="Times New Roman" w:cs="Times New Roman"/>
                <w:sz w:val="24"/>
                <w:szCs w:val="24"/>
              </w:rPr>
              <w:t>sugars</w:t>
            </w:r>
            <w:proofErr w:type="spellEnd"/>
          </w:p>
          <w:p w14:paraId="6FF7AE3B" w14:textId="6760EC66" w:rsidR="002A25E2" w:rsidRPr="00883413" w:rsidRDefault="00FD5D50" w:rsidP="00B80458">
            <w:pPr>
              <w:pStyle w:val="ListParagraph"/>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883413">
              <w:rPr>
                <w:rFonts w:ascii="Times New Roman" w:hAnsi="Times New Roman" w:cs="Times New Roman"/>
                <w:sz w:val="24"/>
                <w:szCs w:val="24"/>
              </w:rPr>
              <w:t xml:space="preserve">                 </w:t>
            </w:r>
            <w:r w:rsidR="002A25E2" w:rsidRPr="00883413">
              <w:rPr>
                <w:rFonts w:ascii="Times New Roman" w:hAnsi="Times New Roman" w:cs="Times New Roman"/>
                <w:sz w:val="24"/>
                <w:szCs w:val="24"/>
              </w:rPr>
              <w:t>(</w:t>
            </w:r>
            <w:proofErr w:type="gramStart"/>
            <w:r w:rsidR="002A25E2" w:rsidRPr="00883413">
              <w:rPr>
                <w:rFonts w:ascii="Times New Roman" w:hAnsi="Times New Roman" w:cs="Times New Roman"/>
                <w:sz w:val="24"/>
                <w:szCs w:val="24"/>
              </w:rPr>
              <w:t>µ</w:t>
            </w:r>
            <w:proofErr w:type="gramEnd"/>
            <w:r w:rsidR="002A25E2" w:rsidRPr="00883413">
              <w:rPr>
                <w:rFonts w:ascii="Times New Roman" w:hAnsi="Times New Roman" w:cs="Times New Roman"/>
                <w:sz w:val="24"/>
                <w:szCs w:val="24"/>
              </w:rPr>
              <w:t xml:space="preserve">g ES/100 mg </w:t>
            </w:r>
            <w:proofErr w:type="spellStart"/>
            <w:r w:rsidRPr="00883413">
              <w:rPr>
                <w:rFonts w:ascii="Times New Roman" w:hAnsi="Times New Roman" w:cs="Times New Roman"/>
                <w:sz w:val="24"/>
                <w:szCs w:val="24"/>
              </w:rPr>
              <w:t>extracts</w:t>
            </w:r>
            <w:proofErr w:type="spellEnd"/>
            <w:r w:rsidR="002A25E2" w:rsidRPr="00883413">
              <w:rPr>
                <w:rFonts w:ascii="Times New Roman" w:hAnsi="Times New Roman" w:cs="Times New Roman"/>
                <w:sz w:val="24"/>
                <w:szCs w:val="24"/>
              </w:rPr>
              <w:t>)</w:t>
            </w:r>
          </w:p>
        </w:tc>
      </w:tr>
      <w:tr w:rsidR="002A25E2" w:rsidRPr="00883413" w14:paraId="1B7E60FE" w14:textId="77777777" w:rsidTr="00ED21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43" w:type="dxa"/>
            <w:vMerge w:val="restart"/>
            <w:tcBorders>
              <w:top w:val="single" w:sz="18" w:space="0" w:color="0070C0"/>
            </w:tcBorders>
          </w:tcPr>
          <w:p w14:paraId="42EF85CC" w14:textId="77777777" w:rsidR="002A25E2" w:rsidRPr="00883413" w:rsidRDefault="002A25E2" w:rsidP="00B80458">
            <w:pPr>
              <w:pStyle w:val="ListParagraph"/>
              <w:spacing w:line="360" w:lineRule="auto"/>
              <w:ind w:left="0"/>
              <w:jc w:val="both"/>
              <w:rPr>
                <w:rFonts w:ascii="Times New Roman" w:hAnsi="Times New Roman" w:cs="Times New Roman"/>
                <w:b w:val="0"/>
                <w:bCs w:val="0"/>
                <w:sz w:val="24"/>
                <w:szCs w:val="24"/>
              </w:rPr>
            </w:pPr>
            <w:r w:rsidRPr="00883413">
              <w:rPr>
                <w:rFonts w:ascii="Times New Roman" w:hAnsi="Times New Roman" w:cs="Times New Roman"/>
                <w:sz w:val="24"/>
                <w:szCs w:val="24"/>
              </w:rPr>
              <w:t>Bobo-Dioulasso</w:t>
            </w:r>
          </w:p>
        </w:tc>
        <w:tc>
          <w:tcPr>
            <w:tcW w:w="2126" w:type="dxa"/>
            <w:tcBorders>
              <w:top w:val="single" w:sz="18" w:space="0" w:color="0070C0"/>
            </w:tcBorders>
          </w:tcPr>
          <w:p w14:paraId="79ECC1AA" w14:textId="77777777" w:rsidR="002A25E2" w:rsidRPr="00883413" w:rsidRDefault="002A25E2" w:rsidP="00B80458">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sz w:val="24"/>
                <w:szCs w:val="24"/>
              </w:rPr>
            </w:pPr>
            <w:proofErr w:type="spellStart"/>
            <w:r w:rsidRPr="00883413">
              <w:rPr>
                <w:rFonts w:ascii="Times New Roman" w:hAnsi="Times New Roman" w:cs="Times New Roman"/>
                <w:b/>
                <w:bCs/>
                <w:i/>
                <w:iCs/>
                <w:sz w:val="24"/>
                <w:szCs w:val="24"/>
              </w:rPr>
              <w:t>Sclerocarya</w:t>
            </w:r>
            <w:proofErr w:type="spellEnd"/>
            <w:r w:rsidRPr="00883413">
              <w:rPr>
                <w:rFonts w:ascii="Times New Roman" w:hAnsi="Times New Roman" w:cs="Times New Roman"/>
                <w:b/>
                <w:bCs/>
                <w:i/>
                <w:iCs/>
                <w:sz w:val="24"/>
                <w:szCs w:val="24"/>
              </w:rPr>
              <w:t xml:space="preserve"> </w:t>
            </w:r>
            <w:proofErr w:type="spellStart"/>
            <w:r w:rsidRPr="00883413">
              <w:rPr>
                <w:rFonts w:ascii="Times New Roman" w:hAnsi="Times New Roman" w:cs="Times New Roman"/>
                <w:b/>
                <w:bCs/>
                <w:i/>
                <w:iCs/>
                <w:sz w:val="24"/>
                <w:szCs w:val="24"/>
              </w:rPr>
              <w:t>birrea</w:t>
            </w:r>
            <w:proofErr w:type="spellEnd"/>
          </w:p>
        </w:tc>
        <w:tc>
          <w:tcPr>
            <w:tcW w:w="2410" w:type="dxa"/>
            <w:tcBorders>
              <w:top w:val="single" w:sz="18" w:space="0" w:color="0070C0"/>
            </w:tcBorders>
            <w:vAlign w:val="center"/>
          </w:tcPr>
          <w:p w14:paraId="0ACE9FCE" w14:textId="38E13732" w:rsidR="002A25E2" w:rsidRPr="00883413" w:rsidRDefault="002A25E2" w:rsidP="00B80458">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0</w:t>
            </w:r>
            <w:r w:rsidR="00C26807">
              <w:rPr>
                <w:rFonts w:ascii="Times New Roman" w:hAnsi="Times New Roman" w:cs="Times New Roman"/>
                <w:sz w:val="24"/>
                <w:szCs w:val="24"/>
              </w:rPr>
              <w:t>.</w:t>
            </w:r>
            <w:r w:rsidRPr="00883413">
              <w:rPr>
                <w:rFonts w:ascii="Times New Roman" w:hAnsi="Times New Roman" w:cs="Times New Roman"/>
                <w:sz w:val="24"/>
                <w:szCs w:val="24"/>
              </w:rPr>
              <w:t>6</w:t>
            </w:r>
          </w:p>
        </w:tc>
        <w:tc>
          <w:tcPr>
            <w:tcW w:w="2977" w:type="dxa"/>
            <w:tcBorders>
              <w:top w:val="single" w:sz="18" w:space="0" w:color="0070C0"/>
            </w:tcBorders>
            <w:vAlign w:val="center"/>
          </w:tcPr>
          <w:p w14:paraId="33D55DDB" w14:textId="6CA58DE8" w:rsidR="002A25E2" w:rsidRPr="00883413" w:rsidRDefault="002A25E2" w:rsidP="00B80458">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343</w:t>
            </w:r>
            <w:r w:rsidR="00C26807">
              <w:rPr>
                <w:rFonts w:ascii="Times New Roman" w:hAnsi="Times New Roman" w:cs="Times New Roman"/>
                <w:sz w:val="24"/>
                <w:szCs w:val="24"/>
              </w:rPr>
              <w:t>.</w:t>
            </w:r>
            <w:r w:rsidRPr="00883413">
              <w:rPr>
                <w:rFonts w:ascii="Times New Roman" w:hAnsi="Times New Roman" w:cs="Times New Roman"/>
                <w:sz w:val="24"/>
                <w:szCs w:val="24"/>
              </w:rPr>
              <w:t>38</w:t>
            </w:r>
          </w:p>
        </w:tc>
      </w:tr>
      <w:tr w:rsidR="002A25E2" w:rsidRPr="00883413" w14:paraId="72C6EEAA" w14:textId="77777777" w:rsidTr="00ED2118">
        <w:trPr>
          <w:jc w:val="center"/>
        </w:trPr>
        <w:tc>
          <w:tcPr>
            <w:cnfStyle w:val="001000000000" w:firstRow="0" w:lastRow="0" w:firstColumn="1" w:lastColumn="0" w:oddVBand="0" w:evenVBand="0" w:oddHBand="0" w:evenHBand="0" w:firstRowFirstColumn="0" w:firstRowLastColumn="0" w:lastRowFirstColumn="0" w:lastRowLastColumn="0"/>
            <w:tcW w:w="1843" w:type="dxa"/>
            <w:vMerge/>
          </w:tcPr>
          <w:p w14:paraId="5A5BC038" w14:textId="77777777" w:rsidR="002A25E2" w:rsidRPr="00883413" w:rsidRDefault="002A25E2" w:rsidP="00B80458">
            <w:pPr>
              <w:pStyle w:val="ListParagraph"/>
              <w:spacing w:line="360" w:lineRule="auto"/>
              <w:ind w:left="0"/>
              <w:jc w:val="both"/>
              <w:rPr>
                <w:rFonts w:ascii="Times New Roman" w:hAnsi="Times New Roman" w:cs="Times New Roman"/>
                <w:b w:val="0"/>
                <w:bCs w:val="0"/>
                <w:sz w:val="24"/>
                <w:szCs w:val="24"/>
              </w:rPr>
            </w:pPr>
          </w:p>
        </w:tc>
        <w:tc>
          <w:tcPr>
            <w:tcW w:w="2126" w:type="dxa"/>
          </w:tcPr>
          <w:p w14:paraId="0CEA1D48" w14:textId="77777777" w:rsidR="002A25E2" w:rsidRPr="00883413" w:rsidRDefault="002A25E2" w:rsidP="00B80458">
            <w:pPr>
              <w:pStyle w:val="ListParagraph"/>
              <w:spacing w:line="36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24"/>
                <w:szCs w:val="24"/>
              </w:rPr>
            </w:pPr>
            <w:proofErr w:type="spellStart"/>
            <w:r w:rsidRPr="00883413">
              <w:rPr>
                <w:rFonts w:ascii="Times New Roman" w:hAnsi="Times New Roman" w:cs="Times New Roman"/>
                <w:b/>
                <w:bCs/>
                <w:i/>
                <w:iCs/>
                <w:sz w:val="24"/>
                <w:szCs w:val="24"/>
              </w:rPr>
              <w:t>Leptadenia</w:t>
            </w:r>
            <w:proofErr w:type="spellEnd"/>
            <w:r w:rsidRPr="00883413">
              <w:rPr>
                <w:rFonts w:ascii="Times New Roman" w:hAnsi="Times New Roman" w:cs="Times New Roman"/>
                <w:b/>
                <w:bCs/>
                <w:i/>
                <w:iCs/>
                <w:sz w:val="24"/>
                <w:szCs w:val="24"/>
              </w:rPr>
              <w:t xml:space="preserve"> </w:t>
            </w:r>
            <w:proofErr w:type="spellStart"/>
            <w:r w:rsidRPr="00883413">
              <w:rPr>
                <w:rFonts w:ascii="Times New Roman" w:hAnsi="Times New Roman" w:cs="Times New Roman"/>
                <w:b/>
                <w:bCs/>
                <w:i/>
                <w:iCs/>
                <w:sz w:val="24"/>
                <w:szCs w:val="24"/>
              </w:rPr>
              <w:t>hastata</w:t>
            </w:r>
            <w:proofErr w:type="spellEnd"/>
          </w:p>
        </w:tc>
        <w:tc>
          <w:tcPr>
            <w:tcW w:w="2410" w:type="dxa"/>
            <w:vAlign w:val="center"/>
          </w:tcPr>
          <w:p w14:paraId="0C720D14" w14:textId="77777777" w:rsidR="002A25E2" w:rsidRPr="00883413" w:rsidRDefault="002A25E2" w:rsidP="00B80458">
            <w:pPr>
              <w:pStyle w:val="ListParagraph"/>
              <w:spacing w:line="36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0,2</w:t>
            </w:r>
          </w:p>
        </w:tc>
        <w:tc>
          <w:tcPr>
            <w:tcW w:w="2977" w:type="dxa"/>
            <w:vAlign w:val="center"/>
          </w:tcPr>
          <w:p w14:paraId="0E6C7B68" w14:textId="48DD9B74" w:rsidR="002A25E2" w:rsidRPr="00883413" w:rsidRDefault="002A25E2" w:rsidP="00B80458">
            <w:pPr>
              <w:pStyle w:val="ListParagraph"/>
              <w:spacing w:line="36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169</w:t>
            </w:r>
            <w:r w:rsidR="00C26807">
              <w:rPr>
                <w:rFonts w:ascii="Times New Roman" w:hAnsi="Times New Roman" w:cs="Times New Roman"/>
                <w:sz w:val="24"/>
                <w:szCs w:val="24"/>
              </w:rPr>
              <w:t>.</w:t>
            </w:r>
            <w:r w:rsidRPr="00883413">
              <w:rPr>
                <w:rFonts w:ascii="Times New Roman" w:hAnsi="Times New Roman" w:cs="Times New Roman"/>
                <w:sz w:val="24"/>
                <w:szCs w:val="24"/>
              </w:rPr>
              <w:t>39</w:t>
            </w:r>
          </w:p>
        </w:tc>
      </w:tr>
      <w:tr w:rsidR="002A25E2" w:rsidRPr="00883413" w14:paraId="10336E7E" w14:textId="77777777" w:rsidTr="00ED211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43" w:type="dxa"/>
            <w:vMerge w:val="restart"/>
          </w:tcPr>
          <w:p w14:paraId="54BEDE34" w14:textId="77777777" w:rsidR="002A25E2" w:rsidRPr="00883413" w:rsidRDefault="002A25E2" w:rsidP="00B80458">
            <w:pPr>
              <w:pStyle w:val="ListParagraph"/>
              <w:spacing w:line="360" w:lineRule="auto"/>
              <w:ind w:left="0"/>
              <w:jc w:val="both"/>
              <w:rPr>
                <w:rFonts w:ascii="Times New Roman" w:hAnsi="Times New Roman" w:cs="Times New Roman"/>
                <w:b w:val="0"/>
                <w:bCs w:val="0"/>
                <w:sz w:val="24"/>
                <w:szCs w:val="24"/>
              </w:rPr>
            </w:pPr>
            <w:r w:rsidRPr="00883413">
              <w:rPr>
                <w:rFonts w:ascii="Times New Roman" w:hAnsi="Times New Roman" w:cs="Times New Roman"/>
                <w:sz w:val="24"/>
                <w:szCs w:val="24"/>
              </w:rPr>
              <w:t>Boromo</w:t>
            </w:r>
          </w:p>
        </w:tc>
        <w:tc>
          <w:tcPr>
            <w:tcW w:w="2126" w:type="dxa"/>
          </w:tcPr>
          <w:p w14:paraId="395F40D7" w14:textId="77777777" w:rsidR="002A25E2" w:rsidRPr="00883413" w:rsidRDefault="002A25E2" w:rsidP="00B80458">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roofErr w:type="spellStart"/>
            <w:r w:rsidRPr="00883413">
              <w:rPr>
                <w:rFonts w:ascii="Times New Roman" w:hAnsi="Times New Roman" w:cs="Times New Roman"/>
                <w:b/>
                <w:bCs/>
                <w:i/>
                <w:iCs/>
                <w:sz w:val="24"/>
                <w:szCs w:val="24"/>
              </w:rPr>
              <w:t>Sclerocarya</w:t>
            </w:r>
            <w:proofErr w:type="spellEnd"/>
            <w:r w:rsidRPr="00883413">
              <w:rPr>
                <w:rFonts w:ascii="Times New Roman" w:hAnsi="Times New Roman" w:cs="Times New Roman"/>
                <w:b/>
                <w:bCs/>
                <w:i/>
                <w:iCs/>
                <w:sz w:val="24"/>
                <w:szCs w:val="24"/>
              </w:rPr>
              <w:t xml:space="preserve"> </w:t>
            </w:r>
            <w:proofErr w:type="spellStart"/>
            <w:r w:rsidRPr="00883413">
              <w:rPr>
                <w:rFonts w:ascii="Times New Roman" w:hAnsi="Times New Roman" w:cs="Times New Roman"/>
                <w:b/>
                <w:bCs/>
                <w:i/>
                <w:iCs/>
                <w:sz w:val="24"/>
                <w:szCs w:val="24"/>
              </w:rPr>
              <w:t>birrea</w:t>
            </w:r>
            <w:proofErr w:type="spellEnd"/>
          </w:p>
        </w:tc>
        <w:tc>
          <w:tcPr>
            <w:tcW w:w="2410" w:type="dxa"/>
            <w:vAlign w:val="center"/>
          </w:tcPr>
          <w:p w14:paraId="16474AAE" w14:textId="2797B3E8" w:rsidR="002A25E2" w:rsidRPr="00883413" w:rsidRDefault="002A25E2" w:rsidP="00B80458">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b/>
                <w:bCs/>
                <w:sz w:val="24"/>
                <w:szCs w:val="24"/>
              </w:rPr>
              <w:t>1</w:t>
            </w:r>
            <w:r w:rsidR="00C26807">
              <w:rPr>
                <w:rFonts w:ascii="Times New Roman" w:hAnsi="Times New Roman" w:cs="Times New Roman"/>
                <w:b/>
                <w:bCs/>
                <w:sz w:val="24"/>
                <w:szCs w:val="24"/>
              </w:rPr>
              <w:t>.</w:t>
            </w:r>
            <w:r w:rsidRPr="00883413">
              <w:rPr>
                <w:rFonts w:ascii="Times New Roman" w:hAnsi="Times New Roman" w:cs="Times New Roman"/>
                <w:b/>
                <w:bCs/>
                <w:sz w:val="24"/>
                <w:szCs w:val="24"/>
              </w:rPr>
              <w:t>50</w:t>
            </w:r>
          </w:p>
        </w:tc>
        <w:tc>
          <w:tcPr>
            <w:tcW w:w="2977" w:type="dxa"/>
            <w:vAlign w:val="center"/>
          </w:tcPr>
          <w:p w14:paraId="4808AF21" w14:textId="77777777" w:rsidR="002A25E2" w:rsidRPr="00883413" w:rsidRDefault="002A25E2" w:rsidP="00B80458">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140,29</w:t>
            </w:r>
          </w:p>
        </w:tc>
      </w:tr>
      <w:tr w:rsidR="002A25E2" w:rsidRPr="00883413" w14:paraId="7A230EB7" w14:textId="77777777" w:rsidTr="00ED2118">
        <w:trPr>
          <w:trHeight w:val="285"/>
          <w:jc w:val="center"/>
        </w:trPr>
        <w:tc>
          <w:tcPr>
            <w:cnfStyle w:val="001000000000" w:firstRow="0" w:lastRow="0" w:firstColumn="1" w:lastColumn="0" w:oddVBand="0" w:evenVBand="0" w:oddHBand="0" w:evenHBand="0" w:firstRowFirstColumn="0" w:firstRowLastColumn="0" w:lastRowFirstColumn="0" w:lastRowLastColumn="0"/>
            <w:tcW w:w="1843" w:type="dxa"/>
            <w:vMerge/>
          </w:tcPr>
          <w:p w14:paraId="202281A9" w14:textId="77777777" w:rsidR="002A25E2" w:rsidRPr="00883413" w:rsidRDefault="002A25E2" w:rsidP="00B80458">
            <w:pPr>
              <w:pStyle w:val="ListParagraph"/>
              <w:spacing w:line="360" w:lineRule="auto"/>
              <w:ind w:left="0"/>
              <w:jc w:val="both"/>
              <w:rPr>
                <w:rFonts w:ascii="Times New Roman" w:hAnsi="Times New Roman" w:cs="Times New Roman"/>
                <w:b w:val="0"/>
                <w:bCs w:val="0"/>
                <w:sz w:val="24"/>
                <w:szCs w:val="24"/>
              </w:rPr>
            </w:pPr>
          </w:p>
        </w:tc>
        <w:tc>
          <w:tcPr>
            <w:tcW w:w="2126" w:type="dxa"/>
          </w:tcPr>
          <w:p w14:paraId="66D4F879" w14:textId="77777777" w:rsidR="002A25E2" w:rsidRPr="00883413" w:rsidRDefault="002A25E2" w:rsidP="00B80458">
            <w:pPr>
              <w:pStyle w:val="ListParagraph"/>
              <w:spacing w:line="36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proofErr w:type="spellStart"/>
            <w:r w:rsidRPr="00883413">
              <w:rPr>
                <w:rFonts w:ascii="Times New Roman" w:hAnsi="Times New Roman" w:cs="Times New Roman"/>
                <w:b/>
                <w:bCs/>
                <w:i/>
                <w:iCs/>
                <w:sz w:val="24"/>
                <w:szCs w:val="24"/>
              </w:rPr>
              <w:t>Leptadenia</w:t>
            </w:r>
            <w:proofErr w:type="spellEnd"/>
            <w:r w:rsidRPr="00883413">
              <w:rPr>
                <w:rFonts w:ascii="Times New Roman" w:hAnsi="Times New Roman" w:cs="Times New Roman"/>
                <w:b/>
                <w:bCs/>
                <w:i/>
                <w:iCs/>
                <w:sz w:val="24"/>
                <w:szCs w:val="24"/>
              </w:rPr>
              <w:t xml:space="preserve"> </w:t>
            </w:r>
            <w:proofErr w:type="spellStart"/>
            <w:r w:rsidRPr="00883413">
              <w:rPr>
                <w:rFonts w:ascii="Times New Roman" w:hAnsi="Times New Roman" w:cs="Times New Roman"/>
                <w:b/>
                <w:bCs/>
                <w:i/>
                <w:iCs/>
                <w:sz w:val="24"/>
                <w:szCs w:val="24"/>
              </w:rPr>
              <w:t>hastata</w:t>
            </w:r>
            <w:proofErr w:type="spellEnd"/>
          </w:p>
        </w:tc>
        <w:tc>
          <w:tcPr>
            <w:tcW w:w="2410" w:type="dxa"/>
            <w:vAlign w:val="center"/>
          </w:tcPr>
          <w:p w14:paraId="134D301F" w14:textId="2C9644A5" w:rsidR="002A25E2" w:rsidRPr="00883413" w:rsidRDefault="002A25E2" w:rsidP="00B80458">
            <w:pPr>
              <w:pStyle w:val="ListParagraph"/>
              <w:spacing w:line="36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0</w:t>
            </w:r>
            <w:r w:rsidR="00C26807">
              <w:rPr>
                <w:rFonts w:ascii="Times New Roman" w:hAnsi="Times New Roman" w:cs="Times New Roman"/>
                <w:sz w:val="24"/>
                <w:szCs w:val="24"/>
              </w:rPr>
              <w:t>.</w:t>
            </w:r>
            <w:r w:rsidRPr="00883413">
              <w:rPr>
                <w:rFonts w:ascii="Times New Roman" w:hAnsi="Times New Roman" w:cs="Times New Roman"/>
                <w:sz w:val="24"/>
                <w:szCs w:val="24"/>
              </w:rPr>
              <w:t>1</w:t>
            </w:r>
          </w:p>
        </w:tc>
        <w:tc>
          <w:tcPr>
            <w:tcW w:w="2977" w:type="dxa"/>
            <w:vAlign w:val="center"/>
          </w:tcPr>
          <w:p w14:paraId="133BD9E6" w14:textId="65CB4E78" w:rsidR="002A25E2" w:rsidRPr="00883413" w:rsidRDefault="002A25E2" w:rsidP="00B80458">
            <w:pPr>
              <w:pStyle w:val="ListParagraph"/>
              <w:spacing w:line="36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b/>
                <w:bCs/>
                <w:sz w:val="24"/>
                <w:szCs w:val="24"/>
              </w:rPr>
              <w:t>363</w:t>
            </w:r>
            <w:r w:rsidR="00C26807">
              <w:rPr>
                <w:rFonts w:ascii="Times New Roman" w:hAnsi="Times New Roman" w:cs="Times New Roman"/>
                <w:b/>
                <w:bCs/>
                <w:sz w:val="24"/>
                <w:szCs w:val="24"/>
              </w:rPr>
              <w:t>.</w:t>
            </w:r>
            <w:r w:rsidRPr="00883413">
              <w:rPr>
                <w:rFonts w:ascii="Times New Roman" w:hAnsi="Times New Roman" w:cs="Times New Roman"/>
                <w:b/>
                <w:bCs/>
                <w:sz w:val="24"/>
                <w:szCs w:val="24"/>
              </w:rPr>
              <w:t>66</w:t>
            </w:r>
          </w:p>
        </w:tc>
      </w:tr>
    </w:tbl>
    <w:p w14:paraId="0C3A17C5" w14:textId="77777777"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3.2.3. Determination of Total Phenolics and Total Flavonoids</w:t>
      </w:r>
    </w:p>
    <w:p w14:paraId="2BAEA1AE" w14:textId="77777777"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Table V shows the results for the total polyphenol content of the extracts, expressed in milligrams of gallic acid equivalents per gram of dry extract (µg GAE/g). The levels ranged from 2,578.62 ± 11.27 to 26,724.11 ± 67.54 µg GAE/g of extract.</w:t>
      </w:r>
    </w:p>
    <w:p w14:paraId="657D6421" w14:textId="77777777"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The highest total polyphenol levels were obtained from the </w:t>
      </w:r>
      <w:proofErr w:type="spellStart"/>
      <w:r w:rsidRPr="00C26807">
        <w:rPr>
          <w:rFonts w:ascii="Times New Roman" w:hAnsi="Times New Roman" w:cs="Times New Roman"/>
          <w:i/>
          <w:iCs/>
          <w:lang w:val="en-US"/>
        </w:rPr>
        <w:t>Sclerocarya</w:t>
      </w:r>
      <w:proofErr w:type="spellEnd"/>
      <w:r w:rsidRPr="00C26807">
        <w:rPr>
          <w:rFonts w:ascii="Times New Roman" w:hAnsi="Times New Roman" w:cs="Times New Roman"/>
          <w:i/>
          <w:iCs/>
          <w:lang w:val="en-US"/>
        </w:rPr>
        <w:t xml:space="preserve"> </w:t>
      </w:r>
      <w:proofErr w:type="spellStart"/>
      <w:r w:rsidRPr="00C26807">
        <w:rPr>
          <w:rFonts w:ascii="Times New Roman" w:hAnsi="Times New Roman" w:cs="Times New Roman"/>
          <w:i/>
          <w:iCs/>
          <w:lang w:val="en-US"/>
        </w:rPr>
        <w:t>birrea</w:t>
      </w:r>
      <w:proofErr w:type="spellEnd"/>
      <w:r w:rsidRPr="00883413">
        <w:rPr>
          <w:rFonts w:ascii="Times New Roman" w:hAnsi="Times New Roman" w:cs="Times New Roman"/>
          <w:lang w:val="en-US"/>
        </w:rPr>
        <w:t xml:space="preserve"> extract from Bobo-Dioulasso (26,724.11 ± 67.54 µg EAG/g of extract), followed by the extract from </w:t>
      </w:r>
      <w:proofErr w:type="spellStart"/>
      <w:r w:rsidRPr="00883413">
        <w:rPr>
          <w:rFonts w:ascii="Times New Roman" w:hAnsi="Times New Roman" w:cs="Times New Roman"/>
          <w:lang w:val="en-US"/>
        </w:rPr>
        <w:t>Boromo</w:t>
      </w:r>
      <w:proofErr w:type="spellEnd"/>
      <w:r w:rsidRPr="00883413">
        <w:rPr>
          <w:rFonts w:ascii="Times New Roman" w:hAnsi="Times New Roman" w:cs="Times New Roman"/>
          <w:lang w:val="en-US"/>
        </w:rPr>
        <w:t xml:space="preserve"> (15,974.454 ± 11.27 µg EAG/g of extract).</w:t>
      </w:r>
    </w:p>
    <w:p w14:paraId="1677309D" w14:textId="77777777"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lastRenderedPageBreak/>
        <w:t xml:space="preserve">The lowest levels were found in the </w:t>
      </w:r>
      <w:proofErr w:type="spellStart"/>
      <w:r w:rsidRPr="00C26807">
        <w:rPr>
          <w:rFonts w:ascii="Times New Roman" w:hAnsi="Times New Roman" w:cs="Times New Roman"/>
          <w:i/>
          <w:iCs/>
          <w:lang w:val="en-US"/>
        </w:rPr>
        <w:t>Leptadenia</w:t>
      </w:r>
      <w:proofErr w:type="spellEnd"/>
      <w:r w:rsidRPr="00C26807">
        <w:rPr>
          <w:rFonts w:ascii="Times New Roman" w:hAnsi="Times New Roman" w:cs="Times New Roman"/>
          <w:i/>
          <w:iCs/>
          <w:lang w:val="en-US"/>
        </w:rPr>
        <w:t xml:space="preserve"> hastata</w:t>
      </w:r>
      <w:r w:rsidRPr="00883413">
        <w:rPr>
          <w:rFonts w:ascii="Times New Roman" w:hAnsi="Times New Roman" w:cs="Times New Roman"/>
          <w:lang w:val="en-US"/>
        </w:rPr>
        <w:t xml:space="preserve"> extracts from Bobo-Dioulasso (4,053.18 ± 33.77 µg EAG/g of extract) and from </w:t>
      </w:r>
      <w:proofErr w:type="spellStart"/>
      <w:r w:rsidRPr="00C26807">
        <w:rPr>
          <w:rFonts w:ascii="Times New Roman" w:hAnsi="Times New Roman" w:cs="Times New Roman"/>
          <w:i/>
          <w:iCs/>
          <w:lang w:val="en-US"/>
        </w:rPr>
        <w:t>Boromo</w:t>
      </w:r>
      <w:proofErr w:type="spellEnd"/>
      <w:r w:rsidRPr="00883413">
        <w:rPr>
          <w:rFonts w:ascii="Times New Roman" w:hAnsi="Times New Roman" w:cs="Times New Roman"/>
          <w:lang w:val="en-US"/>
        </w:rPr>
        <w:t xml:space="preserve"> (2,578.62 ± 11.27 µg EAG/g of extract). Regarding the total flavonoid content of the extracts, the results show that it ranged from 3.37 ± 0.044 to 3.93 ± 0.038 µg EQ/100 mg of extract. The highest levels were obtained with the </w:t>
      </w:r>
      <w:proofErr w:type="spellStart"/>
      <w:r w:rsidRPr="00C26807">
        <w:rPr>
          <w:rFonts w:ascii="Times New Roman" w:hAnsi="Times New Roman" w:cs="Times New Roman"/>
          <w:i/>
          <w:iCs/>
          <w:lang w:val="en-US"/>
        </w:rPr>
        <w:t>Leptadenia</w:t>
      </w:r>
      <w:proofErr w:type="spellEnd"/>
      <w:r w:rsidRPr="00C26807">
        <w:rPr>
          <w:rFonts w:ascii="Times New Roman" w:hAnsi="Times New Roman" w:cs="Times New Roman"/>
          <w:i/>
          <w:iCs/>
          <w:lang w:val="en-US"/>
        </w:rPr>
        <w:t xml:space="preserve"> hastata</w:t>
      </w:r>
      <w:r w:rsidRPr="00883413">
        <w:rPr>
          <w:rFonts w:ascii="Times New Roman" w:hAnsi="Times New Roman" w:cs="Times New Roman"/>
          <w:lang w:val="en-US"/>
        </w:rPr>
        <w:t xml:space="preserve"> extract from Bobo-Dioulasso (3.93 ± 0.038 µg EQ/100 mg) and that from </w:t>
      </w:r>
      <w:proofErr w:type="spellStart"/>
      <w:r w:rsidRPr="00C26807">
        <w:rPr>
          <w:rFonts w:ascii="Times New Roman" w:hAnsi="Times New Roman" w:cs="Times New Roman"/>
          <w:i/>
          <w:iCs/>
          <w:lang w:val="en-US"/>
        </w:rPr>
        <w:t>Boromo</w:t>
      </w:r>
      <w:proofErr w:type="spellEnd"/>
      <w:r w:rsidRPr="00883413">
        <w:rPr>
          <w:rFonts w:ascii="Times New Roman" w:hAnsi="Times New Roman" w:cs="Times New Roman"/>
          <w:lang w:val="en-US"/>
        </w:rPr>
        <w:t xml:space="preserve"> (3.37 ± 0.044 µg EQ/100 mg). The results are presented in Table III.</w:t>
      </w:r>
    </w:p>
    <w:p w14:paraId="65E0A83C" w14:textId="77777777" w:rsidR="002A25E2" w:rsidRPr="00883413" w:rsidRDefault="002A25E2" w:rsidP="00B80458">
      <w:pPr>
        <w:spacing w:before="240" w:line="360" w:lineRule="auto"/>
        <w:jc w:val="both"/>
        <w:rPr>
          <w:rFonts w:ascii="Times New Roman" w:hAnsi="Times New Roman" w:cs="Times New Roman"/>
          <w:lang w:val="en-US"/>
        </w:rPr>
      </w:pPr>
    </w:p>
    <w:p w14:paraId="76A2E94C" w14:textId="77777777"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Table III: Results of phenolic compound assays</w:t>
      </w:r>
    </w:p>
    <w:p w14:paraId="5F949A5D" w14:textId="77777777" w:rsidR="002A25E2" w:rsidRPr="00883413" w:rsidRDefault="002A25E2" w:rsidP="00B80458">
      <w:pPr>
        <w:spacing w:line="360" w:lineRule="auto"/>
        <w:jc w:val="both"/>
        <w:rPr>
          <w:rFonts w:ascii="Times New Roman" w:hAnsi="Times New Roman" w:cs="Times New Roman"/>
          <w:b/>
          <w:bCs/>
          <w:lang w:val="en-US"/>
        </w:rPr>
      </w:pPr>
    </w:p>
    <w:tbl>
      <w:tblPr>
        <w:tblStyle w:val="PlainTable2"/>
        <w:tblW w:w="8931" w:type="dxa"/>
        <w:tblLook w:val="04A0" w:firstRow="1" w:lastRow="0" w:firstColumn="1" w:lastColumn="0" w:noHBand="0" w:noVBand="1"/>
      </w:tblPr>
      <w:tblGrid>
        <w:gridCol w:w="2127"/>
        <w:gridCol w:w="2409"/>
        <w:gridCol w:w="2552"/>
        <w:gridCol w:w="1843"/>
      </w:tblGrid>
      <w:tr w:rsidR="002A25E2" w:rsidRPr="00883413" w14:paraId="08F3935D" w14:textId="77777777" w:rsidTr="00ED2118">
        <w:trPr>
          <w:cnfStyle w:val="100000000000" w:firstRow="1" w:lastRow="0" w:firstColumn="0" w:lastColumn="0" w:oddVBand="0" w:evenVBand="0" w:oddHBand="0" w:evenHBand="0" w:firstRowFirstColumn="0" w:firstRowLastColumn="0" w:lastRowFirstColumn="0" w:lastRowLastColumn="0"/>
          <w:trHeight w:val="849"/>
        </w:trPr>
        <w:tc>
          <w:tcPr>
            <w:cnfStyle w:val="001000000000" w:firstRow="0" w:lastRow="0" w:firstColumn="1" w:lastColumn="0" w:oddVBand="0" w:evenVBand="0" w:oddHBand="0" w:evenHBand="0" w:firstRowFirstColumn="0" w:firstRowLastColumn="0" w:lastRowFirstColumn="0" w:lastRowLastColumn="0"/>
            <w:tcW w:w="2127" w:type="dxa"/>
            <w:tcBorders>
              <w:top w:val="single" w:sz="18" w:space="0" w:color="4472C4" w:themeColor="accent1"/>
              <w:bottom w:val="single" w:sz="18" w:space="0" w:color="4472C4" w:themeColor="accent1"/>
            </w:tcBorders>
          </w:tcPr>
          <w:p w14:paraId="15B7D65A" w14:textId="77777777" w:rsidR="00FD5D50" w:rsidRPr="00883413" w:rsidRDefault="00FD5D50" w:rsidP="00B80458">
            <w:pPr>
              <w:pStyle w:val="ListParagraph"/>
              <w:spacing w:line="360" w:lineRule="auto"/>
              <w:jc w:val="both"/>
              <w:rPr>
                <w:rFonts w:ascii="Times New Roman" w:hAnsi="Times New Roman" w:cs="Times New Roman"/>
                <w:sz w:val="24"/>
                <w:szCs w:val="24"/>
              </w:rPr>
            </w:pPr>
            <w:r w:rsidRPr="00883413">
              <w:rPr>
                <w:rFonts w:ascii="Times New Roman" w:hAnsi="Times New Roman" w:cs="Times New Roman"/>
                <w:sz w:val="24"/>
                <w:szCs w:val="24"/>
              </w:rPr>
              <w:t>Collection Location</w:t>
            </w:r>
          </w:p>
          <w:p w14:paraId="62F2BDA5" w14:textId="332B0DA9" w:rsidR="002A25E2" w:rsidRPr="00883413" w:rsidRDefault="002A25E2" w:rsidP="00B80458">
            <w:pPr>
              <w:spacing w:line="360" w:lineRule="auto"/>
              <w:jc w:val="both"/>
              <w:rPr>
                <w:rFonts w:ascii="Times New Roman" w:hAnsi="Times New Roman" w:cs="Times New Roman"/>
                <w:b w:val="0"/>
                <w:bCs w:val="0"/>
                <w:sz w:val="24"/>
                <w:szCs w:val="24"/>
              </w:rPr>
            </w:pPr>
          </w:p>
        </w:tc>
        <w:tc>
          <w:tcPr>
            <w:tcW w:w="2409" w:type="dxa"/>
            <w:tcBorders>
              <w:top w:val="single" w:sz="18" w:space="0" w:color="4472C4" w:themeColor="accent1"/>
              <w:bottom w:val="single" w:sz="18" w:space="0" w:color="4472C4" w:themeColor="accent1"/>
            </w:tcBorders>
          </w:tcPr>
          <w:p w14:paraId="23545617" w14:textId="7F0FEABA" w:rsidR="00FD5D50" w:rsidRPr="00883413" w:rsidRDefault="002A25E2" w:rsidP="00B8045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 xml:space="preserve"> </w:t>
            </w:r>
            <w:proofErr w:type="spellStart"/>
            <w:r w:rsidR="0089358D" w:rsidRPr="00883413">
              <w:rPr>
                <w:rFonts w:ascii="Times New Roman" w:hAnsi="Times New Roman" w:cs="Times New Roman"/>
                <w:sz w:val="24"/>
                <w:szCs w:val="24"/>
              </w:rPr>
              <w:t>S</w:t>
            </w:r>
            <w:r w:rsidR="00FD5D50" w:rsidRPr="00883413">
              <w:rPr>
                <w:rFonts w:ascii="Times New Roman" w:hAnsi="Times New Roman" w:cs="Times New Roman"/>
                <w:sz w:val="24"/>
                <w:szCs w:val="24"/>
              </w:rPr>
              <w:t>pecies</w:t>
            </w:r>
            <w:proofErr w:type="spellEnd"/>
          </w:p>
          <w:p w14:paraId="1562574F" w14:textId="7577706B" w:rsidR="002A25E2" w:rsidRPr="00883413" w:rsidRDefault="002A25E2" w:rsidP="00B8045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
        </w:tc>
        <w:tc>
          <w:tcPr>
            <w:tcW w:w="2552" w:type="dxa"/>
            <w:tcBorders>
              <w:top w:val="single" w:sz="18" w:space="0" w:color="4472C4" w:themeColor="accent1"/>
              <w:bottom w:val="single" w:sz="18" w:space="0" w:color="4472C4" w:themeColor="accent1"/>
            </w:tcBorders>
          </w:tcPr>
          <w:p w14:paraId="78BC288B" w14:textId="25A91583" w:rsidR="002A25E2" w:rsidRPr="00883413" w:rsidRDefault="002A25E2" w:rsidP="00B8045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lang w:val="en-US"/>
              </w:rPr>
            </w:pPr>
            <w:r w:rsidRPr="00883413">
              <w:rPr>
                <w:rFonts w:ascii="Times New Roman" w:hAnsi="Times New Roman" w:cs="Times New Roman"/>
                <w:sz w:val="24"/>
                <w:szCs w:val="24"/>
                <w:lang w:val="en-US"/>
              </w:rPr>
              <w:t>PT (µ</w:t>
            </w:r>
            <w:r w:rsidRPr="00883413">
              <w:rPr>
                <w:rFonts w:ascii="Times New Roman" w:eastAsia="Times New Roman" w:hAnsi="Times New Roman" w:cs="Times New Roman"/>
                <w:color w:val="000000"/>
                <w:sz w:val="24"/>
                <w:szCs w:val="24"/>
                <w:lang w:val="en-US"/>
              </w:rPr>
              <w:t xml:space="preserve">g </w:t>
            </w:r>
            <w:r w:rsidRPr="00883413">
              <w:rPr>
                <w:rFonts w:ascii="Times New Roman" w:hAnsi="Times New Roman" w:cs="Times New Roman"/>
                <w:sz w:val="24"/>
                <w:szCs w:val="24"/>
                <w:lang w:val="en-US"/>
              </w:rPr>
              <w:t xml:space="preserve">EAG/g </w:t>
            </w:r>
            <w:r w:rsidR="00FD5D50" w:rsidRPr="00883413">
              <w:rPr>
                <w:rFonts w:ascii="Times New Roman" w:hAnsi="Times New Roman" w:cs="Times New Roman"/>
                <w:sz w:val="24"/>
                <w:szCs w:val="24"/>
                <w:lang w:val="en-US"/>
              </w:rPr>
              <w:t>extract</w:t>
            </w:r>
            <w:r w:rsidRPr="00883413">
              <w:rPr>
                <w:rFonts w:ascii="Times New Roman" w:hAnsi="Times New Roman" w:cs="Times New Roman"/>
                <w:sz w:val="24"/>
                <w:szCs w:val="24"/>
                <w:lang w:val="en-US"/>
              </w:rPr>
              <w:t>)</w:t>
            </w:r>
          </w:p>
        </w:tc>
        <w:tc>
          <w:tcPr>
            <w:tcW w:w="1843" w:type="dxa"/>
            <w:tcBorders>
              <w:top w:val="single" w:sz="18" w:space="0" w:color="4472C4" w:themeColor="accent1"/>
              <w:bottom w:val="single" w:sz="18" w:space="0" w:color="4472C4" w:themeColor="accent1"/>
            </w:tcBorders>
          </w:tcPr>
          <w:p w14:paraId="656C5B33" w14:textId="7A61B46A" w:rsidR="002A25E2" w:rsidRPr="00883413" w:rsidRDefault="002A25E2" w:rsidP="00B8045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883413">
              <w:rPr>
                <w:rFonts w:ascii="Times New Roman" w:hAnsi="Times New Roman" w:cs="Times New Roman"/>
                <w:sz w:val="24"/>
                <w:szCs w:val="24"/>
                <w:lang w:val="en-US"/>
              </w:rPr>
              <w:t xml:space="preserve"> </w:t>
            </w:r>
            <w:r w:rsidRPr="00883413">
              <w:rPr>
                <w:rFonts w:ascii="Times New Roman" w:hAnsi="Times New Roman" w:cs="Times New Roman"/>
                <w:sz w:val="24"/>
                <w:szCs w:val="24"/>
              </w:rPr>
              <w:t>FT</w:t>
            </w:r>
            <w:r w:rsidRPr="00883413">
              <w:rPr>
                <w:rFonts w:ascii="Times New Roman" w:eastAsia="Times New Roman" w:hAnsi="Times New Roman" w:cs="Times New Roman"/>
                <w:color w:val="000000"/>
                <w:sz w:val="24"/>
                <w:szCs w:val="24"/>
              </w:rPr>
              <w:t xml:space="preserve"> (µg EQ/100 mg </w:t>
            </w:r>
            <w:proofErr w:type="spellStart"/>
            <w:r w:rsidR="00FD5D50" w:rsidRPr="00883413">
              <w:rPr>
                <w:rFonts w:ascii="Times New Roman" w:eastAsia="Times New Roman" w:hAnsi="Times New Roman" w:cs="Times New Roman"/>
                <w:color w:val="000000"/>
                <w:sz w:val="24"/>
                <w:szCs w:val="24"/>
              </w:rPr>
              <w:t>extract</w:t>
            </w:r>
            <w:proofErr w:type="spellEnd"/>
            <w:r w:rsidRPr="00883413">
              <w:rPr>
                <w:rFonts w:ascii="Times New Roman" w:hAnsi="Times New Roman" w:cs="Times New Roman"/>
                <w:sz w:val="24"/>
                <w:szCs w:val="24"/>
              </w:rPr>
              <w:t>)</w:t>
            </w:r>
          </w:p>
        </w:tc>
      </w:tr>
      <w:tr w:rsidR="002A25E2" w:rsidRPr="00883413" w14:paraId="167FC58C" w14:textId="77777777" w:rsidTr="00ED21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Merge w:val="restart"/>
            <w:tcBorders>
              <w:top w:val="single" w:sz="18" w:space="0" w:color="4472C4" w:themeColor="accent1"/>
            </w:tcBorders>
          </w:tcPr>
          <w:p w14:paraId="0369167A" w14:textId="77777777" w:rsidR="002A25E2" w:rsidRPr="00883413" w:rsidRDefault="002A25E2" w:rsidP="00B80458">
            <w:pPr>
              <w:spacing w:line="360" w:lineRule="auto"/>
              <w:jc w:val="both"/>
              <w:rPr>
                <w:rFonts w:ascii="Times New Roman" w:hAnsi="Times New Roman" w:cs="Times New Roman"/>
                <w:b w:val="0"/>
                <w:bCs w:val="0"/>
                <w:sz w:val="24"/>
                <w:szCs w:val="24"/>
              </w:rPr>
            </w:pPr>
            <w:r w:rsidRPr="00883413">
              <w:rPr>
                <w:rFonts w:ascii="Times New Roman" w:hAnsi="Times New Roman" w:cs="Times New Roman"/>
                <w:sz w:val="24"/>
                <w:szCs w:val="24"/>
              </w:rPr>
              <w:t>Bobo-Dioulasso</w:t>
            </w:r>
          </w:p>
        </w:tc>
        <w:tc>
          <w:tcPr>
            <w:tcW w:w="2409" w:type="dxa"/>
            <w:tcBorders>
              <w:top w:val="single" w:sz="18" w:space="0" w:color="4472C4" w:themeColor="accent1"/>
            </w:tcBorders>
          </w:tcPr>
          <w:p w14:paraId="719008EE" w14:textId="7777777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proofErr w:type="spellStart"/>
            <w:r w:rsidRPr="00883413">
              <w:rPr>
                <w:rFonts w:ascii="Times New Roman" w:hAnsi="Times New Roman" w:cs="Times New Roman"/>
                <w:i/>
                <w:iCs/>
                <w:sz w:val="24"/>
                <w:szCs w:val="24"/>
              </w:rPr>
              <w:t>Sclerocarya</w:t>
            </w:r>
            <w:proofErr w:type="spellEnd"/>
            <w:r w:rsidRPr="00883413">
              <w:rPr>
                <w:rFonts w:ascii="Times New Roman" w:hAnsi="Times New Roman" w:cs="Times New Roman"/>
                <w:i/>
                <w:iCs/>
                <w:sz w:val="24"/>
                <w:szCs w:val="24"/>
              </w:rPr>
              <w:t xml:space="preserve"> </w:t>
            </w:r>
            <w:proofErr w:type="spellStart"/>
            <w:r w:rsidRPr="00883413">
              <w:rPr>
                <w:rFonts w:ascii="Times New Roman" w:hAnsi="Times New Roman" w:cs="Times New Roman"/>
                <w:i/>
                <w:iCs/>
                <w:sz w:val="24"/>
                <w:szCs w:val="24"/>
              </w:rPr>
              <w:t>birrea</w:t>
            </w:r>
            <w:proofErr w:type="spellEnd"/>
          </w:p>
        </w:tc>
        <w:tc>
          <w:tcPr>
            <w:tcW w:w="2552" w:type="dxa"/>
            <w:tcBorders>
              <w:top w:val="single" w:sz="18" w:space="0" w:color="4472C4" w:themeColor="accent1"/>
            </w:tcBorders>
          </w:tcPr>
          <w:p w14:paraId="3DB37EA8" w14:textId="44E53821"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eastAsia="Times New Roman" w:hAnsi="Times New Roman" w:cs="Times New Roman"/>
                <w:color w:val="000000"/>
                <w:sz w:val="24"/>
                <w:szCs w:val="24"/>
              </w:rPr>
              <w:t>26724</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11</w:t>
            </w:r>
            <w:r w:rsidRPr="00883413">
              <w:rPr>
                <w:rFonts w:ascii="Times New Roman" w:hAnsi="Times New Roman" w:cs="Times New Roman"/>
                <w:sz w:val="24"/>
                <w:szCs w:val="24"/>
              </w:rPr>
              <w:t>± </w:t>
            </w:r>
            <w:r w:rsidRPr="00883413">
              <w:rPr>
                <w:rFonts w:ascii="Times New Roman" w:eastAsia="Times New Roman" w:hAnsi="Times New Roman" w:cs="Times New Roman"/>
                <w:color w:val="000000"/>
                <w:sz w:val="24"/>
                <w:szCs w:val="24"/>
              </w:rPr>
              <w:t>67</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54</w:t>
            </w:r>
          </w:p>
        </w:tc>
        <w:tc>
          <w:tcPr>
            <w:tcW w:w="1843" w:type="dxa"/>
            <w:tcBorders>
              <w:top w:val="single" w:sz="18" w:space="0" w:color="4472C4" w:themeColor="accent1"/>
            </w:tcBorders>
          </w:tcPr>
          <w:p w14:paraId="2A0ED7F6" w14:textId="730D5AE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2</w:t>
            </w:r>
            <w:r w:rsidR="00C26807">
              <w:rPr>
                <w:rFonts w:ascii="Times New Roman" w:hAnsi="Times New Roman" w:cs="Times New Roman"/>
                <w:sz w:val="24"/>
                <w:szCs w:val="24"/>
              </w:rPr>
              <w:t>.</w:t>
            </w:r>
            <w:r w:rsidRPr="00883413">
              <w:rPr>
                <w:rFonts w:ascii="Times New Roman" w:hAnsi="Times New Roman" w:cs="Times New Roman"/>
                <w:sz w:val="24"/>
                <w:szCs w:val="24"/>
              </w:rPr>
              <w:t>15±</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038</w:t>
            </w:r>
          </w:p>
        </w:tc>
      </w:tr>
      <w:tr w:rsidR="002A25E2" w:rsidRPr="00883413" w14:paraId="199730C2" w14:textId="77777777" w:rsidTr="00ED2118">
        <w:tc>
          <w:tcPr>
            <w:cnfStyle w:val="001000000000" w:firstRow="0" w:lastRow="0" w:firstColumn="1" w:lastColumn="0" w:oddVBand="0" w:evenVBand="0" w:oddHBand="0" w:evenHBand="0" w:firstRowFirstColumn="0" w:firstRowLastColumn="0" w:lastRowFirstColumn="0" w:lastRowLastColumn="0"/>
            <w:tcW w:w="2127" w:type="dxa"/>
            <w:vMerge/>
            <w:tcBorders>
              <w:bottom w:val="single" w:sz="4" w:space="0" w:color="7F7F7F" w:themeColor="text1" w:themeTint="80"/>
            </w:tcBorders>
          </w:tcPr>
          <w:p w14:paraId="3ECA42C8" w14:textId="77777777" w:rsidR="002A25E2" w:rsidRPr="00883413" w:rsidRDefault="002A25E2" w:rsidP="00B80458">
            <w:pPr>
              <w:spacing w:line="360" w:lineRule="auto"/>
              <w:jc w:val="both"/>
              <w:rPr>
                <w:rFonts w:ascii="Times New Roman" w:hAnsi="Times New Roman" w:cs="Times New Roman"/>
                <w:b w:val="0"/>
                <w:bCs w:val="0"/>
                <w:sz w:val="24"/>
                <w:szCs w:val="24"/>
              </w:rPr>
            </w:pPr>
          </w:p>
        </w:tc>
        <w:tc>
          <w:tcPr>
            <w:tcW w:w="2409" w:type="dxa"/>
            <w:tcBorders>
              <w:bottom w:val="single" w:sz="4" w:space="0" w:color="7F7F7F" w:themeColor="text1" w:themeTint="80"/>
            </w:tcBorders>
          </w:tcPr>
          <w:p w14:paraId="7070D1F6" w14:textId="77777777"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proofErr w:type="spellStart"/>
            <w:r w:rsidRPr="00883413">
              <w:rPr>
                <w:rFonts w:ascii="Times New Roman" w:hAnsi="Times New Roman" w:cs="Times New Roman"/>
                <w:i/>
                <w:iCs/>
                <w:sz w:val="24"/>
                <w:szCs w:val="24"/>
              </w:rPr>
              <w:t>Leptadenia</w:t>
            </w:r>
            <w:proofErr w:type="spellEnd"/>
            <w:r w:rsidRPr="00883413">
              <w:rPr>
                <w:rFonts w:ascii="Times New Roman" w:hAnsi="Times New Roman" w:cs="Times New Roman"/>
                <w:i/>
                <w:iCs/>
                <w:sz w:val="24"/>
                <w:szCs w:val="24"/>
              </w:rPr>
              <w:t xml:space="preserve"> </w:t>
            </w:r>
            <w:proofErr w:type="spellStart"/>
            <w:r w:rsidRPr="00883413">
              <w:rPr>
                <w:rFonts w:ascii="Times New Roman" w:hAnsi="Times New Roman" w:cs="Times New Roman"/>
                <w:i/>
                <w:iCs/>
                <w:sz w:val="24"/>
                <w:szCs w:val="24"/>
              </w:rPr>
              <w:t>hastata</w:t>
            </w:r>
            <w:proofErr w:type="spellEnd"/>
          </w:p>
        </w:tc>
        <w:tc>
          <w:tcPr>
            <w:tcW w:w="2552" w:type="dxa"/>
            <w:tcBorders>
              <w:bottom w:val="single" w:sz="4" w:space="0" w:color="7F7F7F" w:themeColor="text1" w:themeTint="80"/>
            </w:tcBorders>
          </w:tcPr>
          <w:p w14:paraId="3333CC5E" w14:textId="2AE3CC06"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4053</w:t>
            </w:r>
            <w:r w:rsidR="00C26807">
              <w:rPr>
                <w:rFonts w:ascii="Times New Roman" w:hAnsi="Times New Roman" w:cs="Times New Roman"/>
                <w:sz w:val="24"/>
                <w:szCs w:val="24"/>
              </w:rPr>
              <w:t>.</w:t>
            </w:r>
            <w:r w:rsidRPr="00883413">
              <w:rPr>
                <w:rFonts w:ascii="Times New Roman" w:hAnsi="Times New Roman" w:cs="Times New Roman"/>
                <w:sz w:val="24"/>
                <w:szCs w:val="24"/>
              </w:rPr>
              <w:t>18±3</w:t>
            </w:r>
            <w:r w:rsidR="00C26807">
              <w:rPr>
                <w:rFonts w:ascii="Times New Roman" w:hAnsi="Times New Roman" w:cs="Times New Roman"/>
                <w:sz w:val="24"/>
                <w:szCs w:val="24"/>
              </w:rPr>
              <w:t>.</w:t>
            </w:r>
            <w:r w:rsidRPr="00883413">
              <w:rPr>
                <w:rFonts w:ascii="Times New Roman" w:hAnsi="Times New Roman" w:cs="Times New Roman"/>
                <w:sz w:val="24"/>
                <w:szCs w:val="24"/>
              </w:rPr>
              <w:t>77</w:t>
            </w:r>
          </w:p>
        </w:tc>
        <w:tc>
          <w:tcPr>
            <w:tcW w:w="1843" w:type="dxa"/>
            <w:tcBorders>
              <w:bottom w:val="single" w:sz="4" w:space="0" w:color="7F7F7F" w:themeColor="text1" w:themeTint="80"/>
            </w:tcBorders>
          </w:tcPr>
          <w:p w14:paraId="653411AE" w14:textId="59FACCD6"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eastAsia="Times New Roman" w:hAnsi="Times New Roman" w:cs="Times New Roman"/>
                <w:color w:val="000000"/>
                <w:sz w:val="24"/>
                <w:szCs w:val="24"/>
              </w:rPr>
              <w:t>3</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93</w:t>
            </w:r>
            <w:r w:rsidRPr="00883413">
              <w:rPr>
                <w:rFonts w:ascii="Times New Roman" w:hAnsi="Times New Roman" w:cs="Times New Roman"/>
                <w:sz w:val="24"/>
                <w:szCs w:val="24"/>
              </w:rPr>
              <w:t>±</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038</w:t>
            </w:r>
          </w:p>
        </w:tc>
      </w:tr>
      <w:tr w:rsidR="002A25E2" w:rsidRPr="00883413" w14:paraId="383FCFB1" w14:textId="77777777" w:rsidTr="00ED21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Merge w:val="restart"/>
          </w:tcPr>
          <w:p w14:paraId="58362F35" w14:textId="77777777" w:rsidR="002A25E2" w:rsidRPr="00883413" w:rsidRDefault="002A25E2" w:rsidP="00B80458">
            <w:pPr>
              <w:spacing w:line="360" w:lineRule="auto"/>
              <w:jc w:val="both"/>
              <w:rPr>
                <w:rFonts w:ascii="Times New Roman" w:hAnsi="Times New Roman" w:cs="Times New Roman"/>
                <w:b w:val="0"/>
                <w:bCs w:val="0"/>
                <w:sz w:val="24"/>
                <w:szCs w:val="24"/>
              </w:rPr>
            </w:pPr>
            <w:r w:rsidRPr="00883413">
              <w:rPr>
                <w:rFonts w:ascii="Times New Roman" w:hAnsi="Times New Roman" w:cs="Times New Roman"/>
                <w:sz w:val="24"/>
                <w:szCs w:val="24"/>
              </w:rPr>
              <w:t>Boromo</w:t>
            </w:r>
          </w:p>
        </w:tc>
        <w:tc>
          <w:tcPr>
            <w:tcW w:w="2409" w:type="dxa"/>
          </w:tcPr>
          <w:p w14:paraId="31BDEEF4" w14:textId="7777777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sz w:val="24"/>
                <w:szCs w:val="24"/>
              </w:rPr>
            </w:pPr>
            <w:proofErr w:type="spellStart"/>
            <w:r w:rsidRPr="00883413">
              <w:rPr>
                <w:rFonts w:ascii="Times New Roman" w:hAnsi="Times New Roman" w:cs="Times New Roman"/>
                <w:i/>
                <w:iCs/>
                <w:sz w:val="24"/>
                <w:szCs w:val="24"/>
              </w:rPr>
              <w:t>Sclerocarya</w:t>
            </w:r>
            <w:proofErr w:type="spellEnd"/>
            <w:r w:rsidRPr="00883413">
              <w:rPr>
                <w:rFonts w:ascii="Times New Roman" w:hAnsi="Times New Roman" w:cs="Times New Roman"/>
                <w:i/>
                <w:iCs/>
                <w:sz w:val="24"/>
                <w:szCs w:val="24"/>
              </w:rPr>
              <w:t xml:space="preserve"> </w:t>
            </w:r>
            <w:proofErr w:type="spellStart"/>
            <w:r w:rsidRPr="00883413">
              <w:rPr>
                <w:rFonts w:ascii="Times New Roman" w:hAnsi="Times New Roman" w:cs="Times New Roman"/>
                <w:i/>
                <w:iCs/>
                <w:sz w:val="24"/>
                <w:szCs w:val="24"/>
              </w:rPr>
              <w:t>birrea</w:t>
            </w:r>
            <w:proofErr w:type="spellEnd"/>
          </w:p>
        </w:tc>
        <w:tc>
          <w:tcPr>
            <w:tcW w:w="2552" w:type="dxa"/>
          </w:tcPr>
          <w:p w14:paraId="5E84D34A" w14:textId="00EAE9DB"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15974</w:t>
            </w:r>
            <w:r w:rsidR="00C26807">
              <w:rPr>
                <w:rFonts w:ascii="Times New Roman" w:hAnsi="Times New Roman" w:cs="Times New Roman"/>
                <w:sz w:val="24"/>
                <w:szCs w:val="24"/>
              </w:rPr>
              <w:t>.</w:t>
            </w:r>
            <w:r w:rsidRPr="00883413">
              <w:rPr>
                <w:rFonts w:ascii="Times New Roman" w:hAnsi="Times New Roman" w:cs="Times New Roman"/>
                <w:sz w:val="24"/>
                <w:szCs w:val="24"/>
              </w:rPr>
              <w:t>454±11</w:t>
            </w:r>
            <w:r w:rsidR="00C26807">
              <w:rPr>
                <w:rFonts w:ascii="Times New Roman" w:hAnsi="Times New Roman" w:cs="Times New Roman"/>
                <w:sz w:val="24"/>
                <w:szCs w:val="24"/>
              </w:rPr>
              <w:t>.</w:t>
            </w:r>
            <w:r w:rsidRPr="00883413">
              <w:rPr>
                <w:rFonts w:ascii="Times New Roman" w:hAnsi="Times New Roman" w:cs="Times New Roman"/>
                <w:sz w:val="24"/>
                <w:szCs w:val="24"/>
              </w:rPr>
              <w:t>27</w:t>
            </w:r>
          </w:p>
        </w:tc>
        <w:tc>
          <w:tcPr>
            <w:tcW w:w="1843" w:type="dxa"/>
          </w:tcPr>
          <w:p w14:paraId="28AAB71E" w14:textId="24814113"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1</w:t>
            </w:r>
            <w:r w:rsidR="00C26807">
              <w:rPr>
                <w:rFonts w:ascii="Times New Roman" w:hAnsi="Times New Roman" w:cs="Times New Roman"/>
                <w:sz w:val="24"/>
                <w:szCs w:val="24"/>
              </w:rPr>
              <w:t>.</w:t>
            </w:r>
            <w:r w:rsidRPr="00883413">
              <w:rPr>
                <w:rFonts w:ascii="Times New Roman" w:hAnsi="Times New Roman" w:cs="Times New Roman"/>
                <w:sz w:val="24"/>
                <w:szCs w:val="24"/>
              </w:rPr>
              <w:t>45±</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023</w:t>
            </w:r>
          </w:p>
        </w:tc>
      </w:tr>
      <w:tr w:rsidR="002A25E2" w:rsidRPr="00883413" w14:paraId="7547C676" w14:textId="77777777" w:rsidTr="00ED2118">
        <w:tc>
          <w:tcPr>
            <w:cnfStyle w:val="001000000000" w:firstRow="0" w:lastRow="0" w:firstColumn="1" w:lastColumn="0" w:oddVBand="0" w:evenVBand="0" w:oddHBand="0" w:evenHBand="0" w:firstRowFirstColumn="0" w:firstRowLastColumn="0" w:lastRowFirstColumn="0" w:lastRowLastColumn="0"/>
            <w:tcW w:w="2127" w:type="dxa"/>
            <w:vMerge/>
            <w:tcBorders>
              <w:top w:val="single" w:sz="4" w:space="0" w:color="7F7F7F" w:themeColor="text1" w:themeTint="80"/>
              <w:bottom w:val="single" w:sz="18" w:space="0" w:color="4472C4" w:themeColor="accent1"/>
            </w:tcBorders>
          </w:tcPr>
          <w:p w14:paraId="030F9252" w14:textId="77777777" w:rsidR="002A25E2" w:rsidRPr="00883413" w:rsidRDefault="002A25E2" w:rsidP="00B80458">
            <w:pPr>
              <w:spacing w:line="360" w:lineRule="auto"/>
              <w:jc w:val="both"/>
              <w:rPr>
                <w:rFonts w:ascii="Times New Roman" w:hAnsi="Times New Roman" w:cs="Times New Roman"/>
                <w:b w:val="0"/>
                <w:bCs w:val="0"/>
                <w:sz w:val="24"/>
                <w:szCs w:val="24"/>
              </w:rPr>
            </w:pPr>
          </w:p>
        </w:tc>
        <w:tc>
          <w:tcPr>
            <w:tcW w:w="2409" w:type="dxa"/>
            <w:tcBorders>
              <w:top w:val="single" w:sz="4" w:space="0" w:color="7F7F7F" w:themeColor="text1" w:themeTint="80"/>
              <w:bottom w:val="single" w:sz="18" w:space="0" w:color="4472C4" w:themeColor="accent1"/>
            </w:tcBorders>
          </w:tcPr>
          <w:p w14:paraId="076CFF2D" w14:textId="77777777"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4"/>
                <w:szCs w:val="24"/>
              </w:rPr>
            </w:pPr>
            <w:proofErr w:type="spellStart"/>
            <w:r w:rsidRPr="00883413">
              <w:rPr>
                <w:rFonts w:ascii="Times New Roman" w:hAnsi="Times New Roman" w:cs="Times New Roman"/>
                <w:i/>
                <w:iCs/>
                <w:sz w:val="24"/>
                <w:szCs w:val="24"/>
              </w:rPr>
              <w:t>Leptadenia</w:t>
            </w:r>
            <w:proofErr w:type="spellEnd"/>
            <w:r w:rsidRPr="00883413">
              <w:rPr>
                <w:rFonts w:ascii="Times New Roman" w:hAnsi="Times New Roman" w:cs="Times New Roman"/>
                <w:i/>
                <w:iCs/>
                <w:sz w:val="24"/>
                <w:szCs w:val="24"/>
              </w:rPr>
              <w:t xml:space="preserve"> </w:t>
            </w:r>
            <w:proofErr w:type="spellStart"/>
            <w:r w:rsidRPr="00883413">
              <w:rPr>
                <w:rFonts w:ascii="Times New Roman" w:hAnsi="Times New Roman" w:cs="Times New Roman"/>
                <w:i/>
                <w:iCs/>
                <w:sz w:val="24"/>
                <w:szCs w:val="24"/>
              </w:rPr>
              <w:t>hastata</w:t>
            </w:r>
            <w:proofErr w:type="spellEnd"/>
          </w:p>
        </w:tc>
        <w:tc>
          <w:tcPr>
            <w:tcW w:w="2552" w:type="dxa"/>
            <w:tcBorders>
              <w:top w:val="single" w:sz="4" w:space="0" w:color="7F7F7F" w:themeColor="text1" w:themeTint="80"/>
              <w:bottom w:val="single" w:sz="18" w:space="0" w:color="4472C4" w:themeColor="accent1"/>
            </w:tcBorders>
          </w:tcPr>
          <w:p w14:paraId="7B861B57" w14:textId="188E3D83"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eastAsia="Times New Roman" w:hAnsi="Times New Roman" w:cs="Times New Roman"/>
                <w:color w:val="000000"/>
                <w:sz w:val="24"/>
                <w:szCs w:val="24"/>
              </w:rPr>
              <w:t>2578</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62</w:t>
            </w:r>
            <w:r w:rsidRPr="00883413">
              <w:rPr>
                <w:rFonts w:ascii="Times New Roman" w:hAnsi="Times New Roman" w:cs="Times New Roman"/>
                <w:sz w:val="24"/>
                <w:szCs w:val="24"/>
              </w:rPr>
              <w:t>±</w:t>
            </w:r>
            <w:r w:rsidRPr="00883413">
              <w:rPr>
                <w:rFonts w:ascii="Times New Roman" w:eastAsia="Times New Roman" w:hAnsi="Times New Roman" w:cs="Times New Roman"/>
                <w:color w:val="000000"/>
                <w:sz w:val="24"/>
                <w:szCs w:val="24"/>
              </w:rPr>
              <w:t>11</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27</w:t>
            </w:r>
          </w:p>
        </w:tc>
        <w:tc>
          <w:tcPr>
            <w:tcW w:w="1843" w:type="dxa"/>
            <w:tcBorders>
              <w:top w:val="single" w:sz="4" w:space="0" w:color="7F7F7F" w:themeColor="text1" w:themeTint="80"/>
              <w:bottom w:val="single" w:sz="18" w:space="0" w:color="4472C4" w:themeColor="accent1"/>
            </w:tcBorders>
          </w:tcPr>
          <w:p w14:paraId="62D3E011" w14:textId="077D2A9A"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eastAsia="Times New Roman" w:hAnsi="Times New Roman" w:cs="Times New Roman"/>
                <w:color w:val="000000"/>
                <w:sz w:val="24"/>
                <w:szCs w:val="24"/>
              </w:rPr>
              <w:t>3</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37±0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044</w:t>
            </w:r>
          </w:p>
        </w:tc>
      </w:tr>
    </w:tbl>
    <w:p w14:paraId="33F29603" w14:textId="75B6A752"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PT: Total polyphenols; FT: Total flavonoids</w:t>
      </w:r>
    </w:p>
    <w:p w14:paraId="7C71B379" w14:textId="77777777"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These results indicate that the </w:t>
      </w:r>
      <w:proofErr w:type="spellStart"/>
      <w:r w:rsidRPr="00883413">
        <w:rPr>
          <w:rFonts w:ascii="Times New Roman" w:hAnsi="Times New Roman" w:cs="Times New Roman"/>
          <w:lang w:val="en-US"/>
        </w:rPr>
        <w:t>Sclerocarya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birrea</w:t>
      </w:r>
      <w:proofErr w:type="spellEnd"/>
      <w:r w:rsidRPr="00883413">
        <w:rPr>
          <w:rFonts w:ascii="Times New Roman" w:hAnsi="Times New Roman" w:cs="Times New Roman"/>
          <w:lang w:val="en-US"/>
        </w:rPr>
        <w:t xml:space="preserve"> extract from Bobo-Dioulasso exhibited higher total phenolic content compared to that from </w:t>
      </w:r>
      <w:proofErr w:type="spellStart"/>
      <w:r w:rsidRPr="00883413">
        <w:rPr>
          <w:rFonts w:ascii="Times New Roman" w:hAnsi="Times New Roman" w:cs="Times New Roman"/>
          <w:lang w:val="en-US"/>
        </w:rPr>
        <w:t>Boromo</w:t>
      </w:r>
      <w:proofErr w:type="spellEnd"/>
      <w:r w:rsidRPr="00883413">
        <w:rPr>
          <w:rFonts w:ascii="Times New Roman" w:hAnsi="Times New Roman" w:cs="Times New Roman"/>
          <w:lang w:val="en-US"/>
        </w:rPr>
        <w:t xml:space="preserve">. Aqueous extracts of </w:t>
      </w:r>
      <w:proofErr w:type="spellStart"/>
      <w:r w:rsidRPr="00883413">
        <w:rPr>
          <w:rFonts w:ascii="Times New Roman" w:hAnsi="Times New Roman" w:cs="Times New Roman"/>
          <w:lang w:val="en-US"/>
        </w:rPr>
        <w:t>Sclerocarya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birrea</w:t>
      </w:r>
      <w:proofErr w:type="spellEnd"/>
      <w:r w:rsidRPr="00883413">
        <w:rPr>
          <w:rFonts w:ascii="Times New Roman" w:hAnsi="Times New Roman" w:cs="Times New Roman"/>
          <w:lang w:val="en-US"/>
        </w:rPr>
        <w:t xml:space="preserve"> trunk bark showed total flavonoid contents (0.37 EQ) in the study conducted by Konaré et al. (2024a).</w:t>
      </w:r>
    </w:p>
    <w:p w14:paraId="4779200A" w14:textId="77777777" w:rsidR="002A25E2" w:rsidRPr="00883413" w:rsidRDefault="002A25E2" w:rsidP="00B80458">
      <w:pPr>
        <w:spacing w:before="240" w:line="360" w:lineRule="auto"/>
        <w:jc w:val="both"/>
        <w:rPr>
          <w:rFonts w:ascii="Times New Roman" w:hAnsi="Times New Roman" w:cs="Times New Roman"/>
          <w:lang w:val="en-US"/>
        </w:rPr>
      </w:pPr>
    </w:p>
    <w:p w14:paraId="0CCEF2A8" w14:textId="77777777"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3.2.3. Antioxidant Activities</w:t>
      </w:r>
    </w:p>
    <w:p w14:paraId="7A3FD465" w14:textId="77777777"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The results are presented in Table IV. The values obtained using the DPPH• method ranged from 1.52±2.78 to 2.13±0.034 µg EAA/100 mg of extract. The highest activity was observed in the </w:t>
      </w:r>
      <w:proofErr w:type="spellStart"/>
      <w:r w:rsidRPr="00C26807">
        <w:rPr>
          <w:rFonts w:ascii="Times New Roman" w:hAnsi="Times New Roman" w:cs="Times New Roman"/>
          <w:i/>
          <w:iCs/>
          <w:lang w:val="en-US"/>
        </w:rPr>
        <w:t>Leptadenia</w:t>
      </w:r>
      <w:proofErr w:type="spellEnd"/>
      <w:r w:rsidRPr="00C26807">
        <w:rPr>
          <w:rFonts w:ascii="Times New Roman" w:hAnsi="Times New Roman" w:cs="Times New Roman"/>
          <w:i/>
          <w:iCs/>
          <w:lang w:val="en-US"/>
        </w:rPr>
        <w:t xml:space="preserve"> hastata</w:t>
      </w:r>
      <w:r w:rsidRPr="00883413">
        <w:rPr>
          <w:rFonts w:ascii="Times New Roman" w:hAnsi="Times New Roman" w:cs="Times New Roman"/>
          <w:lang w:val="en-US"/>
        </w:rPr>
        <w:t xml:space="preserve"> extract from Bobo-Dioulasso (2.13 ± 0.034 µg EAA/100 mg of extract), followed by the </w:t>
      </w:r>
      <w:proofErr w:type="spellStart"/>
      <w:r w:rsidRPr="00C26807">
        <w:rPr>
          <w:rFonts w:ascii="Times New Roman" w:hAnsi="Times New Roman" w:cs="Times New Roman"/>
          <w:i/>
          <w:iCs/>
          <w:lang w:val="en-US"/>
        </w:rPr>
        <w:t>Sclerocarya</w:t>
      </w:r>
      <w:proofErr w:type="spellEnd"/>
      <w:r w:rsidRPr="00C26807">
        <w:rPr>
          <w:rFonts w:ascii="Times New Roman" w:hAnsi="Times New Roman" w:cs="Times New Roman"/>
          <w:i/>
          <w:iCs/>
          <w:lang w:val="en-US"/>
        </w:rPr>
        <w:t xml:space="preserve"> </w:t>
      </w:r>
      <w:proofErr w:type="spellStart"/>
      <w:r w:rsidRPr="00C26807">
        <w:rPr>
          <w:rFonts w:ascii="Times New Roman" w:hAnsi="Times New Roman" w:cs="Times New Roman"/>
          <w:i/>
          <w:iCs/>
          <w:lang w:val="en-US"/>
        </w:rPr>
        <w:t>birre</w:t>
      </w:r>
      <w:r w:rsidRPr="00883413">
        <w:rPr>
          <w:rFonts w:ascii="Times New Roman" w:hAnsi="Times New Roman" w:cs="Times New Roman"/>
          <w:lang w:val="en-US"/>
        </w:rPr>
        <w:t>a</w:t>
      </w:r>
      <w:proofErr w:type="spellEnd"/>
      <w:r w:rsidRPr="00883413">
        <w:rPr>
          <w:rFonts w:ascii="Times New Roman" w:hAnsi="Times New Roman" w:cs="Times New Roman"/>
          <w:lang w:val="en-US"/>
        </w:rPr>
        <w:t xml:space="preserve"> extract from </w:t>
      </w:r>
      <w:proofErr w:type="spellStart"/>
      <w:r w:rsidRPr="00883413">
        <w:rPr>
          <w:rFonts w:ascii="Times New Roman" w:hAnsi="Times New Roman" w:cs="Times New Roman"/>
          <w:lang w:val="en-US"/>
        </w:rPr>
        <w:t>Boromo</w:t>
      </w:r>
      <w:proofErr w:type="spellEnd"/>
      <w:r w:rsidRPr="00883413">
        <w:rPr>
          <w:rFonts w:ascii="Times New Roman" w:hAnsi="Times New Roman" w:cs="Times New Roman"/>
          <w:lang w:val="en-US"/>
        </w:rPr>
        <w:t xml:space="preserve"> (1.82 ± 0.036 µg EAA/100 mg). The lowest activities were observed in the </w:t>
      </w:r>
      <w:proofErr w:type="spellStart"/>
      <w:r w:rsidRPr="00C26807">
        <w:rPr>
          <w:rFonts w:ascii="Times New Roman" w:hAnsi="Times New Roman" w:cs="Times New Roman"/>
          <w:i/>
          <w:iCs/>
          <w:lang w:val="en-US"/>
        </w:rPr>
        <w:t>Sclerocarya</w:t>
      </w:r>
      <w:proofErr w:type="spellEnd"/>
      <w:r w:rsidRPr="00C26807">
        <w:rPr>
          <w:rFonts w:ascii="Times New Roman" w:hAnsi="Times New Roman" w:cs="Times New Roman"/>
          <w:i/>
          <w:iCs/>
          <w:lang w:val="en-US"/>
        </w:rPr>
        <w:t xml:space="preserve"> </w:t>
      </w:r>
      <w:proofErr w:type="spellStart"/>
      <w:r w:rsidRPr="00C26807">
        <w:rPr>
          <w:rFonts w:ascii="Times New Roman" w:hAnsi="Times New Roman" w:cs="Times New Roman"/>
          <w:i/>
          <w:iCs/>
          <w:lang w:val="en-US"/>
        </w:rPr>
        <w:t>birrea</w:t>
      </w:r>
      <w:proofErr w:type="spellEnd"/>
      <w:r w:rsidRPr="00883413">
        <w:rPr>
          <w:rFonts w:ascii="Times New Roman" w:hAnsi="Times New Roman" w:cs="Times New Roman"/>
          <w:lang w:val="en-US"/>
        </w:rPr>
        <w:t xml:space="preserve"> extract from Bobo-</w:t>
      </w:r>
      <w:r w:rsidRPr="00883413">
        <w:rPr>
          <w:rFonts w:ascii="Times New Roman" w:hAnsi="Times New Roman" w:cs="Times New Roman"/>
          <w:lang w:val="en-US"/>
        </w:rPr>
        <w:lastRenderedPageBreak/>
        <w:t xml:space="preserve">Dioulasso (1.63 ± 1.64 µg EAA/100 mg) and the </w:t>
      </w:r>
      <w:proofErr w:type="spellStart"/>
      <w:r w:rsidRPr="00C26807">
        <w:rPr>
          <w:rFonts w:ascii="Times New Roman" w:hAnsi="Times New Roman" w:cs="Times New Roman"/>
          <w:i/>
          <w:iCs/>
          <w:lang w:val="en-US"/>
        </w:rPr>
        <w:t>Leptadenia</w:t>
      </w:r>
      <w:proofErr w:type="spellEnd"/>
      <w:r w:rsidRPr="00C26807">
        <w:rPr>
          <w:rFonts w:ascii="Times New Roman" w:hAnsi="Times New Roman" w:cs="Times New Roman"/>
          <w:i/>
          <w:iCs/>
          <w:lang w:val="en-US"/>
        </w:rPr>
        <w:t xml:space="preserve"> hastata</w:t>
      </w:r>
      <w:r w:rsidRPr="00883413">
        <w:rPr>
          <w:rFonts w:ascii="Times New Roman" w:hAnsi="Times New Roman" w:cs="Times New Roman"/>
          <w:lang w:val="en-US"/>
        </w:rPr>
        <w:t xml:space="preserve"> extract from </w:t>
      </w:r>
      <w:proofErr w:type="spellStart"/>
      <w:r w:rsidRPr="00883413">
        <w:rPr>
          <w:rFonts w:ascii="Times New Roman" w:hAnsi="Times New Roman" w:cs="Times New Roman"/>
          <w:lang w:val="en-US"/>
        </w:rPr>
        <w:t>Boromo</w:t>
      </w:r>
      <w:proofErr w:type="spellEnd"/>
      <w:r w:rsidRPr="00883413">
        <w:rPr>
          <w:rFonts w:ascii="Times New Roman" w:hAnsi="Times New Roman" w:cs="Times New Roman"/>
          <w:lang w:val="en-US"/>
        </w:rPr>
        <w:t xml:space="preserve"> (1.52 ± 2.78 µg EAA/100 mg).</w:t>
      </w:r>
    </w:p>
    <w:p w14:paraId="0100994A" w14:textId="77777777"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As for the FRAP method, the levels of iron-reducing compounds, expressed in µmol EAA/100 mg of dry extract, ranged from 0.38 ± 0.001 to 0.98 ± 0.007 (µmol EAA/100 mg of dry extract). The highest levels were obtained with the </w:t>
      </w:r>
      <w:proofErr w:type="spellStart"/>
      <w:r w:rsidRPr="00C26807">
        <w:rPr>
          <w:rFonts w:ascii="Times New Roman" w:hAnsi="Times New Roman" w:cs="Times New Roman"/>
          <w:i/>
          <w:iCs/>
          <w:lang w:val="en-US"/>
        </w:rPr>
        <w:t>Sclerocarya</w:t>
      </w:r>
      <w:proofErr w:type="spellEnd"/>
      <w:r w:rsidRPr="00C26807">
        <w:rPr>
          <w:rFonts w:ascii="Times New Roman" w:hAnsi="Times New Roman" w:cs="Times New Roman"/>
          <w:i/>
          <w:iCs/>
          <w:lang w:val="en-US"/>
        </w:rPr>
        <w:t xml:space="preserve"> </w:t>
      </w:r>
      <w:proofErr w:type="spellStart"/>
      <w:r w:rsidRPr="00C26807">
        <w:rPr>
          <w:rFonts w:ascii="Times New Roman" w:hAnsi="Times New Roman" w:cs="Times New Roman"/>
          <w:i/>
          <w:iCs/>
          <w:lang w:val="en-US"/>
        </w:rPr>
        <w:t>birrea</w:t>
      </w:r>
      <w:proofErr w:type="spellEnd"/>
      <w:r w:rsidRPr="00883413">
        <w:rPr>
          <w:rFonts w:ascii="Times New Roman" w:hAnsi="Times New Roman" w:cs="Times New Roman"/>
          <w:lang w:val="en-US"/>
        </w:rPr>
        <w:t xml:space="preserve"> extract from </w:t>
      </w:r>
      <w:proofErr w:type="spellStart"/>
      <w:r w:rsidRPr="00883413">
        <w:rPr>
          <w:rFonts w:ascii="Times New Roman" w:hAnsi="Times New Roman" w:cs="Times New Roman"/>
          <w:lang w:val="en-US"/>
        </w:rPr>
        <w:t>Boromo</w:t>
      </w:r>
      <w:proofErr w:type="spellEnd"/>
      <w:r w:rsidRPr="00883413">
        <w:rPr>
          <w:rFonts w:ascii="Times New Roman" w:hAnsi="Times New Roman" w:cs="Times New Roman"/>
          <w:lang w:val="en-US"/>
        </w:rPr>
        <w:t xml:space="preserve"> (0.98 ± 0.007 µmol EAA/100 mg), followed by that from Bobo-Dioulasso (0.95 ± 0.01 µmol EAA/100 mg). The lowest amounts were obtained from </w:t>
      </w:r>
      <w:proofErr w:type="spellStart"/>
      <w:r w:rsidRPr="00C26807">
        <w:rPr>
          <w:rFonts w:ascii="Times New Roman" w:hAnsi="Times New Roman" w:cs="Times New Roman"/>
          <w:i/>
          <w:iCs/>
          <w:lang w:val="en-US"/>
        </w:rPr>
        <w:t>Leptadenia</w:t>
      </w:r>
      <w:proofErr w:type="spellEnd"/>
      <w:r w:rsidRPr="00C26807">
        <w:rPr>
          <w:rFonts w:ascii="Times New Roman" w:hAnsi="Times New Roman" w:cs="Times New Roman"/>
          <w:i/>
          <w:iCs/>
          <w:lang w:val="en-US"/>
        </w:rPr>
        <w:t xml:space="preserve"> hastata</w:t>
      </w:r>
      <w:r w:rsidRPr="00883413">
        <w:rPr>
          <w:rFonts w:ascii="Times New Roman" w:hAnsi="Times New Roman" w:cs="Times New Roman"/>
          <w:lang w:val="en-US"/>
        </w:rPr>
        <w:t xml:space="preserve"> extracts from Bobo-Dioulasso (0.42 ± 0.06 µmol EAA/100 mg) and from </w:t>
      </w:r>
      <w:proofErr w:type="spellStart"/>
      <w:r w:rsidRPr="00883413">
        <w:rPr>
          <w:rFonts w:ascii="Times New Roman" w:hAnsi="Times New Roman" w:cs="Times New Roman"/>
          <w:lang w:val="en-US"/>
        </w:rPr>
        <w:t>Boromo</w:t>
      </w:r>
      <w:proofErr w:type="spellEnd"/>
      <w:r w:rsidRPr="00883413">
        <w:rPr>
          <w:rFonts w:ascii="Times New Roman" w:hAnsi="Times New Roman" w:cs="Times New Roman"/>
          <w:lang w:val="en-US"/>
        </w:rPr>
        <w:t xml:space="preserve"> (0.38 ± 0.001 µmol EAA/100 mg). Research by Mashaba et al. (2025) on </w:t>
      </w:r>
      <w:proofErr w:type="spellStart"/>
      <w:r w:rsidRPr="00C26807">
        <w:rPr>
          <w:rFonts w:ascii="Times New Roman" w:hAnsi="Times New Roman" w:cs="Times New Roman"/>
          <w:i/>
          <w:iCs/>
          <w:lang w:val="en-US"/>
        </w:rPr>
        <w:t>Sclerocarya</w:t>
      </w:r>
      <w:proofErr w:type="spellEnd"/>
      <w:r w:rsidRPr="00C26807">
        <w:rPr>
          <w:rFonts w:ascii="Times New Roman" w:hAnsi="Times New Roman" w:cs="Times New Roman"/>
          <w:i/>
          <w:iCs/>
          <w:lang w:val="en-US"/>
        </w:rPr>
        <w:t xml:space="preserve"> </w:t>
      </w:r>
      <w:proofErr w:type="spellStart"/>
      <w:r w:rsidRPr="00C26807">
        <w:rPr>
          <w:rFonts w:ascii="Times New Roman" w:hAnsi="Times New Roman" w:cs="Times New Roman"/>
          <w:i/>
          <w:iCs/>
          <w:lang w:val="en-US"/>
        </w:rPr>
        <w:t>birrea</w:t>
      </w:r>
      <w:proofErr w:type="spellEnd"/>
      <w:r w:rsidRPr="00883413">
        <w:rPr>
          <w:rFonts w:ascii="Times New Roman" w:hAnsi="Times New Roman" w:cs="Times New Roman"/>
          <w:lang w:val="en-US"/>
        </w:rPr>
        <w:t xml:space="preserve"> stem bark extracts for the treatment of cardiovascular diseases demonstrated iron-reducing capacity (0.22 ± 7 µmol EAA/100 mg), which was lower than the results of this study.</w:t>
      </w:r>
    </w:p>
    <w:p w14:paraId="0F056CED" w14:textId="77777777"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Regarding the ABTS</w:t>
      </w:r>
      <w:r w:rsidRPr="00C26807">
        <w:rPr>
          <w:rFonts w:ascii="Times New Roman" w:hAnsi="Times New Roman" w:cs="Times New Roman"/>
          <w:vertAlign w:val="superscript"/>
          <w:lang w:val="en-US"/>
        </w:rPr>
        <w:t>•+</w:t>
      </w:r>
      <w:r w:rsidRPr="00883413">
        <w:rPr>
          <w:rFonts w:ascii="Times New Roman" w:hAnsi="Times New Roman" w:cs="Times New Roman"/>
          <w:lang w:val="en-US"/>
        </w:rPr>
        <w:t xml:space="preserve"> method, the levels ranged from 0.5 to 17 mg ET/100 mg. The highest activities were observed with the </w:t>
      </w:r>
      <w:proofErr w:type="spellStart"/>
      <w:r w:rsidRPr="00C26807">
        <w:rPr>
          <w:rFonts w:ascii="Times New Roman" w:hAnsi="Times New Roman" w:cs="Times New Roman"/>
          <w:i/>
          <w:iCs/>
          <w:lang w:val="en-US"/>
        </w:rPr>
        <w:t>Sclerocarya</w:t>
      </w:r>
      <w:proofErr w:type="spellEnd"/>
      <w:r w:rsidRPr="00C26807">
        <w:rPr>
          <w:rFonts w:ascii="Times New Roman" w:hAnsi="Times New Roman" w:cs="Times New Roman"/>
          <w:i/>
          <w:iCs/>
          <w:lang w:val="en-US"/>
        </w:rPr>
        <w:t xml:space="preserve"> </w:t>
      </w:r>
      <w:proofErr w:type="spellStart"/>
      <w:r w:rsidRPr="00C26807">
        <w:rPr>
          <w:rFonts w:ascii="Times New Roman" w:hAnsi="Times New Roman" w:cs="Times New Roman"/>
          <w:i/>
          <w:iCs/>
          <w:lang w:val="en-US"/>
        </w:rPr>
        <w:t>birrea</w:t>
      </w:r>
      <w:proofErr w:type="spellEnd"/>
      <w:r w:rsidRPr="00883413">
        <w:rPr>
          <w:rFonts w:ascii="Times New Roman" w:hAnsi="Times New Roman" w:cs="Times New Roman"/>
          <w:lang w:val="en-US"/>
        </w:rPr>
        <w:t xml:space="preserve"> extract from Bobo-Dioulasso (17 mg ET/100 mg) and that from </w:t>
      </w:r>
      <w:proofErr w:type="spellStart"/>
      <w:r w:rsidRPr="00883413">
        <w:rPr>
          <w:rFonts w:ascii="Times New Roman" w:hAnsi="Times New Roman" w:cs="Times New Roman"/>
          <w:lang w:val="en-US"/>
        </w:rPr>
        <w:t>Boromo</w:t>
      </w:r>
      <w:proofErr w:type="spellEnd"/>
      <w:r w:rsidRPr="00883413">
        <w:rPr>
          <w:rFonts w:ascii="Times New Roman" w:hAnsi="Times New Roman" w:cs="Times New Roman"/>
          <w:lang w:val="en-US"/>
        </w:rPr>
        <w:t xml:space="preserve"> (16 µg ET/100 mg). The lowest activity was obtained with the </w:t>
      </w:r>
      <w:proofErr w:type="spellStart"/>
      <w:r w:rsidRPr="00C26807">
        <w:rPr>
          <w:rFonts w:ascii="Times New Roman" w:hAnsi="Times New Roman" w:cs="Times New Roman"/>
          <w:i/>
          <w:iCs/>
          <w:lang w:val="en-US"/>
        </w:rPr>
        <w:t>Leptadenia</w:t>
      </w:r>
      <w:proofErr w:type="spellEnd"/>
      <w:r w:rsidRPr="00C26807">
        <w:rPr>
          <w:rFonts w:ascii="Times New Roman" w:hAnsi="Times New Roman" w:cs="Times New Roman"/>
          <w:i/>
          <w:iCs/>
          <w:lang w:val="en-US"/>
        </w:rPr>
        <w:t xml:space="preserve"> hastata</w:t>
      </w:r>
      <w:r w:rsidRPr="00883413">
        <w:rPr>
          <w:rFonts w:ascii="Times New Roman" w:hAnsi="Times New Roman" w:cs="Times New Roman"/>
          <w:lang w:val="en-US"/>
        </w:rPr>
        <w:t xml:space="preserve"> extract collected in Bobo-Dioulasso (0.5 mg ET/100 mg).</w:t>
      </w:r>
    </w:p>
    <w:p w14:paraId="5E3066AF" w14:textId="77777777"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Table IV: Results of antioxidant activities</w:t>
      </w:r>
    </w:p>
    <w:p w14:paraId="01E041D3" w14:textId="77777777" w:rsidR="002A25E2" w:rsidRPr="00883413" w:rsidRDefault="002A25E2" w:rsidP="00B80458">
      <w:pPr>
        <w:spacing w:before="240" w:line="360" w:lineRule="auto"/>
        <w:jc w:val="both"/>
        <w:rPr>
          <w:rFonts w:ascii="Times New Roman" w:hAnsi="Times New Roman" w:cs="Times New Roman"/>
          <w:lang w:val="en-US"/>
        </w:rPr>
      </w:pPr>
    </w:p>
    <w:tbl>
      <w:tblPr>
        <w:tblStyle w:val="PlainTable2"/>
        <w:tblW w:w="9025" w:type="dxa"/>
        <w:tblBorders>
          <w:bottom w:val="single" w:sz="18" w:space="0" w:color="0070C0"/>
          <w:insideH w:val="single" w:sz="4" w:space="0" w:color="7F7F7F" w:themeColor="text1" w:themeTint="80"/>
        </w:tblBorders>
        <w:tblLayout w:type="fixed"/>
        <w:tblLook w:val="04A0" w:firstRow="1" w:lastRow="0" w:firstColumn="1" w:lastColumn="0" w:noHBand="0" w:noVBand="1"/>
      </w:tblPr>
      <w:tblGrid>
        <w:gridCol w:w="1702"/>
        <w:gridCol w:w="1559"/>
        <w:gridCol w:w="1559"/>
        <w:gridCol w:w="2362"/>
        <w:gridCol w:w="1843"/>
      </w:tblGrid>
      <w:tr w:rsidR="002A25E2" w:rsidRPr="00883413" w14:paraId="54F0DDFE" w14:textId="77777777" w:rsidTr="00ED21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tcBorders>
              <w:top w:val="single" w:sz="18" w:space="0" w:color="0070C0"/>
              <w:bottom w:val="single" w:sz="18" w:space="0" w:color="0070C0"/>
            </w:tcBorders>
          </w:tcPr>
          <w:p w14:paraId="214F2BB5" w14:textId="12BE1C7A" w:rsidR="00FD5D50" w:rsidRPr="00883413" w:rsidRDefault="00FD5D50" w:rsidP="00B80458">
            <w:pPr>
              <w:pStyle w:val="ListParagraph"/>
              <w:spacing w:line="360" w:lineRule="auto"/>
              <w:jc w:val="both"/>
              <w:rPr>
                <w:rFonts w:ascii="Times New Roman" w:hAnsi="Times New Roman" w:cs="Times New Roman"/>
                <w:sz w:val="24"/>
                <w:szCs w:val="24"/>
              </w:rPr>
            </w:pPr>
            <w:proofErr w:type="spellStart"/>
            <w:r w:rsidRPr="00883413">
              <w:rPr>
                <w:rFonts w:ascii="Times New Roman" w:hAnsi="Times New Roman" w:cs="Times New Roman"/>
                <w:sz w:val="24"/>
                <w:szCs w:val="24"/>
              </w:rPr>
              <w:t>CollectioLocation</w:t>
            </w:r>
            <w:proofErr w:type="spellEnd"/>
          </w:p>
          <w:p w14:paraId="48AFDDF2" w14:textId="5AE86A9F" w:rsidR="002A25E2" w:rsidRPr="00883413" w:rsidRDefault="002A25E2" w:rsidP="00B80458">
            <w:pPr>
              <w:spacing w:line="360" w:lineRule="auto"/>
              <w:jc w:val="both"/>
              <w:rPr>
                <w:rFonts w:ascii="Times New Roman" w:hAnsi="Times New Roman" w:cs="Times New Roman"/>
                <w:b w:val="0"/>
                <w:bCs w:val="0"/>
                <w:sz w:val="24"/>
                <w:szCs w:val="24"/>
              </w:rPr>
            </w:pPr>
          </w:p>
        </w:tc>
        <w:tc>
          <w:tcPr>
            <w:tcW w:w="1559" w:type="dxa"/>
            <w:tcBorders>
              <w:top w:val="single" w:sz="18" w:space="0" w:color="0070C0"/>
              <w:bottom w:val="single" w:sz="18" w:space="0" w:color="0070C0"/>
            </w:tcBorders>
          </w:tcPr>
          <w:p w14:paraId="1DE2737E" w14:textId="625F10F3" w:rsidR="002A25E2" w:rsidRPr="00883413" w:rsidRDefault="0089358D" w:rsidP="00B8045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sidRPr="00883413">
              <w:rPr>
                <w:rFonts w:ascii="Times New Roman" w:hAnsi="Times New Roman" w:cs="Times New Roman"/>
                <w:sz w:val="24"/>
                <w:szCs w:val="24"/>
              </w:rPr>
              <w:t>Species</w:t>
            </w:r>
            <w:proofErr w:type="spellEnd"/>
          </w:p>
        </w:tc>
        <w:tc>
          <w:tcPr>
            <w:tcW w:w="1559" w:type="dxa"/>
            <w:tcBorders>
              <w:top w:val="single" w:sz="18" w:space="0" w:color="0070C0"/>
              <w:bottom w:val="single" w:sz="18" w:space="0" w:color="0070C0"/>
            </w:tcBorders>
            <w:vAlign w:val="center"/>
          </w:tcPr>
          <w:p w14:paraId="137575CE" w14:textId="77777777" w:rsidR="002A25E2" w:rsidRPr="00883413" w:rsidRDefault="002A25E2" w:rsidP="00B8045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883413">
              <w:rPr>
                <w:rFonts w:ascii="Times New Roman" w:hAnsi="Times New Roman" w:cs="Times New Roman"/>
                <w:sz w:val="24"/>
                <w:szCs w:val="24"/>
              </w:rPr>
              <w:t>DPPH</w:t>
            </w:r>
            <w:r w:rsidRPr="00883413">
              <w:rPr>
                <w:rFonts w:ascii="Times New Roman" w:hAnsi="Times New Roman" w:cs="Times New Roman"/>
                <w:sz w:val="24"/>
                <w:szCs w:val="24"/>
                <w:vertAlign w:val="superscript"/>
              </w:rPr>
              <w:t>•</w:t>
            </w:r>
            <w:r w:rsidRPr="00883413">
              <w:rPr>
                <w:rFonts w:ascii="Times New Roman" w:hAnsi="Times New Roman" w:cs="Times New Roman"/>
                <w:sz w:val="24"/>
                <w:szCs w:val="24"/>
              </w:rPr>
              <w:t xml:space="preserve"> (µg EAA/100mg)</w:t>
            </w:r>
          </w:p>
        </w:tc>
        <w:tc>
          <w:tcPr>
            <w:tcW w:w="2362" w:type="dxa"/>
            <w:tcBorders>
              <w:top w:val="single" w:sz="18" w:space="0" w:color="0070C0"/>
              <w:bottom w:val="single" w:sz="18" w:space="0" w:color="0070C0"/>
            </w:tcBorders>
            <w:vAlign w:val="center"/>
          </w:tcPr>
          <w:p w14:paraId="1C3508D3" w14:textId="77777777" w:rsidR="002A25E2" w:rsidRPr="00883413" w:rsidRDefault="002A25E2" w:rsidP="00B8045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883413">
              <w:rPr>
                <w:rFonts w:ascii="Times New Roman" w:hAnsi="Times New Roman" w:cs="Times New Roman"/>
                <w:sz w:val="24"/>
                <w:szCs w:val="24"/>
              </w:rPr>
              <w:t>FRAP (µmol EAA/100 mg)</w:t>
            </w:r>
          </w:p>
        </w:tc>
        <w:tc>
          <w:tcPr>
            <w:tcW w:w="1843" w:type="dxa"/>
            <w:tcBorders>
              <w:top w:val="single" w:sz="18" w:space="0" w:color="0070C0"/>
              <w:bottom w:val="single" w:sz="18" w:space="0" w:color="0070C0"/>
            </w:tcBorders>
            <w:vAlign w:val="center"/>
          </w:tcPr>
          <w:p w14:paraId="39A047D7" w14:textId="77777777" w:rsidR="002A25E2" w:rsidRPr="00883413" w:rsidRDefault="002A25E2" w:rsidP="00B8045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883413">
              <w:rPr>
                <w:rFonts w:ascii="Times New Roman" w:hAnsi="Times New Roman" w:cs="Times New Roman"/>
                <w:bCs w:val="0"/>
                <w:sz w:val="24"/>
                <w:szCs w:val="24"/>
              </w:rPr>
              <w:t>ABTS</w:t>
            </w:r>
            <w:r w:rsidRPr="00883413">
              <w:rPr>
                <w:rFonts w:ascii="Times New Roman" w:hAnsi="Times New Roman" w:cs="Times New Roman"/>
                <w:bCs w:val="0"/>
                <w:sz w:val="24"/>
                <w:szCs w:val="24"/>
                <w:vertAlign w:val="superscript"/>
              </w:rPr>
              <w:t>•+</w:t>
            </w:r>
            <w:r w:rsidRPr="00883413">
              <w:rPr>
                <w:rFonts w:ascii="Times New Roman" w:hAnsi="Times New Roman" w:cs="Times New Roman"/>
                <w:sz w:val="24"/>
                <w:szCs w:val="24"/>
              </w:rPr>
              <w:t xml:space="preserve"> (mg ET/100 mg)</w:t>
            </w:r>
          </w:p>
        </w:tc>
      </w:tr>
      <w:tr w:rsidR="002A25E2" w:rsidRPr="00883413" w14:paraId="644691D2" w14:textId="77777777" w:rsidTr="00ED21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vMerge w:val="restart"/>
            <w:tcBorders>
              <w:top w:val="single" w:sz="18" w:space="0" w:color="0070C0"/>
            </w:tcBorders>
          </w:tcPr>
          <w:p w14:paraId="37813FC7" w14:textId="77777777" w:rsidR="002A25E2" w:rsidRPr="00883413" w:rsidRDefault="002A25E2" w:rsidP="00B80458">
            <w:pPr>
              <w:spacing w:line="360" w:lineRule="auto"/>
              <w:jc w:val="both"/>
              <w:rPr>
                <w:rFonts w:ascii="Times New Roman" w:hAnsi="Times New Roman" w:cs="Times New Roman"/>
                <w:b w:val="0"/>
                <w:bCs w:val="0"/>
                <w:sz w:val="24"/>
                <w:szCs w:val="24"/>
              </w:rPr>
            </w:pPr>
            <w:r w:rsidRPr="00883413">
              <w:rPr>
                <w:rFonts w:ascii="Times New Roman" w:hAnsi="Times New Roman" w:cs="Times New Roman"/>
                <w:sz w:val="24"/>
                <w:szCs w:val="24"/>
              </w:rPr>
              <w:t>Bobo-Dioulasso</w:t>
            </w:r>
          </w:p>
        </w:tc>
        <w:tc>
          <w:tcPr>
            <w:tcW w:w="1559" w:type="dxa"/>
            <w:tcBorders>
              <w:top w:val="single" w:sz="18" w:space="0" w:color="0070C0"/>
            </w:tcBorders>
          </w:tcPr>
          <w:p w14:paraId="74787B59" w14:textId="7777777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sz w:val="24"/>
                <w:szCs w:val="24"/>
              </w:rPr>
            </w:pPr>
            <w:proofErr w:type="spellStart"/>
            <w:r w:rsidRPr="00883413">
              <w:rPr>
                <w:rFonts w:ascii="Times New Roman" w:hAnsi="Times New Roman" w:cs="Times New Roman"/>
                <w:b/>
                <w:bCs/>
                <w:i/>
                <w:iCs/>
                <w:sz w:val="24"/>
                <w:szCs w:val="24"/>
              </w:rPr>
              <w:t>Sclerocarya</w:t>
            </w:r>
            <w:proofErr w:type="spellEnd"/>
            <w:r w:rsidRPr="00883413">
              <w:rPr>
                <w:rFonts w:ascii="Times New Roman" w:hAnsi="Times New Roman" w:cs="Times New Roman"/>
                <w:b/>
                <w:bCs/>
                <w:i/>
                <w:iCs/>
                <w:sz w:val="24"/>
                <w:szCs w:val="24"/>
              </w:rPr>
              <w:t xml:space="preserve"> </w:t>
            </w:r>
            <w:proofErr w:type="spellStart"/>
            <w:r w:rsidRPr="00883413">
              <w:rPr>
                <w:rFonts w:ascii="Times New Roman" w:hAnsi="Times New Roman" w:cs="Times New Roman"/>
                <w:b/>
                <w:bCs/>
                <w:i/>
                <w:iCs/>
                <w:sz w:val="24"/>
                <w:szCs w:val="24"/>
              </w:rPr>
              <w:t>birrea</w:t>
            </w:r>
            <w:proofErr w:type="spellEnd"/>
          </w:p>
        </w:tc>
        <w:tc>
          <w:tcPr>
            <w:tcW w:w="1559" w:type="dxa"/>
            <w:tcBorders>
              <w:top w:val="single" w:sz="18" w:space="0" w:color="0070C0"/>
            </w:tcBorders>
            <w:vAlign w:val="center"/>
          </w:tcPr>
          <w:p w14:paraId="4D20FF2A" w14:textId="6CF4AAE5"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sz w:val="24"/>
                <w:szCs w:val="24"/>
              </w:rPr>
              <w:t>1</w:t>
            </w:r>
            <w:r w:rsidR="00C26807">
              <w:rPr>
                <w:rFonts w:ascii="Times New Roman" w:hAnsi="Times New Roman" w:cs="Times New Roman"/>
                <w:sz w:val="24"/>
                <w:szCs w:val="24"/>
              </w:rPr>
              <w:t>.</w:t>
            </w:r>
            <w:r w:rsidRPr="00883413">
              <w:rPr>
                <w:rFonts w:ascii="Times New Roman" w:hAnsi="Times New Roman" w:cs="Times New Roman"/>
                <w:sz w:val="24"/>
                <w:szCs w:val="24"/>
              </w:rPr>
              <w:t>63</w:t>
            </w:r>
            <w:r w:rsidRPr="00883413">
              <w:rPr>
                <w:rFonts w:ascii="Times New Roman" w:eastAsia="Times New Roman" w:hAnsi="Times New Roman" w:cs="Times New Roman"/>
                <w:color w:val="000000"/>
                <w:sz w:val="24"/>
                <w:szCs w:val="24"/>
              </w:rPr>
              <w:t>±1</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64</w:t>
            </w:r>
          </w:p>
        </w:tc>
        <w:tc>
          <w:tcPr>
            <w:tcW w:w="2362" w:type="dxa"/>
            <w:tcBorders>
              <w:top w:val="single" w:sz="18" w:space="0" w:color="0070C0"/>
            </w:tcBorders>
            <w:vAlign w:val="center"/>
          </w:tcPr>
          <w:p w14:paraId="05E9D596" w14:textId="03CE6860"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sz w:val="24"/>
                <w:szCs w:val="24"/>
              </w:rPr>
              <w:t>0</w:t>
            </w:r>
            <w:r w:rsidR="00C26807">
              <w:rPr>
                <w:rFonts w:ascii="Times New Roman" w:hAnsi="Times New Roman" w:cs="Times New Roman"/>
                <w:sz w:val="24"/>
                <w:szCs w:val="24"/>
              </w:rPr>
              <w:t>.</w:t>
            </w:r>
            <w:r w:rsidRPr="00883413">
              <w:rPr>
                <w:rFonts w:ascii="Times New Roman" w:hAnsi="Times New Roman" w:cs="Times New Roman"/>
                <w:sz w:val="24"/>
                <w:szCs w:val="24"/>
              </w:rPr>
              <w:t>95</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01</w:t>
            </w:r>
          </w:p>
        </w:tc>
        <w:tc>
          <w:tcPr>
            <w:tcW w:w="1843" w:type="dxa"/>
            <w:tcBorders>
              <w:top w:val="single" w:sz="18" w:space="0" w:color="0070C0"/>
            </w:tcBorders>
            <w:vAlign w:val="center"/>
          </w:tcPr>
          <w:p w14:paraId="76B3A179" w14:textId="569D57E5"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b/>
                <w:bCs/>
                <w:sz w:val="24"/>
                <w:szCs w:val="24"/>
              </w:rPr>
              <w:t>1</w:t>
            </w:r>
            <w:r w:rsidR="00C26807">
              <w:rPr>
                <w:rFonts w:ascii="Times New Roman" w:hAnsi="Times New Roman" w:cs="Times New Roman"/>
                <w:b/>
                <w:bCs/>
                <w:sz w:val="24"/>
                <w:szCs w:val="24"/>
              </w:rPr>
              <w:t>.</w:t>
            </w:r>
            <w:r w:rsidRPr="00883413">
              <w:rPr>
                <w:rFonts w:ascii="Times New Roman" w:hAnsi="Times New Roman" w:cs="Times New Roman"/>
                <w:b/>
                <w:bCs/>
                <w:sz w:val="24"/>
                <w:szCs w:val="24"/>
              </w:rPr>
              <w:t>7</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02</w:t>
            </w:r>
            <w:r w:rsidRPr="00883413">
              <w:rPr>
                <w:rFonts w:ascii="Times New Roman" w:hAnsi="Times New Roman" w:cs="Times New Roman"/>
                <w:b/>
                <w:bCs/>
                <w:sz w:val="24"/>
                <w:szCs w:val="24"/>
              </w:rPr>
              <w:t xml:space="preserve"> </w:t>
            </w:r>
          </w:p>
        </w:tc>
      </w:tr>
      <w:tr w:rsidR="002A25E2" w:rsidRPr="00883413" w14:paraId="26C08719" w14:textId="77777777" w:rsidTr="00ED2118">
        <w:tc>
          <w:tcPr>
            <w:cnfStyle w:val="001000000000" w:firstRow="0" w:lastRow="0" w:firstColumn="1" w:lastColumn="0" w:oddVBand="0" w:evenVBand="0" w:oddHBand="0" w:evenHBand="0" w:firstRowFirstColumn="0" w:firstRowLastColumn="0" w:lastRowFirstColumn="0" w:lastRowLastColumn="0"/>
            <w:tcW w:w="1702" w:type="dxa"/>
            <w:vMerge/>
          </w:tcPr>
          <w:p w14:paraId="025510AA" w14:textId="77777777" w:rsidR="002A25E2" w:rsidRPr="00883413" w:rsidRDefault="002A25E2" w:rsidP="00B80458">
            <w:pPr>
              <w:spacing w:line="360" w:lineRule="auto"/>
              <w:jc w:val="both"/>
              <w:rPr>
                <w:rFonts w:ascii="Times New Roman" w:hAnsi="Times New Roman" w:cs="Times New Roman"/>
                <w:b w:val="0"/>
                <w:bCs w:val="0"/>
                <w:sz w:val="24"/>
                <w:szCs w:val="24"/>
              </w:rPr>
            </w:pPr>
          </w:p>
        </w:tc>
        <w:tc>
          <w:tcPr>
            <w:tcW w:w="1559" w:type="dxa"/>
          </w:tcPr>
          <w:p w14:paraId="146D0867" w14:textId="77777777"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24"/>
                <w:szCs w:val="24"/>
              </w:rPr>
            </w:pPr>
            <w:proofErr w:type="spellStart"/>
            <w:r w:rsidRPr="00883413">
              <w:rPr>
                <w:rFonts w:ascii="Times New Roman" w:hAnsi="Times New Roman" w:cs="Times New Roman"/>
                <w:b/>
                <w:bCs/>
                <w:i/>
                <w:iCs/>
                <w:sz w:val="24"/>
                <w:szCs w:val="24"/>
              </w:rPr>
              <w:t>Leptadenia</w:t>
            </w:r>
            <w:proofErr w:type="spellEnd"/>
            <w:r w:rsidRPr="00883413">
              <w:rPr>
                <w:rFonts w:ascii="Times New Roman" w:hAnsi="Times New Roman" w:cs="Times New Roman"/>
                <w:b/>
                <w:bCs/>
                <w:i/>
                <w:iCs/>
                <w:sz w:val="24"/>
                <w:szCs w:val="24"/>
              </w:rPr>
              <w:t xml:space="preserve"> </w:t>
            </w:r>
            <w:proofErr w:type="spellStart"/>
            <w:r w:rsidRPr="00883413">
              <w:rPr>
                <w:rFonts w:ascii="Times New Roman" w:hAnsi="Times New Roman" w:cs="Times New Roman"/>
                <w:b/>
                <w:bCs/>
                <w:i/>
                <w:iCs/>
                <w:sz w:val="24"/>
                <w:szCs w:val="24"/>
              </w:rPr>
              <w:t>hastata</w:t>
            </w:r>
            <w:proofErr w:type="spellEnd"/>
          </w:p>
        </w:tc>
        <w:tc>
          <w:tcPr>
            <w:tcW w:w="1559" w:type="dxa"/>
            <w:vAlign w:val="center"/>
          </w:tcPr>
          <w:p w14:paraId="35E80534" w14:textId="33DCD5F6"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b/>
                <w:bCs/>
                <w:sz w:val="24"/>
                <w:szCs w:val="24"/>
              </w:rPr>
              <w:t>2</w:t>
            </w:r>
            <w:r w:rsidR="00C26807">
              <w:rPr>
                <w:rFonts w:ascii="Times New Roman" w:hAnsi="Times New Roman" w:cs="Times New Roman"/>
                <w:b/>
                <w:bCs/>
                <w:sz w:val="24"/>
                <w:szCs w:val="24"/>
              </w:rPr>
              <w:t>.</w:t>
            </w:r>
            <w:r w:rsidRPr="00883413">
              <w:rPr>
                <w:rFonts w:ascii="Times New Roman" w:hAnsi="Times New Roman" w:cs="Times New Roman"/>
                <w:b/>
                <w:bCs/>
                <w:sz w:val="24"/>
                <w:szCs w:val="24"/>
              </w:rPr>
              <w:t>13</w:t>
            </w:r>
            <w:r w:rsidRPr="00883413">
              <w:rPr>
                <w:rFonts w:ascii="Times New Roman" w:eastAsia="Times New Roman" w:hAnsi="Times New Roman" w:cs="Times New Roman"/>
                <w:b/>
                <w:bCs/>
                <w:color w:val="000000"/>
                <w:sz w:val="24"/>
                <w:szCs w:val="24"/>
              </w:rPr>
              <w:t>±0</w:t>
            </w:r>
            <w:r w:rsidR="00C26807">
              <w:rPr>
                <w:rFonts w:ascii="Times New Roman" w:eastAsia="Times New Roman" w:hAnsi="Times New Roman" w:cs="Times New Roman"/>
                <w:b/>
                <w:bCs/>
                <w:color w:val="000000"/>
                <w:sz w:val="24"/>
                <w:szCs w:val="24"/>
              </w:rPr>
              <w:t>.</w:t>
            </w:r>
            <w:r w:rsidRPr="00883413">
              <w:rPr>
                <w:rFonts w:ascii="Times New Roman" w:eastAsia="Times New Roman" w:hAnsi="Times New Roman" w:cs="Times New Roman"/>
                <w:b/>
                <w:bCs/>
                <w:color w:val="000000"/>
                <w:sz w:val="24"/>
                <w:szCs w:val="24"/>
              </w:rPr>
              <w:t>03</w:t>
            </w:r>
          </w:p>
        </w:tc>
        <w:tc>
          <w:tcPr>
            <w:tcW w:w="2362" w:type="dxa"/>
            <w:vAlign w:val="center"/>
          </w:tcPr>
          <w:p w14:paraId="211C65B2" w14:textId="3FE7A16E"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sz w:val="24"/>
                <w:szCs w:val="24"/>
              </w:rPr>
              <w:t>0</w:t>
            </w:r>
            <w:r w:rsidR="00C26807">
              <w:rPr>
                <w:rFonts w:ascii="Times New Roman" w:hAnsi="Times New Roman" w:cs="Times New Roman"/>
                <w:sz w:val="24"/>
                <w:szCs w:val="24"/>
              </w:rPr>
              <w:t>.</w:t>
            </w:r>
            <w:r w:rsidRPr="00883413">
              <w:rPr>
                <w:rFonts w:ascii="Times New Roman" w:hAnsi="Times New Roman" w:cs="Times New Roman"/>
                <w:sz w:val="24"/>
                <w:szCs w:val="24"/>
              </w:rPr>
              <w:t>42</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005</w:t>
            </w:r>
          </w:p>
        </w:tc>
        <w:tc>
          <w:tcPr>
            <w:tcW w:w="1843" w:type="dxa"/>
            <w:vAlign w:val="center"/>
          </w:tcPr>
          <w:p w14:paraId="59763448" w14:textId="64C64735"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0</w:t>
            </w:r>
            <w:r w:rsidR="00C26807">
              <w:rPr>
                <w:rFonts w:ascii="Times New Roman" w:hAnsi="Times New Roman" w:cs="Times New Roman"/>
                <w:sz w:val="24"/>
                <w:szCs w:val="24"/>
              </w:rPr>
              <w:t>.</w:t>
            </w:r>
            <w:r w:rsidRPr="00883413">
              <w:rPr>
                <w:rFonts w:ascii="Times New Roman" w:hAnsi="Times New Roman" w:cs="Times New Roman"/>
                <w:sz w:val="24"/>
                <w:szCs w:val="24"/>
              </w:rPr>
              <w:t>5</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003</w:t>
            </w:r>
          </w:p>
        </w:tc>
      </w:tr>
      <w:tr w:rsidR="002A25E2" w:rsidRPr="00883413" w14:paraId="79A17E4B" w14:textId="77777777" w:rsidTr="00ED21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2" w:type="dxa"/>
            <w:vMerge w:val="restart"/>
          </w:tcPr>
          <w:p w14:paraId="430B94DC" w14:textId="77777777" w:rsidR="002A25E2" w:rsidRPr="00883413" w:rsidRDefault="002A25E2" w:rsidP="00B80458">
            <w:pPr>
              <w:spacing w:line="360" w:lineRule="auto"/>
              <w:jc w:val="both"/>
              <w:rPr>
                <w:rFonts w:ascii="Times New Roman" w:hAnsi="Times New Roman" w:cs="Times New Roman"/>
                <w:b w:val="0"/>
                <w:bCs w:val="0"/>
                <w:sz w:val="24"/>
                <w:szCs w:val="24"/>
              </w:rPr>
            </w:pPr>
            <w:r w:rsidRPr="00883413">
              <w:rPr>
                <w:rFonts w:ascii="Times New Roman" w:hAnsi="Times New Roman" w:cs="Times New Roman"/>
                <w:sz w:val="24"/>
                <w:szCs w:val="24"/>
              </w:rPr>
              <w:t>Boromo</w:t>
            </w:r>
          </w:p>
        </w:tc>
        <w:tc>
          <w:tcPr>
            <w:tcW w:w="1559" w:type="dxa"/>
          </w:tcPr>
          <w:p w14:paraId="2E5AA067" w14:textId="7777777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sz w:val="24"/>
                <w:szCs w:val="24"/>
              </w:rPr>
            </w:pPr>
            <w:proofErr w:type="spellStart"/>
            <w:r w:rsidRPr="00883413">
              <w:rPr>
                <w:rFonts w:ascii="Times New Roman" w:hAnsi="Times New Roman" w:cs="Times New Roman"/>
                <w:b/>
                <w:bCs/>
                <w:i/>
                <w:iCs/>
                <w:sz w:val="24"/>
                <w:szCs w:val="24"/>
              </w:rPr>
              <w:t>Sclerocarya</w:t>
            </w:r>
            <w:proofErr w:type="spellEnd"/>
            <w:r w:rsidRPr="00883413">
              <w:rPr>
                <w:rFonts w:ascii="Times New Roman" w:hAnsi="Times New Roman" w:cs="Times New Roman"/>
                <w:b/>
                <w:bCs/>
                <w:i/>
                <w:iCs/>
                <w:sz w:val="24"/>
                <w:szCs w:val="24"/>
              </w:rPr>
              <w:t xml:space="preserve"> </w:t>
            </w:r>
            <w:proofErr w:type="spellStart"/>
            <w:r w:rsidRPr="00883413">
              <w:rPr>
                <w:rFonts w:ascii="Times New Roman" w:hAnsi="Times New Roman" w:cs="Times New Roman"/>
                <w:b/>
                <w:bCs/>
                <w:i/>
                <w:iCs/>
                <w:sz w:val="24"/>
                <w:szCs w:val="24"/>
              </w:rPr>
              <w:t>birrea</w:t>
            </w:r>
            <w:proofErr w:type="spellEnd"/>
          </w:p>
        </w:tc>
        <w:tc>
          <w:tcPr>
            <w:tcW w:w="1559" w:type="dxa"/>
            <w:vAlign w:val="center"/>
          </w:tcPr>
          <w:p w14:paraId="65C85925" w14:textId="04343160"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1</w:t>
            </w:r>
            <w:r w:rsidR="00C26807">
              <w:rPr>
                <w:rFonts w:ascii="Times New Roman" w:hAnsi="Times New Roman" w:cs="Times New Roman"/>
                <w:sz w:val="24"/>
                <w:szCs w:val="24"/>
              </w:rPr>
              <w:t>.</w:t>
            </w:r>
            <w:r w:rsidRPr="00883413">
              <w:rPr>
                <w:rFonts w:ascii="Times New Roman" w:hAnsi="Times New Roman" w:cs="Times New Roman"/>
                <w:sz w:val="24"/>
                <w:szCs w:val="24"/>
              </w:rPr>
              <w:t>82</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4</w:t>
            </w:r>
          </w:p>
        </w:tc>
        <w:tc>
          <w:tcPr>
            <w:tcW w:w="2362" w:type="dxa"/>
            <w:vAlign w:val="center"/>
          </w:tcPr>
          <w:p w14:paraId="5210D674" w14:textId="3FA464DB"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0</w:t>
            </w:r>
            <w:r w:rsidR="00C26807">
              <w:rPr>
                <w:rFonts w:ascii="Times New Roman" w:hAnsi="Times New Roman" w:cs="Times New Roman"/>
                <w:sz w:val="24"/>
                <w:szCs w:val="24"/>
              </w:rPr>
              <w:t>.</w:t>
            </w:r>
            <w:r w:rsidRPr="00883413">
              <w:rPr>
                <w:rFonts w:ascii="Times New Roman" w:hAnsi="Times New Roman" w:cs="Times New Roman"/>
                <w:sz w:val="24"/>
                <w:szCs w:val="24"/>
              </w:rPr>
              <w:t>98</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007</w:t>
            </w:r>
          </w:p>
        </w:tc>
        <w:tc>
          <w:tcPr>
            <w:tcW w:w="1843" w:type="dxa"/>
            <w:vAlign w:val="center"/>
          </w:tcPr>
          <w:p w14:paraId="6AFFFD33" w14:textId="63F59BA2"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sz w:val="24"/>
                <w:szCs w:val="24"/>
              </w:rPr>
              <w:t>16</w:t>
            </w:r>
            <w:r w:rsidR="00C26807">
              <w:rPr>
                <w:rFonts w:ascii="Times New Roman" w:hAnsi="Times New Roman" w:cs="Times New Roman"/>
                <w:sz w:val="24"/>
                <w:szCs w:val="24"/>
              </w:rPr>
              <w:t>.</w:t>
            </w:r>
            <w:r w:rsidRPr="00883413">
              <w:rPr>
                <w:rFonts w:ascii="Times New Roman" w:hAnsi="Times New Roman" w:cs="Times New Roman"/>
                <w:sz w:val="24"/>
                <w:szCs w:val="24"/>
              </w:rPr>
              <w:t>5</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005</w:t>
            </w:r>
          </w:p>
        </w:tc>
      </w:tr>
      <w:tr w:rsidR="002A25E2" w:rsidRPr="00883413" w14:paraId="3A3D49F7" w14:textId="77777777" w:rsidTr="00ED2118">
        <w:tc>
          <w:tcPr>
            <w:cnfStyle w:val="001000000000" w:firstRow="0" w:lastRow="0" w:firstColumn="1" w:lastColumn="0" w:oddVBand="0" w:evenVBand="0" w:oddHBand="0" w:evenHBand="0" w:firstRowFirstColumn="0" w:firstRowLastColumn="0" w:lastRowFirstColumn="0" w:lastRowLastColumn="0"/>
            <w:tcW w:w="1702" w:type="dxa"/>
            <w:vMerge/>
          </w:tcPr>
          <w:p w14:paraId="4376EB52" w14:textId="77777777" w:rsidR="002A25E2" w:rsidRPr="00883413" w:rsidRDefault="002A25E2" w:rsidP="00B80458">
            <w:pPr>
              <w:spacing w:line="360" w:lineRule="auto"/>
              <w:jc w:val="both"/>
              <w:rPr>
                <w:rFonts w:ascii="Times New Roman" w:hAnsi="Times New Roman" w:cs="Times New Roman"/>
                <w:b w:val="0"/>
                <w:bCs w:val="0"/>
                <w:sz w:val="24"/>
                <w:szCs w:val="24"/>
              </w:rPr>
            </w:pPr>
          </w:p>
        </w:tc>
        <w:tc>
          <w:tcPr>
            <w:tcW w:w="1559" w:type="dxa"/>
          </w:tcPr>
          <w:p w14:paraId="442E8E2B" w14:textId="77777777"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24"/>
                <w:szCs w:val="24"/>
              </w:rPr>
            </w:pPr>
            <w:proofErr w:type="spellStart"/>
            <w:r w:rsidRPr="00883413">
              <w:rPr>
                <w:rFonts w:ascii="Times New Roman" w:hAnsi="Times New Roman" w:cs="Times New Roman"/>
                <w:b/>
                <w:bCs/>
                <w:i/>
                <w:iCs/>
                <w:sz w:val="24"/>
                <w:szCs w:val="24"/>
              </w:rPr>
              <w:t>Leptadenia</w:t>
            </w:r>
            <w:proofErr w:type="spellEnd"/>
            <w:r w:rsidRPr="00883413">
              <w:rPr>
                <w:rFonts w:ascii="Times New Roman" w:hAnsi="Times New Roman" w:cs="Times New Roman"/>
                <w:b/>
                <w:bCs/>
                <w:i/>
                <w:iCs/>
                <w:sz w:val="24"/>
                <w:szCs w:val="24"/>
              </w:rPr>
              <w:t xml:space="preserve"> </w:t>
            </w:r>
            <w:proofErr w:type="spellStart"/>
            <w:r w:rsidRPr="00883413">
              <w:rPr>
                <w:rFonts w:ascii="Times New Roman" w:hAnsi="Times New Roman" w:cs="Times New Roman"/>
                <w:b/>
                <w:bCs/>
                <w:i/>
                <w:iCs/>
                <w:sz w:val="24"/>
                <w:szCs w:val="24"/>
              </w:rPr>
              <w:t>hastata</w:t>
            </w:r>
            <w:proofErr w:type="spellEnd"/>
          </w:p>
        </w:tc>
        <w:tc>
          <w:tcPr>
            <w:tcW w:w="1559" w:type="dxa"/>
            <w:vAlign w:val="center"/>
          </w:tcPr>
          <w:p w14:paraId="4910D83E" w14:textId="1A41BC9F"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sz w:val="24"/>
                <w:szCs w:val="24"/>
              </w:rPr>
              <w:t>1</w:t>
            </w:r>
            <w:r w:rsidR="00C26807">
              <w:rPr>
                <w:rFonts w:ascii="Times New Roman" w:hAnsi="Times New Roman" w:cs="Times New Roman"/>
                <w:sz w:val="24"/>
                <w:szCs w:val="24"/>
              </w:rPr>
              <w:t>.</w:t>
            </w:r>
            <w:r w:rsidRPr="00883413">
              <w:rPr>
                <w:rFonts w:ascii="Times New Roman" w:hAnsi="Times New Roman" w:cs="Times New Roman"/>
                <w:sz w:val="24"/>
                <w:szCs w:val="24"/>
              </w:rPr>
              <w:t>52</w:t>
            </w:r>
            <w:r w:rsidRPr="00883413">
              <w:rPr>
                <w:rFonts w:ascii="Times New Roman" w:eastAsia="Times New Roman" w:hAnsi="Times New Roman" w:cs="Times New Roman"/>
                <w:color w:val="000000"/>
                <w:sz w:val="24"/>
                <w:szCs w:val="24"/>
              </w:rPr>
              <w:t>±2</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78</w:t>
            </w:r>
          </w:p>
        </w:tc>
        <w:tc>
          <w:tcPr>
            <w:tcW w:w="2362" w:type="dxa"/>
            <w:vAlign w:val="center"/>
          </w:tcPr>
          <w:p w14:paraId="2644AD73" w14:textId="2222C30F"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sz w:val="24"/>
                <w:szCs w:val="24"/>
              </w:rPr>
              <w:t>0</w:t>
            </w:r>
            <w:r w:rsidR="00C26807">
              <w:rPr>
                <w:rFonts w:ascii="Times New Roman" w:hAnsi="Times New Roman" w:cs="Times New Roman"/>
                <w:sz w:val="24"/>
                <w:szCs w:val="24"/>
              </w:rPr>
              <w:t>.</w:t>
            </w:r>
            <w:r w:rsidRPr="00883413">
              <w:rPr>
                <w:rFonts w:ascii="Times New Roman" w:hAnsi="Times New Roman" w:cs="Times New Roman"/>
                <w:sz w:val="24"/>
                <w:szCs w:val="24"/>
              </w:rPr>
              <w:t>37</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001</w:t>
            </w:r>
          </w:p>
        </w:tc>
        <w:tc>
          <w:tcPr>
            <w:tcW w:w="1843" w:type="dxa"/>
            <w:vAlign w:val="center"/>
          </w:tcPr>
          <w:p w14:paraId="33BECFF9" w14:textId="0E3D146C"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0</w:t>
            </w:r>
            <w:r w:rsidR="00C26807">
              <w:rPr>
                <w:rFonts w:ascii="Times New Roman" w:hAnsi="Times New Roman" w:cs="Times New Roman"/>
                <w:sz w:val="24"/>
                <w:szCs w:val="24"/>
              </w:rPr>
              <w:t>.</w:t>
            </w:r>
            <w:r w:rsidRPr="00883413">
              <w:rPr>
                <w:rFonts w:ascii="Times New Roman" w:hAnsi="Times New Roman" w:cs="Times New Roman"/>
                <w:sz w:val="24"/>
                <w:szCs w:val="24"/>
              </w:rPr>
              <w:t>125</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001</w:t>
            </w:r>
          </w:p>
        </w:tc>
      </w:tr>
    </w:tbl>
    <w:p w14:paraId="66DAAB30" w14:textId="77777777"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lastRenderedPageBreak/>
        <w:t xml:space="preserve">These results show that all extracts exhibited antioxidant activity, with the exception of </w:t>
      </w:r>
      <w:proofErr w:type="spellStart"/>
      <w:r w:rsidRPr="00883413">
        <w:rPr>
          <w:rFonts w:ascii="Times New Roman" w:hAnsi="Times New Roman" w:cs="Times New Roman"/>
          <w:lang w:val="en-US"/>
        </w:rPr>
        <w:t>Leptadenia</w:t>
      </w:r>
      <w:proofErr w:type="spellEnd"/>
      <w:r w:rsidRPr="00883413">
        <w:rPr>
          <w:rFonts w:ascii="Times New Roman" w:hAnsi="Times New Roman" w:cs="Times New Roman"/>
          <w:lang w:val="en-US"/>
        </w:rPr>
        <w:t xml:space="preserve"> hastata from </w:t>
      </w:r>
      <w:proofErr w:type="spellStart"/>
      <w:r w:rsidRPr="00883413">
        <w:rPr>
          <w:rFonts w:ascii="Times New Roman" w:hAnsi="Times New Roman" w:cs="Times New Roman"/>
          <w:lang w:val="en-US"/>
        </w:rPr>
        <w:t>Boromo</w:t>
      </w:r>
      <w:proofErr w:type="spellEnd"/>
      <w:r w:rsidRPr="00883413">
        <w:rPr>
          <w:rFonts w:ascii="Times New Roman" w:hAnsi="Times New Roman" w:cs="Times New Roman"/>
          <w:lang w:val="en-US"/>
        </w:rPr>
        <w:t xml:space="preserve">. The </w:t>
      </w:r>
      <w:proofErr w:type="spellStart"/>
      <w:r w:rsidRPr="00883413">
        <w:rPr>
          <w:rFonts w:ascii="Times New Roman" w:hAnsi="Times New Roman" w:cs="Times New Roman"/>
          <w:lang w:val="en-US"/>
        </w:rPr>
        <w:t>Sclerocarya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birrea</w:t>
      </w:r>
      <w:proofErr w:type="spellEnd"/>
      <w:r w:rsidRPr="00883413">
        <w:rPr>
          <w:rFonts w:ascii="Times New Roman" w:hAnsi="Times New Roman" w:cs="Times New Roman"/>
          <w:lang w:val="en-US"/>
        </w:rPr>
        <w:t xml:space="preserve"> extract from Bobo-Dioulasso exhibited the highest antioxidant activity as measured by the ABTS•+ method.</w:t>
      </w:r>
    </w:p>
    <w:p w14:paraId="6DE6319F" w14:textId="77777777" w:rsidR="002A25E2" w:rsidRPr="00883413" w:rsidRDefault="002A25E2" w:rsidP="00B80458">
      <w:pPr>
        <w:spacing w:before="240" w:line="360" w:lineRule="auto"/>
        <w:jc w:val="both"/>
        <w:rPr>
          <w:rFonts w:ascii="Times New Roman" w:hAnsi="Times New Roman" w:cs="Times New Roman"/>
          <w:lang w:val="en-US"/>
        </w:rPr>
      </w:pPr>
    </w:p>
    <w:p w14:paraId="330A81CC" w14:textId="77777777"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3.3. Enumeration of Total Mesophilic Aerobic Flora</w:t>
      </w:r>
    </w:p>
    <w:p w14:paraId="35222B47" w14:textId="77777777"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The enumeration of Total Mesophilic Aerobic Flora was performed using a microdilution series in PCA culture medium. Aerobic bacteria are considered an indicator of quality control for products intended for therapeutic use (</w:t>
      </w:r>
      <w:proofErr w:type="spellStart"/>
      <w:r w:rsidRPr="00883413">
        <w:rPr>
          <w:rFonts w:ascii="Times New Roman" w:hAnsi="Times New Roman" w:cs="Times New Roman"/>
          <w:lang w:val="en-US"/>
        </w:rPr>
        <w:t>Patnala</w:t>
      </w:r>
      <w:proofErr w:type="spellEnd"/>
      <w:r w:rsidRPr="00883413">
        <w:rPr>
          <w:rFonts w:ascii="Times New Roman" w:hAnsi="Times New Roman" w:cs="Times New Roman"/>
          <w:lang w:val="en-US"/>
        </w:rPr>
        <w:t xml:space="preserve"> &amp; Kanfer, 2021). Table V shows the results for Total Mesophilic Aerobic Bacteria in the plant powder samples on PCA agar. These results indicate that the collection site significantly affects the microbiological quality of the samples. The samples collected in Bobo had the highest bacterial count (3.13 ± 0.03 × 10⁶ CFU/g).</w:t>
      </w:r>
    </w:p>
    <w:p w14:paraId="7AE31729" w14:textId="77777777" w:rsidR="002A25E2" w:rsidRPr="00883413" w:rsidRDefault="002A25E2" w:rsidP="00B80458">
      <w:pPr>
        <w:spacing w:before="240" w:line="360" w:lineRule="auto"/>
        <w:jc w:val="both"/>
        <w:rPr>
          <w:rFonts w:ascii="Times New Roman" w:hAnsi="Times New Roman" w:cs="Times New Roman"/>
          <w:lang w:val="en-US"/>
        </w:rPr>
      </w:pPr>
    </w:p>
    <w:p w14:paraId="74FC6DF6" w14:textId="77777777" w:rsidR="002A25E2" w:rsidRPr="00883413" w:rsidRDefault="002A25E2"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Table V: Count of Total Mesophilic Aerobic Flora</w:t>
      </w:r>
    </w:p>
    <w:p w14:paraId="13137021" w14:textId="77777777" w:rsidR="002A25E2" w:rsidRPr="00883413" w:rsidRDefault="002A25E2" w:rsidP="00B80458">
      <w:pPr>
        <w:spacing w:before="240" w:line="360" w:lineRule="auto"/>
        <w:jc w:val="both"/>
        <w:rPr>
          <w:rFonts w:ascii="Times New Roman" w:hAnsi="Times New Roman" w:cs="Times New Roman"/>
          <w:lang w:val="en-US"/>
        </w:rPr>
      </w:pPr>
    </w:p>
    <w:tbl>
      <w:tblPr>
        <w:tblStyle w:val="PlainTable2"/>
        <w:tblW w:w="9025" w:type="dxa"/>
        <w:tblBorders>
          <w:bottom w:val="single" w:sz="18" w:space="0" w:color="0070C0"/>
          <w:insideH w:val="single" w:sz="4" w:space="0" w:color="7F7F7F" w:themeColor="text1" w:themeTint="80"/>
        </w:tblBorders>
        <w:tblLayout w:type="fixed"/>
        <w:tblLook w:val="04A0" w:firstRow="1" w:lastRow="0" w:firstColumn="1" w:lastColumn="0" w:noHBand="0" w:noVBand="1"/>
      </w:tblPr>
      <w:tblGrid>
        <w:gridCol w:w="3187"/>
        <w:gridCol w:w="2919"/>
        <w:gridCol w:w="2919"/>
      </w:tblGrid>
      <w:tr w:rsidR="002A25E2" w:rsidRPr="00883413" w14:paraId="76D8E6F3" w14:textId="77777777" w:rsidTr="007862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7" w:type="dxa"/>
            <w:tcBorders>
              <w:top w:val="single" w:sz="18" w:space="0" w:color="0070C0"/>
              <w:bottom w:val="single" w:sz="18" w:space="0" w:color="0070C0"/>
            </w:tcBorders>
          </w:tcPr>
          <w:p w14:paraId="6593E772" w14:textId="254A5DF7" w:rsidR="002A25E2" w:rsidRPr="00883413" w:rsidRDefault="0089358D" w:rsidP="00B80458">
            <w:pPr>
              <w:pStyle w:val="ListParagraph"/>
              <w:spacing w:line="360" w:lineRule="auto"/>
              <w:jc w:val="both"/>
              <w:rPr>
                <w:rFonts w:ascii="Times New Roman" w:hAnsi="Times New Roman" w:cs="Times New Roman"/>
                <w:sz w:val="24"/>
                <w:szCs w:val="24"/>
              </w:rPr>
            </w:pPr>
            <w:r w:rsidRPr="00883413">
              <w:rPr>
                <w:rFonts w:ascii="Times New Roman" w:hAnsi="Times New Roman" w:cs="Times New Roman"/>
                <w:sz w:val="24"/>
                <w:szCs w:val="24"/>
              </w:rPr>
              <w:t>Collection Location</w:t>
            </w:r>
          </w:p>
        </w:tc>
        <w:tc>
          <w:tcPr>
            <w:tcW w:w="2919" w:type="dxa"/>
            <w:tcBorders>
              <w:top w:val="single" w:sz="18" w:space="0" w:color="0070C0"/>
              <w:bottom w:val="single" w:sz="18" w:space="0" w:color="0070C0"/>
            </w:tcBorders>
          </w:tcPr>
          <w:p w14:paraId="7622FB38" w14:textId="04B622E5" w:rsidR="002A25E2" w:rsidRPr="00883413" w:rsidRDefault="0089358D" w:rsidP="00B8045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sidRPr="00883413">
              <w:rPr>
                <w:rFonts w:ascii="Times New Roman" w:hAnsi="Times New Roman" w:cs="Times New Roman"/>
                <w:sz w:val="24"/>
                <w:szCs w:val="24"/>
              </w:rPr>
              <w:t>Species</w:t>
            </w:r>
            <w:proofErr w:type="spellEnd"/>
          </w:p>
        </w:tc>
        <w:tc>
          <w:tcPr>
            <w:tcW w:w="2919" w:type="dxa"/>
            <w:tcBorders>
              <w:top w:val="single" w:sz="18" w:space="0" w:color="0070C0"/>
              <w:bottom w:val="single" w:sz="18" w:space="0" w:color="0070C0"/>
            </w:tcBorders>
            <w:vAlign w:val="center"/>
          </w:tcPr>
          <w:p w14:paraId="370C8862" w14:textId="77777777" w:rsidR="002A25E2" w:rsidRPr="00883413" w:rsidRDefault="002A25E2" w:rsidP="00B80458">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883413">
              <w:rPr>
                <w:rFonts w:ascii="Times New Roman" w:hAnsi="Times New Roman" w:cs="Times New Roman"/>
                <w:sz w:val="24"/>
                <w:szCs w:val="24"/>
              </w:rPr>
              <w:t>*10</w:t>
            </w:r>
            <w:r w:rsidRPr="00883413">
              <w:rPr>
                <w:rFonts w:ascii="Times New Roman" w:hAnsi="Times New Roman" w:cs="Times New Roman"/>
                <w:sz w:val="24"/>
                <w:szCs w:val="24"/>
                <w:vertAlign w:val="superscript"/>
              </w:rPr>
              <w:t>6</w:t>
            </w:r>
            <w:r w:rsidRPr="00883413">
              <w:rPr>
                <w:rFonts w:ascii="Times New Roman" w:hAnsi="Times New Roman" w:cs="Times New Roman"/>
                <w:sz w:val="24"/>
                <w:szCs w:val="24"/>
              </w:rPr>
              <w:t xml:space="preserve"> CFU/g</w:t>
            </w:r>
          </w:p>
        </w:tc>
      </w:tr>
      <w:tr w:rsidR="002A25E2" w:rsidRPr="00883413" w14:paraId="2BCFCEF2" w14:textId="77777777" w:rsidTr="007862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7" w:type="dxa"/>
            <w:vMerge w:val="restart"/>
            <w:tcBorders>
              <w:top w:val="single" w:sz="18" w:space="0" w:color="0070C0"/>
            </w:tcBorders>
          </w:tcPr>
          <w:p w14:paraId="7A20DFD3" w14:textId="77777777" w:rsidR="002A25E2" w:rsidRPr="00883413" w:rsidRDefault="002A25E2" w:rsidP="00B80458">
            <w:pPr>
              <w:spacing w:line="360" w:lineRule="auto"/>
              <w:jc w:val="both"/>
              <w:rPr>
                <w:rFonts w:ascii="Times New Roman" w:hAnsi="Times New Roman" w:cs="Times New Roman"/>
                <w:b w:val="0"/>
                <w:bCs w:val="0"/>
                <w:sz w:val="24"/>
                <w:szCs w:val="24"/>
              </w:rPr>
            </w:pPr>
            <w:r w:rsidRPr="00883413">
              <w:rPr>
                <w:rFonts w:ascii="Times New Roman" w:hAnsi="Times New Roman" w:cs="Times New Roman"/>
                <w:sz w:val="24"/>
                <w:szCs w:val="24"/>
              </w:rPr>
              <w:t>Bobo-Dioulasso</w:t>
            </w:r>
          </w:p>
        </w:tc>
        <w:tc>
          <w:tcPr>
            <w:tcW w:w="2919" w:type="dxa"/>
            <w:tcBorders>
              <w:top w:val="single" w:sz="18" w:space="0" w:color="0070C0"/>
            </w:tcBorders>
          </w:tcPr>
          <w:p w14:paraId="5A37A30D" w14:textId="7777777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sz w:val="24"/>
                <w:szCs w:val="24"/>
              </w:rPr>
            </w:pPr>
            <w:proofErr w:type="spellStart"/>
            <w:r w:rsidRPr="00883413">
              <w:rPr>
                <w:rFonts w:ascii="Times New Roman" w:hAnsi="Times New Roman" w:cs="Times New Roman"/>
                <w:b/>
                <w:bCs/>
                <w:i/>
                <w:iCs/>
                <w:sz w:val="24"/>
                <w:szCs w:val="24"/>
              </w:rPr>
              <w:t>Sclerocarya</w:t>
            </w:r>
            <w:proofErr w:type="spellEnd"/>
            <w:r w:rsidRPr="00883413">
              <w:rPr>
                <w:rFonts w:ascii="Times New Roman" w:hAnsi="Times New Roman" w:cs="Times New Roman"/>
                <w:b/>
                <w:bCs/>
                <w:i/>
                <w:iCs/>
                <w:sz w:val="24"/>
                <w:szCs w:val="24"/>
              </w:rPr>
              <w:t xml:space="preserve"> </w:t>
            </w:r>
            <w:proofErr w:type="spellStart"/>
            <w:r w:rsidRPr="00883413">
              <w:rPr>
                <w:rFonts w:ascii="Times New Roman" w:hAnsi="Times New Roman" w:cs="Times New Roman"/>
                <w:b/>
                <w:bCs/>
                <w:i/>
                <w:iCs/>
                <w:sz w:val="24"/>
                <w:szCs w:val="24"/>
              </w:rPr>
              <w:t>birrea</w:t>
            </w:r>
            <w:proofErr w:type="spellEnd"/>
          </w:p>
        </w:tc>
        <w:tc>
          <w:tcPr>
            <w:tcW w:w="2919" w:type="dxa"/>
            <w:tcBorders>
              <w:top w:val="single" w:sz="18" w:space="0" w:color="0070C0"/>
            </w:tcBorders>
            <w:vAlign w:val="center"/>
          </w:tcPr>
          <w:p w14:paraId="23771E3D" w14:textId="51C8DD63"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sz w:val="24"/>
                <w:szCs w:val="24"/>
              </w:rPr>
              <w:t>2</w:t>
            </w:r>
            <w:r w:rsidR="00C26807">
              <w:rPr>
                <w:rFonts w:ascii="Times New Roman" w:hAnsi="Times New Roman" w:cs="Times New Roman"/>
                <w:sz w:val="24"/>
                <w:szCs w:val="24"/>
              </w:rPr>
              <w:t>.</w:t>
            </w:r>
            <w:r w:rsidRPr="00883413">
              <w:rPr>
                <w:rFonts w:ascii="Times New Roman" w:hAnsi="Times New Roman" w:cs="Times New Roman"/>
                <w:sz w:val="24"/>
                <w:szCs w:val="24"/>
              </w:rPr>
              <w:t>63</w:t>
            </w:r>
            <w:r w:rsidRPr="00883413">
              <w:rPr>
                <w:rFonts w:ascii="Times New Roman" w:eastAsia="Times New Roman" w:hAnsi="Times New Roman" w:cs="Times New Roman"/>
                <w:color w:val="000000"/>
                <w:sz w:val="24"/>
                <w:szCs w:val="24"/>
              </w:rPr>
              <w:t>±1</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64</w:t>
            </w:r>
          </w:p>
        </w:tc>
      </w:tr>
      <w:tr w:rsidR="002A25E2" w:rsidRPr="00883413" w14:paraId="433D0C03" w14:textId="77777777" w:rsidTr="00786220">
        <w:tc>
          <w:tcPr>
            <w:cnfStyle w:val="001000000000" w:firstRow="0" w:lastRow="0" w:firstColumn="1" w:lastColumn="0" w:oddVBand="0" w:evenVBand="0" w:oddHBand="0" w:evenHBand="0" w:firstRowFirstColumn="0" w:firstRowLastColumn="0" w:lastRowFirstColumn="0" w:lastRowLastColumn="0"/>
            <w:tcW w:w="3187" w:type="dxa"/>
            <w:vMerge/>
          </w:tcPr>
          <w:p w14:paraId="5E42EA03" w14:textId="77777777" w:rsidR="002A25E2" w:rsidRPr="00883413" w:rsidRDefault="002A25E2" w:rsidP="00B80458">
            <w:pPr>
              <w:spacing w:line="360" w:lineRule="auto"/>
              <w:jc w:val="both"/>
              <w:rPr>
                <w:rFonts w:ascii="Times New Roman" w:hAnsi="Times New Roman" w:cs="Times New Roman"/>
                <w:b w:val="0"/>
                <w:bCs w:val="0"/>
                <w:sz w:val="24"/>
                <w:szCs w:val="24"/>
              </w:rPr>
            </w:pPr>
          </w:p>
        </w:tc>
        <w:tc>
          <w:tcPr>
            <w:tcW w:w="2919" w:type="dxa"/>
          </w:tcPr>
          <w:p w14:paraId="48185599" w14:textId="77777777"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24"/>
                <w:szCs w:val="24"/>
              </w:rPr>
            </w:pPr>
            <w:proofErr w:type="spellStart"/>
            <w:r w:rsidRPr="00883413">
              <w:rPr>
                <w:rFonts w:ascii="Times New Roman" w:hAnsi="Times New Roman" w:cs="Times New Roman"/>
                <w:b/>
                <w:bCs/>
                <w:i/>
                <w:iCs/>
                <w:sz w:val="24"/>
                <w:szCs w:val="24"/>
              </w:rPr>
              <w:t>Leptadenia</w:t>
            </w:r>
            <w:proofErr w:type="spellEnd"/>
            <w:r w:rsidRPr="00883413">
              <w:rPr>
                <w:rFonts w:ascii="Times New Roman" w:hAnsi="Times New Roman" w:cs="Times New Roman"/>
                <w:b/>
                <w:bCs/>
                <w:i/>
                <w:iCs/>
                <w:sz w:val="24"/>
                <w:szCs w:val="24"/>
              </w:rPr>
              <w:t xml:space="preserve"> </w:t>
            </w:r>
            <w:proofErr w:type="spellStart"/>
            <w:r w:rsidRPr="00883413">
              <w:rPr>
                <w:rFonts w:ascii="Times New Roman" w:hAnsi="Times New Roman" w:cs="Times New Roman"/>
                <w:b/>
                <w:bCs/>
                <w:i/>
                <w:iCs/>
                <w:sz w:val="24"/>
                <w:szCs w:val="24"/>
              </w:rPr>
              <w:t>hastata</w:t>
            </w:r>
            <w:proofErr w:type="spellEnd"/>
          </w:p>
        </w:tc>
        <w:tc>
          <w:tcPr>
            <w:tcW w:w="2919" w:type="dxa"/>
            <w:vAlign w:val="center"/>
          </w:tcPr>
          <w:p w14:paraId="6898A69F" w14:textId="0A450BB3"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b/>
                <w:bCs/>
                <w:sz w:val="24"/>
                <w:szCs w:val="24"/>
              </w:rPr>
              <w:t>3</w:t>
            </w:r>
            <w:r w:rsidR="00C26807">
              <w:rPr>
                <w:rFonts w:ascii="Times New Roman" w:hAnsi="Times New Roman" w:cs="Times New Roman"/>
                <w:b/>
                <w:bCs/>
                <w:sz w:val="24"/>
                <w:szCs w:val="24"/>
              </w:rPr>
              <w:t>.</w:t>
            </w:r>
            <w:r w:rsidRPr="00883413">
              <w:rPr>
                <w:rFonts w:ascii="Times New Roman" w:hAnsi="Times New Roman" w:cs="Times New Roman"/>
                <w:b/>
                <w:bCs/>
                <w:sz w:val="24"/>
                <w:szCs w:val="24"/>
              </w:rPr>
              <w:t>13</w:t>
            </w:r>
            <w:r w:rsidRPr="00883413">
              <w:rPr>
                <w:rFonts w:ascii="Times New Roman" w:eastAsia="Times New Roman" w:hAnsi="Times New Roman" w:cs="Times New Roman"/>
                <w:b/>
                <w:bCs/>
                <w:color w:val="000000"/>
                <w:sz w:val="24"/>
                <w:szCs w:val="24"/>
              </w:rPr>
              <w:t>±0</w:t>
            </w:r>
            <w:r w:rsidR="00C26807">
              <w:rPr>
                <w:rFonts w:ascii="Times New Roman" w:eastAsia="Times New Roman" w:hAnsi="Times New Roman" w:cs="Times New Roman"/>
                <w:b/>
                <w:bCs/>
                <w:color w:val="000000"/>
                <w:sz w:val="24"/>
                <w:szCs w:val="24"/>
              </w:rPr>
              <w:t>.</w:t>
            </w:r>
            <w:r w:rsidRPr="00883413">
              <w:rPr>
                <w:rFonts w:ascii="Times New Roman" w:eastAsia="Times New Roman" w:hAnsi="Times New Roman" w:cs="Times New Roman"/>
                <w:b/>
                <w:bCs/>
                <w:color w:val="000000"/>
                <w:sz w:val="24"/>
                <w:szCs w:val="24"/>
              </w:rPr>
              <w:t>03</w:t>
            </w:r>
          </w:p>
        </w:tc>
      </w:tr>
      <w:tr w:rsidR="002A25E2" w:rsidRPr="00883413" w14:paraId="6A30EB3B" w14:textId="77777777" w:rsidTr="007862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7" w:type="dxa"/>
            <w:vMerge w:val="restart"/>
          </w:tcPr>
          <w:p w14:paraId="1802984C" w14:textId="77777777" w:rsidR="002A25E2" w:rsidRPr="00883413" w:rsidRDefault="002A25E2" w:rsidP="00B80458">
            <w:pPr>
              <w:spacing w:line="360" w:lineRule="auto"/>
              <w:jc w:val="both"/>
              <w:rPr>
                <w:rFonts w:ascii="Times New Roman" w:hAnsi="Times New Roman" w:cs="Times New Roman"/>
                <w:b w:val="0"/>
                <w:bCs w:val="0"/>
                <w:sz w:val="24"/>
                <w:szCs w:val="24"/>
              </w:rPr>
            </w:pPr>
            <w:r w:rsidRPr="00883413">
              <w:rPr>
                <w:rFonts w:ascii="Times New Roman" w:hAnsi="Times New Roman" w:cs="Times New Roman"/>
                <w:sz w:val="24"/>
                <w:szCs w:val="24"/>
              </w:rPr>
              <w:t>Boromo</w:t>
            </w:r>
          </w:p>
        </w:tc>
        <w:tc>
          <w:tcPr>
            <w:tcW w:w="2919" w:type="dxa"/>
          </w:tcPr>
          <w:p w14:paraId="369960D8" w14:textId="77777777"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iCs/>
                <w:sz w:val="24"/>
                <w:szCs w:val="24"/>
              </w:rPr>
            </w:pPr>
            <w:proofErr w:type="spellStart"/>
            <w:r w:rsidRPr="00883413">
              <w:rPr>
                <w:rFonts w:ascii="Times New Roman" w:hAnsi="Times New Roman" w:cs="Times New Roman"/>
                <w:b/>
                <w:bCs/>
                <w:i/>
                <w:iCs/>
                <w:sz w:val="24"/>
                <w:szCs w:val="24"/>
              </w:rPr>
              <w:t>Sclerocarya</w:t>
            </w:r>
            <w:proofErr w:type="spellEnd"/>
            <w:r w:rsidRPr="00883413">
              <w:rPr>
                <w:rFonts w:ascii="Times New Roman" w:hAnsi="Times New Roman" w:cs="Times New Roman"/>
                <w:b/>
                <w:bCs/>
                <w:i/>
                <w:iCs/>
                <w:sz w:val="24"/>
                <w:szCs w:val="24"/>
              </w:rPr>
              <w:t xml:space="preserve"> </w:t>
            </w:r>
            <w:proofErr w:type="spellStart"/>
            <w:r w:rsidRPr="00883413">
              <w:rPr>
                <w:rFonts w:ascii="Times New Roman" w:hAnsi="Times New Roman" w:cs="Times New Roman"/>
                <w:b/>
                <w:bCs/>
                <w:i/>
                <w:iCs/>
                <w:sz w:val="24"/>
                <w:szCs w:val="24"/>
              </w:rPr>
              <w:t>birrea</w:t>
            </w:r>
            <w:proofErr w:type="spellEnd"/>
          </w:p>
        </w:tc>
        <w:tc>
          <w:tcPr>
            <w:tcW w:w="2919" w:type="dxa"/>
            <w:vAlign w:val="center"/>
          </w:tcPr>
          <w:p w14:paraId="35251204" w14:textId="495107B1" w:rsidR="002A25E2" w:rsidRPr="00883413" w:rsidRDefault="002A25E2" w:rsidP="00B80458">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83413">
              <w:rPr>
                <w:rFonts w:ascii="Times New Roman" w:hAnsi="Times New Roman" w:cs="Times New Roman"/>
                <w:sz w:val="24"/>
                <w:szCs w:val="24"/>
              </w:rPr>
              <w:t>0</w:t>
            </w:r>
            <w:r w:rsidR="00C26807">
              <w:rPr>
                <w:rFonts w:ascii="Times New Roman" w:hAnsi="Times New Roman" w:cs="Times New Roman"/>
                <w:sz w:val="24"/>
                <w:szCs w:val="24"/>
              </w:rPr>
              <w:t>.</w:t>
            </w:r>
            <w:r w:rsidRPr="00883413">
              <w:rPr>
                <w:rFonts w:ascii="Times New Roman" w:hAnsi="Times New Roman" w:cs="Times New Roman"/>
                <w:sz w:val="24"/>
                <w:szCs w:val="24"/>
              </w:rPr>
              <w:t>82</w:t>
            </w:r>
            <w:r w:rsidRPr="00883413">
              <w:rPr>
                <w:rFonts w:ascii="Times New Roman" w:eastAsia="Times New Roman" w:hAnsi="Times New Roman" w:cs="Times New Roman"/>
                <w:color w:val="000000"/>
                <w:sz w:val="24"/>
                <w:szCs w:val="24"/>
              </w:rPr>
              <w:t>±0</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4</w:t>
            </w:r>
          </w:p>
        </w:tc>
      </w:tr>
      <w:tr w:rsidR="002A25E2" w:rsidRPr="00883413" w14:paraId="21B18601" w14:textId="77777777" w:rsidTr="00786220">
        <w:tc>
          <w:tcPr>
            <w:cnfStyle w:val="001000000000" w:firstRow="0" w:lastRow="0" w:firstColumn="1" w:lastColumn="0" w:oddVBand="0" w:evenVBand="0" w:oddHBand="0" w:evenHBand="0" w:firstRowFirstColumn="0" w:firstRowLastColumn="0" w:lastRowFirstColumn="0" w:lastRowLastColumn="0"/>
            <w:tcW w:w="3187" w:type="dxa"/>
            <w:vMerge/>
          </w:tcPr>
          <w:p w14:paraId="71BD3715" w14:textId="77777777" w:rsidR="002A25E2" w:rsidRPr="00883413" w:rsidRDefault="002A25E2" w:rsidP="00B80458">
            <w:pPr>
              <w:spacing w:line="360" w:lineRule="auto"/>
              <w:jc w:val="both"/>
              <w:rPr>
                <w:rFonts w:ascii="Times New Roman" w:hAnsi="Times New Roman" w:cs="Times New Roman"/>
                <w:b w:val="0"/>
                <w:bCs w:val="0"/>
                <w:sz w:val="24"/>
                <w:szCs w:val="24"/>
              </w:rPr>
            </w:pPr>
          </w:p>
        </w:tc>
        <w:tc>
          <w:tcPr>
            <w:tcW w:w="2919" w:type="dxa"/>
          </w:tcPr>
          <w:p w14:paraId="02F71C1D" w14:textId="77777777"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24"/>
                <w:szCs w:val="24"/>
              </w:rPr>
            </w:pPr>
            <w:proofErr w:type="spellStart"/>
            <w:r w:rsidRPr="00883413">
              <w:rPr>
                <w:rFonts w:ascii="Times New Roman" w:hAnsi="Times New Roman" w:cs="Times New Roman"/>
                <w:b/>
                <w:bCs/>
                <w:i/>
                <w:iCs/>
                <w:sz w:val="24"/>
                <w:szCs w:val="24"/>
              </w:rPr>
              <w:t>Leptadenia</w:t>
            </w:r>
            <w:proofErr w:type="spellEnd"/>
            <w:r w:rsidRPr="00883413">
              <w:rPr>
                <w:rFonts w:ascii="Times New Roman" w:hAnsi="Times New Roman" w:cs="Times New Roman"/>
                <w:b/>
                <w:bCs/>
                <w:i/>
                <w:iCs/>
                <w:sz w:val="24"/>
                <w:szCs w:val="24"/>
              </w:rPr>
              <w:t xml:space="preserve"> </w:t>
            </w:r>
            <w:proofErr w:type="spellStart"/>
            <w:r w:rsidRPr="00883413">
              <w:rPr>
                <w:rFonts w:ascii="Times New Roman" w:hAnsi="Times New Roman" w:cs="Times New Roman"/>
                <w:b/>
                <w:bCs/>
                <w:i/>
                <w:iCs/>
                <w:sz w:val="24"/>
                <w:szCs w:val="24"/>
              </w:rPr>
              <w:t>hastata</w:t>
            </w:r>
            <w:proofErr w:type="spellEnd"/>
          </w:p>
        </w:tc>
        <w:tc>
          <w:tcPr>
            <w:tcW w:w="2919" w:type="dxa"/>
            <w:vAlign w:val="center"/>
          </w:tcPr>
          <w:p w14:paraId="5CFE4532" w14:textId="07F9658A" w:rsidR="002A25E2" w:rsidRPr="00883413" w:rsidRDefault="002A25E2" w:rsidP="00B80458">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883413">
              <w:rPr>
                <w:rFonts w:ascii="Times New Roman" w:hAnsi="Times New Roman" w:cs="Times New Roman"/>
                <w:sz w:val="24"/>
                <w:szCs w:val="24"/>
              </w:rPr>
              <w:t>0</w:t>
            </w:r>
            <w:r w:rsidR="00C26807">
              <w:rPr>
                <w:rFonts w:ascii="Times New Roman" w:hAnsi="Times New Roman" w:cs="Times New Roman"/>
                <w:sz w:val="24"/>
                <w:szCs w:val="24"/>
              </w:rPr>
              <w:t>.</w:t>
            </w:r>
            <w:r w:rsidRPr="00883413">
              <w:rPr>
                <w:rFonts w:ascii="Times New Roman" w:hAnsi="Times New Roman" w:cs="Times New Roman"/>
                <w:sz w:val="24"/>
                <w:szCs w:val="24"/>
              </w:rPr>
              <w:t>52</w:t>
            </w:r>
            <w:r w:rsidRPr="00883413">
              <w:rPr>
                <w:rFonts w:ascii="Times New Roman" w:eastAsia="Times New Roman" w:hAnsi="Times New Roman" w:cs="Times New Roman"/>
                <w:color w:val="000000"/>
                <w:sz w:val="24"/>
                <w:szCs w:val="24"/>
              </w:rPr>
              <w:t>±2</w:t>
            </w:r>
            <w:r w:rsidR="00C26807">
              <w:rPr>
                <w:rFonts w:ascii="Times New Roman" w:eastAsia="Times New Roman" w:hAnsi="Times New Roman" w:cs="Times New Roman"/>
                <w:color w:val="000000"/>
                <w:sz w:val="24"/>
                <w:szCs w:val="24"/>
              </w:rPr>
              <w:t>.</w:t>
            </w:r>
            <w:r w:rsidRPr="00883413">
              <w:rPr>
                <w:rFonts w:ascii="Times New Roman" w:eastAsia="Times New Roman" w:hAnsi="Times New Roman" w:cs="Times New Roman"/>
                <w:color w:val="000000"/>
                <w:sz w:val="24"/>
                <w:szCs w:val="24"/>
              </w:rPr>
              <w:t>78</w:t>
            </w:r>
          </w:p>
        </w:tc>
      </w:tr>
    </w:tbl>
    <w:p w14:paraId="50B13DA4" w14:textId="77777777" w:rsidR="00786220" w:rsidRPr="00883413" w:rsidRDefault="00786220" w:rsidP="00B80458">
      <w:pPr>
        <w:spacing w:before="240" w:line="360" w:lineRule="auto"/>
        <w:jc w:val="both"/>
        <w:rPr>
          <w:rFonts w:ascii="Times New Roman" w:hAnsi="Times New Roman" w:cs="Times New Roman"/>
        </w:rPr>
      </w:pPr>
      <w:r w:rsidRPr="00883413">
        <w:rPr>
          <w:rFonts w:ascii="Times New Roman" w:hAnsi="Times New Roman" w:cs="Times New Roman"/>
        </w:rPr>
        <w:t>4. Discussion</w:t>
      </w:r>
    </w:p>
    <w:p w14:paraId="3A969B4A" w14:textId="77777777" w:rsidR="00786220" w:rsidRPr="00883413" w:rsidRDefault="00786220" w:rsidP="00B80458">
      <w:pPr>
        <w:spacing w:before="240" w:line="360" w:lineRule="auto"/>
        <w:jc w:val="both"/>
        <w:rPr>
          <w:rFonts w:ascii="Times New Roman" w:hAnsi="Times New Roman" w:cs="Times New Roman"/>
        </w:rPr>
      </w:pPr>
      <w:r w:rsidRPr="00883413">
        <w:rPr>
          <w:rFonts w:ascii="Times New Roman" w:hAnsi="Times New Roman" w:cs="Times New Roman"/>
        </w:rPr>
        <w:t xml:space="preserve">4.1. </w:t>
      </w:r>
      <w:proofErr w:type="spellStart"/>
      <w:r w:rsidRPr="00883413">
        <w:rPr>
          <w:rFonts w:ascii="Times New Roman" w:hAnsi="Times New Roman" w:cs="Times New Roman"/>
        </w:rPr>
        <w:t>Ethnobotanical</w:t>
      </w:r>
      <w:proofErr w:type="spellEnd"/>
      <w:r w:rsidRPr="00883413">
        <w:rPr>
          <w:rFonts w:ascii="Times New Roman" w:hAnsi="Times New Roman" w:cs="Times New Roman"/>
        </w:rPr>
        <w:t xml:space="preserve"> Survey</w:t>
      </w:r>
    </w:p>
    <w:p w14:paraId="3ED03023" w14:textId="77777777" w:rsidR="00786220" w:rsidRPr="00883413" w:rsidRDefault="0078622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Bonkian et al. (2025), in their studies conducted in the city of Bobo-Dioulasso on medicinal plants used in the treatment of cervical cancer, reported that women outnumbered men, with 71% of users being women and 29% being men. In contrast, the research by Segda et al. (2023) conducted in the city of Bobo-Dioulasso on diabetes showed that the majority of traditional healers interviewed were men—69.7% men versus 30.3% women. These results indicate that traditional medicine is not exclusively the domain of men and that women in Burkina Faso have </w:t>
      </w:r>
      <w:r w:rsidRPr="00883413">
        <w:rPr>
          <w:rFonts w:ascii="Times New Roman" w:hAnsi="Times New Roman" w:cs="Times New Roman"/>
          <w:lang w:val="en-US"/>
        </w:rPr>
        <w:lastRenderedPageBreak/>
        <w:t>become increasingly interested in it over the years. This observed predominance of women could be explained by their strong involvement in commercial, income-generating activities.</w:t>
      </w:r>
    </w:p>
    <w:p w14:paraId="53D388C7" w14:textId="77777777" w:rsidR="00786220" w:rsidRPr="00883413" w:rsidRDefault="0078622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The most represented age group was between 24 and 34 years old. Segda et al. (2023) reported in their study that the most represented age group among traditional healers was between 51 and 60 years old. Furthermore, the study by Zongo et al. (2023a), conducted in Bobo-Dioulasso among traditional healers regarding medicinal plants used in the treatment of hepatitis, found that the majority of traditional healers were between 43 and 73 years old and had professional experience ranging from 2 to 22 years. These results show that traditional medicine is practiced primarily by older adults.</w:t>
      </w:r>
    </w:p>
    <w:p w14:paraId="04E1694E" w14:textId="77777777" w:rsidR="00786220" w:rsidRPr="00883413" w:rsidRDefault="0078622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Segda et al. (2023) reported high use of the leaves (46%), followed by the whole plant (39%). Similarly, Dembélé et al. (2020), who in their studies conducted in Mali on hypertension and diabetes, reported high usage of the leaves, followed by the bark, in the traditional treatment of diabetes, with respective percentages of 44.13% and 25.40%. Researchers have shown that leaves are the most commonly used because they are rich in active compounds and are more readily available (Lema et al., 2022). Furthermore, other researchers have shown that the widespread use of leaves over other plant parts in various treatments is essential for the plants’ survival, as the frequent use of roots and bark poses a real threat to the conservation and restoration of species and the balance of ecosystems (Bonkian et al., 2025).</w:t>
      </w:r>
    </w:p>
    <w:p w14:paraId="56917FAB" w14:textId="77777777" w:rsidR="00786220" w:rsidRPr="00883413" w:rsidRDefault="0078622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Bangou (2008) reported that the Anacardiaceae family was known to possess antidiabetic properties, particularly </w:t>
      </w:r>
      <w:proofErr w:type="spellStart"/>
      <w:r w:rsidRPr="00883413">
        <w:rPr>
          <w:rFonts w:ascii="Times New Roman" w:hAnsi="Times New Roman" w:cs="Times New Roman"/>
          <w:lang w:val="en-US"/>
        </w:rPr>
        <w:t>Sclerocarya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birrea</w:t>
      </w:r>
      <w:proofErr w:type="spellEnd"/>
      <w:r w:rsidRPr="00883413">
        <w:rPr>
          <w:rFonts w:ascii="Times New Roman" w:hAnsi="Times New Roman" w:cs="Times New Roman"/>
          <w:lang w:val="en-US"/>
        </w:rPr>
        <w:t xml:space="preserve">. Furthermore, Dembélé et al. (2026), in their studies on diabetes and hypertension, showed that </w:t>
      </w:r>
      <w:proofErr w:type="spellStart"/>
      <w:r w:rsidRPr="00883413">
        <w:rPr>
          <w:rFonts w:ascii="Times New Roman" w:hAnsi="Times New Roman" w:cs="Times New Roman"/>
          <w:lang w:val="en-US"/>
        </w:rPr>
        <w:t>Sclerocarya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birrea</w:t>
      </w:r>
      <w:proofErr w:type="spellEnd"/>
      <w:r w:rsidRPr="00883413">
        <w:rPr>
          <w:rFonts w:ascii="Times New Roman" w:hAnsi="Times New Roman" w:cs="Times New Roman"/>
          <w:lang w:val="en-US"/>
        </w:rPr>
        <w:t xml:space="preserve"> was the most frequently cited species, with a citation rate of 15.61%. Segda et al. (2023), in their study on diabetes, noted that </w:t>
      </w:r>
      <w:proofErr w:type="spellStart"/>
      <w:r w:rsidRPr="00883413">
        <w:rPr>
          <w:rFonts w:ascii="Times New Roman" w:hAnsi="Times New Roman" w:cs="Times New Roman"/>
          <w:lang w:val="en-US"/>
        </w:rPr>
        <w:t>Leptadenia</w:t>
      </w:r>
      <w:proofErr w:type="spellEnd"/>
      <w:r w:rsidRPr="00883413">
        <w:rPr>
          <w:rFonts w:ascii="Times New Roman" w:hAnsi="Times New Roman" w:cs="Times New Roman"/>
          <w:lang w:val="en-US"/>
        </w:rPr>
        <w:t xml:space="preserve"> hastata was among the most frequently cited species, with a percentage of 17.67% used in the management of diabetes.</w:t>
      </w:r>
    </w:p>
    <w:p w14:paraId="4C16CD06" w14:textId="77777777" w:rsidR="00786220" w:rsidRPr="00883413" w:rsidRDefault="0078622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4.2. Biochemical Parameters</w:t>
      </w:r>
    </w:p>
    <w:p w14:paraId="21C43F51" w14:textId="77777777" w:rsidR="00786220" w:rsidRPr="00883413" w:rsidRDefault="0078622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The fruits of </w:t>
      </w:r>
      <w:proofErr w:type="spellStart"/>
      <w:r w:rsidRPr="00883413">
        <w:rPr>
          <w:rFonts w:ascii="Times New Roman" w:hAnsi="Times New Roman" w:cs="Times New Roman"/>
          <w:lang w:val="en-US"/>
        </w:rPr>
        <w:t>Sclerocarya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birrea</w:t>
      </w:r>
      <w:proofErr w:type="spellEnd"/>
      <w:r w:rsidRPr="00883413">
        <w:rPr>
          <w:rFonts w:ascii="Times New Roman" w:hAnsi="Times New Roman" w:cs="Times New Roman"/>
          <w:lang w:val="en-US"/>
        </w:rPr>
        <w:t xml:space="preserve"> in Senegal were found to contain ascorbic acid (0.3 mg EAA/100 mg) (Sene et al., 2018). Vitamin C is a powerful water-soluble antioxidant that combats oxidative stress by donating electrons to neutralize free radicals (</w:t>
      </w:r>
      <w:proofErr w:type="spellStart"/>
      <w:r w:rsidRPr="00883413">
        <w:rPr>
          <w:rFonts w:ascii="Times New Roman" w:hAnsi="Times New Roman" w:cs="Times New Roman"/>
          <w:lang w:val="en-US"/>
        </w:rPr>
        <w:t>Toffalini</w:t>
      </w:r>
      <w:proofErr w:type="spellEnd"/>
      <w:r w:rsidRPr="00883413">
        <w:rPr>
          <w:rFonts w:ascii="Times New Roman" w:hAnsi="Times New Roman" w:cs="Times New Roman"/>
          <w:lang w:val="en-US"/>
        </w:rPr>
        <w:t xml:space="preserve"> et al., 2025). Furthermore, oxidative stress is one of the key triggers of endothelial dysfunction through the reduction of nitric oxide (NO) and is the primary factor in the pathogenesis of type 2 diabetes </w:t>
      </w:r>
      <w:r w:rsidRPr="00883413">
        <w:rPr>
          <w:rFonts w:ascii="Times New Roman" w:hAnsi="Times New Roman" w:cs="Times New Roman"/>
          <w:lang w:val="en-US"/>
        </w:rPr>
        <w:lastRenderedPageBreak/>
        <w:t>(An et al., 2023). Thus, vitamin C may help eliminate free radicals in the body by preventing cellular damage caused by oxidative stress.</w:t>
      </w:r>
    </w:p>
    <w:p w14:paraId="0DE39F6B" w14:textId="736F8330" w:rsidR="00786220" w:rsidRPr="00883413" w:rsidRDefault="0078622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These results indicate that the </w:t>
      </w:r>
      <w:proofErr w:type="spellStart"/>
      <w:r w:rsidRPr="00883413">
        <w:rPr>
          <w:rFonts w:ascii="Times New Roman" w:hAnsi="Times New Roman" w:cs="Times New Roman"/>
          <w:lang w:val="en-US"/>
        </w:rPr>
        <w:t>Leptadenia</w:t>
      </w:r>
      <w:proofErr w:type="spellEnd"/>
      <w:r w:rsidRPr="00883413">
        <w:rPr>
          <w:rFonts w:ascii="Times New Roman" w:hAnsi="Times New Roman" w:cs="Times New Roman"/>
          <w:lang w:val="en-US"/>
        </w:rPr>
        <w:t xml:space="preserve"> hastata leaf extract from </w:t>
      </w:r>
      <w:proofErr w:type="spellStart"/>
      <w:r w:rsidRPr="00883413">
        <w:rPr>
          <w:rFonts w:ascii="Times New Roman" w:hAnsi="Times New Roman" w:cs="Times New Roman"/>
          <w:lang w:val="en-US"/>
        </w:rPr>
        <w:t>Boromo</w:t>
      </w:r>
      <w:proofErr w:type="spellEnd"/>
      <w:r w:rsidRPr="00883413">
        <w:rPr>
          <w:rFonts w:ascii="Times New Roman" w:hAnsi="Times New Roman" w:cs="Times New Roman"/>
          <w:lang w:val="en-US"/>
        </w:rPr>
        <w:t xml:space="preserve"> contained the highest </w:t>
      </w:r>
      <w:proofErr w:type="gramStart"/>
      <w:r w:rsidRPr="00883413">
        <w:rPr>
          <w:rFonts w:ascii="Times New Roman" w:hAnsi="Times New Roman" w:cs="Times New Roman"/>
          <w:lang w:val="en-US"/>
        </w:rPr>
        <w:t>amount</w:t>
      </w:r>
      <w:proofErr w:type="gramEnd"/>
      <w:r w:rsidRPr="00883413">
        <w:rPr>
          <w:rFonts w:ascii="Times New Roman" w:hAnsi="Times New Roman" w:cs="Times New Roman"/>
          <w:lang w:val="en-US"/>
        </w:rPr>
        <w:t xml:space="preserve"> of total sugars. Research by </w:t>
      </w:r>
      <w:proofErr w:type="spellStart"/>
      <w:r w:rsidRPr="00883413">
        <w:rPr>
          <w:rFonts w:ascii="Times New Roman" w:hAnsi="Times New Roman" w:cs="Times New Roman"/>
          <w:lang w:val="en-US"/>
        </w:rPr>
        <w:t>Souratié</w:t>
      </w:r>
      <w:proofErr w:type="spellEnd"/>
      <w:r w:rsidRPr="00883413">
        <w:rPr>
          <w:rFonts w:ascii="Times New Roman" w:hAnsi="Times New Roman" w:cs="Times New Roman"/>
          <w:lang w:val="en-US"/>
        </w:rPr>
        <w:t xml:space="preserve"> et al. (2025), conducted in Ouagadougou on </w:t>
      </w:r>
      <w:proofErr w:type="spellStart"/>
      <w:r w:rsidRPr="00883413">
        <w:rPr>
          <w:rFonts w:ascii="Times New Roman" w:hAnsi="Times New Roman" w:cs="Times New Roman"/>
          <w:lang w:val="en-US"/>
        </w:rPr>
        <w:t>Leptadenia</w:t>
      </w:r>
      <w:proofErr w:type="spellEnd"/>
      <w:r w:rsidRPr="00883413">
        <w:rPr>
          <w:rFonts w:ascii="Times New Roman" w:hAnsi="Times New Roman" w:cs="Times New Roman"/>
          <w:lang w:val="en-US"/>
        </w:rPr>
        <w:t xml:space="preserve"> hastata leaf extracts for the treatment of metabolic diseases, revealed a relatively lower total sugar content of 0.11 ± 0.33 µg ES/100 mg of extract. Soluble sugars slow the absorption of dietary carbohydrates by inhibiting alpha-glucosidase, the enzyme responsible for sugar digestion, thereby moderating the rise in blood glucose levels (Bello et al., 2011; Mashaba et al., 2025).</w:t>
      </w:r>
      <w:r w:rsidRPr="00883413">
        <w:rPr>
          <w:rFonts w:ascii="Times New Roman" w:eastAsia="Times New Roman" w:hAnsi="Times New Roman" w:cs="Times New Roman"/>
          <w:kern w:val="0"/>
          <w:lang w:val="en-US" w:eastAsia="fr-FR"/>
          <w14:ligatures w14:val="none"/>
        </w:rPr>
        <w:t xml:space="preserve"> </w:t>
      </w:r>
      <w:r w:rsidRPr="00883413">
        <w:rPr>
          <w:rFonts w:ascii="Times New Roman" w:hAnsi="Times New Roman" w:cs="Times New Roman"/>
          <w:lang w:val="en-US"/>
        </w:rPr>
        <w:t>The use of these medicinal plants in the treatment of diabetes may be due to their high total sugar content.</w:t>
      </w:r>
    </w:p>
    <w:p w14:paraId="70677873" w14:textId="77777777" w:rsidR="00786220" w:rsidRPr="00883413" w:rsidRDefault="0078622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Konaré et al. (2024b) reported that the ethanolic extract of </w:t>
      </w:r>
      <w:proofErr w:type="spellStart"/>
      <w:r w:rsidRPr="00883413">
        <w:rPr>
          <w:rFonts w:ascii="Times New Roman" w:hAnsi="Times New Roman" w:cs="Times New Roman"/>
          <w:lang w:val="en-US"/>
        </w:rPr>
        <w:t>Sclerocarya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birrea</w:t>
      </w:r>
      <w:proofErr w:type="spellEnd"/>
      <w:r w:rsidRPr="00883413">
        <w:rPr>
          <w:rFonts w:ascii="Times New Roman" w:hAnsi="Times New Roman" w:cs="Times New Roman"/>
          <w:lang w:val="en-US"/>
        </w:rPr>
        <w:t xml:space="preserve"> had a relatively low total phenolic content of 2.58 ± 0.08 µg EAG/100 g.</w:t>
      </w:r>
    </w:p>
    <w:p w14:paraId="07568469" w14:textId="422F8076" w:rsidR="005643E1" w:rsidRPr="00883413" w:rsidRDefault="00786220"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Similarly, the highest total flavonoid content obtained from the </w:t>
      </w:r>
      <w:proofErr w:type="spellStart"/>
      <w:r w:rsidRPr="00C26807">
        <w:rPr>
          <w:rFonts w:ascii="Times New Roman" w:hAnsi="Times New Roman" w:cs="Times New Roman"/>
          <w:i/>
          <w:iCs/>
          <w:lang w:val="en-US"/>
        </w:rPr>
        <w:t>Leptadenia</w:t>
      </w:r>
      <w:proofErr w:type="spellEnd"/>
      <w:r w:rsidRPr="00C26807">
        <w:rPr>
          <w:rFonts w:ascii="Times New Roman" w:hAnsi="Times New Roman" w:cs="Times New Roman"/>
          <w:i/>
          <w:iCs/>
          <w:lang w:val="en-US"/>
        </w:rPr>
        <w:t xml:space="preserve"> hastata</w:t>
      </w:r>
      <w:r w:rsidRPr="00883413">
        <w:rPr>
          <w:rFonts w:ascii="Times New Roman" w:hAnsi="Times New Roman" w:cs="Times New Roman"/>
          <w:lang w:val="en-US"/>
        </w:rPr>
        <w:t xml:space="preserve"> extract from Bobo-Dioulasso was also supported by the work of </w:t>
      </w:r>
      <w:proofErr w:type="spellStart"/>
      <w:r w:rsidRPr="00883413">
        <w:rPr>
          <w:rFonts w:ascii="Times New Roman" w:hAnsi="Times New Roman" w:cs="Times New Roman"/>
          <w:lang w:val="en-US"/>
        </w:rPr>
        <w:t>Souratié</w:t>
      </w:r>
      <w:proofErr w:type="spellEnd"/>
      <w:r w:rsidRPr="00883413">
        <w:rPr>
          <w:rFonts w:ascii="Times New Roman" w:hAnsi="Times New Roman" w:cs="Times New Roman"/>
          <w:lang w:val="en-US"/>
        </w:rPr>
        <w:t xml:space="preserve"> and colleagues (</w:t>
      </w:r>
      <w:proofErr w:type="spellStart"/>
      <w:r w:rsidRPr="00883413">
        <w:rPr>
          <w:rFonts w:ascii="Times New Roman" w:hAnsi="Times New Roman" w:cs="Times New Roman"/>
          <w:lang w:val="en-US"/>
        </w:rPr>
        <w:t>Souratié</w:t>
      </w:r>
      <w:proofErr w:type="spellEnd"/>
      <w:r w:rsidRPr="00883413">
        <w:rPr>
          <w:rFonts w:ascii="Times New Roman" w:hAnsi="Times New Roman" w:cs="Times New Roman"/>
          <w:lang w:val="en-US"/>
        </w:rPr>
        <w:t xml:space="preserve"> et al., 2025). The difference in phenolic compound content observed between the extracts from the two locations could be due to certain environmental factors (edaphic or climatic) that influence the production of secondary metabolites (Zongo et al., 2023b).</w:t>
      </w:r>
      <w:r w:rsidR="00C26807">
        <w:rPr>
          <w:rFonts w:ascii="Times New Roman" w:hAnsi="Times New Roman" w:cs="Times New Roman"/>
          <w:lang w:val="en-US"/>
        </w:rPr>
        <w:t xml:space="preserve"> </w:t>
      </w:r>
      <w:r w:rsidRPr="00883413">
        <w:rPr>
          <w:rFonts w:ascii="Times New Roman" w:hAnsi="Times New Roman" w:cs="Times New Roman"/>
          <w:lang w:val="en-US"/>
        </w:rPr>
        <w:t xml:space="preserve">Researchers who studied aqueous extracts of </w:t>
      </w:r>
      <w:proofErr w:type="spellStart"/>
      <w:r w:rsidRPr="00C26807">
        <w:rPr>
          <w:rFonts w:ascii="Times New Roman" w:hAnsi="Times New Roman" w:cs="Times New Roman"/>
          <w:i/>
          <w:iCs/>
          <w:lang w:val="en-US"/>
        </w:rPr>
        <w:t>Sclerocarya</w:t>
      </w:r>
      <w:proofErr w:type="spellEnd"/>
      <w:r w:rsidRPr="00C26807">
        <w:rPr>
          <w:rFonts w:ascii="Times New Roman" w:hAnsi="Times New Roman" w:cs="Times New Roman"/>
          <w:i/>
          <w:iCs/>
          <w:lang w:val="en-US"/>
        </w:rPr>
        <w:t xml:space="preserve"> </w:t>
      </w:r>
      <w:proofErr w:type="spellStart"/>
      <w:r w:rsidRPr="00C26807">
        <w:rPr>
          <w:rFonts w:ascii="Times New Roman" w:hAnsi="Times New Roman" w:cs="Times New Roman"/>
          <w:i/>
          <w:iCs/>
          <w:lang w:val="en-US"/>
        </w:rPr>
        <w:t>birrea</w:t>
      </w:r>
      <w:proofErr w:type="spellEnd"/>
      <w:r w:rsidRPr="00883413">
        <w:rPr>
          <w:rFonts w:ascii="Times New Roman" w:hAnsi="Times New Roman" w:cs="Times New Roman"/>
          <w:lang w:val="en-US"/>
        </w:rPr>
        <w:t xml:space="preserve"> demonstrated that they possessed antioxidant activity with an IC50 of 174.61 ± 2.77 </w:t>
      </w:r>
      <w:r w:rsidRPr="00883413">
        <w:rPr>
          <w:rFonts w:ascii="Times New Roman" w:hAnsi="Times New Roman" w:cs="Times New Roman"/>
        </w:rPr>
        <w:t>μ</w:t>
      </w:r>
      <w:r w:rsidRPr="00883413">
        <w:rPr>
          <w:rFonts w:ascii="Times New Roman" w:hAnsi="Times New Roman" w:cs="Times New Roman"/>
          <w:lang w:val="en-US"/>
        </w:rPr>
        <w:t xml:space="preserve">g/mL (Konaré et al., 2024a). These results are consistent with those obtained by </w:t>
      </w:r>
      <w:proofErr w:type="spellStart"/>
      <w:r w:rsidRPr="00883413">
        <w:rPr>
          <w:rFonts w:ascii="Times New Roman" w:hAnsi="Times New Roman" w:cs="Times New Roman"/>
          <w:lang w:val="en-US"/>
        </w:rPr>
        <w:t>Belemnaba</w:t>
      </w:r>
      <w:proofErr w:type="spellEnd"/>
      <w:r w:rsidRPr="00883413">
        <w:rPr>
          <w:rFonts w:ascii="Times New Roman" w:hAnsi="Times New Roman" w:cs="Times New Roman"/>
          <w:lang w:val="en-US"/>
        </w:rPr>
        <w:t xml:space="preserve"> et al. (2024) </w:t>
      </w:r>
      <w:r w:rsidR="005643E1" w:rsidRPr="00883413">
        <w:rPr>
          <w:rFonts w:ascii="Times New Roman" w:hAnsi="Times New Roman" w:cs="Times New Roman"/>
          <w:lang w:val="en-US"/>
        </w:rPr>
        <w:t xml:space="preserve">who, in their studies on cardiovascular diseases in Burkina Faso, reported that ethanolic extracts of </w:t>
      </w:r>
      <w:proofErr w:type="spellStart"/>
      <w:r w:rsidR="005643E1" w:rsidRPr="00C26807">
        <w:rPr>
          <w:rFonts w:ascii="Times New Roman" w:hAnsi="Times New Roman" w:cs="Times New Roman"/>
          <w:i/>
          <w:iCs/>
          <w:lang w:val="en-US"/>
        </w:rPr>
        <w:t>Sclerocarya</w:t>
      </w:r>
      <w:proofErr w:type="spellEnd"/>
      <w:r w:rsidR="005643E1" w:rsidRPr="00C26807">
        <w:rPr>
          <w:rFonts w:ascii="Times New Roman" w:hAnsi="Times New Roman" w:cs="Times New Roman"/>
          <w:i/>
          <w:iCs/>
          <w:lang w:val="en-US"/>
        </w:rPr>
        <w:t xml:space="preserve"> </w:t>
      </w:r>
      <w:proofErr w:type="spellStart"/>
      <w:r w:rsidR="005643E1" w:rsidRPr="00C26807">
        <w:rPr>
          <w:rFonts w:ascii="Times New Roman" w:hAnsi="Times New Roman" w:cs="Times New Roman"/>
          <w:i/>
          <w:iCs/>
          <w:lang w:val="en-US"/>
        </w:rPr>
        <w:t>birrea</w:t>
      </w:r>
      <w:proofErr w:type="spellEnd"/>
      <w:r w:rsidR="005643E1" w:rsidRPr="00883413">
        <w:rPr>
          <w:rFonts w:ascii="Times New Roman" w:hAnsi="Times New Roman" w:cs="Times New Roman"/>
          <w:lang w:val="en-US"/>
        </w:rPr>
        <w:t xml:space="preserve"> bark exhibited relatively high antioxidant activity (3.78 ± 0.21 </w:t>
      </w:r>
      <w:r w:rsidR="005643E1" w:rsidRPr="00883413">
        <w:rPr>
          <w:rFonts w:ascii="Times New Roman" w:hAnsi="Times New Roman" w:cs="Times New Roman"/>
        </w:rPr>
        <w:t>μ</w:t>
      </w:r>
      <w:r w:rsidR="005643E1" w:rsidRPr="00883413">
        <w:rPr>
          <w:rFonts w:ascii="Times New Roman" w:hAnsi="Times New Roman" w:cs="Times New Roman"/>
          <w:lang w:val="en-US"/>
        </w:rPr>
        <w:t>g ET/100 mg). Natural antioxidants inhibit the production of, or destroy through electron or proton transfer, reactive oxygen species resulting from oxidative stress (An et al., 2023). Furthermore, oxidative stress plays a significant role in the dysfunction of pancreatic beta cells and the onset of type 2 diabetes (Odoh et al., 2024). In fact, hyperglycemia triggers the production of reactive oxygen species through the accumulation of free radicals in peripheral tissues, which exceeds the capacity of the pancreatic beta cells’ antioxidant system (Wang et al., 2023). Thus, the antioxidant activity of these plant extracts could help inhibit the production of free radicals in adipose tissue, the liver, and muscles. These findings could support their use in the management of diabetes in traditional medicine.</w:t>
      </w:r>
    </w:p>
    <w:p w14:paraId="1D226B0A" w14:textId="77777777" w:rsidR="005643E1" w:rsidRPr="00883413" w:rsidRDefault="005643E1" w:rsidP="00B80458">
      <w:pPr>
        <w:spacing w:before="240" w:line="360" w:lineRule="auto"/>
        <w:jc w:val="both"/>
        <w:rPr>
          <w:rFonts w:ascii="Times New Roman" w:hAnsi="Times New Roman" w:cs="Times New Roman"/>
          <w:lang w:val="en-US"/>
        </w:rPr>
      </w:pPr>
    </w:p>
    <w:p w14:paraId="69C8CEBC" w14:textId="77777777" w:rsidR="005643E1" w:rsidRPr="00883413" w:rsidRDefault="005643E1"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4.3. Microbiological Quality</w:t>
      </w:r>
    </w:p>
    <w:p w14:paraId="57AFEA12" w14:textId="77777777" w:rsidR="005643E1" w:rsidRPr="00883413" w:rsidRDefault="005643E1"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Similar studies conducted by Compaoré et al. (2021) and by N’do et al. (2025b) reported contamination in their samples. The presence of film-like layers in the samples indicates contamination by microorganisms. Indeed, N’do et al. (2025a) state that plant-based products are exposed to numerous forms of biotic and abiotic contamination. Compaoré et al. (2021) add that soil, water, and air are potential sources of contamination for plant-based products. The contamination of the samples observed in this study could be due to poor harvesting or post-harvest conditions (drying, grinding, storage, and handling) of the plant samples.</w:t>
      </w:r>
    </w:p>
    <w:p w14:paraId="12B3A456" w14:textId="77777777" w:rsidR="005643E1" w:rsidRPr="00883413" w:rsidRDefault="005643E1" w:rsidP="00B80458">
      <w:pPr>
        <w:spacing w:before="240" w:line="360" w:lineRule="auto"/>
        <w:jc w:val="both"/>
        <w:rPr>
          <w:rFonts w:ascii="Times New Roman" w:hAnsi="Times New Roman" w:cs="Times New Roman"/>
          <w:lang w:val="en-US"/>
        </w:rPr>
      </w:pPr>
    </w:p>
    <w:p w14:paraId="24EF2000" w14:textId="77777777" w:rsidR="005643E1" w:rsidRPr="00883413" w:rsidRDefault="005643E1"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Conclusion</w:t>
      </w:r>
    </w:p>
    <w:p w14:paraId="7E2954C8" w14:textId="03B33C13" w:rsidR="005643E1" w:rsidRPr="00883413" w:rsidRDefault="005643E1" w:rsidP="00B80458">
      <w:p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This study used an ethnobotanical survey to identify the medicinal plants traditionally used in the management of diabetes. The most frequently cited plants were two species: </w:t>
      </w:r>
      <w:proofErr w:type="spellStart"/>
      <w:r w:rsidRPr="00883413">
        <w:rPr>
          <w:rFonts w:ascii="Times New Roman" w:hAnsi="Times New Roman" w:cs="Times New Roman"/>
          <w:lang w:val="en-US"/>
        </w:rPr>
        <w:t>Leptadenia</w:t>
      </w:r>
      <w:proofErr w:type="spellEnd"/>
      <w:r w:rsidRPr="00883413">
        <w:rPr>
          <w:rFonts w:ascii="Times New Roman" w:hAnsi="Times New Roman" w:cs="Times New Roman"/>
          <w:lang w:val="en-US"/>
        </w:rPr>
        <w:t xml:space="preserve"> hastata (Pers.) </w:t>
      </w:r>
      <w:proofErr w:type="spellStart"/>
      <w:r w:rsidRPr="00883413">
        <w:rPr>
          <w:rFonts w:ascii="Times New Roman" w:hAnsi="Times New Roman" w:cs="Times New Roman"/>
          <w:lang w:val="en-US"/>
        </w:rPr>
        <w:t>Decne</w:t>
      </w:r>
      <w:proofErr w:type="spellEnd"/>
      <w:r w:rsidRPr="00883413">
        <w:rPr>
          <w:rFonts w:ascii="Times New Roman" w:hAnsi="Times New Roman" w:cs="Times New Roman"/>
          <w:lang w:val="en-US"/>
        </w:rPr>
        <w:t xml:space="preserve">. and </w:t>
      </w:r>
      <w:proofErr w:type="spellStart"/>
      <w:r w:rsidRPr="00883413">
        <w:rPr>
          <w:rFonts w:ascii="Times New Roman" w:hAnsi="Times New Roman" w:cs="Times New Roman"/>
          <w:lang w:val="en-US"/>
        </w:rPr>
        <w:t>Sclerocarya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birrea</w:t>
      </w:r>
      <w:proofErr w:type="spellEnd"/>
      <w:r w:rsidRPr="00883413">
        <w:rPr>
          <w:rFonts w:ascii="Times New Roman" w:hAnsi="Times New Roman" w:cs="Times New Roman"/>
          <w:lang w:val="en-US"/>
        </w:rPr>
        <w:t xml:space="preserve"> (A. Rich.) </w:t>
      </w:r>
      <w:proofErr w:type="spellStart"/>
      <w:r w:rsidRPr="00883413">
        <w:rPr>
          <w:rFonts w:ascii="Times New Roman" w:hAnsi="Times New Roman" w:cs="Times New Roman"/>
          <w:lang w:val="en-US"/>
        </w:rPr>
        <w:t>Hochst</w:t>
      </w:r>
      <w:proofErr w:type="spellEnd"/>
      <w:r w:rsidRPr="00883413">
        <w:rPr>
          <w:rFonts w:ascii="Times New Roman" w:hAnsi="Times New Roman" w:cs="Times New Roman"/>
          <w:lang w:val="en-US"/>
        </w:rPr>
        <w:t xml:space="preserve">. The phytochemical study revealed the highest levels of ascorbic acid (1.5 mg EAA/100 mg) in extracts from the bark of </w:t>
      </w:r>
      <w:proofErr w:type="spellStart"/>
      <w:r w:rsidRPr="00883413">
        <w:rPr>
          <w:rFonts w:ascii="Times New Roman" w:hAnsi="Times New Roman" w:cs="Times New Roman"/>
          <w:lang w:val="en-US"/>
        </w:rPr>
        <w:t>Sclerocarya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birrea</w:t>
      </w:r>
      <w:proofErr w:type="spellEnd"/>
      <w:r w:rsidRPr="00883413">
        <w:rPr>
          <w:rFonts w:ascii="Times New Roman" w:hAnsi="Times New Roman" w:cs="Times New Roman"/>
          <w:lang w:val="en-US"/>
        </w:rPr>
        <w:t xml:space="preserve"> and the highest levels of total sugars (363.66 µg ES/100 mg) in extracts from the leaves of </w:t>
      </w:r>
      <w:proofErr w:type="spellStart"/>
      <w:r w:rsidRPr="00883413">
        <w:rPr>
          <w:rFonts w:ascii="Times New Roman" w:hAnsi="Times New Roman" w:cs="Times New Roman"/>
          <w:lang w:val="en-US"/>
        </w:rPr>
        <w:t>Leptadenia</w:t>
      </w:r>
      <w:proofErr w:type="spellEnd"/>
      <w:r w:rsidRPr="00883413">
        <w:rPr>
          <w:rFonts w:ascii="Times New Roman" w:hAnsi="Times New Roman" w:cs="Times New Roman"/>
          <w:lang w:val="en-US"/>
        </w:rPr>
        <w:t xml:space="preserve"> hastata sourced from </w:t>
      </w:r>
      <w:proofErr w:type="spellStart"/>
      <w:r w:rsidRPr="00883413">
        <w:rPr>
          <w:rFonts w:ascii="Times New Roman" w:hAnsi="Times New Roman" w:cs="Times New Roman"/>
          <w:lang w:val="en-US"/>
        </w:rPr>
        <w:t>Boromo</w:t>
      </w:r>
      <w:proofErr w:type="spellEnd"/>
      <w:r w:rsidRPr="00883413">
        <w:rPr>
          <w:rFonts w:ascii="Times New Roman" w:hAnsi="Times New Roman" w:cs="Times New Roman"/>
          <w:lang w:val="en-US"/>
        </w:rPr>
        <w:t xml:space="preserve">. The highest total phenolic content was found in the leaf extracts of </w:t>
      </w:r>
      <w:proofErr w:type="spellStart"/>
      <w:r w:rsidRPr="00883413">
        <w:rPr>
          <w:rFonts w:ascii="Times New Roman" w:hAnsi="Times New Roman" w:cs="Times New Roman"/>
          <w:lang w:val="en-US"/>
        </w:rPr>
        <w:t>Leptadenia</w:t>
      </w:r>
      <w:proofErr w:type="spellEnd"/>
      <w:r w:rsidRPr="00883413">
        <w:rPr>
          <w:rFonts w:ascii="Times New Roman" w:hAnsi="Times New Roman" w:cs="Times New Roman"/>
          <w:lang w:val="en-US"/>
        </w:rPr>
        <w:t xml:space="preserve"> hastata from Bobo-Dioulasso. The assessment of antioxidant activity showed the highest activity in the bark extracts of </w:t>
      </w:r>
      <w:proofErr w:type="spellStart"/>
      <w:r w:rsidRPr="00883413">
        <w:rPr>
          <w:rFonts w:ascii="Times New Roman" w:hAnsi="Times New Roman" w:cs="Times New Roman"/>
          <w:lang w:val="en-US"/>
        </w:rPr>
        <w:t>Sclerocarya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birrea</w:t>
      </w:r>
      <w:proofErr w:type="spellEnd"/>
      <w:r w:rsidRPr="00883413">
        <w:rPr>
          <w:rFonts w:ascii="Times New Roman" w:hAnsi="Times New Roman" w:cs="Times New Roman"/>
          <w:lang w:val="en-US"/>
        </w:rPr>
        <w:t xml:space="preserve"> from Bobo-Dioulasso (17 mg ET/100 mg) using the ABTS•+ method. However, the results regarding microbiological quality, as determined by the count of Total Mesophilic Aerobic Flora, may indicate poor quality of these plant samples, which could be linked to a failure to follow proper harvesting and post-harvesting techniques. The results of the various studies conducted on these extracts were quite interesting, thereby providing scientific justification for the use of these plants and confirming their antidiabetic properties.</w:t>
      </w:r>
    </w:p>
    <w:p w14:paraId="3FE08A73" w14:textId="77777777" w:rsidR="005643E1" w:rsidRPr="00883413" w:rsidRDefault="005643E1" w:rsidP="00B80458">
      <w:pPr>
        <w:spacing w:before="240" w:line="360" w:lineRule="auto"/>
        <w:jc w:val="both"/>
        <w:rPr>
          <w:rFonts w:ascii="Times New Roman" w:hAnsi="Times New Roman" w:cs="Times New Roman"/>
          <w:lang w:val="en-US"/>
        </w:rPr>
      </w:pPr>
    </w:p>
    <w:p w14:paraId="26DBB504" w14:textId="56A42D6D" w:rsidR="00786220" w:rsidRPr="00883413" w:rsidRDefault="00786220" w:rsidP="00B80458">
      <w:pPr>
        <w:spacing w:before="240" w:line="360" w:lineRule="auto"/>
        <w:jc w:val="both"/>
        <w:rPr>
          <w:rFonts w:ascii="Times New Roman" w:hAnsi="Times New Roman" w:cs="Times New Roman"/>
          <w:lang w:val="en-US"/>
        </w:rPr>
      </w:pPr>
    </w:p>
    <w:p w14:paraId="55BC1186" w14:textId="77777777" w:rsidR="00786220" w:rsidRPr="00883413" w:rsidRDefault="00786220" w:rsidP="00B80458">
      <w:pPr>
        <w:spacing w:before="240" w:line="360" w:lineRule="auto"/>
        <w:jc w:val="both"/>
        <w:rPr>
          <w:rFonts w:ascii="Times New Roman" w:hAnsi="Times New Roman" w:cs="Times New Roman"/>
          <w:lang w:val="en-US"/>
        </w:rPr>
      </w:pPr>
    </w:p>
    <w:p w14:paraId="3512A666" w14:textId="77777777" w:rsidR="00E02DCD" w:rsidRDefault="00E02DCD" w:rsidP="002C6A79">
      <w:pPr>
        <w:spacing w:after="0" w:line="240" w:lineRule="auto"/>
        <w:rPr>
          <w:rFonts w:ascii="Times New Roman" w:hAnsi="Times New Roman" w:cs="Times New Roman"/>
          <w:b/>
        </w:rPr>
      </w:pPr>
    </w:p>
    <w:p w14:paraId="173CA018" w14:textId="1412ECC9" w:rsidR="002C6A79" w:rsidRDefault="002C6A79" w:rsidP="002C6A79">
      <w:pPr>
        <w:spacing w:after="0" w:line="240" w:lineRule="auto"/>
        <w:rPr>
          <w:rFonts w:ascii="Times New Roman" w:hAnsi="Times New Roman" w:cs="Times New Roman"/>
          <w:b/>
        </w:rPr>
      </w:pPr>
      <w:proofErr w:type="spellStart"/>
      <w:r w:rsidRPr="000839CE">
        <w:rPr>
          <w:rFonts w:ascii="Times New Roman" w:hAnsi="Times New Roman" w:cs="Times New Roman"/>
          <w:b/>
        </w:rPr>
        <w:lastRenderedPageBreak/>
        <w:t>Declaration</w:t>
      </w:r>
      <w:proofErr w:type="spellEnd"/>
      <w:r w:rsidRPr="000839CE">
        <w:rPr>
          <w:rFonts w:ascii="Times New Roman" w:hAnsi="Times New Roman" w:cs="Times New Roman"/>
          <w:b/>
        </w:rPr>
        <w:t xml:space="preserve"> of AI Use</w:t>
      </w:r>
    </w:p>
    <w:p w14:paraId="0BD6671A" w14:textId="77777777" w:rsidR="002C6A79" w:rsidRDefault="002C6A79" w:rsidP="002C6A79">
      <w:pPr>
        <w:spacing w:after="0" w:line="240" w:lineRule="auto"/>
        <w:rPr>
          <w:rFonts w:ascii="Times New Roman" w:hAnsi="Times New Roman" w:cs="Times New Roman"/>
          <w:b/>
        </w:rPr>
      </w:pPr>
    </w:p>
    <w:p w14:paraId="3B3E14A1" w14:textId="77777777" w:rsidR="002C6A79" w:rsidRDefault="002C6A79" w:rsidP="002C6A79">
      <w:pPr>
        <w:spacing w:after="0" w:line="240" w:lineRule="auto"/>
        <w:rPr>
          <w:rFonts w:ascii="Times New Roman" w:hAnsi="Times New Roman" w:cs="Times New Roman"/>
          <w:b/>
        </w:rPr>
      </w:pPr>
    </w:p>
    <w:p w14:paraId="57AA4991" w14:textId="77777777" w:rsidR="002C6A79" w:rsidRDefault="002C6A79" w:rsidP="002C6A79">
      <w:pPr>
        <w:spacing w:after="0" w:line="240" w:lineRule="auto"/>
        <w:rPr>
          <w:rFonts w:ascii="Times New Roman" w:hAnsi="Times New Roman" w:cs="Times New Roman"/>
          <w:b/>
        </w:rPr>
      </w:pPr>
    </w:p>
    <w:p w14:paraId="3AD51ACA" w14:textId="77777777" w:rsidR="002C6A79" w:rsidRPr="002D08AC" w:rsidRDefault="002C6A79" w:rsidP="002C6A79">
      <w:pPr>
        <w:spacing w:after="0" w:line="240" w:lineRule="auto"/>
        <w:rPr>
          <w:rFonts w:ascii="Arial" w:hAnsi="Arial" w:cs="Arial"/>
          <w:sz w:val="20"/>
          <w:szCs w:val="20"/>
        </w:rPr>
      </w:pPr>
      <w:r w:rsidRPr="002D08AC">
        <w:rPr>
          <w:rFonts w:ascii="Arial" w:hAnsi="Arial" w:cs="Arial"/>
          <w:sz w:val="20"/>
          <w:szCs w:val="20"/>
        </w:rPr>
        <w:t xml:space="preserve">This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was</w:t>
      </w:r>
      <w:proofErr w:type="spellEnd"/>
      <w:r w:rsidRPr="002D08AC">
        <w:rPr>
          <w:rFonts w:ascii="Arial" w:hAnsi="Arial" w:cs="Arial"/>
          <w:sz w:val="20"/>
          <w:szCs w:val="20"/>
        </w:rPr>
        <w:t xml:space="preserve"> </w:t>
      </w:r>
      <w:proofErr w:type="spellStart"/>
      <w:r w:rsidRPr="002D08AC">
        <w:rPr>
          <w:rFonts w:ascii="Arial" w:hAnsi="Arial" w:cs="Arial"/>
          <w:sz w:val="20"/>
          <w:szCs w:val="20"/>
        </w:rPr>
        <w:t>prepared</w:t>
      </w:r>
      <w:proofErr w:type="spellEnd"/>
      <w:r w:rsidRPr="002D08AC">
        <w:rPr>
          <w:rFonts w:ascii="Arial" w:hAnsi="Arial" w:cs="Arial"/>
          <w:sz w:val="20"/>
          <w:szCs w:val="20"/>
        </w:rPr>
        <w:t xml:space="preserve"> </w:t>
      </w:r>
      <w:proofErr w:type="spellStart"/>
      <w:r w:rsidRPr="002D08AC">
        <w:rPr>
          <w:rFonts w:ascii="Arial" w:hAnsi="Arial" w:cs="Arial"/>
          <w:sz w:val="20"/>
          <w:szCs w:val="20"/>
        </w:rPr>
        <w:t>through</w:t>
      </w:r>
      <w:proofErr w:type="spellEnd"/>
      <w:r w:rsidRPr="002D08AC">
        <w:rPr>
          <w:rFonts w:ascii="Arial" w:hAnsi="Arial" w:cs="Arial"/>
          <w:sz w:val="20"/>
          <w:szCs w:val="20"/>
        </w:rPr>
        <w:t xml:space="preserve"> the </w:t>
      </w:r>
      <w:proofErr w:type="spellStart"/>
      <w:r w:rsidRPr="002D08AC">
        <w:rPr>
          <w:rFonts w:ascii="Arial" w:hAnsi="Arial" w:cs="Arial"/>
          <w:sz w:val="20"/>
          <w:szCs w:val="20"/>
        </w:rPr>
        <w:t>intellectual</w:t>
      </w:r>
      <w:proofErr w:type="spellEnd"/>
      <w:r w:rsidRPr="002D08AC">
        <w:rPr>
          <w:rFonts w:ascii="Arial" w:hAnsi="Arial" w:cs="Arial"/>
          <w:sz w:val="20"/>
          <w:szCs w:val="20"/>
        </w:rPr>
        <w:t xml:space="preserve"> contributions of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to the </w:t>
      </w:r>
      <w:proofErr w:type="spellStart"/>
      <w:r w:rsidRPr="002D08AC">
        <w:rPr>
          <w:rFonts w:ascii="Arial" w:hAnsi="Arial" w:cs="Arial"/>
          <w:sz w:val="20"/>
          <w:szCs w:val="20"/>
        </w:rPr>
        <w:t>study</w:t>
      </w:r>
      <w:proofErr w:type="spellEnd"/>
      <w:r w:rsidRPr="002D08AC">
        <w:rPr>
          <w:rFonts w:ascii="Arial" w:hAnsi="Arial" w:cs="Arial"/>
          <w:sz w:val="20"/>
          <w:szCs w:val="20"/>
        </w:rPr>
        <w:t xml:space="preserve"> design, data </w:t>
      </w:r>
      <w:proofErr w:type="spellStart"/>
      <w:r w:rsidRPr="002D08AC">
        <w:rPr>
          <w:rFonts w:ascii="Arial" w:hAnsi="Arial" w:cs="Arial"/>
          <w:sz w:val="20"/>
          <w:szCs w:val="20"/>
        </w:rPr>
        <w:t>analysis</w:t>
      </w:r>
      <w:proofErr w:type="spellEnd"/>
      <w:r w:rsidRPr="002D08AC">
        <w:rPr>
          <w:rFonts w:ascii="Arial" w:hAnsi="Arial" w:cs="Arial"/>
          <w:sz w:val="20"/>
          <w:szCs w:val="20"/>
        </w:rPr>
        <w:t xml:space="preserve">, </w:t>
      </w:r>
      <w:proofErr w:type="spellStart"/>
      <w:r w:rsidRPr="002D08AC">
        <w:rPr>
          <w:rFonts w:ascii="Arial" w:hAnsi="Arial" w:cs="Arial"/>
          <w:sz w:val="20"/>
          <w:szCs w:val="20"/>
        </w:rPr>
        <w:t>interpretation</w:t>
      </w:r>
      <w:proofErr w:type="spellEnd"/>
      <w:r w:rsidRPr="002D08AC">
        <w:rPr>
          <w:rFonts w:ascii="Arial" w:hAnsi="Arial" w:cs="Arial"/>
          <w:sz w:val="20"/>
          <w:szCs w:val="20"/>
        </w:rPr>
        <w:t xml:space="preserve"> of </w:t>
      </w:r>
      <w:proofErr w:type="spellStart"/>
      <w:r w:rsidRPr="002D08AC">
        <w:rPr>
          <w:rFonts w:ascii="Arial" w:hAnsi="Arial" w:cs="Arial"/>
          <w:sz w:val="20"/>
          <w:szCs w:val="20"/>
        </w:rPr>
        <w:t>results</w:t>
      </w:r>
      <w:proofErr w:type="spellEnd"/>
      <w:r w:rsidRPr="002D08AC">
        <w:rPr>
          <w:rFonts w:ascii="Arial" w:hAnsi="Arial" w:cs="Arial"/>
          <w:sz w:val="20"/>
          <w:szCs w:val="20"/>
        </w:rPr>
        <w:t xml:space="preserve">, and </w:t>
      </w:r>
      <w:proofErr w:type="spellStart"/>
      <w:r w:rsidRPr="002D08AC">
        <w:rPr>
          <w:rFonts w:ascii="Arial" w:hAnsi="Arial" w:cs="Arial"/>
          <w:sz w:val="20"/>
          <w:szCs w:val="20"/>
        </w:rPr>
        <w:t>scholarly</w:t>
      </w:r>
      <w:proofErr w:type="spellEnd"/>
      <w:r w:rsidRPr="002D08AC">
        <w:rPr>
          <w:rFonts w:ascii="Arial" w:hAnsi="Arial" w:cs="Arial"/>
          <w:sz w:val="20"/>
          <w:szCs w:val="20"/>
        </w:rPr>
        <w:t xml:space="preserve"> content. Grammarly and </w:t>
      </w:r>
      <w:proofErr w:type="spellStart"/>
      <w:r w:rsidRPr="002D08AC">
        <w:rPr>
          <w:rFonts w:ascii="Arial" w:hAnsi="Arial" w:cs="Arial"/>
          <w:sz w:val="20"/>
          <w:szCs w:val="20"/>
        </w:rPr>
        <w:t>ChatGPT</w:t>
      </w:r>
      <w:proofErr w:type="spellEnd"/>
      <w:r w:rsidRPr="002D08AC">
        <w:rPr>
          <w:rFonts w:ascii="Arial" w:hAnsi="Arial" w:cs="Arial"/>
          <w:sz w:val="20"/>
          <w:szCs w:val="20"/>
        </w:rPr>
        <w:t xml:space="preserve"> </w:t>
      </w:r>
      <w:proofErr w:type="spellStart"/>
      <w:r w:rsidRPr="002D08AC">
        <w:rPr>
          <w:rFonts w:ascii="Arial" w:hAnsi="Arial" w:cs="Arial"/>
          <w:sz w:val="20"/>
          <w:szCs w:val="20"/>
        </w:rPr>
        <w:t>were</w:t>
      </w:r>
      <w:proofErr w:type="spellEnd"/>
      <w:r w:rsidRPr="002D08AC">
        <w:rPr>
          <w:rFonts w:ascii="Arial" w:hAnsi="Arial" w:cs="Arial"/>
          <w:sz w:val="20"/>
          <w:szCs w:val="20"/>
        </w:rPr>
        <w:t xml:space="preserve"> </w:t>
      </w:r>
      <w:proofErr w:type="spellStart"/>
      <w:r w:rsidRPr="002D08AC">
        <w:rPr>
          <w:rFonts w:ascii="Arial" w:hAnsi="Arial" w:cs="Arial"/>
          <w:sz w:val="20"/>
          <w:szCs w:val="20"/>
        </w:rPr>
        <w:t>used</w:t>
      </w:r>
      <w:proofErr w:type="spellEnd"/>
      <w:r w:rsidRPr="002D08AC">
        <w:rPr>
          <w:rFonts w:ascii="Arial" w:hAnsi="Arial" w:cs="Arial"/>
          <w:sz w:val="20"/>
          <w:szCs w:val="20"/>
        </w:rPr>
        <w:t xml:space="preserve"> </w:t>
      </w:r>
      <w:proofErr w:type="spellStart"/>
      <w:r w:rsidRPr="002D08AC">
        <w:rPr>
          <w:rFonts w:ascii="Arial" w:hAnsi="Arial" w:cs="Arial"/>
          <w:sz w:val="20"/>
          <w:szCs w:val="20"/>
        </w:rPr>
        <w:t>solely</w:t>
      </w:r>
      <w:proofErr w:type="spellEnd"/>
      <w:r w:rsidRPr="002D08AC">
        <w:rPr>
          <w:rFonts w:ascii="Arial" w:hAnsi="Arial" w:cs="Arial"/>
          <w:sz w:val="20"/>
          <w:szCs w:val="20"/>
        </w:rPr>
        <w:t xml:space="preserve"> to assist </w:t>
      </w:r>
      <w:proofErr w:type="spellStart"/>
      <w:r w:rsidRPr="002D08AC">
        <w:rPr>
          <w:rFonts w:ascii="Arial" w:hAnsi="Arial" w:cs="Arial"/>
          <w:sz w:val="20"/>
          <w:szCs w:val="20"/>
        </w:rPr>
        <w:t>with</w:t>
      </w:r>
      <w:proofErr w:type="spellEnd"/>
      <w:r w:rsidRPr="002D08AC">
        <w:rPr>
          <w:rFonts w:ascii="Arial" w:hAnsi="Arial" w:cs="Arial"/>
          <w:sz w:val="20"/>
          <w:szCs w:val="20"/>
        </w:rPr>
        <w:t xml:space="preserve"> grammatical </w:t>
      </w:r>
      <w:proofErr w:type="spellStart"/>
      <w:r w:rsidRPr="002D08AC">
        <w:rPr>
          <w:rFonts w:ascii="Arial" w:hAnsi="Arial" w:cs="Arial"/>
          <w:sz w:val="20"/>
          <w:szCs w:val="20"/>
        </w:rPr>
        <w:t>refinement</w:t>
      </w:r>
      <w:proofErr w:type="spellEnd"/>
      <w:r w:rsidRPr="002D08AC">
        <w:rPr>
          <w:rFonts w:ascii="Arial" w:hAnsi="Arial" w:cs="Arial"/>
          <w:sz w:val="20"/>
          <w:szCs w:val="20"/>
        </w:rPr>
        <w:t xml:space="preserve"> and </w:t>
      </w:r>
      <w:proofErr w:type="spellStart"/>
      <w:r w:rsidRPr="002D08AC">
        <w:rPr>
          <w:rFonts w:ascii="Arial" w:hAnsi="Arial" w:cs="Arial"/>
          <w:sz w:val="20"/>
          <w:szCs w:val="20"/>
        </w:rPr>
        <w:t>reference</w:t>
      </w:r>
      <w:proofErr w:type="spellEnd"/>
      <w:r w:rsidRPr="002D08AC">
        <w:rPr>
          <w:rFonts w:ascii="Arial" w:hAnsi="Arial" w:cs="Arial"/>
          <w:sz w:val="20"/>
          <w:szCs w:val="20"/>
        </w:rPr>
        <w:t xml:space="preserve"> </w:t>
      </w:r>
      <w:proofErr w:type="spellStart"/>
      <w:r w:rsidRPr="002D08AC">
        <w:rPr>
          <w:rFonts w:ascii="Arial" w:hAnsi="Arial" w:cs="Arial"/>
          <w:sz w:val="20"/>
          <w:szCs w:val="20"/>
        </w:rPr>
        <w:t>formatting</w:t>
      </w:r>
      <w:proofErr w:type="spellEnd"/>
      <w:r w:rsidRPr="002D08AC">
        <w:rPr>
          <w:rFonts w:ascii="Arial" w:hAnsi="Arial" w:cs="Arial"/>
          <w:sz w:val="20"/>
          <w:szCs w:val="20"/>
        </w:rPr>
        <w:t xml:space="preserve"> </w:t>
      </w:r>
      <w:proofErr w:type="spellStart"/>
      <w:r w:rsidRPr="002D08AC">
        <w:rPr>
          <w:rFonts w:ascii="Arial" w:hAnsi="Arial" w:cs="Arial"/>
          <w:sz w:val="20"/>
          <w:szCs w:val="20"/>
        </w:rPr>
        <w:t>during</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revision</w:t>
      </w:r>
      <w:proofErr w:type="spellEnd"/>
      <w:r w:rsidRPr="002D08AC">
        <w:rPr>
          <w:rFonts w:ascii="Arial" w:hAnsi="Arial" w:cs="Arial"/>
          <w:sz w:val="20"/>
          <w:szCs w:val="20"/>
        </w:rPr>
        <w:t xml:space="preserve">.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accept</w:t>
      </w:r>
      <w:proofErr w:type="spellEnd"/>
      <w:r w:rsidRPr="002D08AC">
        <w:rPr>
          <w:rFonts w:ascii="Arial" w:hAnsi="Arial" w:cs="Arial"/>
          <w:sz w:val="20"/>
          <w:szCs w:val="20"/>
        </w:rPr>
        <w:t xml:space="preserve"> full </w:t>
      </w:r>
      <w:proofErr w:type="spellStart"/>
      <w:r w:rsidRPr="002D08AC">
        <w:rPr>
          <w:rFonts w:ascii="Arial" w:hAnsi="Arial" w:cs="Arial"/>
          <w:sz w:val="20"/>
          <w:szCs w:val="20"/>
        </w:rPr>
        <w:t>responsibility</w:t>
      </w:r>
      <w:proofErr w:type="spellEnd"/>
      <w:r w:rsidRPr="002D08AC">
        <w:rPr>
          <w:rFonts w:ascii="Arial" w:hAnsi="Arial" w:cs="Arial"/>
          <w:sz w:val="20"/>
          <w:szCs w:val="20"/>
        </w:rPr>
        <w:t xml:space="preserve"> for the </w:t>
      </w:r>
      <w:proofErr w:type="spellStart"/>
      <w:r w:rsidRPr="002D08AC">
        <w:rPr>
          <w:rFonts w:ascii="Arial" w:hAnsi="Arial" w:cs="Arial"/>
          <w:sz w:val="20"/>
          <w:szCs w:val="20"/>
        </w:rPr>
        <w:t>accuracy</w:t>
      </w:r>
      <w:proofErr w:type="spellEnd"/>
      <w:r w:rsidRPr="002D08AC">
        <w:rPr>
          <w:rFonts w:ascii="Arial" w:hAnsi="Arial" w:cs="Arial"/>
          <w:sz w:val="20"/>
          <w:szCs w:val="20"/>
        </w:rPr>
        <w:t xml:space="preserve">, </w:t>
      </w:r>
      <w:proofErr w:type="spellStart"/>
      <w:r w:rsidRPr="002D08AC">
        <w:rPr>
          <w:rFonts w:ascii="Arial" w:hAnsi="Arial" w:cs="Arial"/>
          <w:sz w:val="20"/>
          <w:szCs w:val="20"/>
        </w:rPr>
        <w:t>integrity</w:t>
      </w:r>
      <w:proofErr w:type="spellEnd"/>
      <w:r w:rsidRPr="002D08AC">
        <w:rPr>
          <w:rFonts w:ascii="Arial" w:hAnsi="Arial" w:cs="Arial"/>
          <w:sz w:val="20"/>
          <w:szCs w:val="20"/>
        </w:rPr>
        <w:t xml:space="preserve">, and final content of the </w:t>
      </w:r>
      <w:proofErr w:type="spellStart"/>
      <w:r w:rsidRPr="002D08AC">
        <w:rPr>
          <w:rFonts w:ascii="Arial" w:hAnsi="Arial" w:cs="Arial"/>
          <w:sz w:val="20"/>
          <w:szCs w:val="20"/>
        </w:rPr>
        <w:t>manuscript</w:t>
      </w:r>
      <w:proofErr w:type="spellEnd"/>
      <w:r w:rsidRPr="002D08AC">
        <w:rPr>
          <w:rFonts w:ascii="Arial" w:hAnsi="Arial" w:cs="Arial"/>
          <w:sz w:val="20"/>
          <w:szCs w:val="20"/>
        </w:rPr>
        <w:t>.</w:t>
      </w:r>
    </w:p>
    <w:p w14:paraId="5DC35474" w14:textId="77777777" w:rsidR="002C6A79" w:rsidRDefault="002C6A79" w:rsidP="00B80458">
      <w:pPr>
        <w:spacing w:before="240" w:line="360" w:lineRule="auto"/>
        <w:jc w:val="both"/>
        <w:rPr>
          <w:rFonts w:ascii="Times New Roman" w:hAnsi="Times New Roman" w:cs="Times New Roman"/>
        </w:rPr>
      </w:pPr>
    </w:p>
    <w:p w14:paraId="7181AFA7" w14:textId="77777777" w:rsidR="002C6A79" w:rsidRDefault="002C6A79" w:rsidP="00B80458">
      <w:pPr>
        <w:spacing w:before="240" w:line="360" w:lineRule="auto"/>
        <w:jc w:val="both"/>
        <w:rPr>
          <w:rFonts w:ascii="Times New Roman" w:hAnsi="Times New Roman" w:cs="Times New Roman"/>
        </w:rPr>
      </w:pPr>
    </w:p>
    <w:p w14:paraId="0729A915" w14:textId="298BC141" w:rsidR="005643E1" w:rsidRPr="00883413" w:rsidRDefault="005643E1" w:rsidP="00B80458">
      <w:pPr>
        <w:spacing w:before="240" w:line="360" w:lineRule="auto"/>
        <w:jc w:val="both"/>
        <w:rPr>
          <w:rFonts w:ascii="Times New Roman" w:hAnsi="Times New Roman" w:cs="Times New Roman"/>
        </w:rPr>
      </w:pPr>
      <w:r w:rsidRPr="00883413">
        <w:rPr>
          <w:rFonts w:ascii="Times New Roman" w:hAnsi="Times New Roman" w:cs="Times New Roman"/>
        </w:rPr>
        <w:t xml:space="preserve">REFERENCES </w:t>
      </w:r>
    </w:p>
    <w:p w14:paraId="795ED5A4"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rPr>
        <w:t xml:space="preserve">Abbas, Z. G., &amp; </w:t>
      </w:r>
      <w:proofErr w:type="spellStart"/>
      <w:r w:rsidRPr="00883413">
        <w:rPr>
          <w:rFonts w:ascii="Times New Roman" w:hAnsi="Times New Roman" w:cs="Times New Roman"/>
        </w:rPr>
        <w:t>Gangji</w:t>
      </w:r>
      <w:proofErr w:type="spellEnd"/>
      <w:r w:rsidRPr="00883413">
        <w:rPr>
          <w:rFonts w:ascii="Times New Roman" w:hAnsi="Times New Roman" w:cs="Times New Roman"/>
        </w:rPr>
        <w:t xml:space="preserve">, R. R. (2025). </w:t>
      </w:r>
      <w:r w:rsidRPr="00883413">
        <w:rPr>
          <w:rFonts w:ascii="Times New Roman" w:hAnsi="Times New Roman" w:cs="Times New Roman"/>
          <w:lang w:val="en-US"/>
        </w:rPr>
        <w:t xml:space="preserve">The diabetic </w:t>
      </w:r>
      <w:proofErr w:type="gramStart"/>
      <w:r w:rsidRPr="00883413">
        <w:rPr>
          <w:rFonts w:ascii="Times New Roman" w:hAnsi="Times New Roman" w:cs="Times New Roman"/>
          <w:lang w:val="en-US"/>
        </w:rPr>
        <w:t>foot :</w:t>
      </w:r>
      <w:proofErr w:type="gramEnd"/>
      <w:r w:rsidRPr="00883413">
        <w:rPr>
          <w:rFonts w:ascii="Times New Roman" w:hAnsi="Times New Roman" w:cs="Times New Roman"/>
          <w:lang w:val="en-US"/>
        </w:rPr>
        <w:t xml:space="preserve"> Progress in Sub-Saharan Africa. </w:t>
      </w:r>
      <w:r w:rsidRPr="00883413">
        <w:rPr>
          <w:rFonts w:ascii="Times New Roman" w:hAnsi="Times New Roman" w:cs="Times New Roman"/>
          <w:i/>
          <w:iCs/>
          <w:lang w:val="en-US"/>
        </w:rPr>
        <w:t>Diabetes Research and Clinical Practice</w:t>
      </w:r>
      <w:r w:rsidRPr="00883413">
        <w:rPr>
          <w:rFonts w:ascii="Times New Roman" w:hAnsi="Times New Roman" w:cs="Times New Roman"/>
          <w:lang w:val="en-US"/>
        </w:rPr>
        <w:t xml:space="preserve">, </w:t>
      </w:r>
      <w:r w:rsidRPr="00883413">
        <w:rPr>
          <w:rFonts w:ascii="Times New Roman" w:hAnsi="Times New Roman" w:cs="Times New Roman"/>
          <w:i/>
          <w:iCs/>
          <w:lang w:val="en-US"/>
        </w:rPr>
        <w:t>225</w:t>
      </w:r>
      <w:r w:rsidRPr="00883413">
        <w:rPr>
          <w:rFonts w:ascii="Times New Roman" w:hAnsi="Times New Roman" w:cs="Times New Roman"/>
          <w:lang w:val="en-US"/>
        </w:rPr>
        <w:t>, 112264. https://doi.org/10.1016/j.diabres.2025.112264</w:t>
      </w:r>
    </w:p>
    <w:p w14:paraId="4636DE9A"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rPr>
      </w:pPr>
      <w:r w:rsidRPr="00883413">
        <w:rPr>
          <w:rFonts w:ascii="Times New Roman" w:hAnsi="Times New Roman" w:cs="Times New Roman"/>
        </w:rPr>
        <w:t xml:space="preserve">An, Y., Xu, B., Wan, S., Ma, X., Long, Y., Xu, Y., &amp; Jiang, Z. (2023). </w:t>
      </w:r>
      <w:r w:rsidRPr="00883413">
        <w:rPr>
          <w:rFonts w:ascii="Times New Roman" w:hAnsi="Times New Roman" w:cs="Times New Roman"/>
          <w:lang w:val="en-US"/>
        </w:rPr>
        <w:t xml:space="preserve">The role of oxidative stress in diabetes mellitus-induced vascular endothelial dysfunction. </w:t>
      </w:r>
      <w:proofErr w:type="spellStart"/>
      <w:r w:rsidRPr="00883413">
        <w:rPr>
          <w:rFonts w:ascii="Times New Roman" w:hAnsi="Times New Roman" w:cs="Times New Roman"/>
          <w:i/>
          <w:iCs/>
        </w:rPr>
        <w:t>Cardiovascular</w:t>
      </w:r>
      <w:proofErr w:type="spellEnd"/>
      <w:r w:rsidRPr="00883413">
        <w:rPr>
          <w:rFonts w:ascii="Times New Roman" w:hAnsi="Times New Roman" w:cs="Times New Roman"/>
          <w:i/>
          <w:iCs/>
        </w:rPr>
        <w:t xml:space="preserve"> </w:t>
      </w:r>
      <w:proofErr w:type="spellStart"/>
      <w:r w:rsidRPr="00883413">
        <w:rPr>
          <w:rFonts w:ascii="Times New Roman" w:hAnsi="Times New Roman" w:cs="Times New Roman"/>
          <w:i/>
          <w:iCs/>
        </w:rPr>
        <w:t>Diabetology</w:t>
      </w:r>
      <w:proofErr w:type="spellEnd"/>
      <w:r w:rsidRPr="00883413">
        <w:rPr>
          <w:rFonts w:ascii="Times New Roman" w:hAnsi="Times New Roman" w:cs="Times New Roman"/>
        </w:rPr>
        <w:t xml:space="preserve">, </w:t>
      </w:r>
      <w:r w:rsidRPr="00883413">
        <w:rPr>
          <w:rFonts w:ascii="Times New Roman" w:hAnsi="Times New Roman" w:cs="Times New Roman"/>
          <w:i/>
          <w:iCs/>
        </w:rPr>
        <w:t>22</w:t>
      </w:r>
      <w:r w:rsidRPr="00883413">
        <w:rPr>
          <w:rFonts w:ascii="Times New Roman" w:hAnsi="Times New Roman" w:cs="Times New Roman"/>
        </w:rPr>
        <w:t>(1), 237. https://doi.org/10.1186/s12933-023-01965-7</w:t>
      </w:r>
    </w:p>
    <w:p w14:paraId="420694AF"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rPr>
      </w:pPr>
      <w:r w:rsidRPr="00883413">
        <w:rPr>
          <w:rFonts w:ascii="Times New Roman" w:hAnsi="Times New Roman" w:cs="Times New Roman"/>
        </w:rPr>
        <w:t xml:space="preserve">Arvouet-Grand, A., </w:t>
      </w:r>
      <w:proofErr w:type="spellStart"/>
      <w:r w:rsidRPr="00883413">
        <w:rPr>
          <w:rFonts w:ascii="Times New Roman" w:hAnsi="Times New Roman" w:cs="Times New Roman"/>
        </w:rPr>
        <w:t>Vennat</w:t>
      </w:r>
      <w:proofErr w:type="spellEnd"/>
      <w:r w:rsidRPr="00883413">
        <w:rPr>
          <w:rFonts w:ascii="Times New Roman" w:hAnsi="Times New Roman" w:cs="Times New Roman"/>
        </w:rPr>
        <w:t xml:space="preserve">, B., Pourrat, A., &amp; </w:t>
      </w:r>
      <w:proofErr w:type="spellStart"/>
      <w:r w:rsidRPr="00883413">
        <w:rPr>
          <w:rFonts w:ascii="Times New Roman" w:hAnsi="Times New Roman" w:cs="Times New Roman"/>
        </w:rPr>
        <w:t>Legret</w:t>
      </w:r>
      <w:proofErr w:type="spellEnd"/>
      <w:r w:rsidRPr="00883413">
        <w:rPr>
          <w:rFonts w:ascii="Times New Roman" w:hAnsi="Times New Roman" w:cs="Times New Roman"/>
        </w:rPr>
        <w:t>, P. (1994). [</w:t>
      </w:r>
      <w:proofErr w:type="spellStart"/>
      <w:r w:rsidRPr="00883413">
        <w:rPr>
          <w:rFonts w:ascii="Times New Roman" w:hAnsi="Times New Roman" w:cs="Times New Roman"/>
        </w:rPr>
        <w:t>Standardization</w:t>
      </w:r>
      <w:proofErr w:type="spellEnd"/>
      <w:r w:rsidRPr="00883413">
        <w:rPr>
          <w:rFonts w:ascii="Times New Roman" w:hAnsi="Times New Roman" w:cs="Times New Roman"/>
        </w:rPr>
        <w:t xml:space="preserve"> of propolis </w:t>
      </w:r>
      <w:proofErr w:type="spellStart"/>
      <w:r w:rsidRPr="00883413">
        <w:rPr>
          <w:rFonts w:ascii="Times New Roman" w:hAnsi="Times New Roman" w:cs="Times New Roman"/>
        </w:rPr>
        <w:t>extract</w:t>
      </w:r>
      <w:proofErr w:type="spellEnd"/>
      <w:r w:rsidRPr="00883413">
        <w:rPr>
          <w:rFonts w:ascii="Times New Roman" w:hAnsi="Times New Roman" w:cs="Times New Roman"/>
        </w:rPr>
        <w:t xml:space="preserve"> and identification of principal </w:t>
      </w:r>
      <w:proofErr w:type="spellStart"/>
      <w:r w:rsidRPr="00883413">
        <w:rPr>
          <w:rFonts w:ascii="Times New Roman" w:hAnsi="Times New Roman" w:cs="Times New Roman"/>
        </w:rPr>
        <w:t>constituents</w:t>
      </w:r>
      <w:proofErr w:type="spellEnd"/>
      <w:r w:rsidRPr="00883413">
        <w:rPr>
          <w:rFonts w:ascii="Times New Roman" w:hAnsi="Times New Roman" w:cs="Times New Roman"/>
        </w:rPr>
        <w:t xml:space="preserve">]. </w:t>
      </w:r>
      <w:r w:rsidRPr="00883413">
        <w:rPr>
          <w:rFonts w:ascii="Times New Roman" w:hAnsi="Times New Roman" w:cs="Times New Roman"/>
          <w:i/>
          <w:iCs/>
        </w:rPr>
        <w:t>Journal de pharmacie de Belgique</w:t>
      </w:r>
      <w:r w:rsidRPr="00883413">
        <w:rPr>
          <w:rFonts w:ascii="Times New Roman" w:hAnsi="Times New Roman" w:cs="Times New Roman"/>
        </w:rPr>
        <w:t xml:space="preserve">, </w:t>
      </w:r>
      <w:r w:rsidRPr="00883413">
        <w:rPr>
          <w:rFonts w:ascii="Times New Roman" w:hAnsi="Times New Roman" w:cs="Times New Roman"/>
          <w:i/>
          <w:iCs/>
        </w:rPr>
        <w:t>49</w:t>
      </w:r>
      <w:r w:rsidRPr="00883413">
        <w:rPr>
          <w:rFonts w:ascii="Times New Roman" w:hAnsi="Times New Roman" w:cs="Times New Roman"/>
        </w:rPr>
        <w:t>(6), 462‑468.</w:t>
      </w:r>
    </w:p>
    <w:p w14:paraId="1182D625"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rPr>
      </w:pPr>
      <w:r w:rsidRPr="00883413">
        <w:rPr>
          <w:rFonts w:ascii="Times New Roman" w:hAnsi="Times New Roman" w:cs="Times New Roman"/>
        </w:rPr>
        <w:t xml:space="preserve">Bangou, M. J. (s. d.). </w:t>
      </w:r>
      <w:r w:rsidRPr="00883413">
        <w:rPr>
          <w:rFonts w:ascii="Times New Roman" w:hAnsi="Times New Roman" w:cs="Times New Roman"/>
          <w:i/>
          <w:iCs/>
        </w:rPr>
        <w:t xml:space="preserve">Etude phytochimique et </w:t>
      </w:r>
      <w:proofErr w:type="spellStart"/>
      <w:r w:rsidRPr="00883413">
        <w:rPr>
          <w:rFonts w:ascii="Times New Roman" w:hAnsi="Times New Roman" w:cs="Times New Roman"/>
          <w:i/>
          <w:iCs/>
        </w:rPr>
        <w:t>activites</w:t>
      </w:r>
      <w:proofErr w:type="spellEnd"/>
      <w:r w:rsidRPr="00883413">
        <w:rPr>
          <w:rFonts w:ascii="Times New Roman" w:hAnsi="Times New Roman" w:cs="Times New Roman"/>
          <w:i/>
          <w:iCs/>
        </w:rPr>
        <w:t xml:space="preserve"> biologiques des tiges feuillées de Lantana </w:t>
      </w:r>
      <w:proofErr w:type="spellStart"/>
      <w:r w:rsidRPr="00883413">
        <w:rPr>
          <w:rFonts w:ascii="Times New Roman" w:hAnsi="Times New Roman" w:cs="Times New Roman"/>
          <w:i/>
          <w:iCs/>
        </w:rPr>
        <w:t>camara</w:t>
      </w:r>
      <w:proofErr w:type="spellEnd"/>
      <w:r w:rsidRPr="00883413">
        <w:rPr>
          <w:rFonts w:ascii="Times New Roman" w:hAnsi="Times New Roman" w:cs="Times New Roman"/>
          <w:i/>
          <w:iCs/>
        </w:rPr>
        <w:t xml:space="preserve"> L. et de </w:t>
      </w:r>
      <w:proofErr w:type="spellStart"/>
      <w:r w:rsidRPr="00883413">
        <w:rPr>
          <w:rFonts w:ascii="Times New Roman" w:hAnsi="Times New Roman" w:cs="Times New Roman"/>
          <w:i/>
          <w:iCs/>
        </w:rPr>
        <w:t>Lippia</w:t>
      </w:r>
      <w:proofErr w:type="spellEnd"/>
      <w:r w:rsidRPr="00883413">
        <w:rPr>
          <w:rFonts w:ascii="Times New Roman" w:hAnsi="Times New Roman" w:cs="Times New Roman"/>
          <w:i/>
          <w:iCs/>
        </w:rPr>
        <w:t xml:space="preserve"> </w:t>
      </w:r>
      <w:proofErr w:type="spellStart"/>
      <w:r w:rsidRPr="00883413">
        <w:rPr>
          <w:rFonts w:ascii="Times New Roman" w:hAnsi="Times New Roman" w:cs="Times New Roman"/>
          <w:i/>
          <w:iCs/>
        </w:rPr>
        <w:t>chevalieri</w:t>
      </w:r>
      <w:proofErr w:type="spellEnd"/>
      <w:r w:rsidRPr="00883413">
        <w:rPr>
          <w:rFonts w:ascii="Times New Roman" w:hAnsi="Times New Roman" w:cs="Times New Roman"/>
          <w:i/>
          <w:iCs/>
        </w:rPr>
        <w:t xml:space="preserve"> </w:t>
      </w:r>
      <w:proofErr w:type="spellStart"/>
      <w:r w:rsidRPr="00883413">
        <w:rPr>
          <w:rFonts w:ascii="Times New Roman" w:hAnsi="Times New Roman" w:cs="Times New Roman"/>
          <w:i/>
          <w:iCs/>
        </w:rPr>
        <w:t>Moldenke</w:t>
      </w:r>
      <w:proofErr w:type="spellEnd"/>
      <w:r w:rsidRPr="00883413">
        <w:rPr>
          <w:rFonts w:ascii="Times New Roman" w:hAnsi="Times New Roman" w:cs="Times New Roman"/>
          <w:i/>
          <w:iCs/>
        </w:rPr>
        <w:t xml:space="preserve"> : Deux </w:t>
      </w:r>
      <w:proofErr w:type="spellStart"/>
      <w:r w:rsidRPr="00883413">
        <w:rPr>
          <w:rFonts w:ascii="Times New Roman" w:hAnsi="Times New Roman" w:cs="Times New Roman"/>
          <w:i/>
          <w:iCs/>
        </w:rPr>
        <w:t>verbenaceae</w:t>
      </w:r>
      <w:proofErr w:type="spellEnd"/>
      <w:r w:rsidRPr="00883413">
        <w:rPr>
          <w:rFonts w:ascii="Times New Roman" w:hAnsi="Times New Roman" w:cs="Times New Roman"/>
          <w:i/>
          <w:iCs/>
        </w:rPr>
        <w:t xml:space="preserve"> du Burkina Faso</w:t>
      </w:r>
      <w:r w:rsidRPr="00883413">
        <w:rPr>
          <w:rFonts w:ascii="Times New Roman" w:hAnsi="Times New Roman" w:cs="Times New Roman"/>
        </w:rPr>
        <w:t>.</w:t>
      </w:r>
    </w:p>
    <w:p w14:paraId="635DF160"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rPr>
      </w:pPr>
      <w:proofErr w:type="spellStart"/>
      <w:r w:rsidRPr="00883413">
        <w:rPr>
          <w:rFonts w:ascii="Times New Roman" w:hAnsi="Times New Roman" w:cs="Times New Roman"/>
          <w:lang w:val="en-US"/>
        </w:rPr>
        <w:t>Belemnaba</w:t>
      </w:r>
      <w:proofErr w:type="spellEnd"/>
      <w:r w:rsidRPr="00883413">
        <w:rPr>
          <w:rFonts w:ascii="Times New Roman" w:hAnsi="Times New Roman" w:cs="Times New Roman"/>
          <w:lang w:val="en-US"/>
        </w:rPr>
        <w:t xml:space="preserve">, L., Sawadogo, B., Nitiema, M., Ouedraogo, W. R. C., Kafando, B., Traore, T. K., Kabore, B., Koala, M., Ouedraogo, M., &amp; Ouedraogo, S. (2024). Preclinical evaluation of phytoconstituents, antioxidant activity and acute oral toxicity of the ethyl acetate fraction of the trunk bark of </w:t>
      </w:r>
      <w:proofErr w:type="spellStart"/>
      <w:r w:rsidRPr="00883413">
        <w:rPr>
          <w:rFonts w:ascii="Times New Roman" w:hAnsi="Times New Roman" w:cs="Times New Roman"/>
          <w:lang w:val="en-US"/>
        </w:rPr>
        <w:t>Sclerocarya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birrea</w:t>
      </w:r>
      <w:proofErr w:type="spellEnd"/>
      <w:r w:rsidRPr="00883413">
        <w:rPr>
          <w:rFonts w:ascii="Times New Roman" w:hAnsi="Times New Roman" w:cs="Times New Roman"/>
          <w:lang w:val="en-US"/>
        </w:rPr>
        <w:t xml:space="preserve"> (a. Rich.) </w:t>
      </w:r>
      <w:proofErr w:type="spellStart"/>
      <w:r w:rsidRPr="00883413">
        <w:rPr>
          <w:rFonts w:ascii="Times New Roman" w:hAnsi="Times New Roman" w:cs="Times New Roman"/>
          <w:lang w:val="en-US"/>
        </w:rPr>
        <w:t>Hochst</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Anacardiaceae</w:t>
      </w:r>
      <w:proofErr w:type="spellEnd"/>
      <w:r w:rsidRPr="00883413">
        <w:rPr>
          <w:rFonts w:ascii="Times New Roman" w:hAnsi="Times New Roman" w:cs="Times New Roman"/>
          <w:lang w:val="en-US"/>
        </w:rPr>
        <w:t xml:space="preserve">), a plant used in the treatment of cardiovascular diseases. </w:t>
      </w:r>
      <w:r w:rsidRPr="00883413">
        <w:rPr>
          <w:rFonts w:ascii="Times New Roman" w:hAnsi="Times New Roman" w:cs="Times New Roman"/>
          <w:i/>
          <w:iCs/>
        </w:rPr>
        <w:t>Sciences de la Santé</w:t>
      </w:r>
      <w:r w:rsidRPr="00883413">
        <w:rPr>
          <w:rFonts w:ascii="Times New Roman" w:hAnsi="Times New Roman" w:cs="Times New Roman"/>
        </w:rPr>
        <w:t xml:space="preserve">, </w:t>
      </w:r>
      <w:r w:rsidRPr="00883413">
        <w:rPr>
          <w:rFonts w:ascii="Times New Roman" w:hAnsi="Times New Roman" w:cs="Times New Roman"/>
          <w:i/>
          <w:iCs/>
        </w:rPr>
        <w:t>47</w:t>
      </w:r>
      <w:r w:rsidRPr="00883413">
        <w:rPr>
          <w:rFonts w:ascii="Times New Roman" w:hAnsi="Times New Roman" w:cs="Times New Roman"/>
        </w:rPr>
        <w:t>(2(1)), 206‑225.</w:t>
      </w:r>
    </w:p>
    <w:p w14:paraId="2601E8F6"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lang w:val="en-US"/>
        </w:rPr>
        <w:t xml:space="preserve">Bello, A., </w:t>
      </w:r>
      <w:proofErr w:type="spellStart"/>
      <w:r w:rsidRPr="00883413">
        <w:rPr>
          <w:rFonts w:ascii="Times New Roman" w:hAnsi="Times New Roman" w:cs="Times New Roman"/>
          <w:lang w:val="en-US"/>
        </w:rPr>
        <w:t>Aliero</w:t>
      </w:r>
      <w:proofErr w:type="spellEnd"/>
      <w:r w:rsidRPr="00883413">
        <w:rPr>
          <w:rFonts w:ascii="Times New Roman" w:hAnsi="Times New Roman" w:cs="Times New Roman"/>
          <w:lang w:val="en-US"/>
        </w:rPr>
        <w:t xml:space="preserve">, A. A., Saidu, Y., &amp; Muhammad, S. (2011). Phytochemical Screening, Polyphenolic Content and Alpha-Glucosidase Inhibitory Potential of </w:t>
      </w:r>
      <w:proofErr w:type="spellStart"/>
      <w:r w:rsidRPr="00883413">
        <w:rPr>
          <w:rFonts w:ascii="Times New Roman" w:hAnsi="Times New Roman" w:cs="Times New Roman"/>
          <w:lang w:val="en-US"/>
        </w:rPr>
        <w:t>Leptadenia</w:t>
      </w:r>
      <w:proofErr w:type="spellEnd"/>
      <w:r w:rsidRPr="00883413">
        <w:rPr>
          <w:rFonts w:ascii="Times New Roman" w:hAnsi="Times New Roman" w:cs="Times New Roman"/>
          <w:lang w:val="en-US"/>
        </w:rPr>
        <w:t xml:space="preserve"> hastata (Pers.) </w:t>
      </w:r>
      <w:proofErr w:type="spellStart"/>
      <w:r w:rsidRPr="00883413">
        <w:rPr>
          <w:rFonts w:ascii="Times New Roman" w:hAnsi="Times New Roman" w:cs="Times New Roman"/>
          <w:lang w:val="en-US"/>
        </w:rPr>
        <w:t>Decne</w:t>
      </w:r>
      <w:proofErr w:type="spellEnd"/>
      <w:r w:rsidRPr="00883413">
        <w:rPr>
          <w:rFonts w:ascii="Times New Roman" w:hAnsi="Times New Roman" w:cs="Times New Roman"/>
          <w:lang w:val="en-US"/>
        </w:rPr>
        <w:t xml:space="preserve">. </w:t>
      </w:r>
      <w:r w:rsidRPr="00883413">
        <w:rPr>
          <w:rFonts w:ascii="Times New Roman" w:hAnsi="Times New Roman" w:cs="Times New Roman"/>
          <w:i/>
          <w:iCs/>
          <w:lang w:val="en-US"/>
        </w:rPr>
        <w:t>Nigerian Journal of Basic and Applied Sciences</w:t>
      </w:r>
      <w:r w:rsidRPr="00883413">
        <w:rPr>
          <w:rFonts w:ascii="Times New Roman" w:hAnsi="Times New Roman" w:cs="Times New Roman"/>
          <w:lang w:val="en-US"/>
        </w:rPr>
        <w:t xml:space="preserve">, </w:t>
      </w:r>
      <w:r w:rsidRPr="00883413">
        <w:rPr>
          <w:rFonts w:ascii="Times New Roman" w:hAnsi="Times New Roman" w:cs="Times New Roman"/>
          <w:i/>
          <w:iCs/>
          <w:lang w:val="en-US"/>
        </w:rPr>
        <w:t>19</w:t>
      </w:r>
      <w:r w:rsidRPr="00883413">
        <w:rPr>
          <w:rFonts w:ascii="Times New Roman" w:hAnsi="Times New Roman" w:cs="Times New Roman"/>
          <w:lang w:val="en-US"/>
        </w:rPr>
        <w:t>(2). https://www.ajol.info/index.php/njbas/article/view/73830</w:t>
      </w:r>
    </w:p>
    <w:p w14:paraId="3252ED39"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rPr>
      </w:pPr>
      <w:r w:rsidRPr="00883413">
        <w:rPr>
          <w:rFonts w:ascii="Times New Roman" w:hAnsi="Times New Roman" w:cs="Times New Roman"/>
          <w:lang w:val="en-US"/>
        </w:rPr>
        <w:t xml:space="preserve">Bonkian, F. E., Zongo, K. J., Lema, A., </w:t>
      </w:r>
      <w:proofErr w:type="spellStart"/>
      <w:r w:rsidRPr="00883413">
        <w:rPr>
          <w:rFonts w:ascii="Times New Roman" w:hAnsi="Times New Roman" w:cs="Times New Roman"/>
          <w:lang w:val="en-US"/>
        </w:rPr>
        <w:t>Karaogo</w:t>
      </w:r>
      <w:proofErr w:type="spellEnd"/>
      <w:r w:rsidRPr="00883413">
        <w:rPr>
          <w:rFonts w:ascii="Times New Roman" w:hAnsi="Times New Roman" w:cs="Times New Roman"/>
          <w:lang w:val="en-US"/>
        </w:rPr>
        <w:t xml:space="preserve">, K. D., Bama, O. B., Ouoba, H. Y., Da, F. L., &amp; Bangou, M. J. (s. d.). </w:t>
      </w:r>
      <w:r w:rsidRPr="00883413">
        <w:rPr>
          <w:rFonts w:ascii="Times New Roman" w:hAnsi="Times New Roman" w:cs="Times New Roman"/>
          <w:i/>
          <w:iCs/>
        </w:rPr>
        <w:t xml:space="preserve">Études ethnobotaniques, phytochimiques et biologiques </w:t>
      </w:r>
      <w:r w:rsidRPr="00883413">
        <w:rPr>
          <w:rFonts w:ascii="Times New Roman" w:hAnsi="Times New Roman" w:cs="Times New Roman"/>
          <w:i/>
          <w:iCs/>
        </w:rPr>
        <w:lastRenderedPageBreak/>
        <w:t xml:space="preserve">d’une préparation à base de plantes médicinales utilisée dans le traitement du cancer du col de l’utérus | </w:t>
      </w:r>
      <w:proofErr w:type="spellStart"/>
      <w:r w:rsidRPr="00883413">
        <w:rPr>
          <w:rFonts w:ascii="Times New Roman" w:hAnsi="Times New Roman" w:cs="Times New Roman"/>
          <w:i/>
          <w:iCs/>
        </w:rPr>
        <w:t>Annual</w:t>
      </w:r>
      <w:proofErr w:type="spellEnd"/>
      <w:r w:rsidRPr="00883413">
        <w:rPr>
          <w:rFonts w:ascii="Times New Roman" w:hAnsi="Times New Roman" w:cs="Times New Roman"/>
          <w:i/>
          <w:iCs/>
        </w:rPr>
        <w:t xml:space="preserve"> </w:t>
      </w:r>
      <w:proofErr w:type="spellStart"/>
      <w:r w:rsidRPr="00883413">
        <w:rPr>
          <w:rFonts w:ascii="Times New Roman" w:hAnsi="Times New Roman" w:cs="Times New Roman"/>
          <w:i/>
          <w:iCs/>
        </w:rPr>
        <w:t>Research</w:t>
      </w:r>
      <w:proofErr w:type="spellEnd"/>
      <w:r w:rsidRPr="00883413">
        <w:rPr>
          <w:rFonts w:ascii="Times New Roman" w:hAnsi="Times New Roman" w:cs="Times New Roman"/>
          <w:i/>
          <w:iCs/>
        </w:rPr>
        <w:t xml:space="preserve"> &amp; </w:t>
      </w:r>
      <w:proofErr w:type="spellStart"/>
      <w:r w:rsidRPr="00883413">
        <w:rPr>
          <w:rFonts w:ascii="Times New Roman" w:hAnsi="Times New Roman" w:cs="Times New Roman"/>
          <w:i/>
          <w:iCs/>
        </w:rPr>
        <w:t>Review</w:t>
      </w:r>
      <w:proofErr w:type="spellEnd"/>
      <w:r w:rsidRPr="00883413">
        <w:rPr>
          <w:rFonts w:ascii="Times New Roman" w:hAnsi="Times New Roman" w:cs="Times New Roman"/>
          <w:i/>
          <w:iCs/>
        </w:rPr>
        <w:t xml:space="preserve"> in </w:t>
      </w:r>
      <w:proofErr w:type="spellStart"/>
      <w:r w:rsidRPr="00883413">
        <w:rPr>
          <w:rFonts w:ascii="Times New Roman" w:hAnsi="Times New Roman" w:cs="Times New Roman"/>
          <w:i/>
          <w:iCs/>
        </w:rPr>
        <w:t>Biology</w:t>
      </w:r>
      <w:proofErr w:type="spellEnd"/>
      <w:r w:rsidRPr="00883413">
        <w:rPr>
          <w:rFonts w:ascii="Times New Roman" w:hAnsi="Times New Roman" w:cs="Times New Roman"/>
        </w:rPr>
        <w:t>. Consulté 25 août 2026, à l’adresse https://journalarrb.com/index.php/ARRB/article/view/2297</w:t>
      </w:r>
    </w:p>
    <w:p w14:paraId="326384F7"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lang w:val="en-US"/>
        </w:rPr>
        <w:t xml:space="preserve">Chen, S., Cao, Z., Chen, W., Zhao, J., Jiao, L., Prettner, K., Kuhn, M., Pan, A., </w:t>
      </w:r>
      <w:proofErr w:type="spellStart"/>
      <w:r w:rsidRPr="00883413">
        <w:rPr>
          <w:rFonts w:ascii="Times New Roman" w:hAnsi="Times New Roman" w:cs="Times New Roman"/>
          <w:lang w:val="en-US"/>
        </w:rPr>
        <w:t>Bärnighausen</w:t>
      </w:r>
      <w:proofErr w:type="spellEnd"/>
      <w:r w:rsidRPr="00883413">
        <w:rPr>
          <w:rFonts w:ascii="Times New Roman" w:hAnsi="Times New Roman" w:cs="Times New Roman"/>
          <w:lang w:val="en-US"/>
        </w:rPr>
        <w:t xml:space="preserve">, T. W., &amp; Bloom, D. E. (2026). The global macroeconomic burden of diabetes mellitus. </w:t>
      </w:r>
      <w:r w:rsidRPr="00883413">
        <w:rPr>
          <w:rFonts w:ascii="Times New Roman" w:hAnsi="Times New Roman" w:cs="Times New Roman"/>
          <w:i/>
          <w:iCs/>
          <w:lang w:val="en-US"/>
        </w:rPr>
        <w:t>Nature Medicine</w:t>
      </w:r>
      <w:r w:rsidRPr="00883413">
        <w:rPr>
          <w:rFonts w:ascii="Times New Roman" w:hAnsi="Times New Roman" w:cs="Times New Roman"/>
          <w:lang w:val="en-US"/>
        </w:rPr>
        <w:t xml:space="preserve">, </w:t>
      </w:r>
      <w:r w:rsidRPr="00883413">
        <w:rPr>
          <w:rFonts w:ascii="Times New Roman" w:hAnsi="Times New Roman" w:cs="Times New Roman"/>
          <w:i/>
          <w:iCs/>
          <w:lang w:val="en-US"/>
        </w:rPr>
        <w:t>32</w:t>
      </w:r>
      <w:r w:rsidRPr="00883413">
        <w:rPr>
          <w:rFonts w:ascii="Times New Roman" w:hAnsi="Times New Roman" w:cs="Times New Roman"/>
          <w:lang w:val="en-US"/>
        </w:rPr>
        <w:t>(1), 126‑138. https://doi.org/10.1038/s41591-025-04027-5</w:t>
      </w:r>
    </w:p>
    <w:p w14:paraId="2EF0C8BB"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rPr>
      </w:pPr>
      <w:proofErr w:type="spellStart"/>
      <w:r w:rsidRPr="00883413">
        <w:rPr>
          <w:rFonts w:ascii="Times New Roman" w:hAnsi="Times New Roman" w:cs="Times New Roman"/>
        </w:rPr>
        <w:t>Cisse</w:t>
      </w:r>
      <w:proofErr w:type="spellEnd"/>
      <w:r w:rsidRPr="00883413">
        <w:rPr>
          <w:rFonts w:ascii="Times New Roman" w:hAnsi="Times New Roman" w:cs="Times New Roman"/>
        </w:rPr>
        <w:t xml:space="preserve">, D., </w:t>
      </w:r>
      <w:proofErr w:type="gramStart"/>
      <w:r w:rsidRPr="00883413">
        <w:rPr>
          <w:rFonts w:ascii="Times New Roman" w:hAnsi="Times New Roman" w:cs="Times New Roman"/>
        </w:rPr>
        <w:t>Diarra,  s</w:t>
      </w:r>
      <w:proofErr w:type="gramEnd"/>
      <w:r w:rsidRPr="00883413">
        <w:rPr>
          <w:rFonts w:ascii="Times New Roman" w:hAnsi="Times New Roman" w:cs="Times New Roman"/>
        </w:rPr>
        <w:t xml:space="preserve">, Yaro, F., Doumbia, A., Camara, M., &amp; Sow, H. (2025). Facteurs déterminants du faible score de diversité alimentaire des femmes en âge de procréer dans la Commune I du district de Bamako en septembre 2022. </w:t>
      </w:r>
      <w:r w:rsidRPr="00883413">
        <w:rPr>
          <w:rFonts w:ascii="Times New Roman" w:hAnsi="Times New Roman" w:cs="Times New Roman"/>
          <w:i/>
          <w:iCs/>
        </w:rPr>
        <w:t>Journal Africain des Cas Cliniques et Revues</w:t>
      </w:r>
      <w:r w:rsidRPr="00883413">
        <w:rPr>
          <w:rFonts w:ascii="Times New Roman" w:hAnsi="Times New Roman" w:cs="Times New Roman"/>
        </w:rPr>
        <w:t xml:space="preserve">, </w:t>
      </w:r>
      <w:r w:rsidRPr="00883413">
        <w:rPr>
          <w:rFonts w:ascii="Times New Roman" w:hAnsi="Times New Roman" w:cs="Times New Roman"/>
          <w:i/>
          <w:iCs/>
        </w:rPr>
        <w:t>9</w:t>
      </w:r>
      <w:r w:rsidRPr="00883413">
        <w:rPr>
          <w:rFonts w:ascii="Times New Roman" w:hAnsi="Times New Roman" w:cs="Times New Roman"/>
        </w:rPr>
        <w:t>(3), 257‑267. https://doi.org/10.70065/2593.jaccrAfri.007L011109</w:t>
      </w:r>
    </w:p>
    <w:p w14:paraId="66516EF8"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rPr>
      </w:pPr>
      <w:r w:rsidRPr="00883413">
        <w:rPr>
          <w:rFonts w:ascii="Times New Roman" w:hAnsi="Times New Roman" w:cs="Times New Roman"/>
        </w:rPr>
        <w:t xml:space="preserve">Compaore, H., </w:t>
      </w:r>
      <w:proofErr w:type="spellStart"/>
      <w:r w:rsidRPr="00883413">
        <w:rPr>
          <w:rFonts w:ascii="Times New Roman" w:hAnsi="Times New Roman" w:cs="Times New Roman"/>
        </w:rPr>
        <w:t>Guenne</w:t>
      </w:r>
      <w:proofErr w:type="spellEnd"/>
      <w:r w:rsidRPr="00883413">
        <w:rPr>
          <w:rFonts w:ascii="Times New Roman" w:hAnsi="Times New Roman" w:cs="Times New Roman"/>
        </w:rPr>
        <w:t xml:space="preserve">, S., Diande, T., Pare, A., </w:t>
      </w:r>
      <w:proofErr w:type="spellStart"/>
      <w:r w:rsidRPr="00883413">
        <w:rPr>
          <w:rFonts w:ascii="Times New Roman" w:hAnsi="Times New Roman" w:cs="Times New Roman"/>
        </w:rPr>
        <w:t>Sama</w:t>
      </w:r>
      <w:proofErr w:type="spellEnd"/>
      <w:r w:rsidRPr="00883413">
        <w:rPr>
          <w:rFonts w:ascii="Times New Roman" w:hAnsi="Times New Roman" w:cs="Times New Roman"/>
        </w:rPr>
        <w:t xml:space="preserve">, H., Bambara, A., </w:t>
      </w:r>
      <w:proofErr w:type="spellStart"/>
      <w:r w:rsidRPr="00883413">
        <w:rPr>
          <w:rFonts w:ascii="Times New Roman" w:hAnsi="Times New Roman" w:cs="Times New Roman"/>
        </w:rPr>
        <w:t>Ratongue</w:t>
      </w:r>
      <w:proofErr w:type="spellEnd"/>
      <w:r w:rsidRPr="00883413">
        <w:rPr>
          <w:rFonts w:ascii="Times New Roman" w:hAnsi="Times New Roman" w:cs="Times New Roman"/>
        </w:rPr>
        <w:t xml:space="preserve">, H., Traore, L., Sawadogo-Lingani, H., Hilou, A., &amp; Kiendrebeogo, M. (2021). Evaluation de l’activité antibactérienne de l’extrait aqueux de la poudre de gousses de </w:t>
      </w:r>
      <w:proofErr w:type="spellStart"/>
      <w:r w:rsidRPr="00883413">
        <w:rPr>
          <w:rFonts w:ascii="Times New Roman" w:hAnsi="Times New Roman" w:cs="Times New Roman"/>
        </w:rPr>
        <w:t>Vachellia</w:t>
      </w:r>
      <w:proofErr w:type="spellEnd"/>
      <w:r w:rsidRPr="00883413">
        <w:rPr>
          <w:rFonts w:ascii="Times New Roman" w:hAnsi="Times New Roman" w:cs="Times New Roman"/>
        </w:rPr>
        <w:t xml:space="preserve"> nilotica (L) PJH Hurter et Mabb sur des bactéries multirésistantes, criblage phytochimique et contrôle qualité. </w:t>
      </w:r>
      <w:r w:rsidRPr="00883413">
        <w:rPr>
          <w:rFonts w:ascii="Times New Roman" w:hAnsi="Times New Roman" w:cs="Times New Roman"/>
          <w:i/>
          <w:iCs/>
        </w:rPr>
        <w:t>Sciences Naturelles et Appliquées</w:t>
      </w:r>
      <w:r w:rsidRPr="00883413">
        <w:rPr>
          <w:rFonts w:ascii="Times New Roman" w:hAnsi="Times New Roman" w:cs="Times New Roman"/>
        </w:rPr>
        <w:t xml:space="preserve">, </w:t>
      </w:r>
      <w:r w:rsidRPr="00883413">
        <w:rPr>
          <w:rFonts w:ascii="Times New Roman" w:hAnsi="Times New Roman" w:cs="Times New Roman"/>
          <w:i/>
          <w:iCs/>
        </w:rPr>
        <w:t>40</w:t>
      </w:r>
      <w:r w:rsidRPr="00883413">
        <w:rPr>
          <w:rFonts w:ascii="Times New Roman" w:hAnsi="Times New Roman" w:cs="Times New Roman"/>
        </w:rPr>
        <w:t>(2), 114‑126.</w:t>
      </w:r>
    </w:p>
    <w:p w14:paraId="5D1B1368"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rPr>
        <w:t xml:space="preserve">Compaore, H., </w:t>
      </w:r>
      <w:proofErr w:type="spellStart"/>
      <w:r w:rsidRPr="00883413">
        <w:rPr>
          <w:rFonts w:ascii="Times New Roman" w:hAnsi="Times New Roman" w:cs="Times New Roman"/>
        </w:rPr>
        <w:t>Samandoulougou</w:t>
      </w:r>
      <w:proofErr w:type="spellEnd"/>
      <w:r w:rsidRPr="00883413">
        <w:rPr>
          <w:rFonts w:ascii="Times New Roman" w:hAnsi="Times New Roman" w:cs="Times New Roman"/>
        </w:rPr>
        <w:t xml:space="preserve">, S., Tapsoba, F. W., Bambara, A., </w:t>
      </w:r>
      <w:proofErr w:type="spellStart"/>
      <w:r w:rsidRPr="00883413">
        <w:rPr>
          <w:rFonts w:ascii="Times New Roman" w:hAnsi="Times New Roman" w:cs="Times New Roman"/>
        </w:rPr>
        <w:t>Ratongue</w:t>
      </w:r>
      <w:proofErr w:type="spellEnd"/>
      <w:r w:rsidRPr="00883413">
        <w:rPr>
          <w:rFonts w:ascii="Times New Roman" w:hAnsi="Times New Roman" w:cs="Times New Roman"/>
        </w:rPr>
        <w:t xml:space="preserve">, H., Sawadogo, I., Kabore, D., Ouattara-Sourabie, P. B., &amp; Sawadogo-Lingani, H. (2021). </w:t>
      </w:r>
      <w:r w:rsidRPr="00883413">
        <w:rPr>
          <w:rFonts w:ascii="Times New Roman" w:hAnsi="Times New Roman" w:cs="Times New Roman"/>
          <w:lang w:val="en-US"/>
        </w:rPr>
        <w:t xml:space="preserve">Aflatoxigenic potential of Aspergillus section </w:t>
      </w:r>
      <w:proofErr w:type="spellStart"/>
      <w:r w:rsidRPr="00883413">
        <w:rPr>
          <w:rFonts w:ascii="Times New Roman" w:hAnsi="Times New Roman" w:cs="Times New Roman"/>
          <w:lang w:val="en-US"/>
        </w:rPr>
        <w:t>Flavi</w:t>
      </w:r>
      <w:proofErr w:type="spellEnd"/>
      <w:r w:rsidRPr="00883413">
        <w:rPr>
          <w:rFonts w:ascii="Times New Roman" w:hAnsi="Times New Roman" w:cs="Times New Roman"/>
          <w:lang w:val="en-US"/>
        </w:rPr>
        <w:t xml:space="preserve"> isolated from maize seeds, in Burkina Faso. </w:t>
      </w:r>
      <w:r w:rsidRPr="00883413">
        <w:rPr>
          <w:rFonts w:ascii="Times New Roman" w:hAnsi="Times New Roman" w:cs="Times New Roman"/>
          <w:i/>
          <w:iCs/>
          <w:lang w:val="en-US"/>
        </w:rPr>
        <w:t>African Journal of Microbiology Research</w:t>
      </w:r>
      <w:r w:rsidRPr="00883413">
        <w:rPr>
          <w:rFonts w:ascii="Times New Roman" w:hAnsi="Times New Roman" w:cs="Times New Roman"/>
          <w:lang w:val="en-US"/>
        </w:rPr>
        <w:t xml:space="preserve">, </w:t>
      </w:r>
      <w:r w:rsidRPr="00883413">
        <w:rPr>
          <w:rFonts w:ascii="Times New Roman" w:hAnsi="Times New Roman" w:cs="Times New Roman"/>
          <w:i/>
          <w:iCs/>
          <w:lang w:val="en-US"/>
        </w:rPr>
        <w:t>15</w:t>
      </w:r>
      <w:r w:rsidRPr="00883413">
        <w:rPr>
          <w:rFonts w:ascii="Times New Roman" w:hAnsi="Times New Roman" w:cs="Times New Roman"/>
          <w:lang w:val="en-US"/>
        </w:rPr>
        <w:t>(8), 420‑428. https://doi.org/10.5897/AJMR2021.9553</w:t>
      </w:r>
    </w:p>
    <w:p w14:paraId="72C46B86"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lang w:val="en-US"/>
        </w:rPr>
        <w:t xml:space="preserve">Coulidiaty, A. G. V., Yaméogo, T. M., Ouedraogo, R., Clark, K., Dakuyo, V. M., &amp; Youl, E. N. H. (2025). </w:t>
      </w:r>
      <w:r w:rsidRPr="00883413">
        <w:rPr>
          <w:rFonts w:ascii="Times New Roman" w:hAnsi="Times New Roman" w:cs="Times New Roman"/>
        </w:rPr>
        <w:t xml:space="preserve">Évaluation de </w:t>
      </w:r>
      <w:proofErr w:type="spellStart"/>
      <w:r w:rsidRPr="00883413">
        <w:rPr>
          <w:rFonts w:ascii="Times New Roman" w:hAnsi="Times New Roman" w:cs="Times New Roman"/>
          <w:i/>
          <w:iCs/>
        </w:rPr>
        <w:t>Sclerocarya</w:t>
      </w:r>
      <w:proofErr w:type="spellEnd"/>
      <w:r w:rsidRPr="00883413">
        <w:rPr>
          <w:rFonts w:ascii="Times New Roman" w:hAnsi="Times New Roman" w:cs="Times New Roman"/>
          <w:i/>
          <w:iCs/>
        </w:rPr>
        <w:t xml:space="preserve"> </w:t>
      </w:r>
      <w:proofErr w:type="spellStart"/>
      <w:r w:rsidRPr="00883413">
        <w:rPr>
          <w:rFonts w:ascii="Times New Roman" w:hAnsi="Times New Roman" w:cs="Times New Roman"/>
          <w:i/>
          <w:iCs/>
        </w:rPr>
        <w:t>birrea</w:t>
      </w:r>
      <w:proofErr w:type="spellEnd"/>
      <w:r w:rsidRPr="00883413">
        <w:rPr>
          <w:rFonts w:ascii="Times New Roman" w:hAnsi="Times New Roman" w:cs="Times New Roman"/>
        </w:rPr>
        <w:t xml:space="preserve"> dans la prise en charge du diabète de type 2 : Étude de phase I sur l’innocuité et l’efficacité préliminaire chez des volontaires sains. </w:t>
      </w:r>
      <w:r w:rsidRPr="00883413">
        <w:rPr>
          <w:rFonts w:ascii="Times New Roman" w:hAnsi="Times New Roman" w:cs="Times New Roman"/>
          <w:i/>
          <w:iCs/>
          <w:lang w:val="en-US"/>
        </w:rPr>
        <w:t>Clinical Traditional Medicine and Pharmacology</w:t>
      </w:r>
      <w:r w:rsidRPr="00883413">
        <w:rPr>
          <w:rFonts w:ascii="Times New Roman" w:hAnsi="Times New Roman" w:cs="Times New Roman"/>
          <w:lang w:val="en-US"/>
        </w:rPr>
        <w:t xml:space="preserve">, </w:t>
      </w:r>
      <w:r w:rsidRPr="00883413">
        <w:rPr>
          <w:rFonts w:ascii="Times New Roman" w:hAnsi="Times New Roman" w:cs="Times New Roman"/>
          <w:i/>
          <w:iCs/>
          <w:lang w:val="en-US"/>
        </w:rPr>
        <w:t>6</w:t>
      </w:r>
      <w:r w:rsidRPr="00883413">
        <w:rPr>
          <w:rFonts w:ascii="Times New Roman" w:hAnsi="Times New Roman" w:cs="Times New Roman"/>
          <w:lang w:val="en-US"/>
        </w:rPr>
        <w:t>(2), 200212. https://doi.org/10.1016/j.ctmp.2025.200212</w:t>
      </w:r>
    </w:p>
    <w:p w14:paraId="745DDF59"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rPr>
        <w:t xml:space="preserve">Dembélé, A., Sissoko, L., Togola, I., Traoré, N., Sidibé, L., &amp; Diallo, D. (2020). </w:t>
      </w:r>
      <w:proofErr w:type="spellStart"/>
      <w:r w:rsidRPr="00883413">
        <w:rPr>
          <w:rFonts w:ascii="Times New Roman" w:hAnsi="Times New Roman" w:cs="Times New Roman"/>
        </w:rPr>
        <w:t>Enqute</w:t>
      </w:r>
      <w:proofErr w:type="spellEnd"/>
      <w:r w:rsidRPr="00883413">
        <w:rPr>
          <w:rFonts w:ascii="Times New Roman" w:hAnsi="Times New Roman" w:cs="Times New Roman"/>
        </w:rPr>
        <w:t xml:space="preserve"> ethnobotanique de trois plantes utilises dans la prise en charge traditionnelle de </w:t>
      </w:r>
      <w:proofErr w:type="spellStart"/>
      <w:r w:rsidRPr="00883413">
        <w:rPr>
          <w:rFonts w:ascii="Times New Roman" w:hAnsi="Times New Roman" w:cs="Times New Roman"/>
        </w:rPr>
        <w:t>lhypertension</w:t>
      </w:r>
      <w:proofErr w:type="spellEnd"/>
      <w:r w:rsidRPr="00883413">
        <w:rPr>
          <w:rFonts w:ascii="Times New Roman" w:hAnsi="Times New Roman" w:cs="Times New Roman"/>
        </w:rPr>
        <w:t xml:space="preserve"> </w:t>
      </w:r>
      <w:proofErr w:type="spellStart"/>
      <w:r w:rsidRPr="00883413">
        <w:rPr>
          <w:rFonts w:ascii="Times New Roman" w:hAnsi="Times New Roman" w:cs="Times New Roman"/>
        </w:rPr>
        <w:t>artrielle</w:t>
      </w:r>
      <w:proofErr w:type="spellEnd"/>
      <w:r w:rsidRPr="00883413">
        <w:rPr>
          <w:rFonts w:ascii="Times New Roman" w:hAnsi="Times New Roman" w:cs="Times New Roman"/>
        </w:rPr>
        <w:t xml:space="preserve"> au Mali : Balanites aegyptiaca (L.) Del., </w:t>
      </w:r>
      <w:proofErr w:type="spellStart"/>
      <w:r w:rsidRPr="00883413">
        <w:rPr>
          <w:rFonts w:ascii="Times New Roman" w:hAnsi="Times New Roman" w:cs="Times New Roman"/>
        </w:rPr>
        <w:t>Piliostigma</w:t>
      </w:r>
      <w:proofErr w:type="spellEnd"/>
      <w:r w:rsidRPr="00883413">
        <w:rPr>
          <w:rFonts w:ascii="Times New Roman" w:hAnsi="Times New Roman" w:cs="Times New Roman"/>
        </w:rPr>
        <w:t xml:space="preserve"> </w:t>
      </w:r>
      <w:proofErr w:type="spellStart"/>
      <w:r w:rsidRPr="00883413">
        <w:rPr>
          <w:rFonts w:ascii="Times New Roman" w:hAnsi="Times New Roman" w:cs="Times New Roman"/>
        </w:rPr>
        <w:t>reticulatum</w:t>
      </w:r>
      <w:proofErr w:type="spellEnd"/>
      <w:r w:rsidRPr="00883413">
        <w:rPr>
          <w:rFonts w:ascii="Times New Roman" w:hAnsi="Times New Roman" w:cs="Times New Roman"/>
        </w:rPr>
        <w:t xml:space="preserve"> (DC), </w:t>
      </w:r>
      <w:proofErr w:type="spellStart"/>
      <w:r w:rsidRPr="00883413">
        <w:rPr>
          <w:rFonts w:ascii="Times New Roman" w:hAnsi="Times New Roman" w:cs="Times New Roman"/>
        </w:rPr>
        <w:t>Hochst</w:t>
      </w:r>
      <w:proofErr w:type="spellEnd"/>
      <w:r w:rsidRPr="00883413">
        <w:rPr>
          <w:rFonts w:ascii="Times New Roman" w:hAnsi="Times New Roman" w:cs="Times New Roman"/>
        </w:rPr>
        <w:t xml:space="preserve"> et Bauhinia </w:t>
      </w:r>
      <w:proofErr w:type="spellStart"/>
      <w:r w:rsidRPr="00883413">
        <w:rPr>
          <w:rFonts w:ascii="Times New Roman" w:hAnsi="Times New Roman" w:cs="Times New Roman"/>
        </w:rPr>
        <w:t>rufescens</w:t>
      </w:r>
      <w:proofErr w:type="spellEnd"/>
      <w:r w:rsidRPr="00883413">
        <w:rPr>
          <w:rFonts w:ascii="Times New Roman" w:hAnsi="Times New Roman" w:cs="Times New Roman"/>
        </w:rPr>
        <w:t xml:space="preserve"> (L.). </w:t>
      </w:r>
      <w:r w:rsidRPr="00883413">
        <w:rPr>
          <w:rFonts w:ascii="Times New Roman" w:hAnsi="Times New Roman" w:cs="Times New Roman"/>
          <w:i/>
          <w:iCs/>
          <w:lang w:val="en-US"/>
        </w:rPr>
        <w:t>International Journal of Applied Research</w:t>
      </w:r>
      <w:r w:rsidRPr="00883413">
        <w:rPr>
          <w:rFonts w:ascii="Times New Roman" w:hAnsi="Times New Roman" w:cs="Times New Roman"/>
          <w:lang w:val="en-US"/>
        </w:rPr>
        <w:t xml:space="preserve">, </w:t>
      </w:r>
      <w:r w:rsidRPr="00883413">
        <w:rPr>
          <w:rFonts w:ascii="Times New Roman" w:hAnsi="Times New Roman" w:cs="Times New Roman"/>
          <w:i/>
          <w:iCs/>
          <w:lang w:val="en-US"/>
        </w:rPr>
        <w:t>6</w:t>
      </w:r>
      <w:r w:rsidRPr="00883413">
        <w:rPr>
          <w:rFonts w:ascii="Times New Roman" w:hAnsi="Times New Roman" w:cs="Times New Roman"/>
          <w:lang w:val="en-US"/>
        </w:rPr>
        <w:t>(10), 998‑1001.</w:t>
      </w:r>
    </w:p>
    <w:p w14:paraId="504E5A48"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rPr>
      </w:pPr>
      <w:r w:rsidRPr="00883413">
        <w:rPr>
          <w:rFonts w:ascii="Times New Roman" w:hAnsi="Times New Roman" w:cs="Times New Roman"/>
          <w:lang w:val="en-US"/>
        </w:rPr>
        <w:t xml:space="preserve">Dong, C., Wu, G., Li, H., Qiao, Y., &amp; Gao, S. (2024). Type 1 and type 2 diabetes mortality </w:t>
      </w:r>
      <w:proofErr w:type="gramStart"/>
      <w:r w:rsidRPr="00883413">
        <w:rPr>
          <w:rFonts w:ascii="Times New Roman" w:hAnsi="Times New Roman" w:cs="Times New Roman"/>
          <w:lang w:val="en-US"/>
        </w:rPr>
        <w:t>burden :</w:t>
      </w:r>
      <w:proofErr w:type="gramEnd"/>
      <w:r w:rsidRPr="00883413">
        <w:rPr>
          <w:rFonts w:ascii="Times New Roman" w:hAnsi="Times New Roman" w:cs="Times New Roman"/>
          <w:lang w:val="en-US"/>
        </w:rPr>
        <w:t xml:space="preserve"> Predictions for 2030 based on Bayesian age-period-cohort analysis </w:t>
      </w:r>
      <w:r w:rsidRPr="00883413">
        <w:rPr>
          <w:rFonts w:ascii="Times New Roman" w:hAnsi="Times New Roman" w:cs="Times New Roman"/>
          <w:lang w:val="en-US"/>
        </w:rPr>
        <w:lastRenderedPageBreak/>
        <w:t xml:space="preserve">of China and global mortality burden from 1990 to 2019. </w:t>
      </w:r>
      <w:r w:rsidRPr="00883413">
        <w:rPr>
          <w:rFonts w:ascii="Times New Roman" w:hAnsi="Times New Roman" w:cs="Times New Roman"/>
          <w:i/>
          <w:iCs/>
        </w:rPr>
        <w:t xml:space="preserve">Journal of </w:t>
      </w:r>
      <w:proofErr w:type="spellStart"/>
      <w:r w:rsidRPr="00883413">
        <w:rPr>
          <w:rFonts w:ascii="Times New Roman" w:hAnsi="Times New Roman" w:cs="Times New Roman"/>
          <w:i/>
          <w:iCs/>
        </w:rPr>
        <w:t>Diabetes</w:t>
      </w:r>
      <w:proofErr w:type="spellEnd"/>
      <w:r w:rsidRPr="00883413">
        <w:rPr>
          <w:rFonts w:ascii="Times New Roman" w:hAnsi="Times New Roman" w:cs="Times New Roman"/>
          <w:i/>
          <w:iCs/>
        </w:rPr>
        <w:t xml:space="preserve"> Investigation</w:t>
      </w:r>
      <w:r w:rsidRPr="00883413">
        <w:rPr>
          <w:rFonts w:ascii="Times New Roman" w:hAnsi="Times New Roman" w:cs="Times New Roman"/>
        </w:rPr>
        <w:t xml:space="preserve">, </w:t>
      </w:r>
      <w:r w:rsidRPr="00883413">
        <w:rPr>
          <w:rFonts w:ascii="Times New Roman" w:hAnsi="Times New Roman" w:cs="Times New Roman"/>
          <w:i/>
          <w:iCs/>
        </w:rPr>
        <w:t>15</w:t>
      </w:r>
      <w:r w:rsidRPr="00883413">
        <w:rPr>
          <w:rFonts w:ascii="Times New Roman" w:hAnsi="Times New Roman" w:cs="Times New Roman"/>
        </w:rPr>
        <w:t>(5), 623‑633. https://doi.org/10.1111/jdi.14146</w:t>
      </w:r>
    </w:p>
    <w:p w14:paraId="68EA6D39"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rPr>
      </w:pPr>
      <w:r w:rsidRPr="00883413">
        <w:rPr>
          <w:rFonts w:ascii="Times New Roman" w:hAnsi="Times New Roman" w:cs="Times New Roman"/>
        </w:rPr>
        <w:t xml:space="preserve">Duarte, R. C. O., Souza, G. S. de, </w:t>
      </w:r>
      <w:proofErr w:type="spellStart"/>
      <w:r w:rsidRPr="00883413">
        <w:rPr>
          <w:rFonts w:ascii="Times New Roman" w:hAnsi="Times New Roman" w:cs="Times New Roman"/>
        </w:rPr>
        <w:t>Araújo</w:t>
      </w:r>
      <w:proofErr w:type="spellEnd"/>
      <w:r w:rsidRPr="00883413">
        <w:rPr>
          <w:rFonts w:ascii="Times New Roman" w:hAnsi="Times New Roman" w:cs="Times New Roman"/>
        </w:rPr>
        <w:t xml:space="preserve">, L. C. de, Herrera, S. D. S. C., Diogo, R. F., &amp; Paiva, M. J. M. de. (2025). O </w:t>
      </w:r>
      <w:proofErr w:type="spellStart"/>
      <w:r w:rsidRPr="00883413">
        <w:rPr>
          <w:rFonts w:ascii="Times New Roman" w:hAnsi="Times New Roman" w:cs="Times New Roman"/>
        </w:rPr>
        <w:t>uso</w:t>
      </w:r>
      <w:proofErr w:type="spellEnd"/>
      <w:r w:rsidRPr="00883413">
        <w:rPr>
          <w:rFonts w:ascii="Times New Roman" w:hAnsi="Times New Roman" w:cs="Times New Roman"/>
        </w:rPr>
        <w:t xml:space="preserve"> de plantas </w:t>
      </w:r>
      <w:proofErr w:type="spellStart"/>
      <w:r w:rsidRPr="00883413">
        <w:rPr>
          <w:rFonts w:ascii="Times New Roman" w:hAnsi="Times New Roman" w:cs="Times New Roman"/>
        </w:rPr>
        <w:t>medicinais</w:t>
      </w:r>
      <w:proofErr w:type="spellEnd"/>
      <w:r w:rsidRPr="00883413">
        <w:rPr>
          <w:rFonts w:ascii="Times New Roman" w:hAnsi="Times New Roman" w:cs="Times New Roman"/>
        </w:rPr>
        <w:t xml:space="preserve"> no </w:t>
      </w:r>
      <w:proofErr w:type="spellStart"/>
      <w:r w:rsidRPr="00883413">
        <w:rPr>
          <w:rFonts w:ascii="Times New Roman" w:hAnsi="Times New Roman" w:cs="Times New Roman"/>
        </w:rPr>
        <w:t>tratamento</w:t>
      </w:r>
      <w:proofErr w:type="spellEnd"/>
      <w:r w:rsidRPr="00883413">
        <w:rPr>
          <w:rFonts w:ascii="Times New Roman" w:hAnsi="Times New Roman" w:cs="Times New Roman"/>
        </w:rPr>
        <w:t xml:space="preserve"> </w:t>
      </w:r>
      <w:proofErr w:type="spellStart"/>
      <w:r w:rsidRPr="00883413">
        <w:rPr>
          <w:rFonts w:ascii="Times New Roman" w:hAnsi="Times New Roman" w:cs="Times New Roman"/>
        </w:rPr>
        <w:t>suplementar</w:t>
      </w:r>
      <w:proofErr w:type="spellEnd"/>
      <w:r w:rsidRPr="00883413">
        <w:rPr>
          <w:rFonts w:ascii="Times New Roman" w:hAnsi="Times New Roman" w:cs="Times New Roman"/>
        </w:rPr>
        <w:t xml:space="preserve"> da </w:t>
      </w:r>
      <w:proofErr w:type="spellStart"/>
      <w:r w:rsidRPr="00883413">
        <w:rPr>
          <w:rFonts w:ascii="Times New Roman" w:hAnsi="Times New Roman" w:cs="Times New Roman"/>
        </w:rPr>
        <w:t>Diabetes</w:t>
      </w:r>
      <w:proofErr w:type="spellEnd"/>
      <w:r w:rsidRPr="00883413">
        <w:rPr>
          <w:rFonts w:ascii="Times New Roman" w:hAnsi="Times New Roman" w:cs="Times New Roman"/>
        </w:rPr>
        <w:t xml:space="preserve"> </w:t>
      </w:r>
      <w:proofErr w:type="spellStart"/>
      <w:r w:rsidRPr="00883413">
        <w:rPr>
          <w:rFonts w:ascii="Times New Roman" w:hAnsi="Times New Roman" w:cs="Times New Roman"/>
        </w:rPr>
        <w:t>Mellitus</w:t>
      </w:r>
      <w:proofErr w:type="spellEnd"/>
      <w:r w:rsidRPr="00883413">
        <w:rPr>
          <w:rFonts w:ascii="Times New Roman" w:hAnsi="Times New Roman" w:cs="Times New Roman"/>
        </w:rPr>
        <w:t xml:space="preserve">. </w:t>
      </w:r>
      <w:r w:rsidRPr="00883413">
        <w:rPr>
          <w:rFonts w:ascii="Times New Roman" w:hAnsi="Times New Roman" w:cs="Times New Roman"/>
          <w:i/>
          <w:iCs/>
        </w:rPr>
        <w:t xml:space="preserve">O Mundo da </w:t>
      </w:r>
      <w:proofErr w:type="spellStart"/>
      <w:r w:rsidRPr="00883413">
        <w:rPr>
          <w:rFonts w:ascii="Times New Roman" w:hAnsi="Times New Roman" w:cs="Times New Roman"/>
          <w:i/>
          <w:iCs/>
        </w:rPr>
        <w:t>Saúde</w:t>
      </w:r>
      <w:proofErr w:type="spellEnd"/>
      <w:r w:rsidRPr="00883413">
        <w:rPr>
          <w:rFonts w:ascii="Times New Roman" w:hAnsi="Times New Roman" w:cs="Times New Roman"/>
        </w:rPr>
        <w:t xml:space="preserve">, </w:t>
      </w:r>
      <w:r w:rsidRPr="00883413">
        <w:rPr>
          <w:rFonts w:ascii="Times New Roman" w:hAnsi="Times New Roman" w:cs="Times New Roman"/>
          <w:i/>
          <w:iCs/>
        </w:rPr>
        <w:t>49</w:t>
      </w:r>
      <w:r w:rsidRPr="00883413">
        <w:rPr>
          <w:rFonts w:ascii="Times New Roman" w:hAnsi="Times New Roman" w:cs="Times New Roman"/>
        </w:rPr>
        <w:t>. https://doi.org/10.15343/0104-7809.202549e17782025P</w:t>
      </w:r>
    </w:p>
    <w:p w14:paraId="046D0139"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lang w:val="en-US"/>
        </w:rPr>
        <w:t xml:space="preserve">Dubois, M., Gilles, K., Hamilton, J. K., </w:t>
      </w:r>
      <w:proofErr w:type="spellStart"/>
      <w:r w:rsidRPr="00883413">
        <w:rPr>
          <w:rFonts w:ascii="Times New Roman" w:hAnsi="Times New Roman" w:cs="Times New Roman"/>
          <w:lang w:val="en-US"/>
        </w:rPr>
        <w:t>Rebers</w:t>
      </w:r>
      <w:proofErr w:type="spellEnd"/>
      <w:r w:rsidRPr="00883413">
        <w:rPr>
          <w:rFonts w:ascii="Times New Roman" w:hAnsi="Times New Roman" w:cs="Times New Roman"/>
          <w:lang w:val="en-US"/>
        </w:rPr>
        <w:t xml:space="preserve">, P. A., &amp; Smith, F. (1951). A Colorimetric Method for the Determination of Sugars. </w:t>
      </w:r>
      <w:r w:rsidRPr="00883413">
        <w:rPr>
          <w:rFonts w:ascii="Times New Roman" w:hAnsi="Times New Roman" w:cs="Times New Roman"/>
          <w:i/>
          <w:iCs/>
          <w:lang w:val="en-US"/>
        </w:rPr>
        <w:t>Nature</w:t>
      </w:r>
      <w:r w:rsidRPr="00883413">
        <w:rPr>
          <w:rFonts w:ascii="Times New Roman" w:hAnsi="Times New Roman" w:cs="Times New Roman"/>
          <w:lang w:val="en-US"/>
        </w:rPr>
        <w:t xml:space="preserve">, </w:t>
      </w:r>
      <w:r w:rsidRPr="00883413">
        <w:rPr>
          <w:rFonts w:ascii="Times New Roman" w:hAnsi="Times New Roman" w:cs="Times New Roman"/>
          <w:i/>
          <w:iCs/>
          <w:lang w:val="en-US"/>
        </w:rPr>
        <w:t>168</w:t>
      </w:r>
      <w:r w:rsidRPr="00883413">
        <w:rPr>
          <w:rFonts w:ascii="Times New Roman" w:hAnsi="Times New Roman" w:cs="Times New Roman"/>
          <w:lang w:val="en-US"/>
        </w:rPr>
        <w:t>(4265), 167‑167. https://doi.org/10.1038/168167a0</w:t>
      </w:r>
    </w:p>
    <w:p w14:paraId="64D48F31"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lang w:val="en-US"/>
        </w:rPr>
        <w:t xml:space="preserve">Duncan, B. B., Magliano, D. J., &amp; Boyko, E. J. (2025). IDF Diabetes Atlas 11th edition </w:t>
      </w:r>
      <w:proofErr w:type="gramStart"/>
      <w:r w:rsidRPr="00883413">
        <w:rPr>
          <w:rFonts w:ascii="Times New Roman" w:hAnsi="Times New Roman" w:cs="Times New Roman"/>
          <w:lang w:val="en-US"/>
        </w:rPr>
        <w:t>2025 :</w:t>
      </w:r>
      <w:proofErr w:type="gramEnd"/>
      <w:r w:rsidRPr="00883413">
        <w:rPr>
          <w:rFonts w:ascii="Times New Roman" w:hAnsi="Times New Roman" w:cs="Times New Roman"/>
          <w:lang w:val="en-US"/>
        </w:rPr>
        <w:t xml:space="preserve"> Global prevalence and projections for 2050. </w:t>
      </w:r>
      <w:r w:rsidRPr="00883413">
        <w:rPr>
          <w:rFonts w:ascii="Times New Roman" w:hAnsi="Times New Roman" w:cs="Times New Roman"/>
          <w:i/>
          <w:iCs/>
          <w:lang w:val="en-US"/>
        </w:rPr>
        <w:t>Nephrology Dialysis Transplantation</w:t>
      </w:r>
      <w:r w:rsidRPr="00883413">
        <w:rPr>
          <w:rFonts w:ascii="Times New Roman" w:hAnsi="Times New Roman" w:cs="Times New Roman"/>
          <w:lang w:val="en-US"/>
        </w:rPr>
        <w:t xml:space="preserve">, </w:t>
      </w:r>
      <w:r w:rsidRPr="00883413">
        <w:rPr>
          <w:rFonts w:ascii="Times New Roman" w:hAnsi="Times New Roman" w:cs="Times New Roman"/>
          <w:i/>
          <w:iCs/>
          <w:lang w:val="en-US"/>
        </w:rPr>
        <w:t>41</w:t>
      </w:r>
      <w:r w:rsidRPr="00883413">
        <w:rPr>
          <w:rFonts w:ascii="Times New Roman" w:hAnsi="Times New Roman" w:cs="Times New Roman"/>
          <w:lang w:val="en-US"/>
        </w:rPr>
        <w:t>(1), 7‑9. https://doi.org/10.1093/ndt/gfaf177</w:t>
      </w:r>
    </w:p>
    <w:p w14:paraId="49864070"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proofErr w:type="spellStart"/>
      <w:r w:rsidRPr="00883413">
        <w:rPr>
          <w:rFonts w:ascii="Times New Roman" w:hAnsi="Times New Roman" w:cs="Times New Roman"/>
          <w:lang w:val="en-US"/>
        </w:rPr>
        <w:t>Genitsaridi</w:t>
      </w:r>
      <w:proofErr w:type="spellEnd"/>
      <w:r w:rsidRPr="00883413">
        <w:rPr>
          <w:rFonts w:ascii="Times New Roman" w:hAnsi="Times New Roman" w:cs="Times New Roman"/>
          <w:lang w:val="en-US"/>
        </w:rPr>
        <w:t xml:space="preserve">, I., </w:t>
      </w:r>
      <w:proofErr w:type="spellStart"/>
      <w:r w:rsidRPr="00883413">
        <w:rPr>
          <w:rFonts w:ascii="Times New Roman" w:hAnsi="Times New Roman" w:cs="Times New Roman"/>
          <w:lang w:val="en-US"/>
        </w:rPr>
        <w:t>Salpea</w:t>
      </w:r>
      <w:proofErr w:type="spellEnd"/>
      <w:r w:rsidRPr="00883413">
        <w:rPr>
          <w:rFonts w:ascii="Times New Roman" w:hAnsi="Times New Roman" w:cs="Times New Roman"/>
          <w:lang w:val="en-US"/>
        </w:rPr>
        <w:t xml:space="preserve">, P., Salim, A., Sajjadi, S. F., Tomic, D., James, S., Thirunavukkarasu, S., Issaka, A., Chen, L., Basit, A., Luk, A. O. Y., Ma, R. C. W., </w:t>
      </w:r>
      <w:proofErr w:type="spellStart"/>
      <w:r w:rsidRPr="00883413">
        <w:rPr>
          <w:rFonts w:ascii="Times New Roman" w:hAnsi="Times New Roman" w:cs="Times New Roman"/>
          <w:lang w:val="en-US"/>
        </w:rPr>
        <w:t>Mbanya</w:t>
      </w:r>
      <w:proofErr w:type="spellEnd"/>
      <w:r w:rsidRPr="00883413">
        <w:rPr>
          <w:rFonts w:ascii="Times New Roman" w:hAnsi="Times New Roman" w:cs="Times New Roman"/>
          <w:lang w:val="en-US"/>
        </w:rPr>
        <w:t xml:space="preserve">, J.-C., Ramachandran, A., Wild, S. H., Duncan, B. B., Boyko, E. J., &amp; Magliano, D. J. (2026). 11th edition of the IDF Diabetes </w:t>
      </w:r>
      <w:proofErr w:type="gramStart"/>
      <w:r w:rsidRPr="00883413">
        <w:rPr>
          <w:rFonts w:ascii="Times New Roman" w:hAnsi="Times New Roman" w:cs="Times New Roman"/>
          <w:lang w:val="en-US"/>
        </w:rPr>
        <w:t>Atlas :</w:t>
      </w:r>
      <w:proofErr w:type="gramEnd"/>
      <w:r w:rsidRPr="00883413">
        <w:rPr>
          <w:rFonts w:ascii="Times New Roman" w:hAnsi="Times New Roman" w:cs="Times New Roman"/>
          <w:lang w:val="en-US"/>
        </w:rPr>
        <w:t xml:space="preserve"> Global, regional, and national diabetes prevalence estimates for 2024 and projections for 2050. </w:t>
      </w:r>
      <w:r w:rsidRPr="00883413">
        <w:rPr>
          <w:rFonts w:ascii="Times New Roman" w:hAnsi="Times New Roman" w:cs="Times New Roman"/>
          <w:i/>
          <w:iCs/>
          <w:lang w:val="en-US"/>
        </w:rPr>
        <w:t>The Lancet Diabetes &amp; Endocrinology</w:t>
      </w:r>
      <w:r w:rsidRPr="00883413">
        <w:rPr>
          <w:rFonts w:ascii="Times New Roman" w:hAnsi="Times New Roman" w:cs="Times New Roman"/>
          <w:lang w:val="en-US"/>
        </w:rPr>
        <w:t xml:space="preserve">, </w:t>
      </w:r>
      <w:r w:rsidRPr="00883413">
        <w:rPr>
          <w:rFonts w:ascii="Times New Roman" w:hAnsi="Times New Roman" w:cs="Times New Roman"/>
          <w:i/>
          <w:iCs/>
          <w:lang w:val="en-US"/>
        </w:rPr>
        <w:t>14</w:t>
      </w:r>
      <w:r w:rsidRPr="00883413">
        <w:rPr>
          <w:rFonts w:ascii="Times New Roman" w:hAnsi="Times New Roman" w:cs="Times New Roman"/>
          <w:lang w:val="en-US"/>
        </w:rPr>
        <w:t>(2), 149‑156. https://doi.org/10.1016/S2213-8587(25)00299-2</w:t>
      </w:r>
    </w:p>
    <w:p w14:paraId="3E62E945"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rPr>
        <w:t xml:space="preserve">Gnagne, A. S., Camara, D., Fofie, N. B. Y., Bene, K., &amp; Zirihi, G. N. (2017). Étude ethnobotanique des plantes médicinales utilisées dans le traitement du diabète dans le Département de </w:t>
      </w:r>
      <w:proofErr w:type="spellStart"/>
      <w:r w:rsidRPr="00883413">
        <w:rPr>
          <w:rFonts w:ascii="Times New Roman" w:hAnsi="Times New Roman" w:cs="Times New Roman"/>
        </w:rPr>
        <w:t>Zouénoula</w:t>
      </w:r>
      <w:proofErr w:type="spellEnd"/>
      <w:r w:rsidRPr="00883413">
        <w:rPr>
          <w:rFonts w:ascii="Times New Roman" w:hAnsi="Times New Roman" w:cs="Times New Roman"/>
        </w:rPr>
        <w:t xml:space="preserve"> (Côte d’Ivoire). </w:t>
      </w:r>
      <w:r w:rsidRPr="00883413">
        <w:rPr>
          <w:rFonts w:ascii="Times New Roman" w:hAnsi="Times New Roman" w:cs="Times New Roman"/>
          <w:i/>
          <w:iCs/>
          <w:lang w:val="en-US"/>
        </w:rPr>
        <w:t>Journal of Applied Biosciences</w:t>
      </w:r>
      <w:r w:rsidRPr="00883413">
        <w:rPr>
          <w:rFonts w:ascii="Times New Roman" w:hAnsi="Times New Roman" w:cs="Times New Roman"/>
          <w:lang w:val="en-US"/>
        </w:rPr>
        <w:t xml:space="preserve">, </w:t>
      </w:r>
      <w:r w:rsidRPr="00883413">
        <w:rPr>
          <w:rFonts w:ascii="Times New Roman" w:hAnsi="Times New Roman" w:cs="Times New Roman"/>
          <w:i/>
          <w:iCs/>
          <w:lang w:val="en-US"/>
        </w:rPr>
        <w:t>113</w:t>
      </w:r>
      <w:r w:rsidRPr="00883413">
        <w:rPr>
          <w:rFonts w:ascii="Times New Roman" w:hAnsi="Times New Roman" w:cs="Times New Roman"/>
          <w:lang w:val="en-US"/>
        </w:rPr>
        <w:t>, 11257‑11266. https://doi.org/10.4314/jab.v113i1.14</w:t>
      </w:r>
    </w:p>
    <w:p w14:paraId="739BDB13"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proofErr w:type="spellStart"/>
      <w:r w:rsidRPr="00883413">
        <w:rPr>
          <w:rFonts w:ascii="Times New Roman" w:hAnsi="Times New Roman" w:cs="Times New Roman"/>
          <w:lang w:val="en-US"/>
        </w:rPr>
        <w:t>Hinneburg</w:t>
      </w:r>
      <w:proofErr w:type="spellEnd"/>
      <w:r w:rsidRPr="00883413">
        <w:rPr>
          <w:rFonts w:ascii="Times New Roman" w:hAnsi="Times New Roman" w:cs="Times New Roman"/>
          <w:lang w:val="en-US"/>
        </w:rPr>
        <w:t xml:space="preserve">, I., Damien Dorman, H. J., &amp; Hiltunen, R. (2006). Antioxidant activities of extracts from selected culinary herbs and spices. </w:t>
      </w:r>
      <w:r w:rsidRPr="00883413">
        <w:rPr>
          <w:rFonts w:ascii="Times New Roman" w:hAnsi="Times New Roman" w:cs="Times New Roman"/>
          <w:i/>
          <w:iCs/>
          <w:lang w:val="en-US"/>
        </w:rPr>
        <w:t>Food Chemistry</w:t>
      </w:r>
      <w:r w:rsidRPr="00883413">
        <w:rPr>
          <w:rFonts w:ascii="Times New Roman" w:hAnsi="Times New Roman" w:cs="Times New Roman"/>
          <w:lang w:val="en-US"/>
        </w:rPr>
        <w:t xml:space="preserve">, </w:t>
      </w:r>
      <w:r w:rsidRPr="00883413">
        <w:rPr>
          <w:rFonts w:ascii="Times New Roman" w:hAnsi="Times New Roman" w:cs="Times New Roman"/>
          <w:i/>
          <w:iCs/>
          <w:lang w:val="en-US"/>
        </w:rPr>
        <w:t>97</w:t>
      </w:r>
      <w:r w:rsidRPr="00883413">
        <w:rPr>
          <w:rFonts w:ascii="Times New Roman" w:hAnsi="Times New Roman" w:cs="Times New Roman"/>
          <w:lang w:val="en-US"/>
        </w:rPr>
        <w:t>(1), 122‑129. https://doi.org/10.1016/j.foodchem.2005.03.028</w:t>
      </w:r>
    </w:p>
    <w:p w14:paraId="3D304E08"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rPr>
      </w:pPr>
      <w:proofErr w:type="spellStart"/>
      <w:r w:rsidRPr="00883413">
        <w:rPr>
          <w:rFonts w:ascii="Times New Roman" w:hAnsi="Times New Roman" w:cs="Times New Roman"/>
        </w:rPr>
        <w:t>JamSshidi-kia</w:t>
      </w:r>
      <w:proofErr w:type="spellEnd"/>
      <w:r w:rsidRPr="00883413">
        <w:rPr>
          <w:rFonts w:ascii="Times New Roman" w:hAnsi="Times New Roman" w:cs="Times New Roman"/>
        </w:rPr>
        <w:t>, F., Lorigooini, Z., &amp; Amini-</w:t>
      </w:r>
      <w:proofErr w:type="spellStart"/>
      <w:r w:rsidRPr="00883413">
        <w:rPr>
          <w:rFonts w:ascii="Times New Roman" w:hAnsi="Times New Roman" w:cs="Times New Roman"/>
        </w:rPr>
        <w:t>koei</w:t>
      </w:r>
      <w:proofErr w:type="spellEnd"/>
      <w:r w:rsidRPr="00883413">
        <w:rPr>
          <w:rFonts w:ascii="Times New Roman" w:hAnsi="Times New Roman" w:cs="Times New Roman"/>
        </w:rPr>
        <w:t xml:space="preserve">, H. (2018). </w:t>
      </w:r>
      <w:r w:rsidRPr="00883413">
        <w:rPr>
          <w:rFonts w:ascii="Times New Roman" w:hAnsi="Times New Roman" w:cs="Times New Roman"/>
          <w:i/>
          <w:iCs/>
          <w:lang w:val="en-US"/>
        </w:rPr>
        <w:t xml:space="preserve">Medicinal </w:t>
      </w:r>
      <w:proofErr w:type="gramStart"/>
      <w:r w:rsidRPr="00883413">
        <w:rPr>
          <w:rFonts w:ascii="Times New Roman" w:hAnsi="Times New Roman" w:cs="Times New Roman"/>
          <w:i/>
          <w:iCs/>
          <w:lang w:val="en-US"/>
        </w:rPr>
        <w:t>plants :</w:t>
      </w:r>
      <w:proofErr w:type="gramEnd"/>
      <w:r w:rsidRPr="00883413">
        <w:rPr>
          <w:rFonts w:ascii="Times New Roman" w:hAnsi="Times New Roman" w:cs="Times New Roman"/>
          <w:i/>
          <w:iCs/>
          <w:lang w:val="en-US"/>
        </w:rPr>
        <w:t xml:space="preserve"> Past history and future perspective</w:t>
      </w:r>
      <w:r w:rsidRPr="00883413">
        <w:rPr>
          <w:rFonts w:ascii="Times New Roman" w:hAnsi="Times New Roman" w:cs="Times New Roman"/>
          <w:lang w:val="en-US"/>
        </w:rPr>
        <w:t xml:space="preserve">. </w:t>
      </w:r>
      <w:r w:rsidRPr="00883413">
        <w:rPr>
          <w:rFonts w:ascii="Times New Roman" w:hAnsi="Times New Roman" w:cs="Times New Roman"/>
        </w:rPr>
        <w:t>1‑7.</w:t>
      </w:r>
    </w:p>
    <w:p w14:paraId="012E5291"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rPr>
      </w:pPr>
      <w:proofErr w:type="spellStart"/>
      <w:r w:rsidRPr="00883413">
        <w:rPr>
          <w:rFonts w:ascii="Times New Roman" w:hAnsi="Times New Roman" w:cs="Times New Roman"/>
        </w:rPr>
        <w:t>Jlali</w:t>
      </w:r>
      <w:proofErr w:type="spellEnd"/>
      <w:r w:rsidRPr="00883413">
        <w:rPr>
          <w:rFonts w:ascii="Times New Roman" w:hAnsi="Times New Roman" w:cs="Times New Roman"/>
        </w:rPr>
        <w:t xml:space="preserve">, I. (2023). </w:t>
      </w:r>
      <w:r w:rsidRPr="00883413">
        <w:rPr>
          <w:rFonts w:ascii="Times New Roman" w:hAnsi="Times New Roman" w:cs="Times New Roman"/>
          <w:i/>
          <w:iCs/>
        </w:rPr>
        <w:t>Le diabète de type 1 et le diabète de type 2, deux acteurs de déconditionnent physique : Implication de la fonction pulmonaire et de l’oxygénation musculaire et cérébrale</w:t>
      </w:r>
      <w:r w:rsidRPr="00883413">
        <w:rPr>
          <w:rFonts w:ascii="Times New Roman" w:hAnsi="Times New Roman" w:cs="Times New Roman"/>
        </w:rPr>
        <w:t xml:space="preserve"> [</w:t>
      </w:r>
      <w:proofErr w:type="spellStart"/>
      <w:r w:rsidRPr="00883413">
        <w:rPr>
          <w:rFonts w:ascii="Times New Roman" w:hAnsi="Times New Roman" w:cs="Times New Roman"/>
        </w:rPr>
        <w:t>Phdthesis</w:t>
      </w:r>
      <w:proofErr w:type="spellEnd"/>
      <w:r w:rsidRPr="00883413">
        <w:rPr>
          <w:rFonts w:ascii="Times New Roman" w:hAnsi="Times New Roman" w:cs="Times New Roman"/>
        </w:rPr>
        <w:t>, Université de Lille]. https://doi.org/10.70675/c177e35az8fb9z47bez8950za7ad478396fc</w:t>
      </w:r>
    </w:p>
    <w:p w14:paraId="692226FE"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lang w:val="en-US"/>
        </w:rPr>
        <w:t xml:space="preserve">Konaré, M. A., Maïga, A. D., Togola, I., &amp; Diarra, N. (2024a). Antioxidant and Antidiabetic Potential of Extracts from Anacardium occidentale and </w:t>
      </w:r>
      <w:proofErr w:type="spellStart"/>
      <w:r w:rsidRPr="00883413">
        <w:rPr>
          <w:rFonts w:ascii="Times New Roman" w:hAnsi="Times New Roman" w:cs="Times New Roman"/>
          <w:lang w:val="en-US"/>
        </w:rPr>
        <w:t>Sclerocarya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birrea</w:t>
      </w:r>
      <w:proofErr w:type="spellEnd"/>
      <w:r w:rsidRPr="00883413">
        <w:rPr>
          <w:rFonts w:ascii="Times New Roman" w:hAnsi="Times New Roman" w:cs="Times New Roman"/>
          <w:lang w:val="en-US"/>
        </w:rPr>
        <w:t xml:space="preserve">. </w:t>
      </w:r>
      <w:r w:rsidRPr="00883413">
        <w:rPr>
          <w:rFonts w:ascii="Times New Roman" w:hAnsi="Times New Roman" w:cs="Times New Roman"/>
          <w:i/>
          <w:iCs/>
          <w:lang w:val="en-US"/>
        </w:rPr>
        <w:lastRenderedPageBreak/>
        <w:t>Journal of Biochemical Technology</w:t>
      </w:r>
      <w:r w:rsidRPr="00883413">
        <w:rPr>
          <w:rFonts w:ascii="Times New Roman" w:hAnsi="Times New Roman" w:cs="Times New Roman"/>
          <w:lang w:val="en-US"/>
        </w:rPr>
        <w:t xml:space="preserve">, </w:t>
      </w:r>
      <w:r w:rsidRPr="00883413">
        <w:rPr>
          <w:rFonts w:ascii="Times New Roman" w:hAnsi="Times New Roman" w:cs="Times New Roman"/>
          <w:i/>
          <w:iCs/>
          <w:lang w:val="en-US"/>
        </w:rPr>
        <w:t>15</w:t>
      </w:r>
      <w:r w:rsidRPr="00883413">
        <w:rPr>
          <w:rFonts w:ascii="Times New Roman" w:hAnsi="Times New Roman" w:cs="Times New Roman"/>
          <w:lang w:val="en-US"/>
        </w:rPr>
        <w:t>(3‑2024), 15‑24. https://doi.org/10.51847/zpFCZqyBFX</w:t>
      </w:r>
    </w:p>
    <w:p w14:paraId="5E3EBF75"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rPr>
        <w:t xml:space="preserve">Konaré, M. A., Maïga, A. D., Togola, I., &amp; Diarra, N. (2024b). </w:t>
      </w:r>
      <w:r w:rsidRPr="00883413">
        <w:rPr>
          <w:rFonts w:ascii="Times New Roman" w:hAnsi="Times New Roman" w:cs="Times New Roman"/>
          <w:lang w:val="en-US"/>
        </w:rPr>
        <w:t xml:space="preserve">Antioxidant and antidiabetic potential of extracts from Anacardium occidentale and </w:t>
      </w:r>
      <w:proofErr w:type="spellStart"/>
      <w:r w:rsidRPr="00883413">
        <w:rPr>
          <w:rFonts w:ascii="Times New Roman" w:hAnsi="Times New Roman" w:cs="Times New Roman"/>
          <w:lang w:val="en-US"/>
        </w:rPr>
        <w:t>Sclerocarya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birrea</w:t>
      </w:r>
      <w:proofErr w:type="spellEnd"/>
      <w:r w:rsidRPr="00883413">
        <w:rPr>
          <w:rFonts w:ascii="Times New Roman" w:hAnsi="Times New Roman" w:cs="Times New Roman"/>
          <w:lang w:val="en-US"/>
        </w:rPr>
        <w:t xml:space="preserve">. </w:t>
      </w:r>
      <w:r w:rsidRPr="00883413">
        <w:rPr>
          <w:rFonts w:ascii="Times New Roman" w:hAnsi="Times New Roman" w:cs="Times New Roman"/>
          <w:i/>
          <w:iCs/>
          <w:lang w:val="en-US"/>
        </w:rPr>
        <w:t>Journal of Biochemical Technology</w:t>
      </w:r>
      <w:r w:rsidRPr="00883413">
        <w:rPr>
          <w:rFonts w:ascii="Times New Roman" w:hAnsi="Times New Roman" w:cs="Times New Roman"/>
          <w:lang w:val="en-US"/>
        </w:rPr>
        <w:t xml:space="preserve">, </w:t>
      </w:r>
      <w:r w:rsidRPr="00883413">
        <w:rPr>
          <w:rFonts w:ascii="Times New Roman" w:hAnsi="Times New Roman" w:cs="Times New Roman"/>
          <w:i/>
          <w:iCs/>
          <w:lang w:val="en-US"/>
        </w:rPr>
        <w:t>15</w:t>
      </w:r>
      <w:r w:rsidRPr="00883413">
        <w:rPr>
          <w:rFonts w:ascii="Times New Roman" w:hAnsi="Times New Roman" w:cs="Times New Roman"/>
          <w:lang w:val="en-US"/>
        </w:rPr>
        <w:t>(3‑2024), 15‑24.</w:t>
      </w:r>
    </w:p>
    <w:p w14:paraId="2843C100"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lang w:val="en-US"/>
        </w:rPr>
        <w:t xml:space="preserve">Leduc, C., </w:t>
      </w:r>
      <w:proofErr w:type="spellStart"/>
      <w:r w:rsidRPr="00883413">
        <w:rPr>
          <w:rFonts w:ascii="Times New Roman" w:hAnsi="Times New Roman" w:cs="Times New Roman"/>
          <w:lang w:val="en-US"/>
        </w:rPr>
        <w:t>Coonishish</w:t>
      </w:r>
      <w:proofErr w:type="spellEnd"/>
      <w:r w:rsidRPr="00883413">
        <w:rPr>
          <w:rFonts w:ascii="Times New Roman" w:hAnsi="Times New Roman" w:cs="Times New Roman"/>
          <w:lang w:val="en-US"/>
        </w:rPr>
        <w:t xml:space="preserve">, J., Haddad, P., &amp; </w:t>
      </w:r>
      <w:proofErr w:type="spellStart"/>
      <w:r w:rsidRPr="00883413">
        <w:rPr>
          <w:rFonts w:ascii="Times New Roman" w:hAnsi="Times New Roman" w:cs="Times New Roman"/>
          <w:lang w:val="en-US"/>
        </w:rPr>
        <w:t>Cuerrier</w:t>
      </w:r>
      <w:proofErr w:type="spellEnd"/>
      <w:r w:rsidRPr="00883413">
        <w:rPr>
          <w:rFonts w:ascii="Times New Roman" w:hAnsi="Times New Roman" w:cs="Times New Roman"/>
          <w:lang w:val="en-US"/>
        </w:rPr>
        <w:t xml:space="preserve">, A. (2006). Plants used by the Cree Nation of Eeyou </w:t>
      </w:r>
      <w:proofErr w:type="spellStart"/>
      <w:r w:rsidRPr="00883413">
        <w:rPr>
          <w:rFonts w:ascii="Times New Roman" w:hAnsi="Times New Roman" w:cs="Times New Roman"/>
          <w:lang w:val="en-US"/>
        </w:rPr>
        <w:t>Istchee</w:t>
      </w:r>
      <w:proofErr w:type="spellEnd"/>
      <w:r w:rsidRPr="00883413">
        <w:rPr>
          <w:rFonts w:ascii="Times New Roman" w:hAnsi="Times New Roman" w:cs="Times New Roman"/>
          <w:lang w:val="en-US"/>
        </w:rPr>
        <w:t xml:space="preserve"> (Quebec, Canada) for the treatment of </w:t>
      </w:r>
      <w:proofErr w:type="gramStart"/>
      <w:r w:rsidRPr="00883413">
        <w:rPr>
          <w:rFonts w:ascii="Times New Roman" w:hAnsi="Times New Roman" w:cs="Times New Roman"/>
          <w:lang w:val="en-US"/>
        </w:rPr>
        <w:t>diabetes :</w:t>
      </w:r>
      <w:proofErr w:type="gramEnd"/>
      <w:r w:rsidRPr="00883413">
        <w:rPr>
          <w:rFonts w:ascii="Times New Roman" w:hAnsi="Times New Roman" w:cs="Times New Roman"/>
          <w:lang w:val="en-US"/>
        </w:rPr>
        <w:t xml:space="preserve"> A novel approach in quantitative ethnobotany. </w:t>
      </w:r>
      <w:r w:rsidRPr="00883413">
        <w:rPr>
          <w:rFonts w:ascii="Times New Roman" w:hAnsi="Times New Roman" w:cs="Times New Roman"/>
          <w:i/>
          <w:iCs/>
          <w:lang w:val="en-US"/>
        </w:rPr>
        <w:t>Journal of Ethnopharmacology</w:t>
      </w:r>
      <w:r w:rsidRPr="00883413">
        <w:rPr>
          <w:rFonts w:ascii="Times New Roman" w:hAnsi="Times New Roman" w:cs="Times New Roman"/>
          <w:lang w:val="en-US"/>
        </w:rPr>
        <w:t xml:space="preserve">, </w:t>
      </w:r>
      <w:r w:rsidRPr="00883413">
        <w:rPr>
          <w:rFonts w:ascii="Times New Roman" w:hAnsi="Times New Roman" w:cs="Times New Roman"/>
          <w:i/>
          <w:iCs/>
          <w:lang w:val="en-US"/>
        </w:rPr>
        <w:t>105</w:t>
      </w:r>
      <w:r w:rsidRPr="00883413">
        <w:rPr>
          <w:rFonts w:ascii="Times New Roman" w:hAnsi="Times New Roman" w:cs="Times New Roman"/>
          <w:lang w:val="en-US"/>
        </w:rPr>
        <w:t>(1), 55‑63. https://doi.org/10.1016/j.jep.2005.09.038</w:t>
      </w:r>
    </w:p>
    <w:p w14:paraId="4A4FDA24"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lang w:val="en-US"/>
        </w:rPr>
        <w:t xml:space="preserve">Lema, A., Mindiédiba Jean Bangou, Mamadou Sawadogo, Hyacinthe </w:t>
      </w:r>
      <w:proofErr w:type="spellStart"/>
      <w:r w:rsidRPr="00883413">
        <w:rPr>
          <w:rFonts w:ascii="Times New Roman" w:hAnsi="Times New Roman" w:cs="Times New Roman"/>
          <w:lang w:val="en-US"/>
        </w:rPr>
        <w:t>Mindiempo</w:t>
      </w:r>
      <w:proofErr w:type="spellEnd"/>
      <w:r w:rsidRPr="00883413">
        <w:rPr>
          <w:rFonts w:ascii="Times New Roman" w:hAnsi="Times New Roman" w:cs="Times New Roman"/>
          <w:lang w:val="en-US"/>
        </w:rPr>
        <w:t xml:space="preserve">, Thiombiano, &amp; Hermann </w:t>
      </w:r>
      <w:proofErr w:type="spellStart"/>
      <w:r w:rsidRPr="00883413">
        <w:rPr>
          <w:rFonts w:ascii="Times New Roman" w:hAnsi="Times New Roman" w:cs="Times New Roman"/>
          <w:lang w:val="en-US"/>
        </w:rPr>
        <w:t>Yempabou</w:t>
      </w:r>
      <w:proofErr w:type="spellEnd"/>
      <w:r w:rsidRPr="00883413">
        <w:rPr>
          <w:rFonts w:ascii="Times New Roman" w:hAnsi="Times New Roman" w:cs="Times New Roman"/>
          <w:lang w:val="en-US"/>
        </w:rPr>
        <w:t xml:space="preserve"> Ouoba. (2022). Medicinal plant recipes used in the management of peptic ulcers in Burkina </w:t>
      </w:r>
      <w:proofErr w:type="gramStart"/>
      <w:r w:rsidRPr="00883413">
        <w:rPr>
          <w:rFonts w:ascii="Times New Roman" w:hAnsi="Times New Roman" w:cs="Times New Roman"/>
          <w:lang w:val="en-US"/>
        </w:rPr>
        <w:t>Faso :</w:t>
      </w:r>
      <w:proofErr w:type="gramEnd"/>
      <w:r w:rsidRPr="00883413">
        <w:rPr>
          <w:rFonts w:ascii="Times New Roman" w:hAnsi="Times New Roman" w:cs="Times New Roman"/>
          <w:lang w:val="en-US"/>
        </w:rPr>
        <w:t xml:space="preserve"> Ethnobotanical study. </w:t>
      </w:r>
      <w:r w:rsidRPr="00883413">
        <w:rPr>
          <w:rFonts w:ascii="Times New Roman" w:hAnsi="Times New Roman" w:cs="Times New Roman"/>
          <w:i/>
          <w:iCs/>
          <w:lang w:val="en-US"/>
        </w:rPr>
        <w:t>International Journal of Science and Research Archive</w:t>
      </w:r>
      <w:r w:rsidRPr="00883413">
        <w:rPr>
          <w:rFonts w:ascii="Times New Roman" w:hAnsi="Times New Roman" w:cs="Times New Roman"/>
          <w:lang w:val="en-US"/>
        </w:rPr>
        <w:t xml:space="preserve">, </w:t>
      </w:r>
      <w:r w:rsidRPr="00883413">
        <w:rPr>
          <w:rFonts w:ascii="Times New Roman" w:hAnsi="Times New Roman" w:cs="Times New Roman"/>
          <w:i/>
          <w:iCs/>
          <w:lang w:val="en-US"/>
        </w:rPr>
        <w:t>6</w:t>
      </w:r>
      <w:r w:rsidRPr="00883413">
        <w:rPr>
          <w:rFonts w:ascii="Times New Roman" w:hAnsi="Times New Roman" w:cs="Times New Roman"/>
          <w:lang w:val="en-US"/>
        </w:rPr>
        <w:t>(1), 263‑278. https://doi.org/10.30574/ijsra.2022.6.1.0133</w:t>
      </w:r>
    </w:p>
    <w:p w14:paraId="7470794E"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lang w:val="en-US"/>
        </w:rPr>
        <w:t xml:space="preserve">Mashaba, G. R., </w:t>
      </w:r>
      <w:proofErr w:type="spellStart"/>
      <w:r w:rsidRPr="00883413">
        <w:rPr>
          <w:rFonts w:ascii="Times New Roman" w:hAnsi="Times New Roman" w:cs="Times New Roman"/>
          <w:lang w:val="en-US"/>
        </w:rPr>
        <w:t>Mokgalaboni</w:t>
      </w:r>
      <w:proofErr w:type="spellEnd"/>
      <w:r w:rsidRPr="00883413">
        <w:rPr>
          <w:rFonts w:ascii="Times New Roman" w:hAnsi="Times New Roman" w:cs="Times New Roman"/>
          <w:lang w:val="en-US"/>
        </w:rPr>
        <w:t xml:space="preserve">, K., &amp; Lebelo, S. L. (2025). Potential Impact of </w:t>
      </w:r>
      <w:proofErr w:type="spellStart"/>
      <w:r w:rsidRPr="00883413">
        <w:rPr>
          <w:rFonts w:ascii="Times New Roman" w:hAnsi="Times New Roman" w:cs="Times New Roman"/>
          <w:lang w:val="en-US"/>
        </w:rPr>
        <w:t>Sclerocarya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birrea</w:t>
      </w:r>
      <w:proofErr w:type="spellEnd"/>
      <w:r w:rsidRPr="00883413">
        <w:rPr>
          <w:rFonts w:ascii="Times New Roman" w:hAnsi="Times New Roman" w:cs="Times New Roman"/>
          <w:lang w:val="en-US"/>
        </w:rPr>
        <w:t xml:space="preserve"> on Cardiovascular Health and Related Risk </w:t>
      </w:r>
      <w:proofErr w:type="gramStart"/>
      <w:r w:rsidRPr="00883413">
        <w:rPr>
          <w:rFonts w:ascii="Times New Roman" w:hAnsi="Times New Roman" w:cs="Times New Roman"/>
          <w:lang w:val="en-US"/>
        </w:rPr>
        <w:t>Factors :</w:t>
      </w:r>
      <w:proofErr w:type="gramEnd"/>
      <w:r w:rsidRPr="00883413">
        <w:rPr>
          <w:rFonts w:ascii="Times New Roman" w:hAnsi="Times New Roman" w:cs="Times New Roman"/>
          <w:lang w:val="en-US"/>
        </w:rPr>
        <w:t xml:space="preserve"> Review of Existing Evidence. </w:t>
      </w:r>
      <w:r w:rsidRPr="00883413">
        <w:rPr>
          <w:rFonts w:ascii="Times New Roman" w:hAnsi="Times New Roman" w:cs="Times New Roman"/>
          <w:i/>
          <w:iCs/>
          <w:lang w:val="en-US"/>
        </w:rPr>
        <w:t>Antioxidants</w:t>
      </w:r>
      <w:r w:rsidRPr="00883413">
        <w:rPr>
          <w:rFonts w:ascii="Times New Roman" w:hAnsi="Times New Roman" w:cs="Times New Roman"/>
          <w:lang w:val="en-US"/>
        </w:rPr>
        <w:t xml:space="preserve">, </w:t>
      </w:r>
      <w:r w:rsidRPr="00883413">
        <w:rPr>
          <w:rFonts w:ascii="Times New Roman" w:hAnsi="Times New Roman" w:cs="Times New Roman"/>
          <w:i/>
          <w:iCs/>
          <w:lang w:val="en-US"/>
        </w:rPr>
        <w:t>14</w:t>
      </w:r>
      <w:r w:rsidRPr="00883413">
        <w:rPr>
          <w:rFonts w:ascii="Times New Roman" w:hAnsi="Times New Roman" w:cs="Times New Roman"/>
          <w:lang w:val="en-US"/>
        </w:rPr>
        <w:t>(8). https://doi.org/10.3390/antiox14080997</w:t>
      </w:r>
    </w:p>
    <w:p w14:paraId="19EAAA90"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lang w:val="en-US"/>
        </w:rPr>
        <w:t>Millogo, G. R. C., Yam</w:t>
      </w:r>
      <w:r w:rsidRPr="00883413">
        <w:rPr>
          <w:rFonts w:ascii="Times New Roman" w:hAnsi="Times New Roman" w:cs="Times New Roman"/>
        </w:rPr>
        <w:t>�</w:t>
      </w:r>
      <w:r w:rsidRPr="00883413">
        <w:rPr>
          <w:rFonts w:ascii="Times New Roman" w:hAnsi="Times New Roman" w:cs="Times New Roman"/>
          <w:lang w:val="en-US"/>
        </w:rPr>
        <w:t xml:space="preserve">ogo, C., </w:t>
      </w:r>
      <w:proofErr w:type="spellStart"/>
      <w:r w:rsidRPr="00883413">
        <w:rPr>
          <w:rFonts w:ascii="Times New Roman" w:hAnsi="Times New Roman" w:cs="Times New Roman"/>
          <w:lang w:val="en-US"/>
        </w:rPr>
        <w:t>Samandoulougou</w:t>
      </w:r>
      <w:proofErr w:type="spellEnd"/>
      <w:r w:rsidRPr="00883413">
        <w:rPr>
          <w:rFonts w:ascii="Times New Roman" w:hAnsi="Times New Roman" w:cs="Times New Roman"/>
          <w:lang w:val="en-US"/>
        </w:rPr>
        <w:t>, A., Yam</w:t>
      </w:r>
      <w:r w:rsidRPr="00883413">
        <w:rPr>
          <w:rFonts w:ascii="Times New Roman" w:hAnsi="Times New Roman" w:cs="Times New Roman"/>
        </w:rPr>
        <w:t>�</w:t>
      </w:r>
      <w:r w:rsidRPr="00883413">
        <w:rPr>
          <w:rFonts w:ascii="Times New Roman" w:hAnsi="Times New Roman" w:cs="Times New Roman"/>
          <w:lang w:val="en-US"/>
        </w:rPr>
        <w:t xml:space="preserve">ogo, N. V., Kologo, K. J., Toguyeni, J. Y., &amp; </w:t>
      </w:r>
      <w:proofErr w:type="spellStart"/>
      <w:r w:rsidRPr="00883413">
        <w:rPr>
          <w:rFonts w:ascii="Times New Roman" w:hAnsi="Times New Roman" w:cs="Times New Roman"/>
          <w:lang w:val="en-US"/>
        </w:rPr>
        <w:t>Zabsonr</w:t>
      </w:r>
      <w:proofErr w:type="spellEnd"/>
      <w:r w:rsidRPr="00883413">
        <w:rPr>
          <w:rFonts w:ascii="Times New Roman" w:hAnsi="Times New Roman" w:cs="Times New Roman"/>
        </w:rPr>
        <w:t>�</w:t>
      </w:r>
      <w:r w:rsidRPr="00883413">
        <w:rPr>
          <w:rFonts w:ascii="Times New Roman" w:hAnsi="Times New Roman" w:cs="Times New Roman"/>
          <w:lang w:val="en-US"/>
        </w:rPr>
        <w:t xml:space="preserve">, P. (2015). </w:t>
      </w:r>
      <w:r w:rsidRPr="00883413">
        <w:rPr>
          <w:rFonts w:ascii="Times New Roman" w:hAnsi="Times New Roman" w:cs="Times New Roman"/>
        </w:rPr>
        <w:t>Diab�te en milieu urbain de Ouagadougou au Burkina Faso : Profil �</w:t>
      </w:r>
      <w:proofErr w:type="spellStart"/>
      <w:r w:rsidRPr="00883413">
        <w:rPr>
          <w:rFonts w:ascii="Times New Roman" w:hAnsi="Times New Roman" w:cs="Times New Roman"/>
        </w:rPr>
        <w:t>pid�miologique</w:t>
      </w:r>
      <w:proofErr w:type="spellEnd"/>
      <w:r w:rsidRPr="00883413">
        <w:rPr>
          <w:rFonts w:ascii="Times New Roman" w:hAnsi="Times New Roman" w:cs="Times New Roman"/>
        </w:rPr>
        <w:t xml:space="preserve"> et niveau de perception de la population adulte. </w:t>
      </w:r>
      <w:r w:rsidRPr="00883413">
        <w:rPr>
          <w:rFonts w:ascii="Times New Roman" w:hAnsi="Times New Roman" w:cs="Times New Roman"/>
          <w:i/>
          <w:iCs/>
          <w:lang w:val="en-US"/>
        </w:rPr>
        <w:t>PAMJ Clinical Medicine</w:t>
      </w:r>
      <w:r w:rsidRPr="00883413">
        <w:rPr>
          <w:rFonts w:ascii="Times New Roman" w:hAnsi="Times New Roman" w:cs="Times New Roman"/>
          <w:lang w:val="en-US"/>
        </w:rPr>
        <w:t xml:space="preserve">, </w:t>
      </w:r>
      <w:r w:rsidRPr="00883413">
        <w:rPr>
          <w:rFonts w:ascii="Times New Roman" w:hAnsi="Times New Roman" w:cs="Times New Roman"/>
          <w:i/>
          <w:iCs/>
          <w:lang w:val="en-US"/>
        </w:rPr>
        <w:t>20</w:t>
      </w:r>
      <w:r w:rsidRPr="00883413">
        <w:rPr>
          <w:rFonts w:ascii="Times New Roman" w:hAnsi="Times New Roman" w:cs="Times New Roman"/>
          <w:lang w:val="en-US"/>
        </w:rPr>
        <w:t>(146). https://doi.org/10.11604/pamj.2015.20.146.3249</w:t>
      </w:r>
    </w:p>
    <w:p w14:paraId="5A9E084A"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lang w:val="en-US"/>
        </w:rPr>
        <w:t>Mongolia, U. (</w:t>
      </w:r>
      <w:proofErr w:type="spellStart"/>
      <w:r w:rsidRPr="00883413">
        <w:rPr>
          <w:rFonts w:ascii="Times New Roman" w:hAnsi="Times New Roman" w:cs="Times New Roman"/>
          <w:lang w:val="en-US"/>
        </w:rPr>
        <w:t>Éd</w:t>
      </w:r>
      <w:proofErr w:type="spellEnd"/>
      <w:r w:rsidRPr="00883413">
        <w:rPr>
          <w:rFonts w:ascii="Times New Roman" w:hAnsi="Times New Roman" w:cs="Times New Roman"/>
          <w:lang w:val="en-US"/>
        </w:rPr>
        <w:t xml:space="preserve">.). (2009). </w:t>
      </w:r>
      <w:r w:rsidRPr="00883413">
        <w:rPr>
          <w:rFonts w:ascii="Times New Roman" w:hAnsi="Times New Roman" w:cs="Times New Roman"/>
          <w:i/>
          <w:iCs/>
          <w:lang w:val="en-US"/>
        </w:rPr>
        <w:t xml:space="preserve">Report of the WHO Interregional Workshop on the Use of Traditional Medicine in Primary Health </w:t>
      </w:r>
      <w:proofErr w:type="gramStart"/>
      <w:r w:rsidRPr="00883413">
        <w:rPr>
          <w:rFonts w:ascii="Times New Roman" w:hAnsi="Times New Roman" w:cs="Times New Roman"/>
          <w:i/>
          <w:iCs/>
          <w:lang w:val="en-US"/>
        </w:rPr>
        <w:t>Care :</w:t>
      </w:r>
      <w:proofErr w:type="gramEnd"/>
      <w:r w:rsidRPr="00883413">
        <w:rPr>
          <w:rFonts w:ascii="Times New Roman" w:hAnsi="Times New Roman" w:cs="Times New Roman"/>
          <w:i/>
          <w:iCs/>
          <w:lang w:val="en-US"/>
        </w:rPr>
        <w:t xml:space="preserve"> Ulaanbaatar, Mongolia, 23 - 26 August 2007</w:t>
      </w:r>
      <w:r w:rsidRPr="00883413">
        <w:rPr>
          <w:rFonts w:ascii="Times New Roman" w:hAnsi="Times New Roman" w:cs="Times New Roman"/>
          <w:lang w:val="en-US"/>
        </w:rPr>
        <w:t>. World Health Organization. Interregional Workshop on the Use of Traditional Medicine in Primary Health Care, Geneva.</w:t>
      </w:r>
    </w:p>
    <w:p w14:paraId="7BB0DEA3"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rPr>
        <w:t xml:space="preserve">N’Do, J., SORE, H., SANOU, S., SAVADOGO, P., DIARRA, L., SAWADOGO, A., KABORE, F., Sanou, G., &amp; Mindiédiba Jean, B. (2025). </w:t>
      </w:r>
      <w:r w:rsidRPr="00883413">
        <w:rPr>
          <w:rFonts w:ascii="Times New Roman" w:hAnsi="Times New Roman" w:cs="Times New Roman"/>
          <w:lang w:val="en-US"/>
        </w:rPr>
        <w:t xml:space="preserve">Evaluation of Phytochemical Composition and Antimicrobial Activities of Terminalia </w:t>
      </w:r>
      <w:proofErr w:type="spellStart"/>
      <w:r w:rsidRPr="00883413">
        <w:rPr>
          <w:rFonts w:ascii="Times New Roman" w:hAnsi="Times New Roman" w:cs="Times New Roman"/>
          <w:lang w:val="en-US"/>
        </w:rPr>
        <w:t>avicennoides</w:t>
      </w:r>
      <w:proofErr w:type="spellEnd"/>
      <w:r w:rsidRPr="00883413">
        <w:rPr>
          <w:rFonts w:ascii="Times New Roman" w:hAnsi="Times New Roman" w:cs="Times New Roman"/>
          <w:lang w:val="en-US"/>
        </w:rPr>
        <w:t xml:space="preserve">, Terminalia </w:t>
      </w:r>
      <w:proofErr w:type="spellStart"/>
      <w:r w:rsidRPr="00883413">
        <w:rPr>
          <w:rFonts w:ascii="Times New Roman" w:hAnsi="Times New Roman" w:cs="Times New Roman"/>
          <w:lang w:val="en-US"/>
        </w:rPr>
        <w:t>macroptera</w:t>
      </w:r>
      <w:proofErr w:type="spellEnd"/>
      <w:r w:rsidRPr="00883413">
        <w:rPr>
          <w:rFonts w:ascii="Times New Roman" w:hAnsi="Times New Roman" w:cs="Times New Roman"/>
          <w:lang w:val="en-US"/>
        </w:rPr>
        <w:t xml:space="preserve">, and Argemone mexicana Used as Traditional Medicine in Burkina Faso. </w:t>
      </w:r>
      <w:r w:rsidRPr="00883413">
        <w:rPr>
          <w:rFonts w:ascii="Times New Roman" w:hAnsi="Times New Roman" w:cs="Times New Roman"/>
          <w:i/>
          <w:iCs/>
          <w:lang w:val="en-US"/>
        </w:rPr>
        <w:t>Journal of Advances in Microbiology</w:t>
      </w:r>
      <w:r w:rsidRPr="00883413">
        <w:rPr>
          <w:rFonts w:ascii="Times New Roman" w:hAnsi="Times New Roman" w:cs="Times New Roman"/>
          <w:lang w:val="en-US"/>
        </w:rPr>
        <w:t xml:space="preserve">, </w:t>
      </w:r>
      <w:r w:rsidRPr="00883413">
        <w:rPr>
          <w:rFonts w:ascii="Times New Roman" w:hAnsi="Times New Roman" w:cs="Times New Roman"/>
          <w:i/>
          <w:iCs/>
          <w:lang w:val="en-US"/>
        </w:rPr>
        <w:t>25</w:t>
      </w:r>
      <w:r w:rsidRPr="00883413">
        <w:rPr>
          <w:rFonts w:ascii="Times New Roman" w:hAnsi="Times New Roman" w:cs="Times New Roman"/>
          <w:lang w:val="en-US"/>
        </w:rPr>
        <w:t>, 21‑36. https://doi.org/10.9734/jamb/2025/v25i111012</w:t>
      </w:r>
    </w:p>
    <w:p w14:paraId="4B5A18A9"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rPr>
      </w:pPr>
      <w:r w:rsidRPr="00883413">
        <w:rPr>
          <w:rFonts w:ascii="Times New Roman" w:hAnsi="Times New Roman" w:cs="Times New Roman"/>
        </w:rPr>
        <w:t xml:space="preserve">N’Do, J. Y., Pare, D., Bondé, L., &amp; </w:t>
      </w:r>
      <w:proofErr w:type="spellStart"/>
      <w:r w:rsidRPr="00883413">
        <w:rPr>
          <w:rFonts w:ascii="Times New Roman" w:hAnsi="Times New Roman" w:cs="Times New Roman"/>
        </w:rPr>
        <w:t>Guenné</w:t>
      </w:r>
      <w:proofErr w:type="spellEnd"/>
      <w:r w:rsidRPr="00883413">
        <w:rPr>
          <w:rFonts w:ascii="Times New Roman" w:hAnsi="Times New Roman" w:cs="Times New Roman"/>
        </w:rPr>
        <w:t xml:space="preserve">, S. (s. d.). </w:t>
      </w:r>
      <w:r w:rsidRPr="00883413">
        <w:rPr>
          <w:rFonts w:ascii="Times New Roman" w:hAnsi="Times New Roman" w:cs="Times New Roman"/>
          <w:i/>
          <w:iCs/>
        </w:rPr>
        <w:t>(PDF) Connaissances et usages traditionnels des plantes médicinales à Ouagadougou, Burkina Faso</w:t>
      </w:r>
      <w:r w:rsidRPr="00883413">
        <w:rPr>
          <w:rFonts w:ascii="Times New Roman" w:hAnsi="Times New Roman" w:cs="Times New Roman"/>
        </w:rPr>
        <w:t xml:space="preserve">. Consulté 25 août 2026, à l’adresse </w:t>
      </w:r>
      <w:r w:rsidRPr="00883413">
        <w:rPr>
          <w:rFonts w:ascii="Times New Roman" w:hAnsi="Times New Roman" w:cs="Times New Roman"/>
        </w:rPr>
        <w:lastRenderedPageBreak/>
        <w:t>https://www.researchgate.net/publication/381698499_Indigenous_knowledge_and_uses_of_medicinal_plants_in_Ouagadougou_Burkina_Faso</w:t>
      </w:r>
    </w:p>
    <w:p w14:paraId="5A70F890"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rPr>
        <w:t xml:space="preserve">N’Do, J. Y., Paré, D., Bondé, L., </w:t>
      </w:r>
      <w:proofErr w:type="spellStart"/>
      <w:r w:rsidRPr="00883413">
        <w:rPr>
          <w:rFonts w:ascii="Times New Roman" w:hAnsi="Times New Roman" w:cs="Times New Roman"/>
        </w:rPr>
        <w:t>Guenne</w:t>
      </w:r>
      <w:proofErr w:type="spellEnd"/>
      <w:r w:rsidRPr="00883413">
        <w:rPr>
          <w:rFonts w:ascii="Times New Roman" w:hAnsi="Times New Roman" w:cs="Times New Roman"/>
        </w:rPr>
        <w:t xml:space="preserve">, S., Hilou, A., &amp; Kiendrebeogo, M. (2024). </w:t>
      </w:r>
      <w:r w:rsidRPr="00883413">
        <w:rPr>
          <w:rFonts w:ascii="Times New Roman" w:hAnsi="Times New Roman" w:cs="Times New Roman"/>
          <w:lang w:val="en-US"/>
        </w:rPr>
        <w:t xml:space="preserve">Indigenous knowledge and uses of medicinal plants in Ouagadougou, Burkina Faso. </w:t>
      </w:r>
      <w:r w:rsidRPr="00883413">
        <w:rPr>
          <w:rFonts w:ascii="Times New Roman" w:hAnsi="Times New Roman" w:cs="Times New Roman"/>
          <w:i/>
          <w:iCs/>
          <w:lang w:val="en-US"/>
        </w:rPr>
        <w:t>Ethnobotany Research and Applications</w:t>
      </w:r>
      <w:r w:rsidRPr="00883413">
        <w:rPr>
          <w:rFonts w:ascii="Times New Roman" w:hAnsi="Times New Roman" w:cs="Times New Roman"/>
          <w:lang w:val="en-US"/>
        </w:rPr>
        <w:t xml:space="preserve">, </w:t>
      </w:r>
      <w:r w:rsidRPr="00883413">
        <w:rPr>
          <w:rFonts w:ascii="Times New Roman" w:hAnsi="Times New Roman" w:cs="Times New Roman"/>
          <w:i/>
          <w:iCs/>
          <w:lang w:val="en-US"/>
        </w:rPr>
        <w:t>29</w:t>
      </w:r>
      <w:r w:rsidRPr="00883413">
        <w:rPr>
          <w:rFonts w:ascii="Times New Roman" w:hAnsi="Times New Roman" w:cs="Times New Roman"/>
          <w:lang w:val="en-US"/>
        </w:rPr>
        <w:t>, 1‑15.</w:t>
      </w:r>
    </w:p>
    <w:p w14:paraId="3AFC9F1A"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rPr>
        <w:t xml:space="preserve">N’do, J. Y., Paré, D., </w:t>
      </w:r>
      <w:proofErr w:type="spellStart"/>
      <w:r w:rsidRPr="00883413">
        <w:rPr>
          <w:rFonts w:ascii="Times New Roman" w:hAnsi="Times New Roman" w:cs="Times New Roman"/>
        </w:rPr>
        <w:t>Soré</w:t>
      </w:r>
      <w:proofErr w:type="spellEnd"/>
      <w:r w:rsidRPr="00883413">
        <w:rPr>
          <w:rFonts w:ascii="Times New Roman" w:hAnsi="Times New Roman" w:cs="Times New Roman"/>
        </w:rPr>
        <w:t xml:space="preserve">, H., </w:t>
      </w:r>
      <w:proofErr w:type="spellStart"/>
      <w:r w:rsidRPr="00883413">
        <w:rPr>
          <w:rFonts w:ascii="Times New Roman" w:hAnsi="Times New Roman" w:cs="Times New Roman"/>
        </w:rPr>
        <w:t>Sombié</w:t>
      </w:r>
      <w:proofErr w:type="spellEnd"/>
      <w:r w:rsidRPr="00883413">
        <w:rPr>
          <w:rFonts w:ascii="Times New Roman" w:hAnsi="Times New Roman" w:cs="Times New Roman"/>
        </w:rPr>
        <w:t xml:space="preserve">, E. N., Bangou, M. J., Hilou, A., &amp; </w:t>
      </w:r>
      <w:proofErr w:type="spellStart"/>
      <w:r w:rsidRPr="00883413">
        <w:rPr>
          <w:rFonts w:ascii="Times New Roman" w:hAnsi="Times New Roman" w:cs="Times New Roman"/>
        </w:rPr>
        <w:t>Kiendrébéogo</w:t>
      </w:r>
      <w:proofErr w:type="spellEnd"/>
      <w:r w:rsidRPr="00883413">
        <w:rPr>
          <w:rFonts w:ascii="Times New Roman" w:hAnsi="Times New Roman" w:cs="Times New Roman"/>
        </w:rPr>
        <w:t xml:space="preserve">, M. (2025a). </w:t>
      </w:r>
      <w:r w:rsidRPr="00883413">
        <w:rPr>
          <w:rFonts w:ascii="Times New Roman" w:hAnsi="Times New Roman" w:cs="Times New Roman"/>
          <w:lang w:val="en-US"/>
        </w:rPr>
        <w:t xml:space="preserve">Ethnobotany and quality control of </w:t>
      </w:r>
      <w:proofErr w:type="gramStart"/>
      <w:r w:rsidRPr="00883413">
        <w:rPr>
          <w:rFonts w:ascii="Times New Roman" w:hAnsi="Times New Roman" w:cs="Times New Roman"/>
          <w:lang w:val="en-US"/>
        </w:rPr>
        <w:t>bioproducts :</w:t>
      </w:r>
      <w:proofErr w:type="gramEnd"/>
      <w:r w:rsidRPr="00883413">
        <w:rPr>
          <w:rFonts w:ascii="Times New Roman" w:hAnsi="Times New Roman" w:cs="Times New Roman"/>
          <w:lang w:val="en-US"/>
        </w:rPr>
        <w:t xml:space="preserve"> Sustainable management of natural resources in urban environments. </w:t>
      </w:r>
      <w:r w:rsidRPr="00883413">
        <w:rPr>
          <w:rFonts w:ascii="Times New Roman" w:hAnsi="Times New Roman" w:cs="Times New Roman"/>
          <w:i/>
          <w:iCs/>
          <w:lang w:val="en-US"/>
        </w:rPr>
        <w:t>Results in Engineering</w:t>
      </w:r>
      <w:r w:rsidRPr="00883413">
        <w:rPr>
          <w:rFonts w:ascii="Times New Roman" w:hAnsi="Times New Roman" w:cs="Times New Roman"/>
          <w:lang w:val="en-US"/>
        </w:rPr>
        <w:t xml:space="preserve">, </w:t>
      </w:r>
      <w:r w:rsidRPr="00883413">
        <w:rPr>
          <w:rFonts w:ascii="Times New Roman" w:hAnsi="Times New Roman" w:cs="Times New Roman"/>
          <w:i/>
          <w:iCs/>
          <w:lang w:val="en-US"/>
        </w:rPr>
        <w:t>27</w:t>
      </w:r>
      <w:r w:rsidRPr="00883413">
        <w:rPr>
          <w:rFonts w:ascii="Times New Roman" w:hAnsi="Times New Roman" w:cs="Times New Roman"/>
          <w:lang w:val="en-US"/>
        </w:rPr>
        <w:t>, 106300. https://doi.org/10.1016/j.rineng.2025.106300</w:t>
      </w:r>
    </w:p>
    <w:p w14:paraId="08708CC7"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rPr>
        <w:t xml:space="preserve">N’do, J. Y., Paré, D., </w:t>
      </w:r>
      <w:proofErr w:type="spellStart"/>
      <w:r w:rsidRPr="00883413">
        <w:rPr>
          <w:rFonts w:ascii="Times New Roman" w:hAnsi="Times New Roman" w:cs="Times New Roman"/>
        </w:rPr>
        <w:t>Soré</w:t>
      </w:r>
      <w:proofErr w:type="spellEnd"/>
      <w:r w:rsidRPr="00883413">
        <w:rPr>
          <w:rFonts w:ascii="Times New Roman" w:hAnsi="Times New Roman" w:cs="Times New Roman"/>
        </w:rPr>
        <w:t xml:space="preserve">, H., </w:t>
      </w:r>
      <w:proofErr w:type="spellStart"/>
      <w:r w:rsidRPr="00883413">
        <w:rPr>
          <w:rFonts w:ascii="Times New Roman" w:hAnsi="Times New Roman" w:cs="Times New Roman"/>
        </w:rPr>
        <w:t>Sombié</w:t>
      </w:r>
      <w:proofErr w:type="spellEnd"/>
      <w:r w:rsidRPr="00883413">
        <w:rPr>
          <w:rFonts w:ascii="Times New Roman" w:hAnsi="Times New Roman" w:cs="Times New Roman"/>
        </w:rPr>
        <w:t xml:space="preserve">, E. N., Bangou, M. J., Hilou, A., &amp; </w:t>
      </w:r>
      <w:proofErr w:type="spellStart"/>
      <w:r w:rsidRPr="00883413">
        <w:rPr>
          <w:rFonts w:ascii="Times New Roman" w:hAnsi="Times New Roman" w:cs="Times New Roman"/>
        </w:rPr>
        <w:t>Kiendrébéogo</w:t>
      </w:r>
      <w:proofErr w:type="spellEnd"/>
      <w:r w:rsidRPr="00883413">
        <w:rPr>
          <w:rFonts w:ascii="Times New Roman" w:hAnsi="Times New Roman" w:cs="Times New Roman"/>
        </w:rPr>
        <w:t xml:space="preserve">, M. (2025b). </w:t>
      </w:r>
      <w:r w:rsidRPr="00883413">
        <w:rPr>
          <w:rFonts w:ascii="Times New Roman" w:hAnsi="Times New Roman" w:cs="Times New Roman"/>
          <w:lang w:val="en-US"/>
        </w:rPr>
        <w:t xml:space="preserve">Ethnobotany and quality control of </w:t>
      </w:r>
      <w:proofErr w:type="gramStart"/>
      <w:r w:rsidRPr="00883413">
        <w:rPr>
          <w:rFonts w:ascii="Times New Roman" w:hAnsi="Times New Roman" w:cs="Times New Roman"/>
          <w:lang w:val="en-US"/>
        </w:rPr>
        <w:t>bioproducts :</w:t>
      </w:r>
      <w:proofErr w:type="gramEnd"/>
      <w:r w:rsidRPr="00883413">
        <w:rPr>
          <w:rFonts w:ascii="Times New Roman" w:hAnsi="Times New Roman" w:cs="Times New Roman"/>
          <w:lang w:val="en-US"/>
        </w:rPr>
        <w:t xml:space="preserve"> Sustainable management of natural resources in urban environments. </w:t>
      </w:r>
      <w:r w:rsidRPr="00883413">
        <w:rPr>
          <w:rFonts w:ascii="Times New Roman" w:hAnsi="Times New Roman" w:cs="Times New Roman"/>
          <w:i/>
          <w:iCs/>
          <w:lang w:val="en-US"/>
        </w:rPr>
        <w:t>Results in Engineering</w:t>
      </w:r>
      <w:r w:rsidRPr="00883413">
        <w:rPr>
          <w:rFonts w:ascii="Times New Roman" w:hAnsi="Times New Roman" w:cs="Times New Roman"/>
          <w:lang w:val="en-US"/>
        </w:rPr>
        <w:t>, 106300.</w:t>
      </w:r>
    </w:p>
    <w:p w14:paraId="60D56A16"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rPr>
        <w:t xml:space="preserve">N’do, J. Y.-P., Paré, D., Bondé, L., &amp; Hilou, A. (2024). </w:t>
      </w:r>
      <w:r w:rsidRPr="00883413">
        <w:rPr>
          <w:rFonts w:ascii="Times New Roman" w:hAnsi="Times New Roman" w:cs="Times New Roman"/>
          <w:lang w:val="en-US"/>
        </w:rPr>
        <w:t xml:space="preserve">Comparative phytochemical profile and biological activity of three Terminalia species as alternative antimicrobial therapies. </w:t>
      </w:r>
      <w:proofErr w:type="spellStart"/>
      <w:r w:rsidRPr="00883413">
        <w:rPr>
          <w:rFonts w:ascii="Times New Roman" w:hAnsi="Times New Roman" w:cs="Times New Roman"/>
          <w:i/>
          <w:iCs/>
          <w:lang w:val="en-US"/>
        </w:rPr>
        <w:t>Heliyon</w:t>
      </w:r>
      <w:proofErr w:type="spellEnd"/>
      <w:r w:rsidRPr="00883413">
        <w:rPr>
          <w:rFonts w:ascii="Times New Roman" w:hAnsi="Times New Roman" w:cs="Times New Roman"/>
          <w:lang w:val="en-US"/>
        </w:rPr>
        <w:t xml:space="preserve">, </w:t>
      </w:r>
      <w:r w:rsidRPr="00883413">
        <w:rPr>
          <w:rFonts w:ascii="Times New Roman" w:hAnsi="Times New Roman" w:cs="Times New Roman"/>
          <w:i/>
          <w:iCs/>
          <w:lang w:val="en-US"/>
        </w:rPr>
        <w:t>10</w:t>
      </w:r>
      <w:r w:rsidRPr="00883413">
        <w:rPr>
          <w:rFonts w:ascii="Times New Roman" w:hAnsi="Times New Roman" w:cs="Times New Roman"/>
          <w:lang w:val="en-US"/>
        </w:rPr>
        <w:t>(21), e40159. https://doi.org/10.1016/j.heliyon.2024.e40159</w:t>
      </w:r>
    </w:p>
    <w:p w14:paraId="7653A5E1"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lang w:val="en-US"/>
        </w:rPr>
        <w:t xml:space="preserve">Odoh, U. E., Tijjani, H., &amp; Egbuna, C. (2024). </w:t>
      </w:r>
      <w:r w:rsidRPr="00883413">
        <w:rPr>
          <w:rFonts w:ascii="Times New Roman" w:hAnsi="Times New Roman" w:cs="Times New Roman"/>
          <w:i/>
          <w:iCs/>
          <w:lang w:val="en-US"/>
        </w:rPr>
        <w:t>Advances in Pharmacognosy and Phytochemistry of Diabetes</w:t>
      </w:r>
      <w:r w:rsidRPr="00883413">
        <w:rPr>
          <w:rFonts w:ascii="Times New Roman" w:hAnsi="Times New Roman" w:cs="Times New Roman"/>
          <w:lang w:val="en-US"/>
        </w:rPr>
        <w:t>. IPS Intelligentsia Publishing Services.</w:t>
      </w:r>
    </w:p>
    <w:p w14:paraId="020FAB6B"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proofErr w:type="spellStart"/>
      <w:r w:rsidRPr="00883413">
        <w:rPr>
          <w:rFonts w:ascii="Times New Roman" w:hAnsi="Times New Roman" w:cs="Times New Roman"/>
          <w:lang w:val="en-US"/>
        </w:rPr>
        <w:t>Patnala</w:t>
      </w:r>
      <w:proofErr w:type="spellEnd"/>
      <w:r w:rsidRPr="00883413">
        <w:rPr>
          <w:rFonts w:ascii="Times New Roman" w:hAnsi="Times New Roman" w:cs="Times New Roman"/>
          <w:lang w:val="en-US"/>
        </w:rPr>
        <w:t xml:space="preserve">, S., &amp; Kanfer, I. (2021). Quality control, extraction methods, and </w:t>
      </w:r>
      <w:proofErr w:type="gramStart"/>
      <w:r w:rsidRPr="00883413">
        <w:rPr>
          <w:rFonts w:ascii="Times New Roman" w:hAnsi="Times New Roman" w:cs="Times New Roman"/>
          <w:lang w:val="en-US"/>
        </w:rPr>
        <w:t>standardization :</w:t>
      </w:r>
      <w:proofErr w:type="gramEnd"/>
      <w:r w:rsidRPr="00883413">
        <w:rPr>
          <w:rFonts w:ascii="Times New Roman" w:hAnsi="Times New Roman" w:cs="Times New Roman"/>
          <w:lang w:val="en-US"/>
        </w:rPr>
        <w:t xml:space="preserve"> Interface between traditional use and scientific investigation. In </w:t>
      </w:r>
      <w:r w:rsidRPr="00883413">
        <w:rPr>
          <w:rFonts w:ascii="Times New Roman" w:hAnsi="Times New Roman" w:cs="Times New Roman"/>
          <w:i/>
          <w:iCs/>
          <w:lang w:val="en-US"/>
        </w:rPr>
        <w:t>Herbal Medicine in Andrology</w:t>
      </w:r>
      <w:r w:rsidRPr="00883413">
        <w:rPr>
          <w:rFonts w:ascii="Times New Roman" w:hAnsi="Times New Roman" w:cs="Times New Roman"/>
          <w:lang w:val="en-US"/>
        </w:rPr>
        <w:t xml:space="preserve"> (p. 175‑187). Elsevier. https://doi.org/10.1016/B978-0-12-815565-3.00006-0</w:t>
      </w:r>
    </w:p>
    <w:p w14:paraId="2E2FD2F5"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rPr>
        <w:t xml:space="preserve">Re, R., Pellegrini, N., </w:t>
      </w:r>
      <w:proofErr w:type="spellStart"/>
      <w:r w:rsidRPr="00883413">
        <w:rPr>
          <w:rFonts w:ascii="Times New Roman" w:hAnsi="Times New Roman" w:cs="Times New Roman"/>
        </w:rPr>
        <w:t>Proteggente</w:t>
      </w:r>
      <w:proofErr w:type="spellEnd"/>
      <w:r w:rsidRPr="00883413">
        <w:rPr>
          <w:rFonts w:ascii="Times New Roman" w:hAnsi="Times New Roman" w:cs="Times New Roman"/>
        </w:rPr>
        <w:t xml:space="preserve">, A., Pannala, A., Yang, M., &amp; Rice-Evans, C. (1999). </w:t>
      </w:r>
      <w:r w:rsidRPr="00883413">
        <w:rPr>
          <w:rFonts w:ascii="Times New Roman" w:hAnsi="Times New Roman" w:cs="Times New Roman"/>
          <w:lang w:val="en-US"/>
        </w:rPr>
        <w:t xml:space="preserve">Antioxidant activity applying an improved ABTS radical cation decolorization assay. </w:t>
      </w:r>
      <w:r w:rsidRPr="00883413">
        <w:rPr>
          <w:rFonts w:ascii="Times New Roman" w:hAnsi="Times New Roman" w:cs="Times New Roman"/>
          <w:i/>
          <w:iCs/>
          <w:lang w:val="en-US"/>
        </w:rPr>
        <w:t>Free Radical Biology and Medicine</w:t>
      </w:r>
      <w:r w:rsidRPr="00883413">
        <w:rPr>
          <w:rFonts w:ascii="Times New Roman" w:hAnsi="Times New Roman" w:cs="Times New Roman"/>
          <w:lang w:val="en-US"/>
        </w:rPr>
        <w:t xml:space="preserve">, </w:t>
      </w:r>
      <w:r w:rsidRPr="00883413">
        <w:rPr>
          <w:rFonts w:ascii="Times New Roman" w:hAnsi="Times New Roman" w:cs="Times New Roman"/>
          <w:i/>
          <w:iCs/>
          <w:lang w:val="en-US"/>
        </w:rPr>
        <w:t>26</w:t>
      </w:r>
      <w:r w:rsidRPr="00883413">
        <w:rPr>
          <w:rFonts w:ascii="Times New Roman" w:hAnsi="Times New Roman" w:cs="Times New Roman"/>
          <w:lang w:val="en-US"/>
        </w:rPr>
        <w:t>(9), 1231‑1237. https://doi.org/10.1016/S0891-5849(98)00315-3</w:t>
      </w:r>
    </w:p>
    <w:p w14:paraId="7BBCC57D"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rPr>
      </w:pPr>
      <w:proofErr w:type="spellStart"/>
      <w:r w:rsidRPr="00883413">
        <w:rPr>
          <w:rFonts w:ascii="Times New Roman" w:hAnsi="Times New Roman" w:cs="Times New Roman"/>
        </w:rPr>
        <w:t>Ricciardolo</w:t>
      </w:r>
      <w:proofErr w:type="spellEnd"/>
      <w:r w:rsidRPr="00883413">
        <w:rPr>
          <w:rFonts w:ascii="Times New Roman" w:hAnsi="Times New Roman" w:cs="Times New Roman"/>
        </w:rPr>
        <w:t xml:space="preserve">, L. (2023). </w:t>
      </w:r>
      <w:r w:rsidRPr="00883413">
        <w:rPr>
          <w:rFonts w:ascii="Times New Roman" w:hAnsi="Times New Roman" w:cs="Times New Roman"/>
          <w:i/>
          <w:iCs/>
        </w:rPr>
        <w:t>Plantes méditerranéennes dans la prise en charge du diabète et de ses complications</w:t>
      </w:r>
      <w:r w:rsidRPr="00883413">
        <w:rPr>
          <w:rFonts w:ascii="Times New Roman" w:hAnsi="Times New Roman" w:cs="Times New Roman"/>
        </w:rPr>
        <w:t xml:space="preserve"> [Doctorat d’état en pharmacie, Université Grenoble Alpes]. </w:t>
      </w:r>
      <w:proofErr w:type="gramStart"/>
      <w:r w:rsidRPr="00883413">
        <w:rPr>
          <w:rFonts w:ascii="Times New Roman" w:hAnsi="Times New Roman" w:cs="Times New Roman"/>
        </w:rPr>
        <w:t>l’archive</w:t>
      </w:r>
      <w:proofErr w:type="gramEnd"/>
      <w:r w:rsidRPr="00883413">
        <w:rPr>
          <w:rFonts w:ascii="Times New Roman" w:hAnsi="Times New Roman" w:cs="Times New Roman"/>
        </w:rPr>
        <w:t xml:space="preserve"> ouverte DUMAS. https://dumas.ccsd.cnrs.fr/dumas-04244868v1</w:t>
      </w:r>
    </w:p>
    <w:p w14:paraId="13F13E01"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rPr>
      </w:pPr>
      <w:r w:rsidRPr="00883413">
        <w:rPr>
          <w:rFonts w:ascii="Times New Roman" w:hAnsi="Times New Roman" w:cs="Times New Roman"/>
          <w:lang w:val="en-US"/>
        </w:rPr>
        <w:t xml:space="preserve">Sanda, A. K., </w:t>
      </w:r>
      <w:proofErr w:type="spellStart"/>
      <w:r w:rsidRPr="00883413">
        <w:rPr>
          <w:rFonts w:ascii="Times New Roman" w:hAnsi="Times New Roman" w:cs="Times New Roman"/>
          <w:lang w:val="en-US"/>
        </w:rPr>
        <w:t>Sandabe.U.K</w:t>
      </w:r>
      <w:proofErr w:type="spellEnd"/>
      <w:r w:rsidRPr="00883413">
        <w:rPr>
          <w:rFonts w:ascii="Times New Roman" w:hAnsi="Times New Roman" w:cs="Times New Roman"/>
          <w:lang w:val="en-US"/>
        </w:rPr>
        <w:t xml:space="preserve">., Peter A.M., Bulama I., Arastus, W, &amp; Marte I.H. (2024, mars 31). Phytochemistry, In vivo </w:t>
      </w:r>
      <w:proofErr w:type="spellStart"/>
      <w:r w:rsidRPr="00883413">
        <w:rPr>
          <w:rFonts w:ascii="Times New Roman" w:hAnsi="Times New Roman" w:cs="Times New Roman"/>
          <w:lang w:val="en-US"/>
        </w:rPr>
        <w:t>Hypoglycaemic</w:t>
      </w:r>
      <w:proofErr w:type="spellEnd"/>
      <w:r w:rsidRPr="00883413">
        <w:rPr>
          <w:rFonts w:ascii="Times New Roman" w:hAnsi="Times New Roman" w:cs="Times New Roman"/>
          <w:lang w:val="en-US"/>
        </w:rPr>
        <w:t xml:space="preserve"> and Anti-diabetic Potentials of Crude Ethanol root extract of </w:t>
      </w:r>
      <w:proofErr w:type="spellStart"/>
      <w:r w:rsidRPr="00883413">
        <w:rPr>
          <w:rFonts w:ascii="Times New Roman" w:hAnsi="Times New Roman" w:cs="Times New Roman"/>
          <w:lang w:val="en-US"/>
        </w:rPr>
        <w:t>Leptadenia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histata</w:t>
      </w:r>
      <w:proofErr w:type="spellEnd"/>
      <w:r w:rsidRPr="00883413">
        <w:rPr>
          <w:rFonts w:ascii="Times New Roman" w:hAnsi="Times New Roman" w:cs="Times New Roman"/>
          <w:lang w:val="en-US"/>
        </w:rPr>
        <w:t xml:space="preserve"> in Normal and Diabetic Albino Rats. </w:t>
      </w:r>
      <w:r w:rsidRPr="00883413">
        <w:rPr>
          <w:rFonts w:ascii="Times New Roman" w:hAnsi="Times New Roman" w:cs="Times New Roman"/>
          <w:i/>
          <w:iCs/>
        </w:rPr>
        <w:t xml:space="preserve">Journal of </w:t>
      </w:r>
      <w:proofErr w:type="spellStart"/>
      <w:r w:rsidRPr="00883413">
        <w:rPr>
          <w:rFonts w:ascii="Times New Roman" w:hAnsi="Times New Roman" w:cs="Times New Roman"/>
          <w:i/>
          <w:iCs/>
        </w:rPr>
        <w:t>Sustainable</w:t>
      </w:r>
      <w:proofErr w:type="spellEnd"/>
      <w:r w:rsidRPr="00883413">
        <w:rPr>
          <w:rFonts w:ascii="Times New Roman" w:hAnsi="Times New Roman" w:cs="Times New Roman"/>
          <w:i/>
          <w:iCs/>
        </w:rPr>
        <w:t xml:space="preserve"> </w:t>
      </w:r>
      <w:proofErr w:type="spellStart"/>
      <w:r w:rsidRPr="00883413">
        <w:rPr>
          <w:rFonts w:ascii="Times New Roman" w:hAnsi="Times New Roman" w:cs="Times New Roman"/>
          <w:i/>
          <w:iCs/>
        </w:rPr>
        <w:t>Veterinary</w:t>
      </w:r>
      <w:proofErr w:type="spellEnd"/>
      <w:r w:rsidRPr="00883413">
        <w:rPr>
          <w:rFonts w:ascii="Times New Roman" w:hAnsi="Times New Roman" w:cs="Times New Roman"/>
          <w:i/>
          <w:iCs/>
        </w:rPr>
        <w:t xml:space="preserve"> and </w:t>
      </w:r>
      <w:proofErr w:type="spellStart"/>
      <w:r w:rsidRPr="00883413">
        <w:rPr>
          <w:rFonts w:ascii="Times New Roman" w:hAnsi="Times New Roman" w:cs="Times New Roman"/>
          <w:i/>
          <w:iCs/>
        </w:rPr>
        <w:t>Allied</w:t>
      </w:r>
      <w:proofErr w:type="spellEnd"/>
      <w:r w:rsidRPr="00883413">
        <w:rPr>
          <w:rFonts w:ascii="Times New Roman" w:hAnsi="Times New Roman" w:cs="Times New Roman"/>
          <w:i/>
          <w:iCs/>
        </w:rPr>
        <w:t xml:space="preserve"> Sciences</w:t>
      </w:r>
      <w:r w:rsidRPr="00883413">
        <w:rPr>
          <w:rFonts w:ascii="Times New Roman" w:hAnsi="Times New Roman" w:cs="Times New Roman"/>
        </w:rPr>
        <w:t>, 46‑53.</w:t>
      </w:r>
    </w:p>
    <w:p w14:paraId="28E46DED"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rPr>
      </w:pPr>
      <w:r w:rsidRPr="00883413">
        <w:rPr>
          <w:rFonts w:ascii="Times New Roman" w:hAnsi="Times New Roman" w:cs="Times New Roman"/>
        </w:rPr>
        <w:lastRenderedPageBreak/>
        <w:t xml:space="preserve">Segda, A. (2020). </w:t>
      </w:r>
      <w:r w:rsidRPr="00883413">
        <w:rPr>
          <w:rFonts w:ascii="Times New Roman" w:hAnsi="Times New Roman" w:cs="Times New Roman"/>
          <w:i/>
          <w:iCs/>
        </w:rPr>
        <w:t>ETUDE ETHNOBOTANIQUE ET ACTIVITES BIOLOGIQUES DE TROIS PLANTES MEDICINALES ISSUES DE LA RESERVE NATURELLE DE BOBODIOULASSO ET UTILISEES DANS LE TRAITEMENT DU DIABETE</w:t>
      </w:r>
      <w:r w:rsidRPr="00883413">
        <w:rPr>
          <w:rFonts w:ascii="Times New Roman" w:hAnsi="Times New Roman" w:cs="Times New Roman"/>
        </w:rPr>
        <w:t>.</w:t>
      </w:r>
    </w:p>
    <w:p w14:paraId="5E59F476"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rPr>
      </w:pPr>
      <w:r w:rsidRPr="00883413">
        <w:rPr>
          <w:rFonts w:ascii="Times New Roman" w:hAnsi="Times New Roman" w:cs="Times New Roman"/>
        </w:rPr>
        <w:t>Sene, B., Sarr, F., Diouf, D., Kane, A., &amp; Traore, D. (2018). Étude de la composition minérale et des teneurs en protéines et en matières grasses de huit variétés de sésame (</w:t>
      </w:r>
      <w:proofErr w:type="spellStart"/>
      <w:r w:rsidRPr="00883413">
        <w:rPr>
          <w:rFonts w:ascii="Times New Roman" w:hAnsi="Times New Roman" w:cs="Times New Roman"/>
        </w:rPr>
        <w:t>Sesamum</w:t>
      </w:r>
      <w:proofErr w:type="spellEnd"/>
      <w:r w:rsidRPr="00883413">
        <w:rPr>
          <w:rFonts w:ascii="Times New Roman" w:hAnsi="Times New Roman" w:cs="Times New Roman"/>
        </w:rPr>
        <w:t xml:space="preserve"> </w:t>
      </w:r>
      <w:proofErr w:type="spellStart"/>
      <w:r w:rsidRPr="00883413">
        <w:rPr>
          <w:rFonts w:ascii="Times New Roman" w:hAnsi="Times New Roman" w:cs="Times New Roman"/>
        </w:rPr>
        <w:t>indicum</w:t>
      </w:r>
      <w:proofErr w:type="spellEnd"/>
      <w:r w:rsidRPr="00883413">
        <w:rPr>
          <w:rFonts w:ascii="Times New Roman" w:hAnsi="Times New Roman" w:cs="Times New Roman"/>
        </w:rPr>
        <w:t xml:space="preserve"> L.) introduites au Sénégal pour un criblage variétal. </w:t>
      </w:r>
      <w:r w:rsidRPr="00883413">
        <w:rPr>
          <w:rFonts w:ascii="Times New Roman" w:hAnsi="Times New Roman" w:cs="Times New Roman"/>
          <w:i/>
          <w:iCs/>
        </w:rPr>
        <w:t>OCL</w:t>
      </w:r>
      <w:r w:rsidRPr="00883413">
        <w:rPr>
          <w:rFonts w:ascii="Times New Roman" w:hAnsi="Times New Roman" w:cs="Times New Roman"/>
        </w:rPr>
        <w:t xml:space="preserve">, </w:t>
      </w:r>
      <w:r w:rsidRPr="00883413">
        <w:rPr>
          <w:rFonts w:ascii="Times New Roman" w:hAnsi="Times New Roman" w:cs="Times New Roman"/>
          <w:i/>
          <w:iCs/>
        </w:rPr>
        <w:t>25</w:t>
      </w:r>
      <w:r w:rsidRPr="00883413">
        <w:rPr>
          <w:rFonts w:ascii="Times New Roman" w:hAnsi="Times New Roman" w:cs="Times New Roman"/>
        </w:rPr>
        <w:t>(6), A601. https://doi.org/10.1051/ocl/2018045</w:t>
      </w:r>
    </w:p>
    <w:p w14:paraId="3C044B21"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rPr>
      </w:pPr>
      <w:r w:rsidRPr="00883413">
        <w:rPr>
          <w:rFonts w:ascii="Times New Roman" w:hAnsi="Times New Roman" w:cs="Times New Roman"/>
        </w:rPr>
        <w:t xml:space="preserve">Séré, L., </w:t>
      </w:r>
      <w:proofErr w:type="spellStart"/>
      <w:r w:rsidRPr="00883413">
        <w:rPr>
          <w:rFonts w:ascii="Times New Roman" w:hAnsi="Times New Roman" w:cs="Times New Roman"/>
        </w:rPr>
        <w:t>Tiéno</w:t>
      </w:r>
      <w:proofErr w:type="spellEnd"/>
      <w:r w:rsidRPr="00883413">
        <w:rPr>
          <w:rFonts w:ascii="Times New Roman" w:hAnsi="Times New Roman" w:cs="Times New Roman"/>
        </w:rPr>
        <w:t xml:space="preserve">, H., Yanogo, D., Traoré, S., </w:t>
      </w:r>
      <w:proofErr w:type="spellStart"/>
      <w:r w:rsidRPr="00883413">
        <w:rPr>
          <w:rFonts w:ascii="Times New Roman" w:hAnsi="Times New Roman" w:cs="Times New Roman"/>
        </w:rPr>
        <w:t>Nagabila</w:t>
      </w:r>
      <w:proofErr w:type="spellEnd"/>
      <w:r w:rsidRPr="00883413">
        <w:rPr>
          <w:rFonts w:ascii="Times New Roman" w:hAnsi="Times New Roman" w:cs="Times New Roman"/>
        </w:rPr>
        <w:t xml:space="preserve">, Y., Ouédraogo, D. D., &amp; Drabo, Y. J. (2021). Prévalence du Diabète et Facteurs de Risque Cardiovasculaire Associés dans une Population Rurale au Burkina Faso. </w:t>
      </w:r>
      <w:proofErr w:type="spellStart"/>
      <w:r w:rsidRPr="00883413">
        <w:rPr>
          <w:rFonts w:ascii="Times New Roman" w:hAnsi="Times New Roman" w:cs="Times New Roman"/>
          <w:i/>
          <w:iCs/>
        </w:rPr>
        <w:t>Meédecine</w:t>
      </w:r>
      <w:proofErr w:type="spellEnd"/>
      <w:r w:rsidRPr="00883413">
        <w:rPr>
          <w:rFonts w:ascii="Times New Roman" w:hAnsi="Times New Roman" w:cs="Times New Roman"/>
          <w:i/>
          <w:iCs/>
        </w:rPr>
        <w:t xml:space="preserve"> Tropicale et </w:t>
      </w:r>
      <w:proofErr w:type="spellStart"/>
      <w:r w:rsidRPr="00883413">
        <w:rPr>
          <w:rFonts w:ascii="Times New Roman" w:hAnsi="Times New Roman" w:cs="Times New Roman"/>
          <w:i/>
          <w:iCs/>
        </w:rPr>
        <w:t>Santeé</w:t>
      </w:r>
      <w:proofErr w:type="spellEnd"/>
      <w:r w:rsidRPr="00883413">
        <w:rPr>
          <w:rFonts w:ascii="Times New Roman" w:hAnsi="Times New Roman" w:cs="Times New Roman"/>
          <w:i/>
          <w:iCs/>
        </w:rPr>
        <w:t xml:space="preserve"> Internationale</w:t>
      </w:r>
      <w:r w:rsidRPr="00883413">
        <w:rPr>
          <w:rFonts w:ascii="Times New Roman" w:hAnsi="Times New Roman" w:cs="Times New Roman"/>
        </w:rPr>
        <w:t xml:space="preserve">, </w:t>
      </w:r>
      <w:r w:rsidRPr="00883413">
        <w:rPr>
          <w:rFonts w:ascii="Times New Roman" w:hAnsi="Times New Roman" w:cs="Times New Roman"/>
          <w:i/>
          <w:iCs/>
        </w:rPr>
        <w:t>1</w:t>
      </w:r>
      <w:r w:rsidRPr="00883413">
        <w:rPr>
          <w:rFonts w:ascii="Times New Roman" w:hAnsi="Times New Roman" w:cs="Times New Roman"/>
        </w:rPr>
        <w:t>(1), B1J8-7K63. https://doi.org/10.48327/B1J8-7K63</w:t>
      </w:r>
    </w:p>
    <w:p w14:paraId="0BC2F8EC"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lang w:val="en-US"/>
        </w:rPr>
        <w:t xml:space="preserve">Singleton, V. L., RUDOLF ORTHOFER, &amp; ROSA M. LAMUELA-RAVENT6S. (1999). </w:t>
      </w:r>
      <w:r w:rsidRPr="00883413">
        <w:rPr>
          <w:rFonts w:ascii="Times New Roman" w:hAnsi="Times New Roman" w:cs="Times New Roman"/>
          <w:i/>
          <w:iCs/>
          <w:lang w:val="en-US"/>
        </w:rPr>
        <w:t>Analysis of Total Phenols and Other Oxidation Substrates and Antioxidants by Means of Folin-Ciocalteu Reagent</w:t>
      </w:r>
      <w:r w:rsidRPr="00883413">
        <w:rPr>
          <w:rFonts w:ascii="Times New Roman" w:hAnsi="Times New Roman" w:cs="Times New Roman"/>
          <w:lang w:val="en-US"/>
        </w:rPr>
        <w:t>.</w:t>
      </w:r>
    </w:p>
    <w:p w14:paraId="51D43798"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proofErr w:type="spellStart"/>
      <w:r w:rsidRPr="00883413">
        <w:rPr>
          <w:rFonts w:ascii="Times New Roman" w:hAnsi="Times New Roman" w:cs="Times New Roman"/>
        </w:rPr>
        <w:t>Souratié</w:t>
      </w:r>
      <w:proofErr w:type="spellEnd"/>
      <w:r w:rsidRPr="00883413">
        <w:rPr>
          <w:rFonts w:ascii="Times New Roman" w:hAnsi="Times New Roman" w:cs="Times New Roman"/>
        </w:rPr>
        <w:t xml:space="preserve">, A., Dibala, C. I., </w:t>
      </w:r>
      <w:proofErr w:type="spellStart"/>
      <w:r w:rsidRPr="00883413">
        <w:rPr>
          <w:rFonts w:ascii="Times New Roman" w:hAnsi="Times New Roman" w:cs="Times New Roman"/>
        </w:rPr>
        <w:t>Sama</w:t>
      </w:r>
      <w:proofErr w:type="spellEnd"/>
      <w:r w:rsidRPr="00883413">
        <w:rPr>
          <w:rFonts w:ascii="Times New Roman" w:hAnsi="Times New Roman" w:cs="Times New Roman"/>
        </w:rPr>
        <w:t xml:space="preserve">, H., Dakuyo, R., Kaboré, K., Sanou, A., Diao, M., &amp; Dicko, M. H. (2025). </w:t>
      </w:r>
      <w:r w:rsidRPr="00883413">
        <w:rPr>
          <w:rFonts w:ascii="Times New Roman" w:hAnsi="Times New Roman" w:cs="Times New Roman"/>
          <w:lang w:val="en-US"/>
        </w:rPr>
        <w:t xml:space="preserve">Nutritional Properties and Preventive Potential of </w:t>
      </w:r>
      <w:proofErr w:type="spellStart"/>
      <w:r w:rsidRPr="00883413">
        <w:rPr>
          <w:rFonts w:ascii="Times New Roman" w:hAnsi="Times New Roman" w:cs="Times New Roman"/>
          <w:lang w:val="en-US"/>
        </w:rPr>
        <w:t>Leptadenia</w:t>
      </w:r>
      <w:proofErr w:type="spellEnd"/>
      <w:r w:rsidRPr="00883413">
        <w:rPr>
          <w:rFonts w:ascii="Times New Roman" w:hAnsi="Times New Roman" w:cs="Times New Roman"/>
          <w:lang w:val="en-US"/>
        </w:rPr>
        <w:t xml:space="preserve"> hastata (Pers) </w:t>
      </w:r>
      <w:proofErr w:type="spellStart"/>
      <w:r w:rsidRPr="00883413">
        <w:rPr>
          <w:rFonts w:ascii="Times New Roman" w:hAnsi="Times New Roman" w:cs="Times New Roman"/>
          <w:lang w:val="en-US"/>
        </w:rPr>
        <w:t>Decne</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Apocynaceae</w:t>
      </w:r>
      <w:proofErr w:type="spellEnd"/>
      <w:r w:rsidRPr="00883413">
        <w:rPr>
          <w:rFonts w:ascii="Times New Roman" w:hAnsi="Times New Roman" w:cs="Times New Roman"/>
          <w:lang w:val="en-US"/>
        </w:rPr>
        <w:t xml:space="preserve">) Against Metabolic Diseases. </w:t>
      </w:r>
      <w:r w:rsidRPr="00883413">
        <w:rPr>
          <w:rFonts w:ascii="Times New Roman" w:hAnsi="Times New Roman" w:cs="Times New Roman"/>
          <w:i/>
          <w:iCs/>
          <w:lang w:val="en-US"/>
        </w:rPr>
        <w:t>Food Science &amp; Nutrition</w:t>
      </w:r>
      <w:r w:rsidRPr="00883413">
        <w:rPr>
          <w:rFonts w:ascii="Times New Roman" w:hAnsi="Times New Roman" w:cs="Times New Roman"/>
          <w:lang w:val="en-US"/>
        </w:rPr>
        <w:t xml:space="preserve">, </w:t>
      </w:r>
      <w:r w:rsidRPr="00883413">
        <w:rPr>
          <w:rFonts w:ascii="Times New Roman" w:hAnsi="Times New Roman" w:cs="Times New Roman"/>
          <w:i/>
          <w:iCs/>
          <w:lang w:val="en-US"/>
        </w:rPr>
        <w:t>13</w:t>
      </w:r>
      <w:r w:rsidRPr="00883413">
        <w:rPr>
          <w:rFonts w:ascii="Times New Roman" w:hAnsi="Times New Roman" w:cs="Times New Roman"/>
          <w:lang w:val="en-US"/>
        </w:rPr>
        <w:t>(7), e70468. https://doi.org/10.1002/fsn3.70468</w:t>
      </w:r>
    </w:p>
    <w:p w14:paraId="5565B575"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rPr>
      </w:pPr>
      <w:proofErr w:type="spellStart"/>
      <w:r w:rsidRPr="00883413">
        <w:rPr>
          <w:rFonts w:ascii="Times New Roman" w:hAnsi="Times New Roman" w:cs="Times New Roman"/>
        </w:rPr>
        <w:t>Toffalini</w:t>
      </w:r>
      <w:proofErr w:type="spellEnd"/>
      <w:r w:rsidRPr="00883413">
        <w:rPr>
          <w:rFonts w:ascii="Times New Roman" w:hAnsi="Times New Roman" w:cs="Times New Roman"/>
        </w:rPr>
        <w:t xml:space="preserve">, A., </w:t>
      </w:r>
      <w:proofErr w:type="spellStart"/>
      <w:r w:rsidRPr="00883413">
        <w:rPr>
          <w:rFonts w:ascii="Times New Roman" w:hAnsi="Times New Roman" w:cs="Times New Roman"/>
        </w:rPr>
        <w:t>Vigolo</w:t>
      </w:r>
      <w:proofErr w:type="spellEnd"/>
      <w:r w:rsidRPr="00883413">
        <w:rPr>
          <w:rFonts w:ascii="Times New Roman" w:hAnsi="Times New Roman" w:cs="Times New Roman"/>
        </w:rPr>
        <w:t xml:space="preserve">, N., Rolli, N., </w:t>
      </w:r>
      <w:proofErr w:type="spellStart"/>
      <w:r w:rsidRPr="00883413">
        <w:rPr>
          <w:rFonts w:ascii="Times New Roman" w:hAnsi="Times New Roman" w:cs="Times New Roman"/>
        </w:rPr>
        <w:t>Paviati</w:t>
      </w:r>
      <w:proofErr w:type="spellEnd"/>
      <w:r w:rsidRPr="00883413">
        <w:rPr>
          <w:rFonts w:ascii="Times New Roman" w:hAnsi="Times New Roman" w:cs="Times New Roman"/>
        </w:rPr>
        <w:t xml:space="preserve">, E., </w:t>
      </w:r>
      <w:proofErr w:type="spellStart"/>
      <w:r w:rsidRPr="00883413">
        <w:rPr>
          <w:rFonts w:ascii="Times New Roman" w:hAnsi="Times New Roman" w:cs="Times New Roman"/>
        </w:rPr>
        <w:t>Gelati</w:t>
      </w:r>
      <w:proofErr w:type="spellEnd"/>
      <w:r w:rsidRPr="00883413">
        <w:rPr>
          <w:rFonts w:ascii="Times New Roman" w:hAnsi="Times New Roman" w:cs="Times New Roman"/>
        </w:rPr>
        <w:t xml:space="preserve">, M., Danese, E., &amp; </w:t>
      </w:r>
      <w:proofErr w:type="spellStart"/>
      <w:r w:rsidRPr="00883413">
        <w:rPr>
          <w:rFonts w:ascii="Times New Roman" w:hAnsi="Times New Roman" w:cs="Times New Roman"/>
        </w:rPr>
        <w:t>Zoppini</w:t>
      </w:r>
      <w:proofErr w:type="spellEnd"/>
      <w:r w:rsidRPr="00883413">
        <w:rPr>
          <w:rFonts w:ascii="Times New Roman" w:hAnsi="Times New Roman" w:cs="Times New Roman"/>
        </w:rPr>
        <w:t xml:space="preserve">, G. (2025). </w:t>
      </w:r>
      <w:r w:rsidRPr="00883413">
        <w:rPr>
          <w:rFonts w:ascii="Times New Roman" w:hAnsi="Times New Roman" w:cs="Times New Roman"/>
          <w:lang w:val="en-US"/>
        </w:rPr>
        <w:t xml:space="preserve">Association of low vitamin C concentrations and low consumption of fresh fruit and vegetables with cardiovascular disease in type 2 diabetes. </w:t>
      </w:r>
      <w:r w:rsidRPr="00883413">
        <w:rPr>
          <w:rFonts w:ascii="Times New Roman" w:hAnsi="Times New Roman" w:cs="Times New Roman"/>
          <w:i/>
          <w:iCs/>
        </w:rPr>
        <w:t>BMC Nutrition</w:t>
      </w:r>
      <w:r w:rsidRPr="00883413">
        <w:rPr>
          <w:rFonts w:ascii="Times New Roman" w:hAnsi="Times New Roman" w:cs="Times New Roman"/>
        </w:rPr>
        <w:t xml:space="preserve">, </w:t>
      </w:r>
      <w:r w:rsidRPr="00883413">
        <w:rPr>
          <w:rFonts w:ascii="Times New Roman" w:hAnsi="Times New Roman" w:cs="Times New Roman"/>
          <w:i/>
          <w:iCs/>
        </w:rPr>
        <w:t>11</w:t>
      </w:r>
      <w:r w:rsidRPr="00883413">
        <w:rPr>
          <w:rFonts w:ascii="Times New Roman" w:hAnsi="Times New Roman" w:cs="Times New Roman"/>
        </w:rPr>
        <w:t>(1), 68. https://doi.org/10.1186/s40795-025-01049-7</w:t>
      </w:r>
    </w:p>
    <w:p w14:paraId="39EF3148"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rPr>
        <w:t xml:space="preserve">Velázquez, E., Tournier, H. A., </w:t>
      </w:r>
      <w:proofErr w:type="spellStart"/>
      <w:r w:rsidRPr="00883413">
        <w:rPr>
          <w:rFonts w:ascii="Times New Roman" w:hAnsi="Times New Roman" w:cs="Times New Roman"/>
        </w:rPr>
        <w:t>Mordujovich</w:t>
      </w:r>
      <w:proofErr w:type="spellEnd"/>
      <w:r w:rsidRPr="00883413">
        <w:rPr>
          <w:rFonts w:ascii="Times New Roman" w:hAnsi="Times New Roman" w:cs="Times New Roman"/>
        </w:rPr>
        <w:t xml:space="preserve"> de Buschiazzo, P., Saavedra, G., &amp; Schinella, G. R. (2003). </w:t>
      </w:r>
      <w:r w:rsidRPr="00883413">
        <w:rPr>
          <w:rFonts w:ascii="Times New Roman" w:hAnsi="Times New Roman" w:cs="Times New Roman"/>
          <w:lang w:val="en-US"/>
        </w:rPr>
        <w:t xml:space="preserve">Antioxidant activity of Paraguayan plant extracts. </w:t>
      </w:r>
      <w:proofErr w:type="spellStart"/>
      <w:r w:rsidRPr="00883413">
        <w:rPr>
          <w:rFonts w:ascii="Times New Roman" w:hAnsi="Times New Roman" w:cs="Times New Roman"/>
          <w:i/>
          <w:iCs/>
          <w:lang w:val="en-US"/>
        </w:rPr>
        <w:t>Fitoterapia</w:t>
      </w:r>
      <w:proofErr w:type="spellEnd"/>
      <w:r w:rsidRPr="00883413">
        <w:rPr>
          <w:rFonts w:ascii="Times New Roman" w:hAnsi="Times New Roman" w:cs="Times New Roman"/>
          <w:lang w:val="en-US"/>
        </w:rPr>
        <w:t xml:space="preserve">, </w:t>
      </w:r>
      <w:r w:rsidRPr="00883413">
        <w:rPr>
          <w:rFonts w:ascii="Times New Roman" w:hAnsi="Times New Roman" w:cs="Times New Roman"/>
          <w:i/>
          <w:iCs/>
          <w:lang w:val="en-US"/>
        </w:rPr>
        <w:t>74</w:t>
      </w:r>
      <w:r w:rsidRPr="00883413">
        <w:rPr>
          <w:rFonts w:ascii="Times New Roman" w:hAnsi="Times New Roman" w:cs="Times New Roman"/>
          <w:lang w:val="en-US"/>
        </w:rPr>
        <w:t>(1), 91‑97. https://doi.org/10.1016/S0367-326X(02)00293-9</w:t>
      </w:r>
    </w:p>
    <w:p w14:paraId="28426096"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lang w:val="en-US"/>
        </w:rPr>
        <w:t xml:space="preserve">Wang, H., Chen, Y., Wang, L., Liu, Q., Yang, S., &amp; Wang, C. (2023). Advancing herbal </w:t>
      </w:r>
      <w:proofErr w:type="gramStart"/>
      <w:r w:rsidRPr="00883413">
        <w:rPr>
          <w:rFonts w:ascii="Times New Roman" w:hAnsi="Times New Roman" w:cs="Times New Roman"/>
          <w:lang w:val="en-US"/>
        </w:rPr>
        <w:t>medicine :</w:t>
      </w:r>
      <w:proofErr w:type="gramEnd"/>
      <w:r w:rsidRPr="00883413">
        <w:rPr>
          <w:rFonts w:ascii="Times New Roman" w:hAnsi="Times New Roman" w:cs="Times New Roman"/>
          <w:lang w:val="en-US"/>
        </w:rPr>
        <w:t xml:space="preserve"> Enhancing product quality and safety through robust quality control practices. </w:t>
      </w:r>
      <w:r w:rsidRPr="00883413">
        <w:rPr>
          <w:rFonts w:ascii="Times New Roman" w:hAnsi="Times New Roman" w:cs="Times New Roman"/>
          <w:i/>
          <w:iCs/>
          <w:lang w:val="en-US"/>
        </w:rPr>
        <w:t>Frontiers in Pharmacology</w:t>
      </w:r>
      <w:r w:rsidRPr="00883413">
        <w:rPr>
          <w:rFonts w:ascii="Times New Roman" w:hAnsi="Times New Roman" w:cs="Times New Roman"/>
          <w:lang w:val="en-US"/>
        </w:rPr>
        <w:t xml:space="preserve">, </w:t>
      </w:r>
      <w:r w:rsidRPr="00883413">
        <w:rPr>
          <w:rFonts w:ascii="Times New Roman" w:hAnsi="Times New Roman" w:cs="Times New Roman"/>
          <w:i/>
          <w:iCs/>
          <w:lang w:val="en-US"/>
        </w:rPr>
        <w:t>14</w:t>
      </w:r>
      <w:r w:rsidRPr="00883413">
        <w:rPr>
          <w:rFonts w:ascii="Times New Roman" w:hAnsi="Times New Roman" w:cs="Times New Roman"/>
          <w:lang w:val="en-US"/>
        </w:rPr>
        <w:t>, 1265178. https://doi.org/10.3389/fphar.2023.1265178</w:t>
      </w:r>
    </w:p>
    <w:p w14:paraId="158034A2"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proofErr w:type="spellStart"/>
      <w:r w:rsidRPr="00883413">
        <w:rPr>
          <w:rFonts w:ascii="Times New Roman" w:hAnsi="Times New Roman" w:cs="Times New Roman"/>
          <w:lang w:val="en-US"/>
        </w:rPr>
        <w:t>Yameny</w:t>
      </w:r>
      <w:proofErr w:type="spellEnd"/>
      <w:r w:rsidRPr="00883413">
        <w:rPr>
          <w:rFonts w:ascii="Times New Roman" w:hAnsi="Times New Roman" w:cs="Times New Roman"/>
          <w:lang w:val="en-US"/>
        </w:rPr>
        <w:t xml:space="preserve">, A. A. (2025). Diabetes </w:t>
      </w:r>
      <w:proofErr w:type="gramStart"/>
      <w:r w:rsidRPr="00883413">
        <w:rPr>
          <w:rFonts w:ascii="Times New Roman" w:hAnsi="Times New Roman" w:cs="Times New Roman"/>
          <w:lang w:val="en-US"/>
        </w:rPr>
        <w:t>Mellitus :</w:t>
      </w:r>
      <w:proofErr w:type="gramEnd"/>
      <w:r w:rsidRPr="00883413">
        <w:rPr>
          <w:rFonts w:ascii="Times New Roman" w:hAnsi="Times New Roman" w:cs="Times New Roman"/>
          <w:lang w:val="en-US"/>
        </w:rPr>
        <w:t xml:space="preserve"> A Comprehensive Review of Types, Pathophysiology, Complications, and Standards of Care in Diabetes 2025. </w:t>
      </w:r>
      <w:r w:rsidRPr="00883413">
        <w:rPr>
          <w:rFonts w:ascii="Times New Roman" w:hAnsi="Times New Roman" w:cs="Times New Roman"/>
          <w:i/>
          <w:iCs/>
          <w:lang w:val="en-US"/>
        </w:rPr>
        <w:t>Journal of Medical and Life Science</w:t>
      </w:r>
      <w:r w:rsidRPr="00883413">
        <w:rPr>
          <w:rFonts w:ascii="Times New Roman" w:hAnsi="Times New Roman" w:cs="Times New Roman"/>
          <w:lang w:val="en-US"/>
        </w:rPr>
        <w:t xml:space="preserve">, </w:t>
      </w:r>
      <w:r w:rsidRPr="00883413">
        <w:rPr>
          <w:rFonts w:ascii="Times New Roman" w:hAnsi="Times New Roman" w:cs="Times New Roman"/>
          <w:i/>
          <w:iCs/>
          <w:lang w:val="en-US"/>
        </w:rPr>
        <w:t>7</w:t>
      </w:r>
      <w:r w:rsidRPr="00883413">
        <w:rPr>
          <w:rFonts w:ascii="Times New Roman" w:hAnsi="Times New Roman" w:cs="Times New Roman"/>
          <w:lang w:val="en-US"/>
        </w:rPr>
        <w:t>(1), 134‑141. https://doi.org/10.21608/jmals.2025.424001</w:t>
      </w:r>
    </w:p>
    <w:p w14:paraId="726FF208" w14:textId="77777777" w:rsidR="00950B1B" w:rsidRPr="00883413" w:rsidRDefault="00950B1B" w:rsidP="00B80458">
      <w:pPr>
        <w:pStyle w:val="Bibliography"/>
        <w:numPr>
          <w:ilvl w:val="0"/>
          <w:numId w:val="1"/>
        </w:numPr>
        <w:spacing w:after="0" w:line="360" w:lineRule="auto"/>
        <w:jc w:val="both"/>
        <w:rPr>
          <w:rFonts w:ascii="Times New Roman" w:hAnsi="Times New Roman" w:cs="Times New Roman"/>
          <w:lang w:val="en-US"/>
        </w:rPr>
      </w:pPr>
      <w:r w:rsidRPr="00883413">
        <w:rPr>
          <w:rFonts w:ascii="Times New Roman" w:hAnsi="Times New Roman" w:cs="Times New Roman"/>
          <w:lang w:val="en-US"/>
        </w:rPr>
        <w:t xml:space="preserve">Zongo, E., Busuioc, A., Meda, R. N.-T., Botezatu, A. V., Mihaila, M. D., Mocanu, A.-M., Avramescu, S. M., Koama, B. K., Kam, S. E., Belem, H., Somda, F. L. S., </w:t>
      </w:r>
      <w:r w:rsidRPr="00883413">
        <w:rPr>
          <w:rFonts w:ascii="Times New Roman" w:hAnsi="Times New Roman" w:cs="Times New Roman"/>
          <w:lang w:val="en-US"/>
        </w:rPr>
        <w:lastRenderedPageBreak/>
        <w:t xml:space="preserve">Ouedraogo, C., Ouedraogo, G. A., &amp; </w:t>
      </w:r>
      <w:proofErr w:type="spellStart"/>
      <w:r w:rsidRPr="00883413">
        <w:rPr>
          <w:rFonts w:ascii="Times New Roman" w:hAnsi="Times New Roman" w:cs="Times New Roman"/>
          <w:lang w:val="en-US"/>
        </w:rPr>
        <w:t>Dinica</w:t>
      </w:r>
      <w:proofErr w:type="spellEnd"/>
      <w:r w:rsidRPr="00883413">
        <w:rPr>
          <w:rFonts w:ascii="Times New Roman" w:hAnsi="Times New Roman" w:cs="Times New Roman"/>
          <w:lang w:val="en-US"/>
        </w:rPr>
        <w:t xml:space="preserve">, R. M. (2023a). Exploration of the Antioxidant and Anti-inflammatory Potential of Cassia </w:t>
      </w:r>
      <w:proofErr w:type="spellStart"/>
      <w:r w:rsidRPr="00883413">
        <w:rPr>
          <w:rFonts w:ascii="Times New Roman" w:hAnsi="Times New Roman" w:cs="Times New Roman"/>
          <w:lang w:val="en-US"/>
        </w:rPr>
        <w:t>sieberiana</w:t>
      </w:r>
      <w:proofErr w:type="spellEnd"/>
      <w:r w:rsidRPr="00883413">
        <w:rPr>
          <w:rFonts w:ascii="Times New Roman" w:hAnsi="Times New Roman" w:cs="Times New Roman"/>
          <w:lang w:val="en-US"/>
        </w:rPr>
        <w:t xml:space="preserve"> DC and </w:t>
      </w:r>
      <w:proofErr w:type="spellStart"/>
      <w:r w:rsidRPr="00883413">
        <w:rPr>
          <w:rFonts w:ascii="Times New Roman" w:hAnsi="Times New Roman" w:cs="Times New Roman"/>
          <w:lang w:val="en-US"/>
        </w:rPr>
        <w:t>Piliostigma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thonningii</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Schumach</w:t>
      </w:r>
      <w:proofErr w:type="spellEnd"/>
      <w:r w:rsidRPr="00883413">
        <w:rPr>
          <w:rFonts w:ascii="Times New Roman" w:hAnsi="Times New Roman" w:cs="Times New Roman"/>
          <w:lang w:val="en-US"/>
        </w:rPr>
        <w:t>.) Milne-</w:t>
      </w:r>
      <w:proofErr w:type="spellStart"/>
      <w:r w:rsidRPr="00883413">
        <w:rPr>
          <w:rFonts w:ascii="Times New Roman" w:hAnsi="Times New Roman" w:cs="Times New Roman"/>
          <w:lang w:val="en-US"/>
        </w:rPr>
        <w:t>Redh</w:t>
      </w:r>
      <w:proofErr w:type="spellEnd"/>
      <w:r w:rsidRPr="00883413">
        <w:rPr>
          <w:rFonts w:ascii="Times New Roman" w:hAnsi="Times New Roman" w:cs="Times New Roman"/>
          <w:lang w:val="en-US"/>
        </w:rPr>
        <w:t>, Traditionally Used in the Treatment of Hepatitis in the Hauts-</w:t>
      </w:r>
      <w:proofErr w:type="spellStart"/>
      <w:r w:rsidRPr="00883413">
        <w:rPr>
          <w:rFonts w:ascii="Times New Roman" w:hAnsi="Times New Roman" w:cs="Times New Roman"/>
          <w:lang w:val="en-US"/>
        </w:rPr>
        <w:t>Bassins</w:t>
      </w:r>
      <w:proofErr w:type="spellEnd"/>
      <w:r w:rsidRPr="00883413">
        <w:rPr>
          <w:rFonts w:ascii="Times New Roman" w:hAnsi="Times New Roman" w:cs="Times New Roman"/>
          <w:lang w:val="en-US"/>
        </w:rPr>
        <w:t xml:space="preserve"> Region of Burkina Faso. </w:t>
      </w:r>
      <w:r w:rsidRPr="00883413">
        <w:rPr>
          <w:rFonts w:ascii="Times New Roman" w:hAnsi="Times New Roman" w:cs="Times New Roman"/>
          <w:i/>
          <w:iCs/>
          <w:lang w:val="en-US"/>
        </w:rPr>
        <w:t>Pharmaceuticals</w:t>
      </w:r>
      <w:r w:rsidRPr="00883413">
        <w:rPr>
          <w:rFonts w:ascii="Times New Roman" w:hAnsi="Times New Roman" w:cs="Times New Roman"/>
          <w:lang w:val="en-US"/>
        </w:rPr>
        <w:t xml:space="preserve">, </w:t>
      </w:r>
      <w:r w:rsidRPr="00883413">
        <w:rPr>
          <w:rFonts w:ascii="Times New Roman" w:hAnsi="Times New Roman" w:cs="Times New Roman"/>
          <w:i/>
          <w:iCs/>
          <w:lang w:val="en-US"/>
        </w:rPr>
        <w:t>16</w:t>
      </w:r>
      <w:r w:rsidRPr="00883413">
        <w:rPr>
          <w:rFonts w:ascii="Times New Roman" w:hAnsi="Times New Roman" w:cs="Times New Roman"/>
          <w:lang w:val="en-US"/>
        </w:rPr>
        <w:t>(1), 133. https://doi.org/10.3390/ph16010133</w:t>
      </w:r>
    </w:p>
    <w:p w14:paraId="753320DE" w14:textId="472A666B" w:rsidR="00786220" w:rsidRPr="00883413" w:rsidRDefault="00950B1B" w:rsidP="00B80458">
      <w:pPr>
        <w:pStyle w:val="ListParagraph"/>
        <w:numPr>
          <w:ilvl w:val="0"/>
          <w:numId w:val="3"/>
        </w:numPr>
        <w:spacing w:before="240" w:line="360" w:lineRule="auto"/>
        <w:jc w:val="both"/>
        <w:rPr>
          <w:rFonts w:ascii="Times New Roman" w:hAnsi="Times New Roman" w:cs="Times New Roman"/>
          <w:lang w:val="en-US"/>
        </w:rPr>
      </w:pPr>
      <w:r w:rsidRPr="00883413">
        <w:rPr>
          <w:rFonts w:ascii="Times New Roman" w:hAnsi="Times New Roman" w:cs="Times New Roman"/>
          <w:lang w:val="en-US"/>
        </w:rPr>
        <w:t xml:space="preserve">Zongo, E., Busuioc, A., Meda, R. N.-T., Botezatu, A. V., Mihaila, M. D., Mocanu, A.-M., Avramescu, S. M., Koama, B. K., Kam, S. E., Belem, H., Somda, F. L. S., Ouedraogo, C., Ouedraogo, G. A., &amp; </w:t>
      </w:r>
      <w:proofErr w:type="spellStart"/>
      <w:r w:rsidRPr="00883413">
        <w:rPr>
          <w:rFonts w:ascii="Times New Roman" w:hAnsi="Times New Roman" w:cs="Times New Roman"/>
          <w:lang w:val="en-US"/>
        </w:rPr>
        <w:t>Dinica</w:t>
      </w:r>
      <w:proofErr w:type="spellEnd"/>
      <w:r w:rsidRPr="00883413">
        <w:rPr>
          <w:rFonts w:ascii="Times New Roman" w:hAnsi="Times New Roman" w:cs="Times New Roman"/>
          <w:lang w:val="en-US"/>
        </w:rPr>
        <w:t xml:space="preserve">, R. M. (2023b). Exploration of the Antioxidant and Anti-inflammatory Potential of Cassia </w:t>
      </w:r>
      <w:proofErr w:type="spellStart"/>
      <w:r w:rsidRPr="00883413">
        <w:rPr>
          <w:rFonts w:ascii="Times New Roman" w:hAnsi="Times New Roman" w:cs="Times New Roman"/>
          <w:lang w:val="en-US"/>
        </w:rPr>
        <w:t>sieberiana</w:t>
      </w:r>
      <w:proofErr w:type="spellEnd"/>
      <w:r w:rsidRPr="00883413">
        <w:rPr>
          <w:rFonts w:ascii="Times New Roman" w:hAnsi="Times New Roman" w:cs="Times New Roman"/>
          <w:lang w:val="en-US"/>
        </w:rPr>
        <w:t xml:space="preserve"> DC and </w:t>
      </w:r>
      <w:proofErr w:type="spellStart"/>
      <w:r w:rsidRPr="00883413">
        <w:rPr>
          <w:rFonts w:ascii="Times New Roman" w:hAnsi="Times New Roman" w:cs="Times New Roman"/>
          <w:lang w:val="en-US"/>
        </w:rPr>
        <w:t>Piliostigma</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thonningii</w:t>
      </w:r>
      <w:proofErr w:type="spellEnd"/>
      <w:r w:rsidRPr="00883413">
        <w:rPr>
          <w:rFonts w:ascii="Times New Roman" w:hAnsi="Times New Roman" w:cs="Times New Roman"/>
          <w:lang w:val="en-US"/>
        </w:rPr>
        <w:t xml:space="preserve"> (</w:t>
      </w:r>
      <w:proofErr w:type="spellStart"/>
      <w:r w:rsidRPr="00883413">
        <w:rPr>
          <w:rFonts w:ascii="Times New Roman" w:hAnsi="Times New Roman" w:cs="Times New Roman"/>
          <w:lang w:val="en-US"/>
        </w:rPr>
        <w:t>Schumach</w:t>
      </w:r>
      <w:proofErr w:type="spellEnd"/>
      <w:r w:rsidRPr="00883413">
        <w:rPr>
          <w:rFonts w:ascii="Times New Roman" w:hAnsi="Times New Roman" w:cs="Times New Roman"/>
          <w:lang w:val="en-US"/>
        </w:rPr>
        <w:t>.) Milne-</w:t>
      </w:r>
      <w:proofErr w:type="spellStart"/>
      <w:r w:rsidRPr="00883413">
        <w:rPr>
          <w:rFonts w:ascii="Times New Roman" w:hAnsi="Times New Roman" w:cs="Times New Roman"/>
          <w:lang w:val="en-US"/>
        </w:rPr>
        <w:t>Redh</w:t>
      </w:r>
      <w:proofErr w:type="spellEnd"/>
      <w:r w:rsidRPr="00883413">
        <w:rPr>
          <w:rFonts w:ascii="Times New Roman" w:hAnsi="Times New Roman" w:cs="Times New Roman"/>
          <w:lang w:val="en-US"/>
        </w:rPr>
        <w:t>, Traditionally Used in the Treatment of Hepatitis in the Hauts-</w:t>
      </w:r>
      <w:proofErr w:type="spellStart"/>
      <w:r w:rsidRPr="00883413">
        <w:rPr>
          <w:rFonts w:ascii="Times New Roman" w:hAnsi="Times New Roman" w:cs="Times New Roman"/>
          <w:lang w:val="en-US"/>
        </w:rPr>
        <w:t>Bassins</w:t>
      </w:r>
      <w:proofErr w:type="spellEnd"/>
      <w:r w:rsidRPr="00883413">
        <w:rPr>
          <w:rFonts w:ascii="Times New Roman" w:hAnsi="Times New Roman" w:cs="Times New Roman"/>
          <w:lang w:val="en-US"/>
        </w:rPr>
        <w:t xml:space="preserve"> Region of Burkina Faso. </w:t>
      </w:r>
      <w:r w:rsidRPr="00883413">
        <w:rPr>
          <w:rFonts w:ascii="Times New Roman" w:hAnsi="Times New Roman" w:cs="Times New Roman"/>
          <w:i/>
          <w:iCs/>
        </w:rPr>
        <w:t>Pharmaceuticals</w:t>
      </w:r>
      <w:r w:rsidRPr="00883413">
        <w:rPr>
          <w:rFonts w:ascii="Times New Roman" w:hAnsi="Times New Roman" w:cs="Times New Roman"/>
        </w:rPr>
        <w:t xml:space="preserve">, </w:t>
      </w:r>
      <w:r w:rsidRPr="00883413">
        <w:rPr>
          <w:rFonts w:ascii="Times New Roman" w:hAnsi="Times New Roman" w:cs="Times New Roman"/>
          <w:i/>
          <w:iCs/>
        </w:rPr>
        <w:t>16</w:t>
      </w:r>
      <w:r w:rsidRPr="00883413">
        <w:rPr>
          <w:rFonts w:ascii="Times New Roman" w:hAnsi="Times New Roman" w:cs="Times New Roman"/>
        </w:rPr>
        <w:t>(1), 133.</w:t>
      </w:r>
    </w:p>
    <w:p w14:paraId="6C47E5B2" w14:textId="77777777" w:rsidR="002A25E2" w:rsidRPr="00883413" w:rsidRDefault="002A25E2" w:rsidP="00B80458">
      <w:pPr>
        <w:spacing w:before="240" w:line="360" w:lineRule="auto"/>
        <w:jc w:val="both"/>
        <w:rPr>
          <w:rFonts w:ascii="Times New Roman" w:hAnsi="Times New Roman" w:cs="Times New Roman"/>
          <w:lang w:val="en-US"/>
        </w:rPr>
      </w:pPr>
    </w:p>
    <w:p w14:paraId="7DC41DD3" w14:textId="77777777" w:rsidR="002A25E2" w:rsidRPr="00883413" w:rsidRDefault="002A25E2" w:rsidP="00B80458">
      <w:pPr>
        <w:spacing w:before="240" w:line="360" w:lineRule="auto"/>
        <w:jc w:val="both"/>
        <w:rPr>
          <w:rFonts w:ascii="Times New Roman" w:hAnsi="Times New Roman" w:cs="Times New Roman"/>
          <w:lang w:val="en-US"/>
        </w:rPr>
      </w:pPr>
    </w:p>
    <w:p w14:paraId="62DD1134" w14:textId="77777777" w:rsidR="002A25E2" w:rsidRPr="00883413" w:rsidRDefault="002A25E2" w:rsidP="00B80458">
      <w:pPr>
        <w:spacing w:before="240" w:line="360" w:lineRule="auto"/>
        <w:jc w:val="both"/>
        <w:rPr>
          <w:rFonts w:ascii="Times New Roman" w:hAnsi="Times New Roman" w:cs="Times New Roman"/>
          <w:lang w:val="en-US"/>
        </w:rPr>
      </w:pPr>
    </w:p>
    <w:p w14:paraId="51C8BDF9" w14:textId="77777777" w:rsidR="004747E0" w:rsidRPr="00883413" w:rsidRDefault="004747E0" w:rsidP="00B80458">
      <w:pPr>
        <w:spacing w:before="240" w:line="360" w:lineRule="auto"/>
        <w:jc w:val="both"/>
        <w:rPr>
          <w:rFonts w:ascii="Times New Roman" w:hAnsi="Times New Roman" w:cs="Times New Roman"/>
          <w:lang w:val="en-US"/>
        </w:rPr>
      </w:pPr>
    </w:p>
    <w:p w14:paraId="300CE4F6" w14:textId="77777777" w:rsidR="004747E0" w:rsidRPr="00883413" w:rsidRDefault="004747E0" w:rsidP="00B80458">
      <w:pPr>
        <w:spacing w:before="240" w:line="360" w:lineRule="auto"/>
        <w:jc w:val="both"/>
        <w:rPr>
          <w:rFonts w:ascii="Times New Roman" w:hAnsi="Times New Roman" w:cs="Times New Roman"/>
          <w:lang w:val="en-US"/>
        </w:rPr>
      </w:pPr>
    </w:p>
    <w:p w14:paraId="57C49655" w14:textId="77777777" w:rsidR="004747E0" w:rsidRPr="00883413" w:rsidRDefault="004747E0" w:rsidP="00B80458">
      <w:pPr>
        <w:spacing w:before="240" w:line="360" w:lineRule="auto"/>
        <w:jc w:val="both"/>
        <w:rPr>
          <w:rFonts w:ascii="Times New Roman" w:hAnsi="Times New Roman" w:cs="Times New Roman"/>
          <w:lang w:val="en-US"/>
        </w:rPr>
      </w:pPr>
    </w:p>
    <w:p w14:paraId="070BA6F9" w14:textId="77777777" w:rsidR="004747E0" w:rsidRPr="00883413" w:rsidRDefault="004747E0" w:rsidP="00B80458">
      <w:pPr>
        <w:spacing w:before="240" w:line="360" w:lineRule="auto"/>
        <w:jc w:val="both"/>
        <w:rPr>
          <w:rFonts w:ascii="Times New Roman" w:hAnsi="Times New Roman" w:cs="Times New Roman"/>
          <w:lang w:val="en-US"/>
        </w:rPr>
      </w:pPr>
    </w:p>
    <w:p w14:paraId="4774ED9C" w14:textId="77777777" w:rsidR="00322208" w:rsidRPr="00883413" w:rsidRDefault="00322208" w:rsidP="00B80458">
      <w:pPr>
        <w:spacing w:before="240" w:line="360" w:lineRule="auto"/>
        <w:jc w:val="both"/>
        <w:rPr>
          <w:rFonts w:ascii="Times New Roman" w:hAnsi="Times New Roman" w:cs="Times New Roman"/>
          <w:lang w:val="en-US"/>
        </w:rPr>
      </w:pPr>
    </w:p>
    <w:p w14:paraId="1AFBB8E6" w14:textId="77777777" w:rsidR="00322208" w:rsidRPr="00883413" w:rsidRDefault="00322208" w:rsidP="00B80458">
      <w:pPr>
        <w:spacing w:before="240" w:line="360" w:lineRule="auto"/>
        <w:jc w:val="both"/>
        <w:rPr>
          <w:rFonts w:ascii="Times New Roman" w:hAnsi="Times New Roman" w:cs="Times New Roman"/>
          <w:lang w:val="en-US"/>
        </w:rPr>
      </w:pPr>
    </w:p>
    <w:p w14:paraId="7835366C" w14:textId="77777777" w:rsidR="00322208" w:rsidRPr="00883413" w:rsidRDefault="00322208" w:rsidP="00B80458">
      <w:pPr>
        <w:spacing w:before="240" w:line="360" w:lineRule="auto"/>
        <w:jc w:val="both"/>
        <w:rPr>
          <w:rFonts w:ascii="Times New Roman" w:hAnsi="Times New Roman" w:cs="Times New Roman"/>
          <w:lang w:val="en-US"/>
        </w:rPr>
      </w:pPr>
    </w:p>
    <w:p w14:paraId="3EF3A433" w14:textId="77777777" w:rsidR="008C25C1" w:rsidRPr="00883413" w:rsidRDefault="008C25C1" w:rsidP="00B80458">
      <w:pPr>
        <w:spacing w:before="240" w:line="360" w:lineRule="auto"/>
        <w:jc w:val="both"/>
        <w:rPr>
          <w:rFonts w:ascii="Times New Roman" w:hAnsi="Times New Roman" w:cs="Times New Roman"/>
          <w:lang w:val="en-US"/>
        </w:rPr>
      </w:pPr>
    </w:p>
    <w:p w14:paraId="599ADC75" w14:textId="77777777" w:rsidR="008C25C1" w:rsidRPr="00883413" w:rsidRDefault="008C25C1" w:rsidP="00B80458">
      <w:pPr>
        <w:spacing w:line="360" w:lineRule="auto"/>
        <w:jc w:val="both"/>
        <w:rPr>
          <w:rFonts w:ascii="Times New Roman" w:eastAsiaTheme="minorEastAsia" w:hAnsi="Times New Roman" w:cs="Times New Roman"/>
          <w:lang w:val="en-US"/>
        </w:rPr>
      </w:pPr>
    </w:p>
    <w:p w14:paraId="67F10A75" w14:textId="77777777" w:rsidR="008C25C1" w:rsidRPr="00883413" w:rsidRDefault="008C25C1" w:rsidP="00B80458">
      <w:pPr>
        <w:spacing w:line="360" w:lineRule="auto"/>
        <w:jc w:val="both"/>
        <w:rPr>
          <w:rFonts w:ascii="Times New Roman" w:eastAsiaTheme="minorEastAsia" w:hAnsi="Times New Roman" w:cs="Times New Roman"/>
          <w:lang w:val="en-US"/>
        </w:rPr>
      </w:pPr>
    </w:p>
    <w:p w14:paraId="5B4BAC73" w14:textId="77777777" w:rsidR="008C25C1" w:rsidRPr="00883413" w:rsidRDefault="008C25C1" w:rsidP="00B80458">
      <w:pPr>
        <w:spacing w:line="360" w:lineRule="auto"/>
        <w:jc w:val="both"/>
        <w:rPr>
          <w:rFonts w:ascii="Times New Roman" w:eastAsiaTheme="minorEastAsia" w:hAnsi="Times New Roman" w:cs="Times New Roman"/>
          <w:lang w:val="en-US"/>
        </w:rPr>
      </w:pPr>
    </w:p>
    <w:p w14:paraId="4BD506D4" w14:textId="77777777" w:rsidR="008C25C1" w:rsidRPr="00883413" w:rsidRDefault="008C25C1" w:rsidP="00B80458">
      <w:pPr>
        <w:spacing w:line="360" w:lineRule="auto"/>
        <w:jc w:val="both"/>
        <w:rPr>
          <w:rFonts w:ascii="Times New Roman" w:eastAsiaTheme="minorEastAsia" w:hAnsi="Times New Roman" w:cs="Times New Roman"/>
          <w:lang w:val="en-US"/>
        </w:rPr>
      </w:pPr>
    </w:p>
    <w:p w14:paraId="2A9B65FC" w14:textId="77777777" w:rsidR="00443739" w:rsidRPr="00883413" w:rsidRDefault="00443739" w:rsidP="00B80458">
      <w:pPr>
        <w:spacing w:line="360" w:lineRule="auto"/>
        <w:jc w:val="both"/>
        <w:rPr>
          <w:rFonts w:ascii="Times New Roman" w:eastAsiaTheme="minorEastAsia" w:hAnsi="Times New Roman" w:cs="Times New Roman"/>
          <w:lang w:val="en-US"/>
        </w:rPr>
      </w:pPr>
    </w:p>
    <w:p w14:paraId="37012405" w14:textId="77777777" w:rsidR="00443739" w:rsidRPr="00883413" w:rsidRDefault="00443739" w:rsidP="00B80458">
      <w:pPr>
        <w:spacing w:line="360" w:lineRule="auto"/>
        <w:jc w:val="both"/>
        <w:rPr>
          <w:rFonts w:ascii="Times New Roman" w:eastAsiaTheme="minorEastAsia" w:hAnsi="Times New Roman" w:cs="Times New Roman"/>
          <w:lang w:val="en-US"/>
        </w:rPr>
      </w:pPr>
    </w:p>
    <w:p w14:paraId="25AE08C5" w14:textId="77777777" w:rsidR="00443739" w:rsidRPr="00883413" w:rsidRDefault="00443739" w:rsidP="00B80458">
      <w:pPr>
        <w:spacing w:line="360" w:lineRule="auto"/>
        <w:jc w:val="both"/>
        <w:rPr>
          <w:rFonts w:ascii="Times New Roman" w:eastAsiaTheme="minorEastAsia" w:hAnsi="Times New Roman" w:cs="Times New Roman"/>
          <w:lang w:val="en-US"/>
        </w:rPr>
      </w:pPr>
    </w:p>
    <w:bookmarkEnd w:id="0"/>
    <w:p w14:paraId="0B4E885E" w14:textId="77777777" w:rsidR="00443739" w:rsidRPr="00883413" w:rsidRDefault="00443739" w:rsidP="00B80458">
      <w:pPr>
        <w:spacing w:line="360" w:lineRule="auto"/>
        <w:jc w:val="both"/>
        <w:rPr>
          <w:rFonts w:ascii="Times New Roman" w:eastAsiaTheme="minorEastAsia" w:hAnsi="Times New Roman" w:cs="Times New Roman"/>
          <w:lang w:val="en-US"/>
        </w:rPr>
      </w:pPr>
    </w:p>
    <w:p w14:paraId="7322CACF" w14:textId="77777777" w:rsidR="00443739" w:rsidRPr="00883413" w:rsidRDefault="00443739" w:rsidP="00B80458">
      <w:pPr>
        <w:spacing w:line="360" w:lineRule="auto"/>
        <w:jc w:val="both"/>
        <w:rPr>
          <w:rFonts w:ascii="Times New Roman" w:eastAsiaTheme="minorEastAsia" w:hAnsi="Times New Roman" w:cs="Times New Roman"/>
          <w:lang w:val="en-US"/>
        </w:rPr>
      </w:pPr>
    </w:p>
    <w:p w14:paraId="0F9F9D30" w14:textId="77777777" w:rsidR="00443739" w:rsidRPr="00883413" w:rsidRDefault="00443739" w:rsidP="00B80458">
      <w:pPr>
        <w:spacing w:line="360" w:lineRule="auto"/>
        <w:jc w:val="both"/>
        <w:rPr>
          <w:rFonts w:ascii="Times New Roman" w:eastAsiaTheme="minorEastAsia" w:hAnsi="Times New Roman" w:cs="Times New Roman"/>
          <w:lang w:val="en-US"/>
        </w:rPr>
      </w:pPr>
    </w:p>
    <w:p w14:paraId="75962FA7" w14:textId="77777777" w:rsidR="002E5BFA" w:rsidRPr="00883413" w:rsidRDefault="002E5BFA" w:rsidP="00B80458">
      <w:pPr>
        <w:spacing w:line="360" w:lineRule="auto"/>
        <w:jc w:val="both"/>
        <w:rPr>
          <w:rFonts w:ascii="Times New Roman" w:eastAsia="DengXian" w:hAnsi="Times New Roman" w:cs="Times New Roman"/>
          <w:bCs/>
          <w:kern w:val="0"/>
          <w:lang w:val="en-US" w:eastAsia="fr-FR"/>
          <w14:ligatures w14:val="none"/>
        </w:rPr>
      </w:pPr>
    </w:p>
    <w:p w14:paraId="61283702" w14:textId="77777777" w:rsidR="002E5BFA" w:rsidRPr="00883413" w:rsidRDefault="002E5BFA" w:rsidP="00B80458">
      <w:pPr>
        <w:spacing w:line="360" w:lineRule="auto"/>
        <w:jc w:val="both"/>
        <w:rPr>
          <w:rFonts w:ascii="Times New Roman" w:eastAsia="DengXian" w:hAnsi="Times New Roman" w:cs="Times New Roman"/>
          <w:bCs/>
          <w:kern w:val="0"/>
          <w:lang w:val="en-US" w:eastAsia="fr-FR"/>
          <w14:ligatures w14:val="none"/>
        </w:rPr>
      </w:pPr>
    </w:p>
    <w:p w14:paraId="77531752" w14:textId="77777777" w:rsidR="002E5BFA" w:rsidRPr="00883413" w:rsidRDefault="002E5BFA" w:rsidP="00B80458">
      <w:pPr>
        <w:spacing w:line="360" w:lineRule="auto"/>
        <w:jc w:val="both"/>
        <w:rPr>
          <w:rFonts w:ascii="Times New Roman" w:hAnsi="Times New Roman" w:cs="Times New Roman"/>
          <w:lang w:val="en-US"/>
        </w:rPr>
      </w:pPr>
    </w:p>
    <w:p w14:paraId="19A180A1" w14:textId="77777777" w:rsidR="002E5BFA" w:rsidRPr="00883413" w:rsidRDefault="002E5BFA" w:rsidP="00B80458">
      <w:pPr>
        <w:spacing w:line="360" w:lineRule="auto"/>
        <w:jc w:val="both"/>
        <w:rPr>
          <w:rFonts w:ascii="Times New Roman" w:hAnsi="Times New Roman" w:cs="Times New Roman"/>
          <w:lang w:val="en-US"/>
        </w:rPr>
      </w:pPr>
    </w:p>
    <w:p w14:paraId="653E02CD" w14:textId="77777777" w:rsidR="002E5BFA" w:rsidRPr="00883413" w:rsidRDefault="002E5BFA" w:rsidP="00B80458">
      <w:pPr>
        <w:spacing w:line="360" w:lineRule="auto"/>
        <w:jc w:val="both"/>
        <w:rPr>
          <w:rFonts w:ascii="Times New Roman" w:hAnsi="Times New Roman" w:cs="Times New Roman"/>
          <w:lang w:val="en-US"/>
        </w:rPr>
      </w:pPr>
    </w:p>
    <w:p w14:paraId="7258A575" w14:textId="77777777" w:rsidR="002E5BFA" w:rsidRPr="00883413" w:rsidRDefault="002E5BFA" w:rsidP="00B80458">
      <w:pPr>
        <w:spacing w:line="360" w:lineRule="auto"/>
        <w:jc w:val="both"/>
        <w:rPr>
          <w:rFonts w:ascii="Times New Roman" w:hAnsi="Times New Roman" w:cs="Times New Roman"/>
          <w:lang w:val="en-US"/>
        </w:rPr>
      </w:pPr>
    </w:p>
    <w:p w14:paraId="4DD067A6" w14:textId="77777777" w:rsidR="002E5BFA" w:rsidRPr="00883413" w:rsidRDefault="002E5BFA" w:rsidP="00B80458">
      <w:pPr>
        <w:spacing w:line="360" w:lineRule="auto"/>
        <w:jc w:val="both"/>
        <w:rPr>
          <w:rFonts w:ascii="Times New Roman" w:hAnsi="Times New Roman" w:cs="Times New Roman"/>
          <w:lang w:val="en-US"/>
        </w:rPr>
      </w:pPr>
    </w:p>
    <w:p w14:paraId="2A007086" w14:textId="77777777" w:rsidR="00D95AAB" w:rsidRPr="00883413" w:rsidRDefault="00D95AAB" w:rsidP="00B80458">
      <w:pPr>
        <w:spacing w:line="360" w:lineRule="auto"/>
        <w:jc w:val="both"/>
        <w:rPr>
          <w:rFonts w:ascii="Times New Roman" w:hAnsi="Times New Roman" w:cs="Times New Roman"/>
          <w:lang w:val="en-US"/>
        </w:rPr>
      </w:pPr>
    </w:p>
    <w:p w14:paraId="44FB9ED5" w14:textId="77777777" w:rsidR="00D95AAB" w:rsidRPr="00883413" w:rsidRDefault="00D95AAB" w:rsidP="00B80458">
      <w:pPr>
        <w:spacing w:line="360" w:lineRule="auto"/>
        <w:jc w:val="both"/>
        <w:rPr>
          <w:rFonts w:ascii="Times New Roman" w:hAnsi="Times New Roman" w:cs="Times New Roman"/>
          <w:lang w:val="en-US"/>
        </w:rPr>
      </w:pPr>
    </w:p>
    <w:p w14:paraId="7135D935" w14:textId="77777777" w:rsidR="00D95AAB" w:rsidRPr="00883413" w:rsidRDefault="00D95AAB" w:rsidP="00B80458">
      <w:pPr>
        <w:spacing w:line="360" w:lineRule="auto"/>
        <w:jc w:val="both"/>
        <w:rPr>
          <w:rFonts w:ascii="Times New Roman" w:hAnsi="Times New Roman" w:cs="Times New Roman"/>
          <w:lang w:val="en-US"/>
        </w:rPr>
      </w:pPr>
    </w:p>
    <w:p w14:paraId="28DA5338" w14:textId="0501F59D" w:rsidR="00D95AAB" w:rsidRPr="00883413" w:rsidRDefault="00D95AAB" w:rsidP="00B80458">
      <w:pPr>
        <w:spacing w:line="360" w:lineRule="auto"/>
        <w:jc w:val="both"/>
        <w:rPr>
          <w:rFonts w:ascii="Times New Roman" w:hAnsi="Times New Roman" w:cs="Times New Roman"/>
          <w:lang w:val="en-US"/>
        </w:rPr>
      </w:pPr>
    </w:p>
    <w:p w14:paraId="7DB9EF88" w14:textId="77777777" w:rsidR="006955AD" w:rsidRPr="00883413" w:rsidRDefault="006955AD" w:rsidP="00B80458">
      <w:pPr>
        <w:spacing w:line="360" w:lineRule="auto"/>
        <w:jc w:val="both"/>
        <w:rPr>
          <w:rFonts w:ascii="Times New Roman" w:hAnsi="Times New Roman" w:cs="Times New Roman"/>
          <w:lang w:val="en-US"/>
        </w:rPr>
      </w:pPr>
    </w:p>
    <w:p w14:paraId="6B04DE25" w14:textId="16068E66" w:rsidR="001D665B" w:rsidRPr="00883413" w:rsidRDefault="001D665B" w:rsidP="00B80458">
      <w:pPr>
        <w:spacing w:line="360" w:lineRule="auto"/>
        <w:jc w:val="both"/>
        <w:rPr>
          <w:rFonts w:ascii="Times New Roman" w:hAnsi="Times New Roman" w:cs="Times New Roman"/>
          <w:lang w:val="en-US"/>
        </w:rPr>
      </w:pPr>
    </w:p>
    <w:p w14:paraId="07AE7FCA" w14:textId="3E8EA4BC" w:rsidR="001D665B" w:rsidRPr="00883413" w:rsidRDefault="001D665B" w:rsidP="00B80458">
      <w:pPr>
        <w:spacing w:line="360" w:lineRule="auto"/>
        <w:jc w:val="both"/>
        <w:rPr>
          <w:rFonts w:ascii="Times New Roman" w:hAnsi="Times New Roman" w:cs="Times New Roman"/>
          <w:lang w:val="en-US"/>
        </w:rPr>
      </w:pPr>
    </w:p>
    <w:p w14:paraId="041BA9D9" w14:textId="5C65ED74" w:rsidR="00685058" w:rsidRPr="00883413" w:rsidRDefault="00685058" w:rsidP="00B80458">
      <w:pPr>
        <w:spacing w:line="360" w:lineRule="auto"/>
        <w:jc w:val="both"/>
        <w:rPr>
          <w:rFonts w:ascii="Times New Roman" w:hAnsi="Times New Roman" w:cs="Times New Roman"/>
          <w:lang w:val="en-US"/>
        </w:rPr>
      </w:pPr>
    </w:p>
    <w:sectPr w:rsidR="00685058" w:rsidRPr="00883413">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567AB" w14:textId="77777777" w:rsidR="0037207A" w:rsidRDefault="0037207A" w:rsidP="00821E30">
      <w:pPr>
        <w:spacing w:after="0" w:line="240" w:lineRule="auto"/>
      </w:pPr>
      <w:r>
        <w:separator/>
      </w:r>
    </w:p>
  </w:endnote>
  <w:endnote w:type="continuationSeparator" w:id="0">
    <w:p w14:paraId="4155142B" w14:textId="77777777" w:rsidR="0037207A" w:rsidRDefault="0037207A" w:rsidP="00821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093EC" w14:textId="77777777" w:rsidR="00E02DCD" w:rsidRDefault="00E02D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7362078"/>
      <w:docPartObj>
        <w:docPartGallery w:val="Page Numbers (Bottom of Page)"/>
        <w:docPartUnique/>
      </w:docPartObj>
    </w:sdtPr>
    <w:sdtContent>
      <w:p w14:paraId="7A6D6BA8" w14:textId="450E8EC1" w:rsidR="00821E30" w:rsidRDefault="00821E30">
        <w:pPr>
          <w:pStyle w:val="Footer"/>
          <w:jc w:val="right"/>
        </w:pPr>
        <w:r>
          <w:fldChar w:fldCharType="begin"/>
        </w:r>
        <w:r>
          <w:instrText>PAGE   \* MERGEFORMAT</w:instrText>
        </w:r>
        <w:r>
          <w:fldChar w:fldCharType="separate"/>
        </w:r>
        <w:r>
          <w:t>2</w:t>
        </w:r>
        <w:r>
          <w:fldChar w:fldCharType="end"/>
        </w:r>
      </w:p>
    </w:sdtContent>
  </w:sdt>
  <w:p w14:paraId="486CB3AA" w14:textId="77777777" w:rsidR="00821E30" w:rsidRDefault="00821E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632E2" w14:textId="77777777" w:rsidR="00E02DCD" w:rsidRDefault="00E02D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C310B" w14:textId="77777777" w:rsidR="0037207A" w:rsidRDefault="0037207A" w:rsidP="00821E30">
      <w:pPr>
        <w:spacing w:after="0" w:line="240" w:lineRule="auto"/>
      </w:pPr>
      <w:r>
        <w:separator/>
      </w:r>
    </w:p>
  </w:footnote>
  <w:footnote w:type="continuationSeparator" w:id="0">
    <w:p w14:paraId="7F07C0A6" w14:textId="77777777" w:rsidR="0037207A" w:rsidRDefault="0037207A" w:rsidP="00821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924B5" w14:textId="19B48CC1" w:rsidR="00E02DCD" w:rsidRDefault="00E02DCD">
    <w:pPr>
      <w:pStyle w:val="Header"/>
    </w:pPr>
    <w:r>
      <w:rPr>
        <w:noProof/>
      </w:rPr>
      <w:pict w14:anchorId="23BCB6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5903251"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C1C18" w14:textId="6A93421F" w:rsidR="00E02DCD" w:rsidRDefault="00E02DCD">
    <w:pPr>
      <w:pStyle w:val="Header"/>
    </w:pPr>
    <w:r>
      <w:rPr>
        <w:noProof/>
      </w:rPr>
      <w:pict w14:anchorId="7E0D98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5903252"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AE3CE" w14:textId="7581D5CC" w:rsidR="00E02DCD" w:rsidRDefault="00E02DCD">
    <w:pPr>
      <w:pStyle w:val="Header"/>
    </w:pPr>
    <w:r>
      <w:rPr>
        <w:noProof/>
      </w:rPr>
      <w:pict w14:anchorId="081DAC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5903250"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C49D7"/>
    <w:multiLevelType w:val="hybridMultilevel"/>
    <w:tmpl w:val="8110A744"/>
    <w:lvl w:ilvl="0" w:tplc="BD40B808">
      <w:start w:val="5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740D6B1B"/>
    <w:multiLevelType w:val="hybridMultilevel"/>
    <w:tmpl w:val="8CD2FF6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7BFA0222"/>
    <w:multiLevelType w:val="hybridMultilevel"/>
    <w:tmpl w:val="250452F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957639324">
    <w:abstractNumId w:val="2"/>
  </w:num>
  <w:num w:numId="2" w16cid:durableId="1528371476">
    <w:abstractNumId w:val="1"/>
  </w:num>
  <w:num w:numId="3" w16cid:durableId="6437772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65B"/>
    <w:rsid w:val="0005062A"/>
    <w:rsid w:val="000A5469"/>
    <w:rsid w:val="000B2910"/>
    <w:rsid w:val="001807BE"/>
    <w:rsid w:val="001D665B"/>
    <w:rsid w:val="002A25E2"/>
    <w:rsid w:val="002C6A79"/>
    <w:rsid w:val="002E4A57"/>
    <w:rsid w:val="002E5BFA"/>
    <w:rsid w:val="00322208"/>
    <w:rsid w:val="0037207A"/>
    <w:rsid w:val="004209B0"/>
    <w:rsid w:val="00443739"/>
    <w:rsid w:val="00466D3C"/>
    <w:rsid w:val="004747E0"/>
    <w:rsid w:val="0048095D"/>
    <w:rsid w:val="005643E1"/>
    <w:rsid w:val="00583B11"/>
    <w:rsid w:val="00685058"/>
    <w:rsid w:val="006955AD"/>
    <w:rsid w:val="00786220"/>
    <w:rsid w:val="007D5DA0"/>
    <w:rsid w:val="00821E30"/>
    <w:rsid w:val="00883413"/>
    <w:rsid w:val="0089358D"/>
    <w:rsid w:val="008C25C1"/>
    <w:rsid w:val="00950B1B"/>
    <w:rsid w:val="00960144"/>
    <w:rsid w:val="00984E65"/>
    <w:rsid w:val="009E56A6"/>
    <w:rsid w:val="00AC2F54"/>
    <w:rsid w:val="00B7596D"/>
    <w:rsid w:val="00B80458"/>
    <w:rsid w:val="00BD7DF1"/>
    <w:rsid w:val="00BF3F7F"/>
    <w:rsid w:val="00C26807"/>
    <w:rsid w:val="00CF6B17"/>
    <w:rsid w:val="00D04ABE"/>
    <w:rsid w:val="00D66339"/>
    <w:rsid w:val="00D95AAB"/>
    <w:rsid w:val="00DF086E"/>
    <w:rsid w:val="00E02DCD"/>
    <w:rsid w:val="00E10961"/>
    <w:rsid w:val="00F25B3E"/>
    <w:rsid w:val="00F84329"/>
    <w:rsid w:val="00FD5D50"/>
    <w:rsid w:val="00FE0A2E"/>
    <w:rsid w:val="00FE31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B066C"/>
  <w15:chartTrackingRefBased/>
  <w15:docId w15:val="{E8FFE6A8-D198-4B88-9ABA-F123AE159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66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D66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D665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D665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D665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D66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66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66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66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65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665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665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665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665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66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6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6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65B"/>
    <w:rPr>
      <w:rFonts w:eastAsiaTheme="majorEastAsia" w:cstheme="majorBidi"/>
      <w:color w:val="272727" w:themeColor="text1" w:themeTint="D8"/>
    </w:rPr>
  </w:style>
  <w:style w:type="paragraph" w:styleId="Title">
    <w:name w:val="Title"/>
    <w:basedOn w:val="Normal"/>
    <w:next w:val="Normal"/>
    <w:link w:val="TitleChar"/>
    <w:uiPriority w:val="10"/>
    <w:qFormat/>
    <w:rsid w:val="001D66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66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6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66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65B"/>
    <w:pPr>
      <w:spacing w:before="160"/>
      <w:jc w:val="center"/>
    </w:pPr>
    <w:rPr>
      <w:i/>
      <w:iCs/>
      <w:color w:val="404040" w:themeColor="text1" w:themeTint="BF"/>
    </w:rPr>
  </w:style>
  <w:style w:type="character" w:customStyle="1" w:styleId="QuoteChar">
    <w:name w:val="Quote Char"/>
    <w:basedOn w:val="DefaultParagraphFont"/>
    <w:link w:val="Quote"/>
    <w:uiPriority w:val="29"/>
    <w:rsid w:val="001D665B"/>
    <w:rPr>
      <w:i/>
      <w:iCs/>
      <w:color w:val="404040" w:themeColor="text1" w:themeTint="BF"/>
    </w:rPr>
  </w:style>
  <w:style w:type="paragraph" w:styleId="ListParagraph">
    <w:name w:val="List Paragraph"/>
    <w:basedOn w:val="Normal"/>
    <w:uiPriority w:val="34"/>
    <w:qFormat/>
    <w:rsid w:val="001D665B"/>
    <w:pPr>
      <w:ind w:left="720"/>
      <w:contextualSpacing/>
    </w:pPr>
  </w:style>
  <w:style w:type="character" w:styleId="IntenseEmphasis">
    <w:name w:val="Intense Emphasis"/>
    <w:basedOn w:val="DefaultParagraphFont"/>
    <w:uiPriority w:val="21"/>
    <w:qFormat/>
    <w:rsid w:val="001D665B"/>
    <w:rPr>
      <w:i/>
      <w:iCs/>
      <w:color w:val="2F5496" w:themeColor="accent1" w:themeShade="BF"/>
    </w:rPr>
  </w:style>
  <w:style w:type="paragraph" w:styleId="IntenseQuote">
    <w:name w:val="Intense Quote"/>
    <w:basedOn w:val="Normal"/>
    <w:next w:val="Normal"/>
    <w:link w:val="IntenseQuoteChar"/>
    <w:uiPriority w:val="30"/>
    <w:qFormat/>
    <w:rsid w:val="001D66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D665B"/>
    <w:rPr>
      <w:i/>
      <w:iCs/>
      <w:color w:val="2F5496" w:themeColor="accent1" w:themeShade="BF"/>
    </w:rPr>
  </w:style>
  <w:style w:type="character" w:styleId="IntenseReference">
    <w:name w:val="Intense Reference"/>
    <w:basedOn w:val="DefaultParagraphFont"/>
    <w:uiPriority w:val="32"/>
    <w:qFormat/>
    <w:rsid w:val="001D665B"/>
    <w:rPr>
      <w:b/>
      <w:bCs/>
      <w:smallCaps/>
      <w:color w:val="2F5496" w:themeColor="accent1" w:themeShade="BF"/>
      <w:spacing w:val="5"/>
    </w:rPr>
  </w:style>
  <w:style w:type="character" w:styleId="Hyperlink">
    <w:name w:val="Hyperlink"/>
    <w:basedOn w:val="DefaultParagraphFont"/>
    <w:uiPriority w:val="99"/>
    <w:unhideWhenUsed/>
    <w:rsid w:val="001D665B"/>
    <w:rPr>
      <w:color w:val="0563C1" w:themeColor="hyperlink"/>
      <w:u w:val="single"/>
    </w:rPr>
  </w:style>
  <w:style w:type="character" w:styleId="UnresolvedMention">
    <w:name w:val="Unresolved Mention"/>
    <w:basedOn w:val="DefaultParagraphFont"/>
    <w:uiPriority w:val="99"/>
    <w:semiHidden/>
    <w:unhideWhenUsed/>
    <w:rsid w:val="001D665B"/>
    <w:rPr>
      <w:color w:val="605E5C"/>
      <w:shd w:val="clear" w:color="auto" w:fill="E1DFDD"/>
    </w:rPr>
  </w:style>
  <w:style w:type="paragraph" w:styleId="NormalWeb">
    <w:name w:val="Normal (Web)"/>
    <w:basedOn w:val="Normal"/>
    <w:uiPriority w:val="99"/>
    <w:semiHidden/>
    <w:unhideWhenUsed/>
    <w:rsid w:val="00D95AAB"/>
    <w:rPr>
      <w:rFonts w:ascii="Times New Roman" w:hAnsi="Times New Roman" w:cs="Times New Roman"/>
    </w:rPr>
  </w:style>
  <w:style w:type="table" w:styleId="PlainTable2">
    <w:name w:val="Plain Table 2"/>
    <w:basedOn w:val="TableNormal"/>
    <w:uiPriority w:val="42"/>
    <w:rsid w:val="004747E0"/>
    <w:pPr>
      <w:spacing w:after="0" w:line="240" w:lineRule="auto"/>
    </w:pPr>
    <w:rPr>
      <w:rFonts w:ascii="Calibri" w:eastAsia="Calibri" w:hAnsi="Calibri" w:cs="SimSun"/>
      <w:kern w:val="0"/>
      <w:sz w:val="20"/>
      <w:szCs w:val="20"/>
      <w:lang w:eastAsia="fr-FR"/>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semiHidden/>
    <w:unhideWhenUsed/>
    <w:rsid w:val="00950B1B"/>
  </w:style>
  <w:style w:type="paragraph" w:styleId="Header">
    <w:name w:val="header"/>
    <w:basedOn w:val="Normal"/>
    <w:link w:val="HeaderChar"/>
    <w:uiPriority w:val="99"/>
    <w:unhideWhenUsed/>
    <w:rsid w:val="00821E30"/>
    <w:pPr>
      <w:tabs>
        <w:tab w:val="center" w:pos="4536"/>
        <w:tab w:val="right" w:pos="9072"/>
      </w:tabs>
      <w:spacing w:after="0" w:line="240" w:lineRule="auto"/>
    </w:pPr>
  </w:style>
  <w:style w:type="character" w:customStyle="1" w:styleId="HeaderChar">
    <w:name w:val="Header Char"/>
    <w:basedOn w:val="DefaultParagraphFont"/>
    <w:link w:val="Header"/>
    <w:uiPriority w:val="99"/>
    <w:rsid w:val="00821E30"/>
  </w:style>
  <w:style w:type="paragraph" w:styleId="Footer">
    <w:name w:val="footer"/>
    <w:basedOn w:val="Normal"/>
    <w:link w:val="FooterChar"/>
    <w:uiPriority w:val="99"/>
    <w:unhideWhenUsed/>
    <w:rsid w:val="00821E30"/>
    <w:pPr>
      <w:tabs>
        <w:tab w:val="center" w:pos="4536"/>
        <w:tab w:val="right" w:pos="9072"/>
      </w:tabs>
      <w:spacing w:after="0" w:line="240" w:lineRule="auto"/>
    </w:pPr>
  </w:style>
  <w:style w:type="character" w:customStyle="1" w:styleId="FooterChar">
    <w:name w:val="Footer Char"/>
    <w:basedOn w:val="DefaultParagraphFont"/>
    <w:link w:val="Footer"/>
    <w:uiPriority w:val="99"/>
    <w:rsid w:val="00821E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4.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chart" Target="charts/chart3.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user\Downloads\ptfi_A%20hispidum_JYN%2008%2014%202026-5.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338349691350343"/>
          <c:y val="2.9053264665640677E-2"/>
          <c:w val="0.75083840963430271"/>
          <c:h val="0.87723491056609193"/>
        </c:manualLayout>
      </c:layout>
      <c:barChart>
        <c:barDir val="col"/>
        <c:grouping val="clustered"/>
        <c:varyColors val="0"/>
        <c:ser>
          <c:idx val="0"/>
          <c:order val="0"/>
          <c:tx>
            <c:strRef>
              <c:f>Feuil6!$A$11</c:f>
              <c:strCache>
                <c:ptCount val="1"/>
                <c:pt idx="0">
                  <c:v>F</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fr-BF"/>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Feuil6!$B$10</c:f>
              <c:strCache>
                <c:ptCount val="1"/>
                <c:pt idx="0">
                  <c:v>% du Total</c:v>
                </c:pt>
              </c:strCache>
            </c:strRef>
          </c:cat>
          <c:val>
            <c:numRef>
              <c:f>Feuil6!$B$11</c:f>
              <c:numCache>
                <c:formatCode>General</c:formatCode>
                <c:ptCount val="1"/>
                <c:pt idx="0">
                  <c:v>56</c:v>
                </c:pt>
              </c:numCache>
            </c:numRef>
          </c:val>
          <c:extLst>
            <c:ext xmlns:c16="http://schemas.microsoft.com/office/drawing/2014/chart" uri="{C3380CC4-5D6E-409C-BE32-E72D297353CC}">
              <c16:uniqueId val="{00000000-DC4B-44E2-A86B-D1473169B212}"/>
            </c:ext>
          </c:extLst>
        </c:ser>
        <c:ser>
          <c:idx val="1"/>
          <c:order val="1"/>
          <c:tx>
            <c:strRef>
              <c:f>Feuil6!$A$12</c:f>
              <c:strCache>
                <c:ptCount val="1"/>
                <c:pt idx="0">
                  <c:v>M</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fr-BF"/>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Feuil6!$B$10</c:f>
              <c:strCache>
                <c:ptCount val="1"/>
                <c:pt idx="0">
                  <c:v>% du Total</c:v>
                </c:pt>
              </c:strCache>
            </c:strRef>
          </c:cat>
          <c:val>
            <c:numRef>
              <c:f>Feuil6!$B$12</c:f>
              <c:numCache>
                <c:formatCode>General</c:formatCode>
                <c:ptCount val="1"/>
                <c:pt idx="0">
                  <c:v>44</c:v>
                </c:pt>
              </c:numCache>
            </c:numRef>
          </c:val>
          <c:extLst>
            <c:ext xmlns:c16="http://schemas.microsoft.com/office/drawing/2014/chart" uri="{C3380CC4-5D6E-409C-BE32-E72D297353CC}">
              <c16:uniqueId val="{00000001-DC4B-44E2-A86B-D1473169B212}"/>
            </c:ext>
          </c:extLst>
        </c:ser>
        <c:dLbls>
          <c:dLblPos val="outEnd"/>
          <c:showLegendKey val="0"/>
          <c:showVal val="1"/>
          <c:showCatName val="0"/>
          <c:showSerName val="0"/>
          <c:showPercent val="0"/>
          <c:showBubbleSize val="0"/>
        </c:dLbls>
        <c:gapWidth val="267"/>
        <c:overlap val="-43"/>
        <c:axId val="1881872032"/>
        <c:axId val="1881872512"/>
      </c:barChart>
      <c:catAx>
        <c:axId val="1881872032"/>
        <c:scaling>
          <c:orientation val="minMax"/>
        </c:scaling>
        <c:delete val="1"/>
        <c:axPos val="b"/>
        <c:title>
          <c:tx>
            <c:rich>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fr-FR" sz="1200">
                    <a:latin typeface="Times New Roman" panose="02020603050405020304" pitchFamily="18" charset="0"/>
                    <a:cs typeface="Times New Roman" panose="02020603050405020304" pitchFamily="18" charset="0"/>
                  </a:rPr>
                  <a:t>Genre</a:t>
                </a:r>
              </a:p>
            </c:rich>
          </c:tx>
          <c:layout>
            <c:manualLayout>
              <c:xMode val="edge"/>
              <c:yMode val="edge"/>
              <c:x val="0.40709219858156026"/>
              <c:y val="0.9149406192363092"/>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fr-BF"/>
            </a:p>
          </c:txPr>
        </c:title>
        <c:numFmt formatCode="General" sourceLinked="1"/>
        <c:majorTickMark val="none"/>
        <c:minorTickMark val="none"/>
        <c:tickLblPos val="nextTo"/>
        <c:crossAx val="1881872512"/>
        <c:crosses val="autoZero"/>
        <c:auto val="1"/>
        <c:lblAlgn val="ctr"/>
        <c:lblOffset val="100"/>
        <c:noMultiLvlLbl val="0"/>
      </c:catAx>
      <c:valAx>
        <c:axId val="1881872512"/>
        <c:scaling>
          <c:orientation val="minMax"/>
        </c:scaling>
        <c:delete val="0"/>
        <c:axPos val="l"/>
        <c:title>
          <c:tx>
            <c:rich>
              <a:bodyPr rot="-540000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fr-FR" sz="1200"/>
              </a:p>
              <a:p>
                <a:pPr>
                  <a:defRPr sz="1200">
                    <a:latin typeface="Times New Roman" panose="02020603050405020304" pitchFamily="18" charset="0"/>
                    <a:cs typeface="Times New Roman" panose="02020603050405020304" pitchFamily="18" charset="0"/>
                  </a:defRPr>
                </a:pPr>
                <a:r>
                  <a:rPr lang="fr-FR" sz="1200"/>
                  <a:t>Frequency</a:t>
                </a:r>
              </a:p>
              <a:p>
                <a:pPr>
                  <a:defRPr sz="1200">
                    <a:latin typeface="Times New Roman" panose="02020603050405020304" pitchFamily="18" charset="0"/>
                    <a:cs typeface="Times New Roman" panose="02020603050405020304" pitchFamily="18" charset="0"/>
                  </a:defRPr>
                </a:pPr>
                <a:r>
                  <a:rPr lang="fr-FR" sz="1200" baseline="0">
                    <a:latin typeface="Times New Roman" panose="02020603050405020304" pitchFamily="18" charset="0"/>
                    <a:cs typeface="Times New Roman" panose="02020603050405020304" pitchFamily="18" charset="0"/>
                  </a:rPr>
                  <a:t> (%)</a:t>
                </a:r>
                <a:endParaRPr lang="fr-FR" sz="1200">
                  <a:latin typeface="Times New Roman" panose="02020603050405020304" pitchFamily="18" charset="0"/>
                  <a:cs typeface="Times New Roman" panose="02020603050405020304" pitchFamily="18" charset="0"/>
                </a:endParaRPr>
              </a:p>
            </c:rich>
          </c:tx>
          <c:layout>
            <c:manualLayout>
              <c:xMode val="edge"/>
              <c:yMode val="edge"/>
              <c:x val="9.6453900709219859E-2"/>
              <c:y val="6.86294757389323E-2"/>
            </c:manualLayout>
          </c:layout>
          <c:overlay val="0"/>
          <c:spPr>
            <a:noFill/>
            <a:ln>
              <a:noFill/>
            </a:ln>
            <a:effectLst/>
          </c:spPr>
          <c:txPr>
            <a:bodyPr rot="-540000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fr-BF"/>
          </a:p>
        </c:txPr>
        <c:crossAx val="1881872032"/>
        <c:crosses val="autoZero"/>
        <c:crossBetween val="between"/>
      </c:valAx>
      <c:spPr>
        <a:solidFill>
          <a:schemeClr val="bg1"/>
        </a:solidFill>
        <a:ln>
          <a:noFill/>
        </a:ln>
        <a:effectLst/>
      </c:spPr>
    </c:plotArea>
    <c:legend>
      <c:legendPos val="r"/>
      <c:layout>
        <c:manualLayout>
          <c:xMode val="edge"/>
          <c:yMode val="edge"/>
          <c:x val="0.91501989427420394"/>
          <c:y val="0.43718509663943422"/>
          <c:w val="6.7743679411518543E-2"/>
          <c:h val="0.15207741983852122"/>
        </c:manualLayout>
      </c:layout>
      <c:overlay val="0"/>
      <c:spPr>
        <a:noFill/>
        <a:ln>
          <a:noFill/>
        </a:ln>
        <a:effectLst/>
      </c:spPr>
      <c:txPr>
        <a:bodyPr rot="0" spcFirstLastPara="1" vertOverflow="ellipsis" vert="horz" wrap="square" anchor="ctr" anchorCtr="1"/>
        <a:lstStyle/>
        <a:p>
          <a:pPr>
            <a:defRPr sz="11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fr-BF"/>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fr-BF"/>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4272621009708621E-2"/>
          <c:y val="9.8713845954440882E-2"/>
          <c:w val="0.67757113007772585"/>
          <c:h val="0.90128615404555912"/>
        </c:manualLayout>
      </c:layout>
      <c:pie3DChart>
        <c:varyColors val="1"/>
        <c:ser>
          <c:idx val="0"/>
          <c:order val="0"/>
          <c:tx>
            <c:strRef>
              <c:f>Feuil6!$N$3</c:f>
              <c:strCache>
                <c:ptCount val="1"/>
                <c:pt idx="0">
                  <c:v>frequence %</c:v>
                </c:pt>
              </c:strCache>
            </c:strRef>
          </c:tx>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1-5EB1-4320-BDAC-2985CAAA807C}"/>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3-5EB1-4320-BDAC-2985CAAA807C}"/>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5-5EB1-4320-BDAC-2985CAAA807C}"/>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7-5EB1-4320-BDAC-2985CAAA807C}"/>
              </c:ext>
            </c:extLst>
          </c:dPt>
          <c:dLbls>
            <c:dLbl>
              <c:idx val="0"/>
              <c:layout>
                <c:manualLayout>
                  <c:x val="-8.7884378430361482E-2"/>
                  <c:y val="0.17231923787304365"/>
                </c:manualLayout>
              </c:layout>
              <c:tx>
                <c:rich>
                  <a:bodyPr rot="0" spcFirstLastPara="1" vertOverflow="clip" horzOverflow="clip" vert="horz" wrap="square" lIns="38100" tIns="19050" rIns="38100" bIns="19050" anchor="ctr" anchorCtr="1">
                    <a:spAutoFit/>
                  </a:bodyPr>
                  <a:lstStyle/>
                  <a:p>
                    <a:pPr>
                      <a:defRPr sz="11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fld id="{C2C3CCCB-4055-4FDC-86D0-16B81C740F5C}" type="VALUE">
                      <a:rPr lang="en-US" sz="1100" b="1">
                        <a:solidFill>
                          <a:sysClr val="windowText" lastClr="000000"/>
                        </a:solidFill>
                      </a:rPr>
                      <a:pPr>
                        <a:defRPr sz="1100" b="1">
                          <a:solidFill>
                            <a:sysClr val="windowText" lastClr="000000"/>
                          </a:solidFill>
                        </a:defRPr>
                      </a:pPr>
                      <a:t>[VALUE]</a:t>
                    </a:fld>
                    <a:r>
                      <a:rPr lang="en-US" sz="1100" b="1">
                        <a:solidFill>
                          <a:sysClr val="windowText" lastClr="000000"/>
                        </a:solidFill>
                      </a:rPr>
                      <a:t>%</a:t>
                    </a:r>
                  </a:p>
                </c:rich>
              </c:tx>
              <c:spPr>
                <a:solidFill>
                  <a:sysClr val="window" lastClr="FFFFFF">
                    <a:alpha val="90000"/>
                  </a:sysClr>
                </a:solidFill>
                <a:ln w="12700" cap="flat" cmpd="sng" algn="ctr">
                  <a:solidFill>
                    <a:srgbClr val="4472C4"/>
                  </a:solidFill>
                  <a:round/>
                </a:ln>
                <a:effectLst>
                  <a:outerShdw blurRad="50800" dist="38100" dir="2700000" algn="tl" rotWithShape="0">
                    <a:srgbClr val="4472C4">
                      <a:lumMod val="75000"/>
                      <a:alpha val="40000"/>
                    </a:srgbClr>
                  </a:outerShdw>
                </a:effectLst>
              </c:spPr>
              <c:txPr>
                <a:bodyPr rot="0" spcFirstLastPara="1" vertOverflow="clip" horzOverflow="clip" vert="horz" wrap="square" lIns="38100" tIns="19050" rIns="38100" bIns="19050" anchor="ctr" anchorCtr="1">
                  <a:spAutoFit/>
                </a:bodyPr>
                <a:lstStyle/>
                <a:p>
                  <a:pPr>
                    <a:defRPr sz="11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fr-BF"/>
                </a:p>
              </c:txPr>
              <c:dLblPos val="bestFit"/>
              <c:showLegendKey val="0"/>
              <c:showVal val="1"/>
              <c:showCatName val="0"/>
              <c:showSerName val="0"/>
              <c:showPercent val="0"/>
              <c:showBubbleSize val="0"/>
              <c:extLst>
                <c:ext xmlns:c15="http://schemas.microsoft.com/office/drawing/2012/chart" uri="{CE6537A1-D6FC-4f65-9D91-7224C49458BB}">
                  <c15:layout>
                    <c:manualLayout>
                      <c:w val="9.2361111111111116E-2"/>
                      <c:h val="0.17013888888888887"/>
                    </c:manualLayout>
                  </c15:layout>
                  <c15:dlblFieldTable/>
                  <c15:showDataLabelsRange val="0"/>
                </c:ext>
                <c:ext xmlns:c16="http://schemas.microsoft.com/office/drawing/2014/chart" uri="{C3380CC4-5D6E-409C-BE32-E72D297353CC}">
                  <c16:uniqueId val="{00000001-5EB1-4320-BDAC-2985CAAA807C}"/>
                </c:ext>
              </c:extLst>
            </c:dLbl>
            <c:dLbl>
              <c:idx val="1"/>
              <c:layout>
                <c:manualLayout>
                  <c:x val="5.6144057519879574E-2"/>
                  <c:y val="-0.24529326253199829"/>
                </c:manualLayout>
              </c:layout>
              <c:tx>
                <c:rich>
                  <a:bodyPr rot="0" spcFirstLastPara="1" vertOverflow="clip" horzOverflow="clip" vert="horz" wrap="square" lIns="38100" tIns="19050" rIns="38100" bIns="19050" anchor="ctr" anchorCtr="1">
                    <a:spAutoFit/>
                  </a:bodyPr>
                  <a:lstStyle/>
                  <a:p>
                    <a:pPr>
                      <a:defRPr sz="11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fld id="{3F4AE59D-3053-4C31-8CF0-B78EDB44F3A8}" type="VALUE">
                      <a:rPr lang="en-US" sz="1100" b="1">
                        <a:solidFill>
                          <a:sysClr val="windowText" lastClr="000000"/>
                        </a:solidFill>
                      </a:rPr>
                      <a:pPr>
                        <a:defRPr sz="1100" b="1">
                          <a:solidFill>
                            <a:sysClr val="windowText" lastClr="000000"/>
                          </a:solidFill>
                        </a:defRPr>
                      </a:pPr>
                      <a:t>[VALUE]</a:t>
                    </a:fld>
                    <a:r>
                      <a:rPr lang="en-US" sz="1100" b="1">
                        <a:solidFill>
                          <a:sysClr val="windowText" lastClr="000000"/>
                        </a:solidFill>
                      </a:rPr>
                      <a:t>%</a:t>
                    </a:r>
                  </a:p>
                </c:rich>
              </c:tx>
              <c:spPr>
                <a:solidFill>
                  <a:sysClr val="window" lastClr="FFFFFF">
                    <a:alpha val="90000"/>
                  </a:sysClr>
                </a:solidFill>
                <a:ln w="12700" cap="flat" cmpd="sng" algn="ctr">
                  <a:solidFill>
                    <a:srgbClr val="4472C4"/>
                  </a:solidFill>
                  <a:round/>
                </a:ln>
                <a:effectLst>
                  <a:outerShdw blurRad="50800" dist="38100" dir="2700000" algn="tl" rotWithShape="0">
                    <a:srgbClr val="4472C4">
                      <a:lumMod val="75000"/>
                      <a:alpha val="40000"/>
                    </a:srgbClr>
                  </a:outerShdw>
                </a:effectLst>
              </c:spPr>
              <c:txPr>
                <a:bodyPr rot="0" spcFirstLastPara="1" vertOverflow="clip" horzOverflow="clip" vert="horz" wrap="square" lIns="38100" tIns="19050" rIns="38100" bIns="19050" anchor="ctr" anchorCtr="1">
                  <a:spAutoFit/>
                </a:bodyPr>
                <a:lstStyle/>
                <a:p>
                  <a:pPr>
                    <a:defRPr sz="11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fr-BF"/>
                </a:p>
              </c:txPr>
              <c:dLblPos val="bestFit"/>
              <c:showLegendKey val="0"/>
              <c:showVal val="1"/>
              <c:showCatName val="0"/>
              <c:showSerName val="0"/>
              <c:showPercent val="0"/>
              <c:showBubbleSize val="0"/>
              <c:extLst>
                <c:ext xmlns:c15="http://schemas.microsoft.com/office/drawing/2012/chart" uri="{CE6537A1-D6FC-4f65-9D91-7224C49458BB}">
                  <c15:layout>
                    <c:manualLayout>
                      <c:w val="0.10395478170642591"/>
                      <c:h val="0.17723754901007743"/>
                    </c:manualLayout>
                  </c15:layout>
                  <c15:dlblFieldTable/>
                  <c15:showDataLabelsRange val="0"/>
                </c:ext>
                <c:ext xmlns:c16="http://schemas.microsoft.com/office/drawing/2014/chart" uri="{C3380CC4-5D6E-409C-BE32-E72D297353CC}">
                  <c16:uniqueId val="{00000003-5EB1-4320-BDAC-2985CAAA807C}"/>
                </c:ext>
              </c:extLst>
            </c:dLbl>
            <c:dLbl>
              <c:idx val="2"/>
              <c:layout>
                <c:manualLayout>
                  <c:x val="9.7928516407211383E-2"/>
                  <c:y val="3.0440750461747837E-2"/>
                </c:manualLayout>
              </c:layout>
              <c:tx>
                <c:rich>
                  <a:bodyPr rot="0" spcFirstLastPara="1" vertOverflow="clip" horzOverflow="clip" vert="horz" wrap="square" lIns="38100" tIns="19050" rIns="38100" bIns="19050" anchor="ctr" anchorCtr="1">
                    <a:spAutoFit/>
                  </a:bodyPr>
                  <a:lstStyle/>
                  <a:p>
                    <a:pPr>
                      <a:defRPr sz="11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fld id="{60A6F463-FA53-419C-B5A8-4793F1EE2B4C}" type="VALUE">
                      <a:rPr lang="en-US" sz="1100" b="1">
                        <a:solidFill>
                          <a:sysClr val="windowText" lastClr="000000"/>
                        </a:solidFill>
                      </a:rPr>
                      <a:pPr>
                        <a:defRPr sz="1100" b="1">
                          <a:solidFill>
                            <a:sysClr val="windowText" lastClr="000000"/>
                          </a:solidFill>
                        </a:defRPr>
                      </a:pPr>
                      <a:t>[VALUE]</a:t>
                    </a:fld>
                    <a:r>
                      <a:rPr lang="en-US" sz="1100" b="1">
                        <a:solidFill>
                          <a:sysClr val="windowText" lastClr="000000"/>
                        </a:solidFill>
                      </a:rPr>
                      <a:t>%</a:t>
                    </a:r>
                  </a:p>
                </c:rich>
              </c:tx>
              <c:spPr>
                <a:solidFill>
                  <a:sysClr val="window" lastClr="FFFFFF">
                    <a:alpha val="90000"/>
                  </a:sysClr>
                </a:solidFill>
                <a:ln w="12700" cap="flat" cmpd="sng" algn="ctr">
                  <a:solidFill>
                    <a:srgbClr val="4472C4"/>
                  </a:solidFill>
                  <a:round/>
                </a:ln>
                <a:effectLst>
                  <a:outerShdw blurRad="50800" dist="38100" dir="2700000" algn="tl" rotWithShape="0">
                    <a:srgbClr val="4472C4">
                      <a:lumMod val="75000"/>
                      <a:alpha val="40000"/>
                    </a:srgbClr>
                  </a:outerShdw>
                </a:effectLst>
              </c:spPr>
              <c:txPr>
                <a:bodyPr rot="0" spcFirstLastPara="1" vertOverflow="clip" horzOverflow="clip" vert="horz" wrap="square" lIns="38100" tIns="19050" rIns="38100" bIns="19050" anchor="ctr" anchorCtr="1">
                  <a:spAutoFit/>
                </a:bodyPr>
                <a:lstStyle/>
                <a:p>
                  <a:pPr>
                    <a:defRPr sz="11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fr-BF"/>
                </a:p>
              </c:txPr>
              <c:dLblPos val="bestFit"/>
              <c:showLegendKey val="0"/>
              <c:showVal val="1"/>
              <c:showCatName val="0"/>
              <c:showSerName val="0"/>
              <c:showPercent val="0"/>
              <c:showBubbleSize val="0"/>
              <c:extLst>
                <c:ext xmlns:c15="http://schemas.microsoft.com/office/drawing/2012/chart" uri="{CE6537A1-D6FC-4f65-9D91-7224C49458BB}">
                  <c15:layout>
                    <c:manualLayout>
                      <c:w val="7.6388888888888895E-2"/>
                      <c:h val="0.10069444444444445"/>
                    </c:manualLayout>
                  </c15:layout>
                  <c15:dlblFieldTable/>
                  <c15:showDataLabelsRange val="0"/>
                </c:ext>
                <c:ext xmlns:c16="http://schemas.microsoft.com/office/drawing/2014/chart" uri="{C3380CC4-5D6E-409C-BE32-E72D297353CC}">
                  <c16:uniqueId val="{00000005-5EB1-4320-BDAC-2985CAAA807C}"/>
                </c:ext>
              </c:extLst>
            </c:dLbl>
            <c:dLbl>
              <c:idx val="3"/>
              <c:layout>
                <c:manualLayout>
                  <c:x val="9.583333333333334E-2"/>
                  <c:y val="0.15597149314669001"/>
                </c:manualLayout>
              </c:layout>
              <c:tx>
                <c:rich>
                  <a:bodyPr rot="0" spcFirstLastPara="1" vertOverflow="clip" horzOverflow="clip" vert="horz" wrap="square" lIns="38100" tIns="19050" rIns="38100" bIns="19050" anchor="ctr" anchorCtr="1">
                    <a:spAutoFit/>
                  </a:bodyPr>
                  <a:lstStyle/>
                  <a:p>
                    <a:pPr>
                      <a:defRPr sz="11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fld id="{47325485-86CB-4774-83F6-97FCEBF8FEA9}" type="VALUE">
                      <a:rPr lang="en-US" sz="1100" b="1">
                        <a:solidFill>
                          <a:sysClr val="windowText" lastClr="000000"/>
                        </a:solidFill>
                      </a:rPr>
                      <a:pPr>
                        <a:defRPr sz="1100" b="1">
                          <a:solidFill>
                            <a:sysClr val="windowText" lastClr="000000"/>
                          </a:solidFill>
                        </a:defRPr>
                      </a:pPr>
                      <a:t>[VALUE]</a:t>
                    </a:fld>
                    <a:r>
                      <a:rPr lang="en-US" sz="1100" b="1">
                        <a:solidFill>
                          <a:sysClr val="windowText" lastClr="000000"/>
                        </a:solidFill>
                      </a:rPr>
                      <a:t>%</a:t>
                    </a:r>
                  </a:p>
                </c:rich>
              </c:tx>
              <c:spPr>
                <a:solidFill>
                  <a:sysClr val="window" lastClr="FFFFFF">
                    <a:alpha val="90000"/>
                  </a:sysClr>
                </a:solidFill>
                <a:ln w="12700" cap="flat" cmpd="sng" algn="ctr">
                  <a:solidFill>
                    <a:srgbClr val="4472C4"/>
                  </a:solidFill>
                  <a:round/>
                </a:ln>
                <a:effectLst>
                  <a:outerShdw blurRad="50800" dist="38100" dir="2700000" algn="tl" rotWithShape="0">
                    <a:srgbClr val="4472C4">
                      <a:lumMod val="75000"/>
                      <a:alpha val="40000"/>
                    </a:srgbClr>
                  </a:outerShdw>
                </a:effectLst>
              </c:spPr>
              <c:txPr>
                <a:bodyPr rot="0" spcFirstLastPara="1" vertOverflow="clip" horzOverflow="clip" vert="horz" wrap="square" lIns="38100" tIns="19050" rIns="38100" bIns="19050" anchor="ctr" anchorCtr="1">
                  <a:spAutoFit/>
                </a:bodyPr>
                <a:lstStyle/>
                <a:p>
                  <a:pPr>
                    <a:defRPr sz="11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fr-BF"/>
                </a:p>
              </c:txPr>
              <c:dLblPos val="bestFit"/>
              <c:showLegendKey val="0"/>
              <c:showVal val="1"/>
              <c:showCatName val="0"/>
              <c:showSerName val="0"/>
              <c:showPercent val="0"/>
              <c:showBubbleSize val="0"/>
              <c:extLst>
                <c:ext xmlns:c15="http://schemas.microsoft.com/office/drawing/2012/chart" uri="{CE6537A1-D6FC-4f65-9D91-7224C49458BB}">
                  <c15:layout>
                    <c:manualLayout>
                      <c:w val="9.7222222222222224E-2"/>
                      <c:h val="0.15625"/>
                    </c:manualLayout>
                  </c15:layout>
                  <c15:dlblFieldTable/>
                  <c15:showDataLabelsRange val="0"/>
                </c:ext>
                <c:ext xmlns:c16="http://schemas.microsoft.com/office/drawing/2014/chart" uri="{C3380CC4-5D6E-409C-BE32-E72D297353CC}">
                  <c16:uniqueId val="{00000007-5EB1-4320-BDAC-2985CAAA807C}"/>
                </c:ext>
              </c:extLst>
            </c:dLbl>
            <c:spPr>
              <a:solidFill>
                <a:sysClr val="window" lastClr="FFFFFF">
                  <a:alpha val="90000"/>
                </a:sysClr>
              </a:solidFill>
              <a:ln w="12700" cap="flat" cmpd="sng" algn="ctr">
                <a:solidFill>
                  <a:srgbClr val="4472C4"/>
                </a:solidFill>
                <a:round/>
              </a:ln>
              <a:effectLst>
                <a:outerShdw blurRad="50800" dist="38100" dir="2700000" algn="tl" rotWithShape="0">
                  <a:srgbClr val="4472C4">
                    <a:lumMod val="75000"/>
                    <a:alpha val="40000"/>
                  </a:srgbClr>
                </a:outerShdw>
              </a:effectLst>
            </c:spPr>
            <c:txPr>
              <a:bodyPr rot="0" spcFirstLastPara="1" vertOverflow="clip" horzOverflow="clip" vert="horz" wrap="square" lIns="38100" tIns="19050" rIns="38100" bIns="19050" anchor="ctr" anchorCtr="1">
                <a:spAutoFit/>
              </a:bodyPr>
              <a:lstStyle/>
              <a:p>
                <a:pPr>
                  <a:defRPr sz="1100" b="1"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fr-BF"/>
              </a:p>
            </c:txPr>
            <c:dLblPos val="bestFit"/>
            <c:showLegendKey val="0"/>
            <c:showVal val="1"/>
            <c:showCatName val="0"/>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Feuil6!$M$4:$M$7</c:f>
              <c:strCache>
                <c:ptCount val="4"/>
                <c:pt idx="0">
                  <c:v>Ecorces</c:v>
                </c:pt>
                <c:pt idx="1">
                  <c:v>Feuilles</c:v>
                </c:pt>
                <c:pt idx="2">
                  <c:v>Graines</c:v>
                </c:pt>
                <c:pt idx="3">
                  <c:v>Racines</c:v>
                </c:pt>
              </c:strCache>
            </c:strRef>
          </c:cat>
          <c:val>
            <c:numRef>
              <c:f>Feuil6!$N$4:$N$7</c:f>
              <c:numCache>
                <c:formatCode>General</c:formatCode>
                <c:ptCount val="4"/>
                <c:pt idx="0">
                  <c:v>20</c:v>
                </c:pt>
                <c:pt idx="1">
                  <c:v>57.999999999999993</c:v>
                </c:pt>
                <c:pt idx="2">
                  <c:v>6</c:v>
                </c:pt>
                <c:pt idx="3">
                  <c:v>16</c:v>
                </c:pt>
              </c:numCache>
            </c:numRef>
          </c:val>
          <c:extLst>
            <c:ext xmlns:c16="http://schemas.microsoft.com/office/drawing/2014/chart" uri="{C3380CC4-5D6E-409C-BE32-E72D297353CC}">
              <c16:uniqueId val="{00000008-5EB1-4320-BDAC-2985CAAA807C}"/>
            </c:ext>
          </c:extLst>
        </c:ser>
        <c:dLbls>
          <c:dLblPos val="bestFit"/>
          <c:showLegendKey val="0"/>
          <c:showVal val="1"/>
          <c:showCatName val="0"/>
          <c:showSerName val="0"/>
          <c:showPercent val="0"/>
          <c:showBubbleSize val="0"/>
          <c:showLeaderLines val="1"/>
        </c:dLbls>
      </c:pie3DChart>
      <c:spPr>
        <a:noFill/>
        <a:ln>
          <a:noFill/>
        </a:ln>
        <a:effectLst/>
      </c:spPr>
    </c:plotArea>
    <c:legend>
      <c:legendPos val="r"/>
      <c:layout>
        <c:manualLayout>
          <c:xMode val="edge"/>
          <c:yMode val="edge"/>
          <c:x val="0.75856447486791789"/>
          <c:y val="0.31001870950416099"/>
          <c:w val="0.2256148524028817"/>
          <c:h val="0.4860186145471217"/>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fr-BF"/>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fr-BF"/>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5D1-924C-8DE3-A2881FD7064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5D1-924C-8DE3-A2881FD7064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5D1-924C-8DE3-A2881FD7064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5D1-924C-8DE3-A2881FD7064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25D1-924C-8DE3-A2881FD70641}"/>
              </c:ext>
            </c:extLst>
          </c:dPt>
          <c:cat>
            <c:strRef>
              <c:f>Feuil4!$A$3:$A$7</c:f>
              <c:strCache>
                <c:ptCount val="5"/>
                <c:pt idx="0">
                  <c:v>Decoction</c:v>
                </c:pt>
                <c:pt idx="1">
                  <c:v>Fumigation</c:v>
                </c:pt>
                <c:pt idx="2">
                  <c:v>Infusion</c:v>
                </c:pt>
                <c:pt idx="3">
                  <c:v>Ingestion</c:v>
                </c:pt>
                <c:pt idx="4">
                  <c:v>Maceration</c:v>
                </c:pt>
              </c:strCache>
            </c:strRef>
          </c:cat>
          <c:val>
            <c:numRef>
              <c:f>Feuil4!$B$3:$B$7</c:f>
              <c:numCache>
                <c:formatCode>0%</c:formatCode>
                <c:ptCount val="5"/>
                <c:pt idx="0">
                  <c:v>0.72</c:v>
                </c:pt>
                <c:pt idx="1">
                  <c:v>0.02</c:v>
                </c:pt>
                <c:pt idx="2">
                  <c:v>0.06</c:v>
                </c:pt>
                <c:pt idx="3">
                  <c:v>0.06</c:v>
                </c:pt>
                <c:pt idx="4">
                  <c:v>0.14000000000000001</c:v>
                </c:pt>
              </c:numCache>
            </c:numRef>
          </c:val>
          <c:extLst>
            <c:ext xmlns:c16="http://schemas.microsoft.com/office/drawing/2014/chart" uri="{C3380CC4-5D6E-409C-BE32-E72D297353CC}">
              <c16:uniqueId val="{0000000A-25D1-924C-8DE3-A2881FD70641}"/>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BF"/>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BF"/>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9369372403849393E-2"/>
          <c:y val="8.3256294352094876E-2"/>
          <c:w val="0.94200621935279183"/>
          <c:h val="0.71287766112569262"/>
        </c:manualLayout>
      </c:layout>
      <c:barChart>
        <c:barDir val="col"/>
        <c:grouping val="clustered"/>
        <c:varyColors val="0"/>
        <c:ser>
          <c:idx val="0"/>
          <c:order val="0"/>
          <c:tx>
            <c:strRef>
              <c:f>Feuil6!$C$35</c:f>
              <c:strCache>
                <c:ptCount val="1"/>
                <c:pt idx="0">
                  <c:v>Fréquences % du Total</c:v>
                </c:pt>
              </c:strCache>
            </c:strRef>
          </c:tx>
          <c:spPr>
            <a:gradFill>
              <a:gsLst>
                <a:gs pos="0">
                  <a:schemeClr val="accent1"/>
                </a:gs>
                <a:gs pos="100000">
                  <a:schemeClr val="accent1">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BF"/>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Feuil6!$A$36:$A$65</c:f>
              <c:strCache>
                <c:ptCount val="30"/>
                <c:pt idx="0">
                  <c:v>A. nilotica </c:v>
                </c:pt>
                <c:pt idx="1">
                  <c:v>A. occidentale </c:v>
                </c:pt>
                <c:pt idx="2">
                  <c:v>A. senegalensis </c:v>
                </c:pt>
                <c:pt idx="3">
                  <c:v>A. indica</c:v>
                </c:pt>
                <c:pt idx="4">
                  <c:v>B. aegytiaca </c:v>
                </c:pt>
                <c:pt idx="5">
                  <c:v>C. procera </c:v>
                </c:pt>
                <c:pt idx="6">
                  <c:v>C. nigricans </c:v>
                </c:pt>
                <c:pt idx="7">
                  <c:v>C. sieberiana </c:v>
                </c:pt>
                <c:pt idx="8">
                  <c:v>C. pentandra</c:v>
                </c:pt>
                <c:pt idx="9">
                  <c:v>C. americanum </c:v>
                </c:pt>
                <c:pt idx="10">
                  <c:v>C. micrantum </c:v>
                </c:pt>
                <c:pt idx="11">
                  <c:v>E. hirta </c:v>
                </c:pt>
                <c:pt idx="12">
                  <c:v>G. senegalensis </c:v>
                </c:pt>
                <c:pt idx="13">
                  <c:v>K. senegalensis </c:v>
                </c:pt>
                <c:pt idx="14">
                  <c:v>L. microcarpa</c:v>
                </c:pt>
                <c:pt idx="15">
                  <c:v>L. hastata </c:v>
                </c:pt>
                <c:pt idx="16">
                  <c:v>M. senegalensis </c:v>
                </c:pt>
                <c:pt idx="17">
                  <c:v>M. olifera</c:v>
                </c:pt>
                <c:pt idx="18">
                  <c:v>P. biglobosa</c:v>
                </c:pt>
                <c:pt idx="19">
                  <c:v>P.  amarus </c:v>
                </c:pt>
                <c:pt idx="20">
                  <c:v>S. senegalensis </c:v>
                </c:pt>
                <c:pt idx="21">
                  <c:v>S. birrea </c:v>
                </c:pt>
                <c:pt idx="22">
                  <c:v>S. dulcis </c:v>
                </c:pt>
                <c:pt idx="23">
                  <c:v>V. colorata </c:v>
                </c:pt>
                <c:pt idx="24">
                  <c:v>V. nigritana </c:v>
                </c:pt>
                <c:pt idx="25">
                  <c:v>V. doniana  </c:v>
                </c:pt>
                <c:pt idx="26">
                  <c:v>X. zanthoxzloïdes </c:v>
                </c:pt>
                <c:pt idx="27">
                  <c:v>X.americana </c:v>
                </c:pt>
                <c:pt idx="28">
                  <c:v>Z. mauritiana </c:v>
                </c:pt>
                <c:pt idx="29">
                  <c:v>Z. mucronata  </c:v>
                </c:pt>
              </c:strCache>
            </c:strRef>
          </c:cat>
          <c:val>
            <c:numRef>
              <c:f>Feuil6!$C$36:$C$65</c:f>
              <c:numCache>
                <c:formatCode>General</c:formatCode>
                <c:ptCount val="30"/>
                <c:pt idx="0">
                  <c:v>2</c:v>
                </c:pt>
                <c:pt idx="1">
                  <c:v>4</c:v>
                </c:pt>
                <c:pt idx="2">
                  <c:v>2</c:v>
                </c:pt>
                <c:pt idx="3">
                  <c:v>2</c:v>
                </c:pt>
                <c:pt idx="4">
                  <c:v>2</c:v>
                </c:pt>
                <c:pt idx="5">
                  <c:v>2</c:v>
                </c:pt>
                <c:pt idx="6">
                  <c:v>6</c:v>
                </c:pt>
                <c:pt idx="7">
                  <c:v>2</c:v>
                </c:pt>
                <c:pt idx="8">
                  <c:v>2</c:v>
                </c:pt>
                <c:pt idx="9">
                  <c:v>2</c:v>
                </c:pt>
                <c:pt idx="10">
                  <c:v>2</c:v>
                </c:pt>
                <c:pt idx="11">
                  <c:v>2</c:v>
                </c:pt>
                <c:pt idx="12">
                  <c:v>2</c:v>
                </c:pt>
                <c:pt idx="13">
                  <c:v>6</c:v>
                </c:pt>
                <c:pt idx="14">
                  <c:v>2</c:v>
                </c:pt>
                <c:pt idx="15">
                  <c:v>14.000000000000002</c:v>
                </c:pt>
                <c:pt idx="16">
                  <c:v>2</c:v>
                </c:pt>
                <c:pt idx="17">
                  <c:v>4</c:v>
                </c:pt>
                <c:pt idx="18">
                  <c:v>2</c:v>
                </c:pt>
                <c:pt idx="19">
                  <c:v>2</c:v>
                </c:pt>
                <c:pt idx="20">
                  <c:v>2</c:v>
                </c:pt>
                <c:pt idx="21">
                  <c:v>10</c:v>
                </c:pt>
                <c:pt idx="22">
                  <c:v>2</c:v>
                </c:pt>
                <c:pt idx="23">
                  <c:v>2</c:v>
                </c:pt>
                <c:pt idx="24">
                  <c:v>2</c:v>
                </c:pt>
                <c:pt idx="25">
                  <c:v>4</c:v>
                </c:pt>
                <c:pt idx="26">
                  <c:v>2</c:v>
                </c:pt>
                <c:pt idx="27">
                  <c:v>4</c:v>
                </c:pt>
                <c:pt idx="28">
                  <c:v>6</c:v>
                </c:pt>
                <c:pt idx="29">
                  <c:v>2</c:v>
                </c:pt>
              </c:numCache>
            </c:numRef>
          </c:val>
          <c:extLst>
            <c:ext xmlns:c16="http://schemas.microsoft.com/office/drawing/2014/chart" uri="{C3380CC4-5D6E-409C-BE32-E72D297353CC}">
              <c16:uniqueId val="{00000000-A62F-450E-856E-E17FCD4BC3B1}"/>
            </c:ext>
          </c:extLst>
        </c:ser>
        <c:dLbls>
          <c:dLblPos val="outEnd"/>
          <c:showLegendKey val="0"/>
          <c:showVal val="1"/>
          <c:showCatName val="0"/>
          <c:showSerName val="0"/>
          <c:showPercent val="0"/>
          <c:showBubbleSize val="0"/>
        </c:dLbls>
        <c:gapWidth val="41"/>
        <c:axId val="816825264"/>
        <c:axId val="816829584"/>
      </c:barChart>
      <c:catAx>
        <c:axId val="816825264"/>
        <c:scaling>
          <c:orientation val="minMax"/>
        </c:scaling>
        <c:delete val="0"/>
        <c:axPos val="b"/>
        <c:numFmt formatCode="General" sourceLinked="1"/>
        <c:majorTickMark val="none"/>
        <c:minorTickMark val="none"/>
        <c:tickLblPos val="nextTo"/>
        <c:spPr>
          <a:solidFill>
            <a:schemeClr val="bg1"/>
          </a:solidFill>
          <a:ln>
            <a:noFill/>
          </a:ln>
          <a:effectLst/>
        </c:spPr>
        <c:txPr>
          <a:bodyPr rot="-60000000" spcFirstLastPara="1" vertOverflow="ellipsis" vert="horz" wrap="square" anchor="ctr" anchorCtr="1"/>
          <a:lstStyle/>
          <a:p>
            <a:pPr>
              <a:defRPr sz="900" b="1" i="1" u="none" strike="noStrike" kern="1200" baseline="0">
                <a:solidFill>
                  <a:schemeClr val="dk1">
                    <a:lumMod val="65000"/>
                    <a:lumOff val="35000"/>
                  </a:schemeClr>
                </a:solidFill>
                <a:effectLst/>
                <a:latin typeface="Times New Roman" panose="02020603050405020304" pitchFamily="18" charset="0"/>
                <a:ea typeface="+mn-ea"/>
                <a:cs typeface="Times New Roman" panose="02020603050405020304" pitchFamily="18" charset="0"/>
              </a:defRPr>
            </a:pPr>
            <a:endParaRPr lang="fr-BF"/>
          </a:p>
        </c:txPr>
        <c:crossAx val="816829584"/>
        <c:crosses val="autoZero"/>
        <c:auto val="1"/>
        <c:lblAlgn val="ctr"/>
        <c:lblOffset val="100"/>
        <c:noMultiLvlLbl val="0"/>
      </c:catAx>
      <c:valAx>
        <c:axId val="816829584"/>
        <c:scaling>
          <c:orientation val="minMax"/>
        </c:scaling>
        <c:delete val="1"/>
        <c:axPos val="l"/>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r>
                  <a:rPr lang="fr-FR"/>
                  <a:t>citation frequency of species</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latin typeface="Times New Roman" panose="02020603050405020304" pitchFamily="18" charset="0"/>
                    <a:cs typeface="Times New Roman" panose="02020603050405020304" pitchFamily="18" charset="0"/>
                  </a:defRPr>
                </a:pPr>
                <a:r>
                  <a:rPr lang="fr-FR" baseline="0">
                    <a:latin typeface="Times New Roman" panose="02020603050405020304" pitchFamily="18" charset="0"/>
                    <a:cs typeface="Times New Roman" panose="02020603050405020304" pitchFamily="18" charset="0"/>
                  </a:rPr>
                  <a:t> (%)</a:t>
                </a:r>
                <a:endParaRPr lang="fr-FR">
                  <a:latin typeface="Times New Roman" panose="02020603050405020304" pitchFamily="18" charset="0"/>
                  <a:cs typeface="Times New Roman" panose="02020603050405020304" pitchFamily="18" charset="0"/>
                </a:endParaRPr>
              </a:p>
            </c:rich>
          </c:tx>
          <c:overlay val="0"/>
          <c:spPr>
            <a:solidFill>
              <a:sysClr val="window" lastClr="FFFFFF"/>
            </a:solid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1" i="0" u="none" strike="noStrike" kern="1200" baseline="0">
                  <a:solidFill>
                    <a:sysClr val="windowText" lastClr="000000">
                      <a:lumMod val="65000"/>
                      <a:lumOff val="35000"/>
                    </a:sysClr>
                  </a:solidFill>
                  <a:latin typeface="Times New Roman" panose="02020603050405020304" pitchFamily="18" charset="0"/>
                  <a:ea typeface="+mn-ea"/>
                  <a:cs typeface="Times New Roman" panose="02020603050405020304" pitchFamily="18" charset="0"/>
                </a:defRPr>
              </a:pPr>
              <a:endParaRPr lang="fr-BF"/>
            </a:p>
          </c:txPr>
        </c:title>
        <c:numFmt formatCode="General" sourceLinked="1"/>
        <c:majorTickMark val="none"/>
        <c:minorTickMark val="none"/>
        <c:tickLblPos val="nextTo"/>
        <c:crossAx val="816825264"/>
        <c:crosses val="autoZero"/>
        <c:crossBetween val="between"/>
      </c:valAx>
      <c:spPr>
        <a:solidFill>
          <a:sysClr val="window" lastClr="FFFFFF"/>
        </a:solidFill>
        <a:ln>
          <a:noFill/>
        </a:ln>
        <a:effectLst/>
      </c:spPr>
    </c:plotArea>
    <c:plotVisOnly val="1"/>
    <c:dispBlanksAs val="gap"/>
    <c:showDLblsOverMax val="0"/>
  </c:chart>
  <c:spPr>
    <a:solidFill>
      <a:sysClr val="window" lastClr="FFFFFF"/>
    </a:solidFill>
    <a:ln w="9525" cap="flat" cmpd="sng" algn="ctr">
      <a:solidFill>
        <a:schemeClr val="dk1">
          <a:lumMod val="15000"/>
          <a:lumOff val="85000"/>
        </a:schemeClr>
      </a:solidFill>
      <a:round/>
    </a:ln>
    <a:effectLst/>
  </c:spPr>
  <c:txPr>
    <a:bodyPr/>
    <a:lstStyle/>
    <a:p>
      <a:pPr>
        <a:defRPr/>
      </a:pPr>
      <a:endParaRPr lang="fr-BF"/>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30</Pages>
  <Words>7949</Words>
  <Characters>45312</Characters>
  <Application>Microsoft Office Word</Application>
  <DocSecurity>0</DocSecurity>
  <Lines>377</Lines>
  <Paragraphs>106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diarralidwine@gmail.com</dc:creator>
  <cp:keywords/>
  <dc:description/>
  <cp:lastModifiedBy>SDI 1166</cp:lastModifiedBy>
  <cp:revision>22</cp:revision>
  <dcterms:created xsi:type="dcterms:W3CDTF">2026-09-03T21:47:00Z</dcterms:created>
  <dcterms:modified xsi:type="dcterms:W3CDTF">2026-09-04T10:36:00Z</dcterms:modified>
</cp:coreProperties>
</file>