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FCE75" w14:textId="77777777" w:rsidR="0031390C" w:rsidRPr="0031390C" w:rsidRDefault="0031390C" w:rsidP="0031390C">
      <w:pPr>
        <w:pStyle w:val="Title"/>
        <w:jc w:val="both"/>
        <w:rPr>
          <w:rFonts w:ascii="Arial" w:hAnsi="Arial" w:cs="Arial"/>
          <w:bCs/>
          <w:i/>
          <w:iCs/>
          <w:u w:val="single"/>
          <w:lang w:val="en-US"/>
        </w:rPr>
      </w:pPr>
      <w:r w:rsidRPr="0031390C">
        <w:rPr>
          <w:rFonts w:ascii="Arial" w:hAnsi="Arial" w:cs="Arial"/>
          <w:bCs/>
          <w:i/>
          <w:iCs/>
          <w:u w:val="single"/>
          <w:lang w:val="en-US"/>
        </w:rPr>
        <w:t>Original Research Article</w:t>
      </w:r>
    </w:p>
    <w:p w14:paraId="0F513ABF" w14:textId="77777777" w:rsidR="00754C9A" w:rsidRDefault="00754C9A" w:rsidP="00441B6F">
      <w:pPr>
        <w:pStyle w:val="Title"/>
        <w:spacing w:after="0"/>
        <w:jc w:val="both"/>
        <w:rPr>
          <w:rFonts w:ascii="Arial" w:hAnsi="Arial" w:cs="Arial"/>
        </w:rPr>
      </w:pPr>
    </w:p>
    <w:p w14:paraId="3A475D25" w14:textId="1A75BE69" w:rsidR="00163BC4" w:rsidRPr="00163BC4" w:rsidRDefault="00F7506A" w:rsidP="00441B6F">
      <w:pPr>
        <w:pStyle w:val="Author"/>
        <w:spacing w:line="240" w:lineRule="auto"/>
        <w:rPr>
          <w:rFonts w:ascii="Arial" w:hAnsi="Arial" w:cs="Arial"/>
          <w:bCs/>
          <w:iCs/>
          <w:kern w:val="28"/>
          <w:sz w:val="36"/>
        </w:rPr>
      </w:pPr>
      <w:r w:rsidRPr="00F7506A">
        <w:rPr>
          <w:rFonts w:ascii="Arial" w:hAnsi="Arial" w:cs="Arial"/>
          <w:color w:val="000000"/>
          <w:sz w:val="36"/>
          <w:szCs w:val="36"/>
        </w:rPr>
        <w:t>Signaling in Highly Enrolled MOOCs: A Comparative Documentary Analysis of University- and Industry-Provided Courses</w:t>
      </w:r>
      <w:r w:rsidR="00231920">
        <w:rPr>
          <w:rFonts w:ascii="Arial" w:hAnsi="Arial" w:cs="Arial"/>
          <w:bCs/>
          <w:iCs/>
          <w:kern w:val="28"/>
          <w:sz w:val="36"/>
        </w:rPr>
        <w:t xml:space="preserve"> </w:t>
      </w:r>
    </w:p>
    <w:p w14:paraId="5ECD3147" w14:textId="77777777" w:rsidR="00A258C3" w:rsidRPr="00790ADA" w:rsidRDefault="00A258C3" w:rsidP="00441B6F">
      <w:pPr>
        <w:pStyle w:val="Author"/>
        <w:spacing w:line="240" w:lineRule="auto"/>
        <w:jc w:val="both"/>
        <w:rPr>
          <w:rFonts w:ascii="Arial" w:hAnsi="Arial" w:cs="Arial"/>
          <w:sz w:val="36"/>
        </w:rPr>
      </w:pPr>
    </w:p>
    <w:p w14:paraId="466F1672" w14:textId="77777777" w:rsidR="00B01FCD" w:rsidRPr="00FB3A86" w:rsidRDefault="00FC4AE7" w:rsidP="00441B6F">
      <w:pPr>
        <w:pStyle w:val="Copyright"/>
        <w:spacing w:after="0" w:line="240" w:lineRule="auto"/>
        <w:jc w:val="both"/>
        <w:rPr>
          <w:rFonts w:ascii="Arial" w:hAnsi="Arial" w:cs="Arial"/>
        </w:rPr>
        <w:sectPr w:rsidR="00B01FCD" w:rsidRPr="00FB3A86" w:rsidSect="00A1717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2EBCE071" w14:textId="3BEEC279" w:rsidR="00B01FCD" w:rsidRDefault="00B01FCD" w:rsidP="00441B6F">
      <w:pPr>
        <w:pStyle w:val="AbstHead"/>
        <w:spacing w:after="0"/>
        <w:jc w:val="both"/>
        <w:rPr>
          <w:rFonts w:ascii="Arial" w:hAnsi="Arial" w:cs="Arial"/>
        </w:rPr>
      </w:pPr>
      <w:r w:rsidRPr="00FB3A86">
        <w:rPr>
          <w:rFonts w:ascii="Arial" w:hAnsi="Arial" w:cs="Arial"/>
        </w:rPr>
        <w:t>ABSTRACT</w:t>
      </w:r>
    </w:p>
    <w:p w14:paraId="1EFB1E67"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B97D749" w14:textId="77777777" w:rsidTr="001E44FE">
        <w:tc>
          <w:tcPr>
            <w:tcW w:w="9576" w:type="dxa"/>
            <w:shd w:val="clear" w:color="auto" w:fill="F2F2F2"/>
          </w:tcPr>
          <w:p w14:paraId="3465AC82" w14:textId="732D36B3" w:rsidR="00505F06" w:rsidRPr="00B2615A" w:rsidRDefault="007C0507" w:rsidP="00B2615A">
            <w:pPr>
              <w:pStyle w:val="NormalWeb"/>
              <w:spacing w:before="0" w:beforeAutospacing="0" w:after="0" w:afterAutospacing="0"/>
            </w:pPr>
            <w:r>
              <w:rPr>
                <w:rFonts w:ascii="Arial" w:hAnsi="Arial" w:cs="Arial"/>
                <w:color w:val="000000"/>
                <w:sz w:val="20"/>
                <w:szCs w:val="20"/>
              </w:rPr>
              <w:t xml:space="preserve">Massive open online courses (MOOCs) offer prospective learners a wide range of options from both university and industry providers; however, key course qualities often remain difficult to evaluate prior to enrollment. This study addresses this information gap by employing a qualitative comparative documentary research design to analyze signaling patterns in ten highly enrolled MOOCs offered by university and industry providers on Coursera. Guided by Signaling Theory, the analysis applies four study-specific analytical categories to publicly available course information: provider reputation and prestige, instructor expertise, rigor signals, and credential and competence signals. Cases were purposively selected from the Class Central </w:t>
            </w:r>
            <w:r>
              <w:rPr>
                <w:rFonts w:ascii="Arial" w:hAnsi="Arial" w:cs="Arial"/>
                <w:i/>
                <w:iCs/>
                <w:color w:val="000000"/>
                <w:sz w:val="20"/>
                <w:szCs w:val="20"/>
              </w:rPr>
              <w:t>100 Most Popular Online Courses (2025 Edition)</w:t>
            </w:r>
            <w:r>
              <w:rPr>
                <w:rFonts w:ascii="Arial" w:hAnsi="Arial" w:cs="Arial"/>
                <w:color w:val="000000"/>
                <w:sz w:val="20"/>
                <w:szCs w:val="20"/>
              </w:rPr>
              <w:t>, with five university-provided and five industry-provided MOOCs chosen to enable balanced comparison. The findings show that both provider groups communicate overlapping forms of value, with credential and competence signals consistently present across cases. Nevertheless, the groups differ in their communication of credibility and competence: university-provided MOOCs more frequently highlight individual academic or professional expertise and disciplinary competence, while industry-provided MOOCs more often emphasize organizational authority and frame competence through applied technical skills and professional practice. The comparison further suggests that signaling is best understood as a configuration of observable signals, with carriers and framing varying according to provider context, rather than as a single measure of course quality. As the study examines only highly enrolled cases and relies exclusively on publicly available information, the findings describe signaling configurations associated with these MOOCs but do not establish causality regarding enrollment or reflect learner perceptions. This study contributes to MOOC and signaling research by demonstrating how comparative documentary analysis can examine provider-generated signals and reveal how organizational context shapes the communication of credibility and competence in online learning environments.</w:t>
            </w:r>
          </w:p>
        </w:tc>
      </w:tr>
    </w:tbl>
    <w:p w14:paraId="4B2AE01D" w14:textId="77777777" w:rsidR="00636EB2" w:rsidRDefault="00636EB2" w:rsidP="00441B6F">
      <w:pPr>
        <w:pStyle w:val="Body"/>
        <w:spacing w:after="0"/>
        <w:rPr>
          <w:rFonts w:ascii="Arial" w:hAnsi="Arial" w:cs="Arial"/>
          <w:i/>
        </w:rPr>
      </w:pPr>
    </w:p>
    <w:p w14:paraId="2E7DA36B" w14:textId="3AE547AA" w:rsidR="0024282C" w:rsidRPr="007C0507" w:rsidRDefault="00A24E7E" w:rsidP="00441B6F">
      <w:pPr>
        <w:pStyle w:val="Body"/>
        <w:spacing w:after="0"/>
        <w:rPr>
          <w:rFonts w:ascii="Arial" w:hAnsi="Arial" w:cs="Arial"/>
          <w:i/>
          <w:sz w:val="20"/>
          <w:szCs w:val="20"/>
        </w:rPr>
      </w:pPr>
      <w:r w:rsidRPr="007C0507">
        <w:rPr>
          <w:rFonts w:ascii="Arial" w:hAnsi="Arial" w:cs="Arial"/>
          <w:i/>
          <w:sz w:val="20"/>
          <w:szCs w:val="20"/>
        </w:rPr>
        <w:t xml:space="preserve">Keywords: </w:t>
      </w:r>
      <w:r w:rsidR="007C0507" w:rsidRPr="007C0507">
        <w:rPr>
          <w:rFonts w:ascii="Arial" w:hAnsi="Arial" w:cs="Arial"/>
          <w:i/>
          <w:color w:val="000000"/>
          <w:sz w:val="20"/>
          <w:szCs w:val="20"/>
        </w:rPr>
        <w:t>Signaling Theory; massive open online courses; MOOCs; online learning; documentary analysis; university-industry comparison</w:t>
      </w:r>
    </w:p>
    <w:p w14:paraId="24F31956" w14:textId="77777777" w:rsidR="00505F06" w:rsidRPr="00A24E7E" w:rsidRDefault="00505F06" w:rsidP="00441B6F">
      <w:pPr>
        <w:pStyle w:val="Body"/>
        <w:spacing w:after="0"/>
        <w:rPr>
          <w:rFonts w:ascii="Arial" w:hAnsi="Arial" w:cs="Arial"/>
          <w:i/>
        </w:rPr>
      </w:pPr>
    </w:p>
    <w:p w14:paraId="1D1FCD70" w14:textId="073029D2"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68190951" w14:textId="77777777" w:rsidR="00790ADA" w:rsidRPr="007556F4" w:rsidRDefault="00790ADA" w:rsidP="00441B6F">
      <w:pPr>
        <w:pStyle w:val="AbstHead"/>
        <w:spacing w:after="0"/>
        <w:jc w:val="both"/>
        <w:rPr>
          <w:rFonts w:ascii="Arial" w:hAnsi="Arial" w:cs="Arial"/>
          <w:sz w:val="20"/>
          <w:szCs w:val="20"/>
        </w:rPr>
      </w:pPr>
    </w:p>
    <w:p w14:paraId="2062F695"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Massive open online courses (MOOCs) have become a foundational element of digital and open education, offering learners access to a broad range of subjects and institutional contexts. MOOCs have extended higher education beyond traditional campus settings and created a diverse learning environment in which courses vary in content, instructional design, assessment methods, workload, credentials, and provider identity (Deng et al., </w:t>
      </w:r>
      <w:r w:rsidRPr="007556F4">
        <w:rPr>
          <w:rFonts w:ascii="Arial" w:hAnsi="Arial" w:cs="Arial"/>
          <w:color w:val="000000"/>
          <w:sz w:val="20"/>
          <w:szCs w:val="20"/>
        </w:rPr>
        <w:lastRenderedPageBreak/>
        <w:t>2019). This scale and diversity give prospective learners substantial choice but also create a practical information challenge. Before enrollment, learners typically have limited direct knowledge of course performance, demands, instructor credibility, or the value of completion credentials. As a result, they often rely on information available before participation.</w:t>
      </w:r>
    </w:p>
    <w:p w14:paraId="0F9A7F75"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This situation creates information asymmetry between providers and prospective learners. Providers know far more about course development, instructional resources, expertise, and intended value than learners can directly access. Public course pages therefore serve as a critical information environment where providers present course offerings and their potential value. Research in online learning shows that information quality influences learners’ evaluations of e-learning environments (</w:t>
      </w:r>
      <w:proofErr w:type="spellStart"/>
      <w:r w:rsidRPr="007556F4">
        <w:rPr>
          <w:rFonts w:ascii="Arial" w:hAnsi="Arial" w:cs="Arial"/>
          <w:color w:val="000000"/>
          <w:sz w:val="20"/>
          <w:szCs w:val="20"/>
        </w:rPr>
        <w:t>Alterkait</w:t>
      </w:r>
      <w:proofErr w:type="spellEnd"/>
      <w:r w:rsidRPr="007556F4">
        <w:rPr>
          <w:rFonts w:ascii="Arial" w:hAnsi="Arial" w:cs="Arial"/>
          <w:color w:val="000000"/>
          <w:sz w:val="20"/>
          <w:szCs w:val="20"/>
        </w:rPr>
        <w:t xml:space="preserve"> &amp; </w:t>
      </w:r>
      <w:proofErr w:type="spellStart"/>
      <w:r w:rsidRPr="007556F4">
        <w:rPr>
          <w:rFonts w:ascii="Arial" w:hAnsi="Arial" w:cs="Arial"/>
          <w:color w:val="000000"/>
          <w:sz w:val="20"/>
          <w:szCs w:val="20"/>
        </w:rPr>
        <w:t>Alduaij</w:t>
      </w:r>
      <w:proofErr w:type="spellEnd"/>
      <w:r w:rsidRPr="007556F4">
        <w:rPr>
          <w:rFonts w:ascii="Arial" w:hAnsi="Arial" w:cs="Arial"/>
          <w:color w:val="000000"/>
          <w:sz w:val="20"/>
          <w:szCs w:val="20"/>
        </w:rPr>
        <w:t>, 2024). MOOC research further indicates that learners consider multiple course characteristics when selecting or evaluating courses. For instance, Hew et al. (2020) identified instructor, content, assessment, and scheduling as factors associated with learner satisfaction, while Chen et al. (2024) highlighted assessment, content, effort, usefulness, faculty, interaction, and structure as key concerns in online-course reviews. These findings suggest that prospective learners evaluate online courses using multiple observable characteristics rather than a single indicator.</w:t>
      </w:r>
    </w:p>
    <w:p w14:paraId="3518705D"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Signaling Theory provides a framework for analyzing this information problem by explaining how actors convey observable information about qualities that may otherwise be difficult for others to assess (Connelly et al., 2011, 2025). In the educational marketplace, providers act as signalers and prospective learners as receivers. Elements such as provider reputation, instructor expertise, course requirements, assessments, competencies, and credentials serve as observable signals of course value. The signaling perspective is particularly relevant to MOOCs, as prospective learners often encounter course information before any direct experience. For example, reputation has been shown to influence users’ continued engagement with MOOCs, indicating that provider-related perceptions contribute to learners’ evaluations of online learning opportunities (</w:t>
      </w:r>
      <w:proofErr w:type="spellStart"/>
      <w:r w:rsidRPr="007556F4">
        <w:rPr>
          <w:rFonts w:ascii="Arial" w:hAnsi="Arial" w:cs="Arial"/>
          <w:color w:val="000000"/>
          <w:sz w:val="20"/>
          <w:szCs w:val="20"/>
        </w:rPr>
        <w:t>Alraimi</w:t>
      </w:r>
      <w:proofErr w:type="spellEnd"/>
      <w:r w:rsidRPr="007556F4">
        <w:rPr>
          <w:rFonts w:ascii="Arial" w:hAnsi="Arial" w:cs="Arial"/>
          <w:color w:val="000000"/>
          <w:sz w:val="20"/>
          <w:szCs w:val="20"/>
        </w:rPr>
        <w:t xml:space="preserve"> et al., 2015).</w:t>
      </w:r>
    </w:p>
    <w:p w14:paraId="059B76DB"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Previous MOOC research has explored course quality, learner satisfaction, engagement, retention, and course selection. However, much of this literature focuses on learners’ perceptions or observed behaviors. For example, Hew et al. (2020) analyzed learner reviews to identify factors at both the course and learner levels associated with satisfaction. Research on course recommendation and selection has investigated relationships between learners and courses using behavioral or computational methods (Yu et al., 2024), while studies on course choice have examined how students select among courses with varying characteristics and difficulty levels (Srivastava et al., 2024). Although these studies provide valuable insights into learner responses, they pay comparatively less attention to the provider side of the information exchange: specifically, what providers make observable through public course information and how these signals are structured before learner participation.</w:t>
      </w:r>
    </w:p>
    <w:p w14:paraId="382B6595"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The provider perspective is especially significant when comparing university- and industry-provided MOOCs. Universities and industry organizations hold distinct institutional positions and derive credibility from different sources. Universities may convey authority through academic identity, disciplinary expertise, faculty qualifications, and educational credentials. In contrast, industry organizations may emphasize organizational expertise, professional practice, technical authority, or links to current technologies and workplace competencies. These distinctions do not necessarily indicate fundamentally different approaches to value communication. Instead, they raise the question of whether similar qualities are made observable through different sources and signaling methods.</w:t>
      </w:r>
    </w:p>
    <w:p w14:paraId="73E4DD8B"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 xml:space="preserve">This distinction is significant because provider identity is observable before enrollment. Prospective learners can identify the course provider, instructor, specified competencies, expected requirements, and associated completion credentials. However, the mere presence of such information does not guarantee effectiveness. Providers may communicate signals that learners do not notice, trust, or act upon. Therefore, analyzing publicly available </w:t>
      </w:r>
      <w:r w:rsidRPr="007556F4">
        <w:rPr>
          <w:rFonts w:ascii="Arial" w:hAnsi="Arial" w:cs="Arial"/>
          <w:color w:val="000000"/>
          <w:sz w:val="20"/>
          <w:szCs w:val="20"/>
        </w:rPr>
        <w:lastRenderedPageBreak/>
        <w:t>course information enables the study of signal communication without presuming signal effectiveness.</w:t>
      </w:r>
    </w:p>
    <w:p w14:paraId="2E140439"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This study focuses on highly enrolled MOOCs. High enrollment serves as an externally validated criterion for selecting information-rich cases where many learners have chosen to participate. In this context, enrollment is used as a case-selection characteristic rather than as a dependent variable or causal outcome. The study does not seek to determine whether specific signals influenced enrollment, nor does it compare learner responses between high- and low-enrollment courses. This distinction is crucial because enrollment and participation in MOOCs are complex processes, and enrollment figures alone do not explain learners’ course selection decisions (Jordan, 2015). To support this case-selection rationale, the study relies on publicly available course information and does not involve direct learner participation.</w:t>
      </w:r>
    </w:p>
    <w:p w14:paraId="50F2D9BF"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Against this background, a comparative examination of highly enrolled university- and industry-provided MOOCs can address an underexplored dimension of MOOC research: the observable signals that differentiate types of course communication and course information. The study therefore aims to comparatively examine the signals communicated through publicly available information from highly enrolled university- and industry-provided MOOCs using Signaling Theory.</w:t>
      </w:r>
    </w:p>
    <w:p w14:paraId="0F984277"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color w:val="000000"/>
          <w:sz w:val="20"/>
          <w:szCs w:val="20"/>
        </w:rPr>
        <w:t>Specifically, the study addresses the following research questions:</w:t>
      </w:r>
    </w:p>
    <w:p w14:paraId="5F3A8D0B"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b/>
          <w:bCs/>
          <w:color w:val="000000"/>
          <w:sz w:val="20"/>
          <w:szCs w:val="20"/>
        </w:rPr>
        <w:t xml:space="preserve">RQ1. </w:t>
      </w:r>
      <w:r w:rsidRPr="007556F4">
        <w:rPr>
          <w:rFonts w:ascii="Arial" w:hAnsi="Arial" w:cs="Arial"/>
          <w:color w:val="000000"/>
          <w:sz w:val="20"/>
          <w:szCs w:val="20"/>
        </w:rPr>
        <w:t>What signals are communicated through publicly available information of highly enrolled university-provided MOOCs?</w:t>
      </w:r>
    </w:p>
    <w:p w14:paraId="6441D994" w14:textId="77777777" w:rsidR="007556F4" w:rsidRPr="007556F4" w:rsidRDefault="007556F4" w:rsidP="007556F4">
      <w:pPr>
        <w:pStyle w:val="NormalWeb"/>
        <w:spacing w:before="0" w:beforeAutospacing="0" w:after="0" w:afterAutospacing="0"/>
        <w:rPr>
          <w:sz w:val="20"/>
          <w:szCs w:val="20"/>
        </w:rPr>
      </w:pPr>
      <w:r w:rsidRPr="007556F4">
        <w:rPr>
          <w:rFonts w:ascii="Arial" w:hAnsi="Arial" w:cs="Arial"/>
          <w:b/>
          <w:bCs/>
          <w:color w:val="000000"/>
          <w:sz w:val="20"/>
          <w:szCs w:val="20"/>
        </w:rPr>
        <w:t xml:space="preserve">RQ2. </w:t>
      </w:r>
      <w:r w:rsidRPr="007556F4">
        <w:rPr>
          <w:rFonts w:ascii="Arial" w:hAnsi="Arial" w:cs="Arial"/>
          <w:color w:val="000000"/>
          <w:sz w:val="20"/>
          <w:szCs w:val="20"/>
        </w:rPr>
        <w:t>What signals are communicated through publicly available information of highly enrolled industry-provided MOOCs?</w:t>
      </w:r>
    </w:p>
    <w:p w14:paraId="66C16D1D" w14:textId="6ABD175C" w:rsidR="007556F4" w:rsidRPr="007556F4" w:rsidRDefault="007556F4" w:rsidP="004243E6">
      <w:pPr>
        <w:pStyle w:val="NormalWeb"/>
        <w:spacing w:before="0" w:beforeAutospacing="0" w:after="0" w:afterAutospacing="0"/>
        <w:rPr>
          <w:sz w:val="20"/>
          <w:szCs w:val="20"/>
        </w:rPr>
      </w:pPr>
      <w:r w:rsidRPr="007556F4">
        <w:rPr>
          <w:rFonts w:ascii="Arial" w:hAnsi="Arial" w:cs="Arial"/>
          <w:b/>
          <w:bCs/>
          <w:color w:val="000000"/>
          <w:sz w:val="20"/>
          <w:szCs w:val="20"/>
        </w:rPr>
        <w:t xml:space="preserve">RQ3. </w:t>
      </w:r>
      <w:r w:rsidRPr="007556F4">
        <w:rPr>
          <w:rFonts w:ascii="Arial" w:hAnsi="Arial" w:cs="Arial"/>
          <w:color w:val="000000"/>
          <w:sz w:val="20"/>
          <w:szCs w:val="20"/>
        </w:rPr>
        <w:t>How do signaling patterns of highly enrolled university- and industry-provided MOOCs differ?</w:t>
      </w:r>
    </w:p>
    <w:p w14:paraId="489AAA3F" w14:textId="77777777" w:rsidR="00790ADA" w:rsidRPr="00244F25" w:rsidRDefault="00790ADA" w:rsidP="00441B6F">
      <w:pPr>
        <w:pStyle w:val="Body"/>
        <w:spacing w:after="0"/>
        <w:rPr>
          <w:rFonts w:ascii="Arial" w:hAnsi="Arial" w:cs="Arial"/>
          <w:sz w:val="20"/>
          <w:szCs w:val="20"/>
        </w:rPr>
      </w:pPr>
    </w:p>
    <w:p w14:paraId="708212B8" w14:textId="643D93AC"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491502E5" w14:textId="77777777" w:rsidR="00790ADA" w:rsidRPr="00FB3A86" w:rsidRDefault="00790ADA" w:rsidP="00441B6F">
      <w:pPr>
        <w:pStyle w:val="AbstHead"/>
        <w:spacing w:after="0"/>
        <w:jc w:val="both"/>
        <w:rPr>
          <w:rFonts w:ascii="Arial" w:hAnsi="Arial" w:cs="Arial"/>
        </w:rPr>
      </w:pPr>
    </w:p>
    <w:p w14:paraId="2C54C94A"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4BBAF25A" w14:textId="77777777" w:rsidR="00B57BC1" w:rsidRDefault="00B57BC1" w:rsidP="00B57BC1"/>
    <w:p w14:paraId="76DC56D6" w14:textId="77777777" w:rsidR="004243E6" w:rsidRDefault="004243E6" w:rsidP="004243E6">
      <w:pPr>
        <w:pStyle w:val="NormalWeb"/>
        <w:spacing w:before="0" w:beforeAutospacing="0" w:after="0" w:afterAutospacing="0"/>
      </w:pPr>
      <w:r>
        <w:rPr>
          <w:rFonts w:ascii="Arial" w:hAnsi="Arial" w:cs="Arial"/>
          <w:color w:val="000000"/>
          <w:sz w:val="20"/>
          <w:szCs w:val="20"/>
        </w:rPr>
        <w:t>A qualitative comparative documentary research design was employed to examine the signals communicated through publicly available information from highly enrolled university- and industry-provided MOOCs. Documentary analysis was selected because the research focused on information intentionally presented to prospective learners via online course pages, rather than on learners’ perceptions, motivations, or experiences. Qualitative documentary research is well suited to the systematic examination of textual and informational materials as sources of evidence for understanding phenomena within their contextual settings (Alshehri, 2025; Case, 2024).</w:t>
      </w:r>
    </w:p>
    <w:p w14:paraId="7DFC5809" w14:textId="77777777" w:rsidR="004243E6" w:rsidRDefault="004243E6" w:rsidP="004243E6">
      <w:pPr>
        <w:pStyle w:val="NormalWeb"/>
        <w:spacing w:before="0" w:beforeAutospacing="0" w:after="0" w:afterAutospacing="0"/>
      </w:pPr>
      <w:r>
        <w:rPr>
          <w:rFonts w:ascii="Arial" w:hAnsi="Arial" w:cs="Arial"/>
          <w:color w:val="000000"/>
          <w:sz w:val="20"/>
          <w:szCs w:val="20"/>
        </w:rPr>
        <w:t>The comparative dimension of the design enabled examination of two provider groups: university and industry organizations, within the same MOOC platform environment. Each selected MOOC was treated as an individual case, allowing analysis of its publicly communicated information before synthesizing patterns within and across the two provider groups. The purpose of the comparison was not to determine which provider type leads to greater enrollment, but rather to identify and compare the signaling patterns present among MOOCs that had already achieved high enrollment.</w:t>
      </w:r>
    </w:p>
    <w:p w14:paraId="54CA3AB1" w14:textId="77777777" w:rsidR="004243E6" w:rsidRDefault="004243E6" w:rsidP="004243E6">
      <w:pPr>
        <w:pStyle w:val="NormalWeb"/>
        <w:spacing w:before="0" w:beforeAutospacing="0" w:after="0" w:afterAutospacing="0"/>
      </w:pPr>
      <w:r>
        <w:rPr>
          <w:rFonts w:ascii="Arial" w:hAnsi="Arial" w:cs="Arial"/>
          <w:color w:val="000000"/>
          <w:sz w:val="20"/>
          <w:szCs w:val="20"/>
        </w:rPr>
        <w:t>Signaling Theory provided the theoretical framework for interpreting these publicly observable communications. This theory addresses situations characterized by information asymmetry, where signalers communicate observable information that may convey otherwise unobservable qualities to receivers (Connelly et al., 2011). Recent developments in the theory further emphasize the importance of observable signals in decision-making under incomplete information (Connelly et al., 2025). In this context, MOOC providers were considered signalers, prospective learners as receivers, and publicly available course information as the signaling environment.</w:t>
      </w:r>
    </w:p>
    <w:p w14:paraId="6D3A8804" w14:textId="77777777" w:rsidR="004243E6" w:rsidRDefault="004243E6" w:rsidP="004243E6">
      <w:pPr>
        <w:pStyle w:val="NormalWeb"/>
        <w:spacing w:before="0" w:beforeAutospacing="0" w:after="0" w:afterAutospacing="0"/>
      </w:pPr>
      <w:r>
        <w:rPr>
          <w:rFonts w:ascii="Arial" w:hAnsi="Arial" w:cs="Arial"/>
          <w:color w:val="000000"/>
          <w:sz w:val="20"/>
          <w:szCs w:val="20"/>
        </w:rPr>
        <w:lastRenderedPageBreak/>
        <w:t>A theory-directed qualitative approach was used, with Signaling Theory guiding the interpretation of observable course information. The analysis focused on identifying how such information communicated credibility, expertise, rigor, and competence or credential value. Detailed analytical categories and coding procedures are presented in the subsequent methodology sections.</w:t>
      </w:r>
    </w:p>
    <w:p w14:paraId="7FDD7716" w14:textId="77777777" w:rsidR="00B57BC1" w:rsidRDefault="00B57BC1" w:rsidP="00B57BC1"/>
    <w:p w14:paraId="6E2E7E20" w14:textId="2F6B0B15"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 xml:space="preserve">2.2 </w:t>
      </w:r>
      <w:r w:rsidR="001F3917">
        <w:rPr>
          <w:rFonts w:ascii="Arial" w:hAnsi="Arial" w:cs="Arial"/>
          <w:b/>
          <w:bCs/>
          <w:color w:val="000000"/>
          <w:sz w:val="22"/>
          <w:szCs w:val="22"/>
        </w:rPr>
        <w:t>Course Selection and Sampling</w:t>
      </w:r>
    </w:p>
    <w:p w14:paraId="08A98A7D" w14:textId="77777777" w:rsidR="00B57BC1" w:rsidRDefault="00B57BC1" w:rsidP="00B57BC1"/>
    <w:p w14:paraId="1B016278" w14:textId="77777777"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 xml:space="preserve">Purposive, criterion-based sampling was employed to select information-rich MOOC cases for comparative documentary analysis. The sampling frame consisted of the </w:t>
      </w:r>
      <w:r w:rsidRPr="007E7C94">
        <w:rPr>
          <w:rFonts w:ascii="Arial" w:hAnsi="Arial" w:cs="Arial"/>
          <w:i/>
          <w:iCs/>
          <w:color w:val="000000"/>
          <w:sz w:val="20"/>
          <w:szCs w:val="20"/>
        </w:rPr>
        <w:t>100 Most Popular Online Courses (2025 Edition)</w:t>
      </w:r>
      <w:r w:rsidRPr="007E7C94">
        <w:rPr>
          <w:rFonts w:ascii="Arial" w:hAnsi="Arial" w:cs="Arial"/>
          <w:color w:val="000000"/>
          <w:sz w:val="20"/>
          <w:szCs w:val="20"/>
        </w:rPr>
        <w:t xml:space="preserve"> published by Class Central, which identified courses first offered in 2024 and ranked them based on publicly available enrollment figures. Class Central reviewed 5,300 newly offered courses across Coursera, edX, </w:t>
      </w:r>
      <w:proofErr w:type="spellStart"/>
      <w:r w:rsidRPr="007E7C94">
        <w:rPr>
          <w:rFonts w:ascii="Arial" w:hAnsi="Arial" w:cs="Arial"/>
          <w:color w:val="000000"/>
          <w:sz w:val="20"/>
          <w:szCs w:val="20"/>
        </w:rPr>
        <w:t>FutureLearn</w:t>
      </w:r>
      <w:proofErr w:type="spellEnd"/>
      <w:r w:rsidRPr="007E7C94">
        <w:rPr>
          <w:rFonts w:ascii="Arial" w:hAnsi="Arial" w:cs="Arial"/>
          <w:color w:val="000000"/>
          <w:sz w:val="20"/>
          <w:szCs w:val="20"/>
        </w:rPr>
        <w:t>, and Swayam, collected enrollment data, and retained the 100 courses with the highest enrollment. To ensure cross-platform balance, Coursera’s representation in the ranking was limited due to its substantially larger course ecosystem compared to other platforms (Class Central, 2025). This ranking provided a transparent and external basis for identifying highly enrolled courses, rather than relying on researcher-defined enrollment thresholds. Given that enrollment information on course platforms may change over time, inclusion in Class Central’s 2025 ranking, rather than current Coursera enrollment figures, served as the basis for identifying highly enrolled MOOCs.</w:t>
      </w:r>
    </w:p>
    <w:p w14:paraId="1F2B5F67" w14:textId="77777777"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Coursera was selected as the platform for the comparative sample because it offers a unified environment in which both universities and industry organizations provide online courses. Its partnership ecosystem explicitly includes both university and industry partners, enabling examination of provider type while holding the platform context constant (Coursera, 2025a). This approach reduces the likelihood that observed differences between provider groups are attributable to platform-specific factors rather than to provider organizations. Additionally, Coursera provides extensive public course information, including provider, instructor, course description, learning activities, skills, and credential details, making its course pages suitable for documentary analysis.</w:t>
      </w:r>
    </w:p>
    <w:p w14:paraId="5DF7A2AC" w14:textId="77777777"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University-provided and industry-provided MOOCs were deliberately compared because they represent distinct types of signalers within the same learning environment. Universities convey academic and institutional authority, while industry organizations communicate professional, technological, or workplace-oriented authority. Coursera maintains separate university and industry partnership models, supporting the analytical distinction between these provider types (Coursera, 2025a). This comparison enables examination of whether different organizational identities are associated with distinct observable signaling patterns, without treating provider type itself as a signal.</w:t>
      </w:r>
    </w:p>
    <w:p w14:paraId="0028796E" w14:textId="77777777" w:rsidR="007E7C94" w:rsidRPr="007E7C94" w:rsidRDefault="007E7C94" w:rsidP="007E7C94">
      <w:pPr>
        <w:pStyle w:val="NormalWeb"/>
        <w:spacing w:before="0" w:beforeAutospacing="0" w:after="0" w:afterAutospacing="0"/>
        <w:rPr>
          <w:sz w:val="20"/>
          <w:szCs w:val="20"/>
        </w:rPr>
      </w:pPr>
      <w:r w:rsidRPr="007E7C94">
        <w:rPr>
          <w:rFonts w:ascii="Arial" w:hAnsi="Arial" w:cs="Arial"/>
          <w:color w:val="000000"/>
          <w:sz w:val="20"/>
          <w:szCs w:val="20"/>
        </w:rPr>
        <w:t>Cases were eligible if they (1) appeared in Class Central’s 2025 Top 100 ranking, (2) were first offered in 2024, (3) were available through Coursera, (4) represented an individual MOOC rather than a Specialization or course series, (5) could be clearly classified as university- or industry-provided, and (6) had publicly accessible course information sufficient for documentary analysis. Application of these criteria resulted in 10 cases: five university-provided and five industry-provided MOOCs. Google AI Essentials, although ranked first by Class Central, was excluded because its current Coursera offering is structured as a Specialization rather than an individual MOOC.</w:t>
      </w:r>
    </w:p>
    <w:p w14:paraId="2BC71561" w14:textId="77777777" w:rsidR="007E7C94" w:rsidRDefault="007E7C94" w:rsidP="007E7C94">
      <w:pPr>
        <w:pStyle w:val="NormalWeb"/>
        <w:spacing w:before="0" w:beforeAutospacing="0" w:after="0" w:afterAutospacing="0"/>
        <w:rPr>
          <w:rFonts w:ascii="Arial" w:hAnsi="Arial" w:cs="Arial"/>
          <w:color w:val="000000"/>
          <w:sz w:val="20"/>
          <w:szCs w:val="20"/>
        </w:rPr>
      </w:pPr>
      <w:r w:rsidRPr="007E7C94">
        <w:rPr>
          <w:rFonts w:ascii="Arial" w:hAnsi="Arial" w:cs="Arial"/>
          <w:color w:val="000000"/>
          <w:sz w:val="20"/>
          <w:szCs w:val="20"/>
        </w:rPr>
        <w:t xml:space="preserve">The sample was deliberately limited to 10 cases to facilitate in-depth documentary examination while maintaining sufficient variation for qualitative comparison. Rather than seeking statistical representation or a predetermined numerical sample size, the study prioritized information-rich cases that met all eligibility criteria and provided adequate publicly accessible material for analysis. Five cases were selected from each provider group to establish a balanced comparative structure for examining within-group patterns and differences across university- and industry-provided MOOCs. This balance was analytically </w:t>
      </w:r>
      <w:r w:rsidRPr="007E7C94">
        <w:rPr>
          <w:rFonts w:ascii="Arial" w:hAnsi="Arial" w:cs="Arial"/>
          <w:color w:val="000000"/>
          <w:sz w:val="20"/>
          <w:szCs w:val="20"/>
        </w:rPr>
        <w:lastRenderedPageBreak/>
        <w:t>important because the study’s third research question focuses explicitly on differences in signaling patterns between the two provider types. The final sample was therefore designed for analytical depth and comparative symmetry, rather than statistical generalization to all MOOCs or all Coursera courses. Table 1 presents the final cases included in the documentary analysis, along with their provider type and subject domain.</w:t>
      </w:r>
    </w:p>
    <w:p w14:paraId="565B1967" w14:textId="77777777" w:rsidR="007E7C94" w:rsidRDefault="007E7C94" w:rsidP="007E7C94">
      <w:pPr>
        <w:pStyle w:val="NormalWeb"/>
        <w:spacing w:before="0" w:beforeAutospacing="0" w:after="0" w:afterAutospacing="0"/>
        <w:rPr>
          <w:rFonts w:ascii="Arial" w:hAnsi="Arial" w:cs="Arial"/>
          <w:color w:val="000000"/>
          <w:sz w:val="20"/>
          <w:szCs w:val="20"/>
        </w:rPr>
      </w:pPr>
    </w:p>
    <w:p w14:paraId="5ABF0364" w14:textId="4615F241" w:rsidR="007E7C94" w:rsidRDefault="007E7C94" w:rsidP="007E7C94">
      <w:pPr>
        <w:pStyle w:val="NormalWeb"/>
        <w:spacing w:before="0" w:beforeAutospacing="0" w:after="0" w:afterAutospacing="0"/>
        <w:jc w:val="center"/>
        <w:rPr>
          <w:rFonts w:ascii="Arial" w:hAnsi="Arial" w:cs="Arial"/>
          <w:color w:val="000000"/>
          <w:sz w:val="20"/>
          <w:szCs w:val="20"/>
        </w:rPr>
      </w:pPr>
      <w:r>
        <w:rPr>
          <w:rFonts w:ascii="Arial" w:hAnsi="Arial" w:cs="Arial"/>
          <w:b/>
          <w:bCs/>
          <w:color w:val="000000"/>
          <w:sz w:val="20"/>
          <w:szCs w:val="20"/>
        </w:rPr>
        <w:t>Table 1. Selected MOOCs Included in the Documentary Analysis</w:t>
      </w:r>
    </w:p>
    <w:p w14:paraId="7F1828D0" w14:textId="77777777" w:rsidR="007E7C94" w:rsidRDefault="007E7C94" w:rsidP="007E7C94">
      <w:pPr>
        <w:pStyle w:val="NormalWeb"/>
        <w:spacing w:before="0" w:beforeAutospacing="0" w:after="0" w:afterAutospacing="0"/>
        <w:rPr>
          <w:rFonts w:ascii="Arial" w:hAnsi="Arial" w:cs="Arial"/>
          <w:color w:val="000000"/>
          <w:sz w:val="20"/>
          <w:szCs w:val="20"/>
        </w:rPr>
      </w:pPr>
    </w:p>
    <w:tbl>
      <w:tblPr>
        <w:tblW w:w="9270" w:type="dxa"/>
        <w:jc w:val="center"/>
        <w:tblCellMar>
          <w:top w:w="15" w:type="dxa"/>
          <w:left w:w="15" w:type="dxa"/>
          <w:bottom w:w="15" w:type="dxa"/>
          <w:right w:w="15" w:type="dxa"/>
        </w:tblCellMar>
        <w:tblLook w:val="04A0" w:firstRow="1" w:lastRow="0" w:firstColumn="1" w:lastColumn="0" w:noHBand="0" w:noVBand="1"/>
      </w:tblPr>
      <w:tblGrid>
        <w:gridCol w:w="1635"/>
        <w:gridCol w:w="1617"/>
        <w:gridCol w:w="2813"/>
        <w:gridCol w:w="3205"/>
      </w:tblGrid>
      <w:tr w:rsidR="007E7C94" w14:paraId="72DE898B" w14:textId="77777777" w:rsidTr="007E7C94">
        <w:trPr>
          <w:trHeight w:val="14"/>
          <w:jc w:val="center"/>
        </w:trPr>
        <w:tc>
          <w:tcPr>
            <w:tcW w:w="1635" w:type="dxa"/>
            <w:tcBorders>
              <w:top w:val="single" w:sz="4" w:space="0" w:color="auto"/>
              <w:bottom w:val="single" w:sz="4" w:space="0" w:color="auto"/>
            </w:tcBorders>
            <w:tcMar>
              <w:top w:w="100" w:type="dxa"/>
              <w:left w:w="100" w:type="dxa"/>
              <w:bottom w:w="100" w:type="dxa"/>
              <w:right w:w="100" w:type="dxa"/>
            </w:tcMar>
            <w:hideMark/>
          </w:tcPr>
          <w:p w14:paraId="27EFD24A" w14:textId="77777777" w:rsidR="007E7C94" w:rsidRDefault="007E7C94" w:rsidP="007E7C94">
            <w:pPr>
              <w:pStyle w:val="NormalWeb"/>
              <w:spacing w:before="0" w:beforeAutospacing="0" w:after="0" w:afterAutospacing="0"/>
            </w:pPr>
            <w:r>
              <w:rPr>
                <w:rFonts w:ascii="Arial" w:hAnsi="Arial" w:cs="Arial"/>
                <w:b/>
                <w:bCs/>
                <w:color w:val="000000"/>
                <w:sz w:val="20"/>
                <w:szCs w:val="20"/>
              </w:rPr>
              <w:t>Provider Type</w:t>
            </w:r>
          </w:p>
        </w:tc>
        <w:tc>
          <w:tcPr>
            <w:tcW w:w="0" w:type="auto"/>
            <w:tcBorders>
              <w:top w:val="single" w:sz="4" w:space="0" w:color="auto"/>
              <w:bottom w:val="single" w:sz="4" w:space="0" w:color="auto"/>
            </w:tcBorders>
            <w:tcMar>
              <w:top w:w="100" w:type="dxa"/>
              <w:left w:w="100" w:type="dxa"/>
              <w:bottom w:w="100" w:type="dxa"/>
              <w:right w:w="100" w:type="dxa"/>
            </w:tcMar>
            <w:hideMark/>
          </w:tcPr>
          <w:p w14:paraId="36632332" w14:textId="77777777" w:rsidR="007E7C94" w:rsidRDefault="007E7C94" w:rsidP="007E7C94">
            <w:pPr>
              <w:pStyle w:val="NormalWeb"/>
              <w:spacing w:before="0" w:beforeAutospacing="0" w:after="0" w:afterAutospacing="0"/>
            </w:pPr>
            <w:r>
              <w:rPr>
                <w:rFonts w:ascii="Arial" w:hAnsi="Arial" w:cs="Arial"/>
                <w:b/>
                <w:bCs/>
                <w:color w:val="000000"/>
                <w:sz w:val="20"/>
                <w:szCs w:val="20"/>
              </w:rPr>
              <w:t>Provider</w:t>
            </w:r>
          </w:p>
        </w:tc>
        <w:tc>
          <w:tcPr>
            <w:tcW w:w="0" w:type="auto"/>
            <w:tcBorders>
              <w:top w:val="single" w:sz="4" w:space="0" w:color="auto"/>
              <w:bottom w:val="single" w:sz="4" w:space="0" w:color="auto"/>
            </w:tcBorders>
            <w:tcMar>
              <w:top w:w="100" w:type="dxa"/>
              <w:left w:w="100" w:type="dxa"/>
              <w:bottom w:w="100" w:type="dxa"/>
              <w:right w:w="100" w:type="dxa"/>
            </w:tcMar>
            <w:hideMark/>
          </w:tcPr>
          <w:p w14:paraId="144A057D" w14:textId="77777777" w:rsidR="007E7C94" w:rsidRDefault="007E7C94" w:rsidP="007E7C94">
            <w:pPr>
              <w:pStyle w:val="NormalWeb"/>
              <w:spacing w:before="0" w:beforeAutospacing="0" w:after="0" w:afterAutospacing="0"/>
            </w:pPr>
            <w:r>
              <w:rPr>
                <w:rFonts w:ascii="Arial" w:hAnsi="Arial" w:cs="Arial"/>
                <w:b/>
                <w:bCs/>
                <w:color w:val="000000"/>
                <w:sz w:val="20"/>
                <w:szCs w:val="20"/>
              </w:rPr>
              <w:t>Selected MOOC</w:t>
            </w:r>
          </w:p>
        </w:tc>
        <w:tc>
          <w:tcPr>
            <w:tcW w:w="3205" w:type="dxa"/>
            <w:tcBorders>
              <w:top w:val="single" w:sz="4" w:space="0" w:color="auto"/>
              <w:bottom w:val="single" w:sz="4" w:space="0" w:color="auto"/>
            </w:tcBorders>
            <w:tcMar>
              <w:top w:w="100" w:type="dxa"/>
              <w:left w:w="100" w:type="dxa"/>
              <w:bottom w:w="100" w:type="dxa"/>
              <w:right w:w="100" w:type="dxa"/>
            </w:tcMar>
            <w:hideMark/>
          </w:tcPr>
          <w:p w14:paraId="76C15B75" w14:textId="77777777" w:rsidR="007E7C94" w:rsidRDefault="007E7C94" w:rsidP="007E7C94">
            <w:pPr>
              <w:pStyle w:val="NormalWeb"/>
              <w:spacing w:before="0" w:beforeAutospacing="0" w:after="0" w:afterAutospacing="0"/>
            </w:pPr>
            <w:r>
              <w:rPr>
                <w:rFonts w:ascii="Arial" w:hAnsi="Arial" w:cs="Arial"/>
                <w:b/>
                <w:bCs/>
                <w:color w:val="000000"/>
                <w:sz w:val="20"/>
                <w:szCs w:val="20"/>
              </w:rPr>
              <w:t>Domain</w:t>
            </w:r>
          </w:p>
        </w:tc>
      </w:tr>
      <w:tr w:rsidR="007E7C94" w14:paraId="4EAA3E75" w14:textId="77777777" w:rsidTr="007E7C94">
        <w:trPr>
          <w:trHeight w:val="340"/>
          <w:jc w:val="center"/>
        </w:trPr>
        <w:tc>
          <w:tcPr>
            <w:tcW w:w="1635" w:type="dxa"/>
            <w:tcBorders>
              <w:top w:val="single" w:sz="4" w:space="0" w:color="auto"/>
            </w:tcBorders>
            <w:tcMar>
              <w:top w:w="100" w:type="dxa"/>
              <w:left w:w="100" w:type="dxa"/>
              <w:bottom w:w="100" w:type="dxa"/>
              <w:right w:w="100" w:type="dxa"/>
            </w:tcMar>
            <w:hideMark/>
          </w:tcPr>
          <w:p w14:paraId="5E4F84DE"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Borders>
              <w:top w:val="single" w:sz="4" w:space="0" w:color="auto"/>
            </w:tcBorders>
            <w:tcMar>
              <w:top w:w="100" w:type="dxa"/>
              <w:left w:w="100" w:type="dxa"/>
              <w:bottom w:w="100" w:type="dxa"/>
              <w:right w:w="100" w:type="dxa"/>
            </w:tcMar>
            <w:hideMark/>
          </w:tcPr>
          <w:p w14:paraId="2BA91DBA" w14:textId="77777777" w:rsidR="007E7C94" w:rsidRDefault="007E7C94" w:rsidP="007E7C94">
            <w:pPr>
              <w:pStyle w:val="NormalWeb"/>
              <w:spacing w:before="0" w:beforeAutospacing="0" w:after="0" w:afterAutospacing="0"/>
            </w:pPr>
            <w:r>
              <w:rPr>
                <w:rFonts w:ascii="Arial" w:hAnsi="Arial" w:cs="Arial"/>
                <w:color w:val="000000"/>
                <w:sz w:val="20"/>
                <w:szCs w:val="20"/>
              </w:rPr>
              <w:t>Howard University</w:t>
            </w:r>
          </w:p>
        </w:tc>
        <w:tc>
          <w:tcPr>
            <w:tcW w:w="0" w:type="auto"/>
            <w:tcBorders>
              <w:top w:val="single" w:sz="4" w:space="0" w:color="auto"/>
            </w:tcBorders>
            <w:tcMar>
              <w:top w:w="100" w:type="dxa"/>
              <w:left w:w="100" w:type="dxa"/>
              <w:bottom w:w="100" w:type="dxa"/>
              <w:right w:w="100" w:type="dxa"/>
            </w:tcMar>
            <w:hideMark/>
          </w:tcPr>
          <w:p w14:paraId="11E643B0" w14:textId="77777777" w:rsidR="007E7C94" w:rsidRDefault="007E7C94" w:rsidP="007E7C94">
            <w:pPr>
              <w:pStyle w:val="NormalWeb"/>
              <w:spacing w:before="0" w:beforeAutospacing="0" w:after="0" w:afterAutospacing="0"/>
            </w:pPr>
            <w:r>
              <w:rPr>
                <w:rFonts w:ascii="Arial" w:hAnsi="Arial" w:cs="Arial"/>
                <w:i/>
                <w:iCs/>
                <w:color w:val="000000"/>
                <w:sz w:val="20"/>
                <w:szCs w:val="20"/>
              </w:rPr>
              <w:t>Project Management Essentials</w:t>
            </w:r>
          </w:p>
        </w:tc>
        <w:tc>
          <w:tcPr>
            <w:tcW w:w="3205" w:type="dxa"/>
            <w:tcBorders>
              <w:top w:val="single" w:sz="4" w:space="0" w:color="auto"/>
            </w:tcBorders>
            <w:tcMar>
              <w:top w:w="100" w:type="dxa"/>
              <w:left w:w="100" w:type="dxa"/>
              <w:bottom w:w="100" w:type="dxa"/>
              <w:right w:w="100" w:type="dxa"/>
            </w:tcMar>
            <w:hideMark/>
          </w:tcPr>
          <w:p w14:paraId="49BF659E" w14:textId="77777777" w:rsidR="007E7C94" w:rsidRDefault="007E7C94" w:rsidP="007E7C94">
            <w:pPr>
              <w:pStyle w:val="NormalWeb"/>
              <w:spacing w:before="0" w:beforeAutospacing="0" w:after="0" w:afterAutospacing="0"/>
            </w:pPr>
            <w:r>
              <w:rPr>
                <w:rFonts w:ascii="Arial" w:hAnsi="Arial" w:cs="Arial"/>
                <w:color w:val="000000"/>
                <w:sz w:val="20"/>
                <w:szCs w:val="20"/>
              </w:rPr>
              <w:t>Business/Management</w:t>
            </w:r>
          </w:p>
        </w:tc>
      </w:tr>
      <w:tr w:rsidR="007E7C94" w14:paraId="61DC82B6" w14:textId="77777777" w:rsidTr="007E7C94">
        <w:trPr>
          <w:trHeight w:val="385"/>
          <w:jc w:val="center"/>
        </w:trPr>
        <w:tc>
          <w:tcPr>
            <w:tcW w:w="1635" w:type="dxa"/>
            <w:tcMar>
              <w:top w:w="100" w:type="dxa"/>
              <w:left w:w="100" w:type="dxa"/>
              <w:bottom w:w="100" w:type="dxa"/>
              <w:right w:w="100" w:type="dxa"/>
            </w:tcMar>
            <w:hideMark/>
          </w:tcPr>
          <w:p w14:paraId="742AE318"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2C5712B2" w14:textId="77777777" w:rsidR="007E7C94" w:rsidRDefault="007E7C94" w:rsidP="007E7C94">
            <w:pPr>
              <w:pStyle w:val="NormalWeb"/>
              <w:spacing w:before="0" w:beforeAutospacing="0" w:after="0" w:afterAutospacing="0"/>
            </w:pPr>
            <w:r>
              <w:rPr>
                <w:rFonts w:ascii="Arial" w:hAnsi="Arial" w:cs="Arial"/>
                <w:color w:val="000000"/>
                <w:sz w:val="20"/>
                <w:szCs w:val="20"/>
              </w:rPr>
              <w:t>Rice University</w:t>
            </w:r>
          </w:p>
        </w:tc>
        <w:tc>
          <w:tcPr>
            <w:tcW w:w="0" w:type="auto"/>
            <w:tcMar>
              <w:top w:w="100" w:type="dxa"/>
              <w:left w:w="100" w:type="dxa"/>
              <w:bottom w:w="100" w:type="dxa"/>
              <w:right w:w="100" w:type="dxa"/>
            </w:tcMar>
            <w:hideMark/>
          </w:tcPr>
          <w:p w14:paraId="2374FDA0" w14:textId="77777777" w:rsidR="007E7C94" w:rsidRDefault="007E7C94" w:rsidP="007E7C94">
            <w:pPr>
              <w:pStyle w:val="NormalWeb"/>
              <w:spacing w:before="0" w:beforeAutospacing="0" w:after="0" w:afterAutospacing="0"/>
            </w:pPr>
            <w:r>
              <w:rPr>
                <w:rFonts w:ascii="Arial" w:hAnsi="Arial" w:cs="Arial"/>
                <w:i/>
                <w:iCs/>
                <w:color w:val="000000"/>
                <w:sz w:val="20"/>
                <w:szCs w:val="20"/>
              </w:rPr>
              <w:t>Fundamentals of Immunology: Complement, MHC I and II, T Cells, and Cytokines</w:t>
            </w:r>
          </w:p>
        </w:tc>
        <w:tc>
          <w:tcPr>
            <w:tcW w:w="3205" w:type="dxa"/>
            <w:tcMar>
              <w:top w:w="100" w:type="dxa"/>
              <w:left w:w="100" w:type="dxa"/>
              <w:bottom w:w="100" w:type="dxa"/>
              <w:right w:w="100" w:type="dxa"/>
            </w:tcMar>
            <w:hideMark/>
          </w:tcPr>
          <w:p w14:paraId="5A329720" w14:textId="77777777" w:rsidR="007E7C94" w:rsidRDefault="007E7C94" w:rsidP="007E7C94">
            <w:pPr>
              <w:pStyle w:val="NormalWeb"/>
              <w:spacing w:before="0" w:beforeAutospacing="0" w:after="0" w:afterAutospacing="0"/>
            </w:pPr>
            <w:r>
              <w:rPr>
                <w:rFonts w:ascii="Arial" w:hAnsi="Arial" w:cs="Arial"/>
                <w:color w:val="000000"/>
                <w:sz w:val="20"/>
                <w:szCs w:val="20"/>
              </w:rPr>
              <w:t>Health/Medicine</w:t>
            </w:r>
          </w:p>
        </w:tc>
      </w:tr>
      <w:tr w:rsidR="007E7C94" w14:paraId="68B41E5D" w14:textId="77777777" w:rsidTr="007E7C94">
        <w:trPr>
          <w:trHeight w:val="160"/>
          <w:jc w:val="center"/>
        </w:trPr>
        <w:tc>
          <w:tcPr>
            <w:tcW w:w="1635" w:type="dxa"/>
            <w:tcMar>
              <w:top w:w="100" w:type="dxa"/>
              <w:left w:w="100" w:type="dxa"/>
              <w:bottom w:w="100" w:type="dxa"/>
              <w:right w:w="100" w:type="dxa"/>
            </w:tcMar>
            <w:hideMark/>
          </w:tcPr>
          <w:p w14:paraId="638F6305"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0ED6AE08" w14:textId="77777777" w:rsidR="007E7C94" w:rsidRDefault="007E7C94" w:rsidP="007E7C94">
            <w:pPr>
              <w:pStyle w:val="NormalWeb"/>
              <w:spacing w:before="0" w:beforeAutospacing="0" w:after="0" w:afterAutospacing="0"/>
            </w:pPr>
            <w:r>
              <w:rPr>
                <w:rFonts w:ascii="Arial" w:hAnsi="Arial" w:cs="Arial"/>
                <w:color w:val="000000"/>
                <w:sz w:val="20"/>
                <w:szCs w:val="20"/>
              </w:rPr>
              <w:t>University of Michigan</w:t>
            </w:r>
          </w:p>
        </w:tc>
        <w:tc>
          <w:tcPr>
            <w:tcW w:w="0" w:type="auto"/>
            <w:tcMar>
              <w:top w:w="100" w:type="dxa"/>
              <w:left w:w="100" w:type="dxa"/>
              <w:bottom w:w="100" w:type="dxa"/>
              <w:right w:w="100" w:type="dxa"/>
            </w:tcMar>
            <w:hideMark/>
          </w:tcPr>
          <w:p w14:paraId="5CDF1C02" w14:textId="77777777" w:rsidR="007E7C94" w:rsidRDefault="007E7C94" w:rsidP="007E7C94">
            <w:pPr>
              <w:pStyle w:val="NormalWeb"/>
              <w:spacing w:before="0" w:beforeAutospacing="0" w:after="0" w:afterAutospacing="0"/>
            </w:pPr>
            <w:r>
              <w:rPr>
                <w:rFonts w:ascii="Arial" w:hAnsi="Arial" w:cs="Arial"/>
                <w:i/>
                <w:iCs/>
                <w:color w:val="000000"/>
                <w:sz w:val="20"/>
                <w:szCs w:val="20"/>
              </w:rPr>
              <w:t>Generative AI Essentials: Overview and Impact</w:t>
            </w:r>
          </w:p>
        </w:tc>
        <w:tc>
          <w:tcPr>
            <w:tcW w:w="3205" w:type="dxa"/>
            <w:tcMar>
              <w:top w:w="100" w:type="dxa"/>
              <w:left w:w="100" w:type="dxa"/>
              <w:bottom w:w="100" w:type="dxa"/>
              <w:right w:w="100" w:type="dxa"/>
            </w:tcMar>
            <w:hideMark/>
          </w:tcPr>
          <w:p w14:paraId="76424DEB" w14:textId="77777777" w:rsidR="007E7C94" w:rsidRDefault="007E7C94" w:rsidP="007E7C94">
            <w:pPr>
              <w:pStyle w:val="NormalWeb"/>
              <w:spacing w:before="0" w:beforeAutospacing="0" w:after="0" w:afterAutospacing="0"/>
            </w:pPr>
            <w:r>
              <w:rPr>
                <w:rFonts w:ascii="Arial" w:hAnsi="Arial" w:cs="Arial"/>
                <w:color w:val="000000"/>
                <w:sz w:val="20"/>
                <w:szCs w:val="20"/>
              </w:rPr>
              <w:t>Artificial Intelligence/Technology</w:t>
            </w:r>
          </w:p>
        </w:tc>
      </w:tr>
      <w:tr w:rsidR="007E7C94" w14:paraId="3DB175C2" w14:textId="77777777" w:rsidTr="007E7C94">
        <w:trPr>
          <w:trHeight w:val="14"/>
          <w:jc w:val="center"/>
        </w:trPr>
        <w:tc>
          <w:tcPr>
            <w:tcW w:w="1635" w:type="dxa"/>
            <w:tcMar>
              <w:top w:w="100" w:type="dxa"/>
              <w:left w:w="100" w:type="dxa"/>
              <w:bottom w:w="100" w:type="dxa"/>
              <w:right w:w="100" w:type="dxa"/>
            </w:tcMar>
            <w:hideMark/>
          </w:tcPr>
          <w:p w14:paraId="60FDC880"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0301B3DD" w14:textId="77777777" w:rsidR="007E7C94" w:rsidRDefault="007E7C94" w:rsidP="007E7C94">
            <w:pPr>
              <w:pStyle w:val="NormalWeb"/>
              <w:spacing w:before="0" w:beforeAutospacing="0" w:after="0" w:afterAutospacing="0"/>
            </w:pPr>
            <w:r>
              <w:rPr>
                <w:rFonts w:ascii="Arial" w:hAnsi="Arial" w:cs="Arial"/>
                <w:color w:val="000000"/>
                <w:sz w:val="20"/>
                <w:szCs w:val="20"/>
              </w:rPr>
              <w:t>IESE Business School</w:t>
            </w:r>
          </w:p>
        </w:tc>
        <w:tc>
          <w:tcPr>
            <w:tcW w:w="0" w:type="auto"/>
            <w:tcMar>
              <w:top w:w="100" w:type="dxa"/>
              <w:left w:w="100" w:type="dxa"/>
              <w:bottom w:w="100" w:type="dxa"/>
              <w:right w:w="100" w:type="dxa"/>
            </w:tcMar>
            <w:hideMark/>
          </w:tcPr>
          <w:p w14:paraId="735DE532" w14:textId="77777777" w:rsidR="007E7C94" w:rsidRDefault="007E7C94" w:rsidP="007E7C94">
            <w:pPr>
              <w:pStyle w:val="NormalWeb"/>
              <w:spacing w:before="0" w:beforeAutospacing="0" w:after="0" w:afterAutospacing="0"/>
            </w:pPr>
            <w:r>
              <w:rPr>
                <w:rFonts w:ascii="Arial" w:hAnsi="Arial" w:cs="Arial"/>
                <w:i/>
                <w:iCs/>
                <w:color w:val="000000"/>
                <w:sz w:val="20"/>
                <w:szCs w:val="20"/>
              </w:rPr>
              <w:t>The Art of Storytelling</w:t>
            </w:r>
          </w:p>
        </w:tc>
        <w:tc>
          <w:tcPr>
            <w:tcW w:w="3205" w:type="dxa"/>
            <w:tcMar>
              <w:top w:w="100" w:type="dxa"/>
              <w:left w:w="100" w:type="dxa"/>
              <w:bottom w:w="100" w:type="dxa"/>
              <w:right w:w="100" w:type="dxa"/>
            </w:tcMar>
            <w:hideMark/>
          </w:tcPr>
          <w:p w14:paraId="742EAD0B" w14:textId="77777777" w:rsidR="007E7C94" w:rsidRDefault="007E7C94" w:rsidP="007E7C94">
            <w:pPr>
              <w:pStyle w:val="NormalWeb"/>
              <w:spacing w:before="0" w:beforeAutospacing="0" w:after="0" w:afterAutospacing="0"/>
            </w:pPr>
            <w:r>
              <w:rPr>
                <w:rFonts w:ascii="Arial" w:hAnsi="Arial" w:cs="Arial"/>
                <w:color w:val="000000"/>
                <w:sz w:val="20"/>
                <w:szCs w:val="20"/>
              </w:rPr>
              <w:t>Business/Communication</w:t>
            </w:r>
          </w:p>
        </w:tc>
      </w:tr>
      <w:tr w:rsidR="007E7C94" w14:paraId="2010F440" w14:textId="77777777" w:rsidTr="007E7C94">
        <w:trPr>
          <w:trHeight w:val="79"/>
          <w:jc w:val="center"/>
        </w:trPr>
        <w:tc>
          <w:tcPr>
            <w:tcW w:w="1635" w:type="dxa"/>
            <w:tcMar>
              <w:top w:w="100" w:type="dxa"/>
              <w:left w:w="100" w:type="dxa"/>
              <w:bottom w:w="100" w:type="dxa"/>
              <w:right w:w="100" w:type="dxa"/>
            </w:tcMar>
            <w:hideMark/>
          </w:tcPr>
          <w:p w14:paraId="5BFF6991" w14:textId="77777777" w:rsidR="007E7C94" w:rsidRDefault="007E7C94" w:rsidP="007E7C94">
            <w:pPr>
              <w:pStyle w:val="NormalWeb"/>
              <w:spacing w:before="0" w:beforeAutospacing="0" w:after="0" w:afterAutospacing="0"/>
            </w:pPr>
            <w:r>
              <w:rPr>
                <w:rFonts w:ascii="Arial" w:hAnsi="Arial" w:cs="Arial"/>
                <w:color w:val="000000"/>
                <w:sz w:val="20"/>
                <w:szCs w:val="20"/>
              </w:rPr>
              <w:t>University</w:t>
            </w:r>
          </w:p>
        </w:tc>
        <w:tc>
          <w:tcPr>
            <w:tcW w:w="0" w:type="auto"/>
            <w:tcMar>
              <w:top w:w="100" w:type="dxa"/>
              <w:left w:w="100" w:type="dxa"/>
              <w:bottom w:w="100" w:type="dxa"/>
              <w:right w:w="100" w:type="dxa"/>
            </w:tcMar>
            <w:hideMark/>
          </w:tcPr>
          <w:p w14:paraId="7081D490" w14:textId="77777777" w:rsidR="007E7C94" w:rsidRDefault="007E7C94" w:rsidP="007E7C94">
            <w:pPr>
              <w:pStyle w:val="NormalWeb"/>
              <w:spacing w:before="0" w:beforeAutospacing="0" w:after="0" w:afterAutospacing="0"/>
            </w:pPr>
            <w:r>
              <w:rPr>
                <w:rFonts w:ascii="Arial" w:hAnsi="Arial" w:cs="Arial"/>
                <w:color w:val="000000"/>
                <w:sz w:val="20"/>
                <w:szCs w:val="20"/>
              </w:rPr>
              <w:t>École Polytechnique</w:t>
            </w:r>
          </w:p>
        </w:tc>
        <w:tc>
          <w:tcPr>
            <w:tcW w:w="0" w:type="auto"/>
            <w:tcMar>
              <w:top w:w="100" w:type="dxa"/>
              <w:left w:w="100" w:type="dxa"/>
              <w:bottom w:w="100" w:type="dxa"/>
              <w:right w:w="100" w:type="dxa"/>
            </w:tcMar>
            <w:hideMark/>
          </w:tcPr>
          <w:p w14:paraId="3FC47FF0" w14:textId="77777777" w:rsidR="007E7C94" w:rsidRDefault="007E7C94" w:rsidP="007E7C94">
            <w:pPr>
              <w:pStyle w:val="NormalWeb"/>
              <w:spacing w:before="0" w:beforeAutospacing="0" w:after="0" w:afterAutospacing="0"/>
            </w:pPr>
            <w:proofErr w:type="spellStart"/>
            <w:r>
              <w:rPr>
                <w:rFonts w:ascii="Arial" w:hAnsi="Arial" w:cs="Arial"/>
                <w:i/>
                <w:iCs/>
                <w:color w:val="000000"/>
                <w:sz w:val="20"/>
                <w:szCs w:val="20"/>
              </w:rPr>
              <w:t>Comprendre</w:t>
            </w:r>
            <w:proofErr w:type="spellEnd"/>
            <w:r>
              <w:rPr>
                <w:rFonts w:ascii="Arial" w:hAnsi="Arial" w:cs="Arial"/>
                <w:i/>
                <w:iCs/>
                <w:color w:val="000000"/>
                <w:sz w:val="20"/>
                <w:szCs w:val="20"/>
              </w:rPr>
              <w:t xml:space="preserve"> la France, Advanced French Language &amp; Culture</w:t>
            </w:r>
          </w:p>
        </w:tc>
        <w:tc>
          <w:tcPr>
            <w:tcW w:w="3205" w:type="dxa"/>
            <w:tcMar>
              <w:top w:w="100" w:type="dxa"/>
              <w:left w:w="100" w:type="dxa"/>
              <w:bottom w:w="100" w:type="dxa"/>
              <w:right w:w="100" w:type="dxa"/>
            </w:tcMar>
            <w:hideMark/>
          </w:tcPr>
          <w:p w14:paraId="706CFC1E" w14:textId="77777777" w:rsidR="007E7C94" w:rsidRDefault="007E7C94" w:rsidP="007E7C94">
            <w:pPr>
              <w:pStyle w:val="NormalWeb"/>
              <w:spacing w:before="0" w:beforeAutospacing="0" w:after="0" w:afterAutospacing="0"/>
            </w:pPr>
            <w:r>
              <w:rPr>
                <w:rFonts w:ascii="Arial" w:hAnsi="Arial" w:cs="Arial"/>
                <w:color w:val="000000"/>
                <w:sz w:val="20"/>
                <w:szCs w:val="20"/>
              </w:rPr>
              <w:t>Language/Culture</w:t>
            </w:r>
          </w:p>
        </w:tc>
      </w:tr>
      <w:tr w:rsidR="007E7C94" w14:paraId="7520A912" w14:textId="77777777" w:rsidTr="007E7C94">
        <w:trPr>
          <w:trHeight w:val="88"/>
          <w:jc w:val="center"/>
        </w:trPr>
        <w:tc>
          <w:tcPr>
            <w:tcW w:w="1635" w:type="dxa"/>
            <w:tcMar>
              <w:top w:w="100" w:type="dxa"/>
              <w:left w:w="100" w:type="dxa"/>
              <w:bottom w:w="100" w:type="dxa"/>
              <w:right w:w="100" w:type="dxa"/>
            </w:tcMar>
            <w:hideMark/>
          </w:tcPr>
          <w:p w14:paraId="4576FD90"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00EA4DA4"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37B13544" w14:textId="77777777" w:rsidR="007E7C94" w:rsidRDefault="007E7C94" w:rsidP="007E7C94">
            <w:pPr>
              <w:pStyle w:val="NormalWeb"/>
              <w:spacing w:before="0" w:beforeAutospacing="0" w:after="0" w:afterAutospacing="0"/>
            </w:pPr>
            <w:r>
              <w:rPr>
                <w:rFonts w:ascii="Arial" w:hAnsi="Arial" w:cs="Arial"/>
                <w:i/>
                <w:iCs/>
                <w:color w:val="000000"/>
                <w:sz w:val="20"/>
                <w:szCs w:val="20"/>
              </w:rPr>
              <w:t>Operating Systems: Overview, Administration, and Security</w:t>
            </w:r>
          </w:p>
        </w:tc>
        <w:tc>
          <w:tcPr>
            <w:tcW w:w="3205" w:type="dxa"/>
            <w:tcMar>
              <w:top w:w="100" w:type="dxa"/>
              <w:left w:w="100" w:type="dxa"/>
              <w:bottom w:w="100" w:type="dxa"/>
              <w:right w:w="100" w:type="dxa"/>
            </w:tcMar>
            <w:hideMark/>
          </w:tcPr>
          <w:p w14:paraId="24553D62" w14:textId="77777777" w:rsidR="007E7C94" w:rsidRDefault="007E7C94" w:rsidP="007E7C94">
            <w:pPr>
              <w:pStyle w:val="NormalWeb"/>
              <w:spacing w:before="0" w:beforeAutospacing="0" w:after="0" w:afterAutospacing="0"/>
            </w:pPr>
            <w:r>
              <w:rPr>
                <w:rFonts w:ascii="Arial" w:hAnsi="Arial" w:cs="Arial"/>
                <w:color w:val="000000"/>
                <w:sz w:val="20"/>
                <w:szCs w:val="20"/>
              </w:rPr>
              <w:t>Information Technology</w:t>
            </w:r>
          </w:p>
        </w:tc>
      </w:tr>
      <w:tr w:rsidR="007E7C94" w14:paraId="749274AC" w14:textId="77777777" w:rsidTr="007E7C94">
        <w:trPr>
          <w:trHeight w:val="14"/>
          <w:jc w:val="center"/>
        </w:trPr>
        <w:tc>
          <w:tcPr>
            <w:tcW w:w="1635" w:type="dxa"/>
            <w:tcMar>
              <w:top w:w="100" w:type="dxa"/>
              <w:left w:w="100" w:type="dxa"/>
              <w:bottom w:w="100" w:type="dxa"/>
              <w:right w:w="100" w:type="dxa"/>
            </w:tcMar>
            <w:hideMark/>
          </w:tcPr>
          <w:p w14:paraId="01031AE4"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6F2B6056"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6E1BB655" w14:textId="77777777" w:rsidR="007E7C94" w:rsidRDefault="007E7C94" w:rsidP="007E7C94">
            <w:pPr>
              <w:pStyle w:val="NormalWeb"/>
              <w:spacing w:before="0" w:beforeAutospacing="0" w:after="0" w:afterAutospacing="0"/>
            </w:pPr>
            <w:r>
              <w:rPr>
                <w:rFonts w:ascii="Arial" w:hAnsi="Arial" w:cs="Arial"/>
                <w:i/>
                <w:iCs/>
                <w:color w:val="000000"/>
                <w:sz w:val="20"/>
                <w:szCs w:val="20"/>
              </w:rPr>
              <w:t>Cybersecurity Compliance Framework, Standards &amp; Regulations</w:t>
            </w:r>
          </w:p>
        </w:tc>
        <w:tc>
          <w:tcPr>
            <w:tcW w:w="3205" w:type="dxa"/>
            <w:tcMar>
              <w:top w:w="100" w:type="dxa"/>
              <w:left w:w="100" w:type="dxa"/>
              <w:bottom w:w="100" w:type="dxa"/>
              <w:right w:w="100" w:type="dxa"/>
            </w:tcMar>
            <w:hideMark/>
          </w:tcPr>
          <w:p w14:paraId="382EC042" w14:textId="77777777" w:rsidR="007E7C94" w:rsidRDefault="007E7C94" w:rsidP="007E7C94">
            <w:pPr>
              <w:pStyle w:val="NormalWeb"/>
              <w:spacing w:before="0" w:beforeAutospacing="0" w:after="0" w:afterAutospacing="0"/>
            </w:pPr>
            <w:r>
              <w:rPr>
                <w:rFonts w:ascii="Arial" w:hAnsi="Arial" w:cs="Arial"/>
                <w:color w:val="000000"/>
                <w:sz w:val="20"/>
                <w:szCs w:val="20"/>
              </w:rPr>
              <w:t>Cybersecurity</w:t>
            </w:r>
          </w:p>
        </w:tc>
      </w:tr>
      <w:tr w:rsidR="007E7C94" w14:paraId="71B208FB" w14:textId="77777777" w:rsidTr="007E7C94">
        <w:trPr>
          <w:trHeight w:val="14"/>
          <w:jc w:val="center"/>
        </w:trPr>
        <w:tc>
          <w:tcPr>
            <w:tcW w:w="1635" w:type="dxa"/>
            <w:tcMar>
              <w:top w:w="100" w:type="dxa"/>
              <w:left w:w="100" w:type="dxa"/>
              <w:bottom w:w="100" w:type="dxa"/>
              <w:right w:w="100" w:type="dxa"/>
            </w:tcMar>
            <w:hideMark/>
          </w:tcPr>
          <w:p w14:paraId="3192DC60"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6A1D2C4F"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7C39BFF1" w14:textId="77777777" w:rsidR="007E7C94" w:rsidRDefault="007E7C94" w:rsidP="007E7C94">
            <w:pPr>
              <w:pStyle w:val="NormalWeb"/>
              <w:spacing w:before="0" w:beforeAutospacing="0" w:after="0" w:afterAutospacing="0"/>
            </w:pPr>
            <w:r>
              <w:rPr>
                <w:rFonts w:ascii="Arial" w:hAnsi="Arial" w:cs="Arial"/>
                <w:i/>
                <w:iCs/>
                <w:color w:val="000000"/>
                <w:sz w:val="20"/>
                <w:szCs w:val="20"/>
              </w:rPr>
              <w:t>Penetration Testing, Threat Hunting, and Cryptography</w:t>
            </w:r>
          </w:p>
        </w:tc>
        <w:tc>
          <w:tcPr>
            <w:tcW w:w="3205" w:type="dxa"/>
            <w:tcMar>
              <w:top w:w="100" w:type="dxa"/>
              <w:left w:w="100" w:type="dxa"/>
              <w:bottom w:w="100" w:type="dxa"/>
              <w:right w:w="100" w:type="dxa"/>
            </w:tcMar>
            <w:hideMark/>
          </w:tcPr>
          <w:p w14:paraId="4E857A4F" w14:textId="77777777" w:rsidR="007E7C94" w:rsidRDefault="007E7C94" w:rsidP="007E7C94">
            <w:pPr>
              <w:pStyle w:val="NormalWeb"/>
              <w:spacing w:before="0" w:beforeAutospacing="0" w:after="0" w:afterAutospacing="0"/>
            </w:pPr>
            <w:r>
              <w:rPr>
                <w:rFonts w:ascii="Arial" w:hAnsi="Arial" w:cs="Arial"/>
                <w:color w:val="000000"/>
                <w:sz w:val="20"/>
                <w:szCs w:val="20"/>
              </w:rPr>
              <w:t>Cybersecurity</w:t>
            </w:r>
          </w:p>
        </w:tc>
      </w:tr>
      <w:tr w:rsidR="007E7C94" w14:paraId="6F2C20B7" w14:textId="77777777" w:rsidTr="007E7C94">
        <w:trPr>
          <w:trHeight w:val="14"/>
          <w:jc w:val="center"/>
        </w:trPr>
        <w:tc>
          <w:tcPr>
            <w:tcW w:w="1635" w:type="dxa"/>
            <w:tcMar>
              <w:top w:w="100" w:type="dxa"/>
              <w:left w:w="100" w:type="dxa"/>
              <w:bottom w:w="100" w:type="dxa"/>
              <w:right w:w="100" w:type="dxa"/>
            </w:tcMar>
            <w:hideMark/>
          </w:tcPr>
          <w:p w14:paraId="560F6EAE"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Mar>
              <w:top w:w="100" w:type="dxa"/>
              <w:left w:w="100" w:type="dxa"/>
              <w:bottom w:w="100" w:type="dxa"/>
              <w:right w:w="100" w:type="dxa"/>
            </w:tcMar>
            <w:hideMark/>
          </w:tcPr>
          <w:p w14:paraId="2915FFD3" w14:textId="77777777" w:rsidR="007E7C94" w:rsidRDefault="007E7C94" w:rsidP="007E7C94">
            <w:pPr>
              <w:pStyle w:val="NormalWeb"/>
              <w:spacing w:before="0" w:beforeAutospacing="0" w:after="0" w:afterAutospacing="0"/>
            </w:pPr>
            <w:r>
              <w:rPr>
                <w:rFonts w:ascii="Arial" w:hAnsi="Arial" w:cs="Arial"/>
                <w:color w:val="000000"/>
                <w:sz w:val="20"/>
                <w:szCs w:val="20"/>
              </w:rPr>
              <w:t>IBM</w:t>
            </w:r>
          </w:p>
        </w:tc>
        <w:tc>
          <w:tcPr>
            <w:tcW w:w="0" w:type="auto"/>
            <w:tcMar>
              <w:top w:w="100" w:type="dxa"/>
              <w:left w:w="100" w:type="dxa"/>
              <w:bottom w:w="100" w:type="dxa"/>
              <w:right w:w="100" w:type="dxa"/>
            </w:tcMar>
            <w:hideMark/>
          </w:tcPr>
          <w:p w14:paraId="4C0409BC" w14:textId="77777777" w:rsidR="007E7C94" w:rsidRDefault="007E7C94" w:rsidP="007E7C94">
            <w:pPr>
              <w:pStyle w:val="NormalWeb"/>
              <w:spacing w:before="0" w:beforeAutospacing="0" w:after="0" w:afterAutospacing="0"/>
            </w:pPr>
            <w:r>
              <w:rPr>
                <w:rFonts w:ascii="Arial" w:hAnsi="Arial" w:cs="Arial"/>
                <w:i/>
                <w:iCs/>
                <w:color w:val="000000"/>
                <w:sz w:val="20"/>
                <w:szCs w:val="20"/>
              </w:rPr>
              <w:t>Incident Response and Digital Forensics</w:t>
            </w:r>
          </w:p>
        </w:tc>
        <w:tc>
          <w:tcPr>
            <w:tcW w:w="3205" w:type="dxa"/>
            <w:tcMar>
              <w:top w:w="100" w:type="dxa"/>
              <w:left w:w="100" w:type="dxa"/>
              <w:bottom w:w="100" w:type="dxa"/>
              <w:right w:w="100" w:type="dxa"/>
            </w:tcMar>
            <w:hideMark/>
          </w:tcPr>
          <w:p w14:paraId="51F64118" w14:textId="77777777" w:rsidR="007E7C94" w:rsidRDefault="007E7C94" w:rsidP="007E7C94">
            <w:pPr>
              <w:pStyle w:val="NormalWeb"/>
              <w:spacing w:before="0" w:beforeAutospacing="0" w:after="0" w:afterAutospacing="0"/>
            </w:pPr>
            <w:r>
              <w:rPr>
                <w:rFonts w:ascii="Arial" w:hAnsi="Arial" w:cs="Arial"/>
                <w:color w:val="000000"/>
                <w:sz w:val="20"/>
                <w:szCs w:val="20"/>
              </w:rPr>
              <w:t>Cybersecurity</w:t>
            </w:r>
          </w:p>
        </w:tc>
      </w:tr>
      <w:tr w:rsidR="007E7C94" w14:paraId="4D8B8A2B" w14:textId="77777777" w:rsidTr="007E7C94">
        <w:trPr>
          <w:trHeight w:val="14"/>
          <w:jc w:val="center"/>
        </w:trPr>
        <w:tc>
          <w:tcPr>
            <w:tcW w:w="1635" w:type="dxa"/>
            <w:tcBorders>
              <w:bottom w:val="single" w:sz="4" w:space="0" w:color="auto"/>
            </w:tcBorders>
            <w:tcMar>
              <w:top w:w="100" w:type="dxa"/>
              <w:left w:w="100" w:type="dxa"/>
              <w:bottom w:w="100" w:type="dxa"/>
              <w:right w:w="100" w:type="dxa"/>
            </w:tcMar>
            <w:hideMark/>
          </w:tcPr>
          <w:p w14:paraId="0AEFF502" w14:textId="77777777" w:rsidR="007E7C94" w:rsidRDefault="007E7C94" w:rsidP="007E7C94">
            <w:pPr>
              <w:pStyle w:val="NormalWeb"/>
              <w:spacing w:before="0" w:beforeAutospacing="0" w:after="0" w:afterAutospacing="0"/>
            </w:pPr>
            <w:r>
              <w:rPr>
                <w:rFonts w:ascii="Arial" w:hAnsi="Arial" w:cs="Arial"/>
                <w:color w:val="000000"/>
                <w:sz w:val="20"/>
                <w:szCs w:val="20"/>
              </w:rPr>
              <w:t>Industry</w:t>
            </w:r>
          </w:p>
        </w:tc>
        <w:tc>
          <w:tcPr>
            <w:tcW w:w="0" w:type="auto"/>
            <w:tcBorders>
              <w:bottom w:val="single" w:sz="4" w:space="0" w:color="auto"/>
            </w:tcBorders>
            <w:tcMar>
              <w:top w:w="100" w:type="dxa"/>
              <w:left w:w="100" w:type="dxa"/>
              <w:bottom w:w="100" w:type="dxa"/>
              <w:right w:w="100" w:type="dxa"/>
            </w:tcMar>
            <w:hideMark/>
          </w:tcPr>
          <w:p w14:paraId="32971030" w14:textId="77777777" w:rsidR="007E7C94" w:rsidRDefault="007E7C94" w:rsidP="007E7C94">
            <w:pPr>
              <w:pStyle w:val="NormalWeb"/>
              <w:spacing w:before="0" w:beforeAutospacing="0" w:after="0" w:afterAutospacing="0"/>
            </w:pPr>
            <w:r>
              <w:rPr>
                <w:rFonts w:ascii="Arial" w:hAnsi="Arial" w:cs="Arial"/>
                <w:color w:val="000000"/>
                <w:sz w:val="20"/>
                <w:szCs w:val="20"/>
              </w:rPr>
              <w:t>Google Cloud</w:t>
            </w:r>
          </w:p>
        </w:tc>
        <w:tc>
          <w:tcPr>
            <w:tcW w:w="0" w:type="auto"/>
            <w:tcBorders>
              <w:bottom w:val="single" w:sz="4" w:space="0" w:color="auto"/>
            </w:tcBorders>
            <w:tcMar>
              <w:top w:w="100" w:type="dxa"/>
              <w:left w:w="100" w:type="dxa"/>
              <w:bottom w:w="100" w:type="dxa"/>
              <w:right w:w="100" w:type="dxa"/>
            </w:tcMar>
            <w:hideMark/>
          </w:tcPr>
          <w:p w14:paraId="6854DFB2" w14:textId="77777777" w:rsidR="007E7C94" w:rsidRDefault="007E7C94" w:rsidP="007E7C94">
            <w:pPr>
              <w:pStyle w:val="NormalWeb"/>
              <w:spacing w:before="0" w:beforeAutospacing="0" w:after="0" w:afterAutospacing="0"/>
            </w:pPr>
            <w:r>
              <w:rPr>
                <w:rFonts w:ascii="Arial" w:hAnsi="Arial" w:cs="Arial"/>
                <w:i/>
                <w:iCs/>
                <w:color w:val="000000"/>
                <w:sz w:val="20"/>
                <w:szCs w:val="20"/>
              </w:rPr>
              <w:t>Introduction to Large Language Models</w:t>
            </w:r>
          </w:p>
        </w:tc>
        <w:tc>
          <w:tcPr>
            <w:tcW w:w="3205" w:type="dxa"/>
            <w:tcBorders>
              <w:bottom w:val="single" w:sz="4" w:space="0" w:color="auto"/>
            </w:tcBorders>
            <w:tcMar>
              <w:top w:w="100" w:type="dxa"/>
              <w:left w:w="100" w:type="dxa"/>
              <w:bottom w:w="100" w:type="dxa"/>
              <w:right w:w="100" w:type="dxa"/>
            </w:tcMar>
            <w:hideMark/>
          </w:tcPr>
          <w:p w14:paraId="1B169CD6" w14:textId="77777777" w:rsidR="007E7C94" w:rsidRDefault="007E7C94" w:rsidP="007E7C94">
            <w:pPr>
              <w:pStyle w:val="NormalWeb"/>
              <w:spacing w:before="0" w:beforeAutospacing="0" w:after="0" w:afterAutospacing="0"/>
            </w:pPr>
            <w:r>
              <w:rPr>
                <w:rFonts w:ascii="Arial" w:hAnsi="Arial" w:cs="Arial"/>
                <w:color w:val="000000"/>
                <w:sz w:val="20"/>
                <w:szCs w:val="20"/>
              </w:rPr>
              <w:t>Artificial Intelligence/Technology</w:t>
            </w:r>
          </w:p>
        </w:tc>
      </w:tr>
    </w:tbl>
    <w:p w14:paraId="48366AC3" w14:textId="77777777" w:rsidR="00B57BC1" w:rsidRDefault="00B57BC1" w:rsidP="00B57BC1"/>
    <w:p w14:paraId="6AAA86D1" w14:textId="0D5670F4"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2.3 Documentary Data Sources</w:t>
      </w:r>
    </w:p>
    <w:p w14:paraId="2B02E0CF" w14:textId="77777777" w:rsidR="00B57BC1" w:rsidRDefault="00B57BC1" w:rsidP="00B57BC1"/>
    <w:p w14:paraId="4A2D7488" w14:textId="77777777" w:rsidR="008833D1" w:rsidRDefault="008833D1" w:rsidP="008833D1">
      <w:pPr>
        <w:pStyle w:val="NormalWeb"/>
        <w:spacing w:before="0" w:beforeAutospacing="0" w:after="0" w:afterAutospacing="0"/>
      </w:pPr>
      <w:r>
        <w:rPr>
          <w:rFonts w:ascii="Arial" w:hAnsi="Arial" w:cs="Arial"/>
          <w:color w:val="000000"/>
          <w:sz w:val="20"/>
          <w:szCs w:val="20"/>
        </w:rPr>
        <w:t xml:space="preserve">The primary documentary data comprised publicly accessible information presented on the individual Coursera course pages for the ten selected MOOCs. These pages served as the principal documentary sources, as they contain provider-presented information intended for prospective learners within a standardized platform environment. The documentary analysis focused on information relevant to the four signaling categories: course descriptions, provider information, instructor names and publicly stated qualifications or professional </w:t>
      </w:r>
      <w:r>
        <w:rPr>
          <w:rFonts w:ascii="Arial" w:hAnsi="Arial" w:cs="Arial"/>
          <w:color w:val="000000"/>
          <w:sz w:val="20"/>
          <w:szCs w:val="20"/>
        </w:rPr>
        <w:lastRenderedPageBreak/>
        <w:t>backgrounds, learning outcomes, prerequisites, workload, difficulty level (where available), assessments and projects, skills, and certificate or credential information.</w:t>
      </w:r>
    </w:p>
    <w:p w14:paraId="4CDC52A8" w14:textId="77777777" w:rsidR="008833D1" w:rsidRDefault="008833D1" w:rsidP="008833D1">
      <w:pPr>
        <w:pStyle w:val="NormalWeb"/>
        <w:spacing w:before="0" w:beforeAutospacing="0" w:after="0" w:afterAutospacing="0"/>
      </w:pPr>
      <w:r w:rsidRPr="008833D1">
        <w:rPr>
          <w:rFonts w:ascii="Arial" w:hAnsi="Arial" w:cs="Arial"/>
          <w:color w:val="000000"/>
          <w:sz w:val="20"/>
          <w:szCs w:val="20"/>
        </w:rPr>
        <w:t>A clear distinction was maintained between sampling information and substantive documentary evidence throughout the study. Class Central’s 2025 ranking was used exclusively to establish eligibility and identify highly enrolled cases. In contrast, the publicly available Coursera course pages served</w:t>
      </w:r>
      <w:r>
        <w:rPr>
          <w:rFonts w:ascii="Arial" w:hAnsi="Arial" w:cs="Arial"/>
          <w:color w:val="000000"/>
          <w:sz w:val="20"/>
          <w:szCs w:val="20"/>
        </w:rPr>
        <w:t xml:space="preserve"> as the primary sources for analyzing the signals communicated by the selected MOOCs. The designation of a course as highly enrolled was based on its inclusion in Class Central’s ranking, not on the current enrollment figures displayed on Coursera. Dynamic enrollment information on Coursera pages was not treated as substantive evidence, as such data may fluctuate over time.</w:t>
      </w:r>
    </w:p>
    <w:p w14:paraId="3B5BDB49" w14:textId="77777777" w:rsidR="008833D1" w:rsidRDefault="008833D1" w:rsidP="008833D1">
      <w:pPr>
        <w:pStyle w:val="NormalWeb"/>
        <w:spacing w:before="0" w:beforeAutospacing="0" w:after="0" w:afterAutospacing="0"/>
      </w:pPr>
      <w:r>
        <w:rPr>
          <w:rFonts w:ascii="Arial" w:hAnsi="Arial" w:cs="Arial"/>
          <w:color w:val="000000"/>
          <w:sz w:val="20"/>
          <w:szCs w:val="20"/>
        </w:rPr>
        <w:t>For each selected course, publicly available information was extracted to provide evidence of provider reputation or prestige, instructor expertise, expected rigor, and credential or competence value. Information was deemed relevant if it met the operational definitions established in the study’s analytical framework. Signals were not inferred solely from the presence of a provider or instructor name; instead, the information had to communicate a recognizable cue regarding credibility, expertise, rigor, or competence.</w:t>
      </w:r>
    </w:p>
    <w:p w14:paraId="4DF85AB5" w14:textId="77777777" w:rsidR="008833D1" w:rsidRDefault="008833D1" w:rsidP="008833D1">
      <w:pPr>
        <w:pStyle w:val="NormalWeb"/>
        <w:spacing w:before="0" w:beforeAutospacing="0" w:after="0" w:afterAutospacing="0"/>
      </w:pPr>
      <w:r>
        <w:rPr>
          <w:rFonts w:ascii="Arial" w:hAnsi="Arial" w:cs="Arial"/>
          <w:color w:val="000000"/>
          <w:sz w:val="20"/>
          <w:szCs w:val="20"/>
        </w:rPr>
        <w:t>Only information intentionally made publicly accessible on the selected Coursera course pages was included in the substantive analysis. Learner reviews, discussion posts, private course materials, interviews, surveys, and other non-public sources were excluded. Similarly, Class Central information was not analyzed as evidence of signaling; its role was limited to identifying cases that met the study’s sampling criteria.</w:t>
      </w:r>
    </w:p>
    <w:p w14:paraId="4CD50866" w14:textId="77777777" w:rsidR="00B57BC1" w:rsidRDefault="00B57BC1" w:rsidP="00B57BC1"/>
    <w:p w14:paraId="1981373C" w14:textId="77777777" w:rsidR="00D32EE8" w:rsidRPr="00D32EE8" w:rsidRDefault="00B57BC1" w:rsidP="00D32EE8">
      <w:pPr>
        <w:pStyle w:val="Heading3"/>
        <w:spacing w:before="0"/>
        <w:rPr>
          <w:b/>
          <w:bCs/>
          <w:sz w:val="22"/>
          <w:szCs w:val="22"/>
        </w:rPr>
      </w:pPr>
      <w:r w:rsidRPr="00D32EE8">
        <w:rPr>
          <w:rFonts w:ascii="Arial" w:hAnsi="Arial" w:cs="Arial"/>
          <w:b/>
          <w:bCs/>
          <w:color w:val="000000"/>
          <w:sz w:val="22"/>
          <w:szCs w:val="22"/>
        </w:rPr>
        <w:t xml:space="preserve">2.4 </w:t>
      </w:r>
      <w:r w:rsidR="00D32EE8" w:rsidRPr="00D32EE8">
        <w:rPr>
          <w:rFonts w:ascii="Arial" w:hAnsi="Arial" w:cs="Arial"/>
          <w:b/>
          <w:bCs/>
          <w:color w:val="000000"/>
          <w:sz w:val="22"/>
          <w:szCs w:val="22"/>
        </w:rPr>
        <w:t>Analytical Framework and Codebook</w:t>
      </w:r>
    </w:p>
    <w:p w14:paraId="3633E71F" w14:textId="77777777" w:rsidR="00B57BC1" w:rsidRDefault="00B57BC1" w:rsidP="00B57BC1"/>
    <w:p w14:paraId="5367AF62" w14:textId="77777777" w:rsidR="00D32EE8" w:rsidRDefault="00D32EE8" w:rsidP="00D32EE8">
      <w:pPr>
        <w:pStyle w:val="NormalWeb"/>
        <w:spacing w:before="0" w:beforeAutospacing="0" w:after="0" w:afterAutospacing="0"/>
      </w:pPr>
      <w:r>
        <w:rPr>
          <w:rFonts w:ascii="Arial" w:hAnsi="Arial" w:cs="Arial"/>
          <w:color w:val="000000"/>
          <w:sz w:val="20"/>
          <w:szCs w:val="20"/>
        </w:rPr>
        <w:t>Signaling Theory was adopted as the analytical framework for this study. This theory addresses communication in contexts of information asymmetry, where signalers provide observable information that enables receivers to infer otherwise unobservable qualities (Connelly et al., 2011, 2025). In this context, MOOC providers were conceptualized as signalers, prospective learners as receivers, and publicly available course information as the signaling environment.</w:t>
      </w:r>
    </w:p>
    <w:p w14:paraId="4BC03458" w14:textId="77777777" w:rsidR="00D32EE8" w:rsidRDefault="00D32EE8" w:rsidP="00D32EE8">
      <w:pPr>
        <w:pStyle w:val="NormalWeb"/>
        <w:spacing w:before="0" w:beforeAutospacing="0" w:after="0" w:afterAutospacing="0"/>
      </w:pPr>
      <w:r>
        <w:rPr>
          <w:rFonts w:ascii="Arial" w:hAnsi="Arial" w:cs="Arial"/>
          <w:color w:val="000000"/>
          <w:sz w:val="20"/>
          <w:szCs w:val="20"/>
        </w:rPr>
        <w:t xml:space="preserve">The codebook was developed deductively by integrating the logic of </w:t>
      </w:r>
      <w:r w:rsidRPr="00D32EE8">
        <w:rPr>
          <w:rFonts w:ascii="Arial" w:hAnsi="Arial" w:cs="Arial"/>
          <w:color w:val="000000"/>
          <w:sz w:val="20"/>
          <w:szCs w:val="20"/>
        </w:rPr>
        <w:t>Signaling Theory with empirical literature on MOOCs and online learning. The four codes represent analytical categories specific to this study, rather than canonical dimensions of Signaling Theory. Course-page features were coded only when they communicated a recognizable</w:t>
      </w:r>
      <w:r>
        <w:rPr>
          <w:rFonts w:ascii="Arial" w:hAnsi="Arial" w:cs="Arial"/>
          <w:color w:val="000000"/>
          <w:sz w:val="20"/>
          <w:szCs w:val="20"/>
        </w:rPr>
        <w:t xml:space="preserve"> cue regarding credibility, expertise, expected demands, competence, or value.</w:t>
      </w:r>
    </w:p>
    <w:p w14:paraId="27A4E378" w14:textId="77777777" w:rsidR="00D32EE8" w:rsidRDefault="00D32EE8" w:rsidP="00D32EE8">
      <w:pPr>
        <w:pStyle w:val="NormalWeb"/>
        <w:spacing w:before="0" w:beforeAutospacing="0" w:after="0" w:afterAutospacing="0"/>
      </w:pPr>
      <w:r>
        <w:rPr>
          <w:rFonts w:ascii="Arial" w:hAnsi="Arial" w:cs="Arial"/>
          <w:b/>
          <w:bCs/>
          <w:color w:val="000000"/>
          <w:sz w:val="20"/>
          <w:szCs w:val="20"/>
        </w:rPr>
        <w:t>S1 – Provider Reputation/Prestige.</w:t>
      </w:r>
      <w:r>
        <w:rPr>
          <w:rFonts w:ascii="Arial" w:hAnsi="Arial" w:cs="Arial"/>
          <w:color w:val="000000"/>
          <w:sz w:val="20"/>
          <w:szCs w:val="20"/>
        </w:rPr>
        <w:t xml:space="preserve"> This code includes observable information that communicates the credibility, standing, authority, or recognized status of the organization offering the MOOC. Signaling Theory provides the theoretical basis for treating observable organizational characteristics as potential signals (Connelly et al., 2011, 2025), and MOOC-specific research has identified institutional reputation or prestige as relevant to course selection (Shi &amp; Xu, 2024). Institutional distinctions, rankings presented as credibility cues, recognized status, and established industry standing were coded under S1. The provider name alone was not sufficient unless it was presented or contextualized as evidence of credibility or status.</w:t>
      </w:r>
    </w:p>
    <w:p w14:paraId="7BB741B7" w14:textId="77777777" w:rsidR="00D32EE8" w:rsidRDefault="00D32EE8" w:rsidP="00D32EE8">
      <w:pPr>
        <w:pStyle w:val="NormalWeb"/>
        <w:spacing w:before="0" w:beforeAutospacing="0" w:after="0" w:afterAutospacing="0"/>
      </w:pPr>
      <w:r>
        <w:rPr>
          <w:rFonts w:ascii="Arial" w:hAnsi="Arial" w:cs="Arial"/>
          <w:b/>
          <w:bCs/>
          <w:color w:val="000000"/>
          <w:sz w:val="20"/>
          <w:szCs w:val="20"/>
        </w:rPr>
        <w:t>S2 – Instructor Expertise.</w:t>
      </w:r>
      <w:r>
        <w:rPr>
          <w:rFonts w:ascii="Arial" w:hAnsi="Arial" w:cs="Arial"/>
          <w:color w:val="000000"/>
          <w:sz w:val="20"/>
          <w:szCs w:val="20"/>
        </w:rPr>
        <w:t xml:space="preserve"> This code pertains to observable information that communicates the academic, professional, research, or industry expertise of instructors. Evidence included academic qualifications, research specialization, professional experience, industry positions, and recognized accomplishments. The theoretical basis follows Signaling Theory's logic that observable characteristics can communicate otherwise less observable qualities (Connelly et al., 2011, 2025), and prior MOOC research identifies instructor credentials and expertise as relevant to course selection (Shi &amp; Xu, 2024). An instructor's name or presence alone was not sufficient for coding.</w:t>
      </w:r>
    </w:p>
    <w:p w14:paraId="4061027D" w14:textId="77777777" w:rsidR="00D32EE8" w:rsidRDefault="00D32EE8" w:rsidP="00D32EE8">
      <w:pPr>
        <w:pStyle w:val="NormalWeb"/>
        <w:spacing w:before="0" w:beforeAutospacing="0" w:after="0" w:afterAutospacing="0"/>
      </w:pPr>
      <w:r>
        <w:rPr>
          <w:rFonts w:ascii="Arial" w:hAnsi="Arial" w:cs="Arial"/>
          <w:b/>
          <w:bCs/>
          <w:color w:val="000000"/>
          <w:sz w:val="20"/>
          <w:szCs w:val="20"/>
        </w:rPr>
        <w:lastRenderedPageBreak/>
        <w:t>S3 – Rigor Signals.</w:t>
      </w:r>
      <w:r>
        <w:rPr>
          <w:rFonts w:ascii="Arial" w:hAnsi="Arial" w:cs="Arial"/>
          <w:color w:val="000000"/>
          <w:sz w:val="20"/>
          <w:szCs w:val="20"/>
        </w:rPr>
        <w:t xml:space="preserve"> This code encompasses observable course characteristics that communicate expected difficulty, effort, seriousness, or academic or technical demands. Shi and Xu (2024) specifically examined stated difficulty and expected effort as MOOC signaling attributes. Prerequisites, stated workload, difficulty level, assessments, graded activities, projects, and technical requirements were coded as rigor signals. These indicators were interpreted as communications of expected rigor, not as objective measures of actual course difficulty.</w:t>
      </w:r>
    </w:p>
    <w:p w14:paraId="64A95CBC" w14:textId="77777777" w:rsidR="00D32EE8" w:rsidRDefault="00D32EE8" w:rsidP="00D32EE8">
      <w:pPr>
        <w:pStyle w:val="NormalWeb"/>
        <w:spacing w:before="0" w:beforeAutospacing="0" w:after="0" w:afterAutospacing="0"/>
      </w:pPr>
      <w:r>
        <w:rPr>
          <w:rFonts w:ascii="Arial" w:hAnsi="Arial" w:cs="Arial"/>
          <w:b/>
          <w:bCs/>
          <w:color w:val="000000"/>
          <w:sz w:val="20"/>
          <w:szCs w:val="20"/>
        </w:rPr>
        <w:t>S4 – Credential and Competence Signals.</w:t>
      </w:r>
      <w:r>
        <w:rPr>
          <w:rFonts w:ascii="Arial" w:hAnsi="Arial" w:cs="Arial"/>
          <w:color w:val="000000"/>
          <w:sz w:val="20"/>
          <w:szCs w:val="20"/>
        </w:rPr>
        <w:t xml:space="preserve"> This code includes observable information that communicates what successful participation or completion represents in terms of credentials, skills, knowledge, competence, or professional value. </w:t>
      </w:r>
      <w:proofErr w:type="spellStart"/>
      <w:r>
        <w:rPr>
          <w:rFonts w:ascii="Arial" w:hAnsi="Arial" w:cs="Arial"/>
          <w:color w:val="000000"/>
          <w:sz w:val="20"/>
          <w:szCs w:val="20"/>
        </w:rPr>
        <w:t>Gorbatov</w:t>
      </w:r>
      <w:proofErr w:type="spellEnd"/>
      <w:r>
        <w:rPr>
          <w:rFonts w:ascii="Arial" w:hAnsi="Arial" w:cs="Arial"/>
          <w:color w:val="000000"/>
          <w:sz w:val="20"/>
          <w:szCs w:val="20"/>
        </w:rPr>
        <w:t xml:space="preserve"> et al. (2020) examined MOOC participation and certification as signals of professional value, while Rivas et al. (2020) found that MOOC credentials can generate positive hiring preferences compared to having no listed credential. Evidence coded under S4 included certificates, professional credentials, specified competencies or skills, qualification claims, employer recognition, and explicit statements connecting completion with professional capability.</w:t>
      </w:r>
    </w:p>
    <w:p w14:paraId="505784A4" w14:textId="77777777" w:rsidR="00D32EE8" w:rsidRDefault="00D32EE8" w:rsidP="00D32EE8">
      <w:pPr>
        <w:pStyle w:val="NormalWeb"/>
        <w:spacing w:before="0" w:beforeAutospacing="0" w:after="0" w:afterAutospacing="0"/>
      </w:pPr>
      <w:r>
        <w:rPr>
          <w:rFonts w:ascii="Arial" w:hAnsi="Arial" w:cs="Arial"/>
          <w:color w:val="000000"/>
          <w:sz w:val="20"/>
          <w:szCs w:val="20"/>
        </w:rPr>
        <w:t xml:space="preserve">The four-category codebook was applied consistently across all ten cases. </w:t>
      </w:r>
      <w:r>
        <w:rPr>
          <w:rFonts w:ascii="Arial" w:hAnsi="Arial" w:cs="Arial"/>
          <w:b/>
          <w:bCs/>
          <w:color w:val="000000"/>
          <w:sz w:val="20"/>
          <w:szCs w:val="20"/>
        </w:rPr>
        <w:t xml:space="preserve">Course domain </w:t>
      </w:r>
      <w:r w:rsidRPr="00D32EE8">
        <w:rPr>
          <w:rFonts w:ascii="Arial" w:hAnsi="Arial" w:cs="Arial"/>
          <w:color w:val="000000"/>
          <w:sz w:val="20"/>
          <w:szCs w:val="20"/>
        </w:rPr>
        <w:t>was not treated as a signaling code but was retained as descriptive contextual information for examining emergent patterns following the primary</w:t>
      </w:r>
      <w:r>
        <w:rPr>
          <w:rFonts w:ascii="Arial" w:hAnsi="Arial" w:cs="Arial"/>
          <w:color w:val="000000"/>
          <w:sz w:val="20"/>
          <w:szCs w:val="20"/>
        </w:rPr>
        <w:t xml:space="preserve"> provider-type comparison. Career relevance, price, duration, accessibility, and other course-page features were not considered independent codes unless their presentation provided evidence relevant to one of the four signaling categories.</w:t>
      </w:r>
    </w:p>
    <w:p w14:paraId="47DC61E0" w14:textId="77777777" w:rsidR="00B57BC1" w:rsidRDefault="00B57BC1" w:rsidP="00B57BC1"/>
    <w:p w14:paraId="6CA3B34D" w14:textId="7F043CFF"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 xml:space="preserve">2.5 </w:t>
      </w:r>
      <w:r w:rsidR="00180FAB">
        <w:rPr>
          <w:rFonts w:ascii="Arial" w:hAnsi="Arial" w:cs="Arial"/>
          <w:b/>
          <w:bCs/>
          <w:color w:val="000000"/>
          <w:sz w:val="22"/>
          <w:szCs w:val="22"/>
        </w:rPr>
        <w:t>Data Analysis</w:t>
      </w:r>
    </w:p>
    <w:p w14:paraId="5F228483" w14:textId="77777777" w:rsidR="00B57BC1" w:rsidRDefault="00B57BC1" w:rsidP="00B57BC1"/>
    <w:p w14:paraId="46B495C1" w14:textId="77777777" w:rsidR="002F322E" w:rsidRPr="00797514" w:rsidRDefault="002F322E" w:rsidP="00797514">
      <w:pPr>
        <w:pStyle w:val="NormalWeb"/>
        <w:spacing w:before="0" w:beforeAutospacing="0" w:after="0" w:afterAutospacing="0"/>
        <w:rPr>
          <w:rFonts w:ascii="Arial" w:hAnsi="Arial" w:cs="Arial"/>
          <w:sz w:val="20"/>
          <w:szCs w:val="20"/>
        </w:rPr>
      </w:pPr>
      <w:r w:rsidRPr="002F322E">
        <w:rPr>
          <w:rFonts w:ascii="Arial" w:hAnsi="Arial" w:cs="Arial"/>
          <w:color w:val="000000"/>
          <w:sz w:val="20"/>
          <w:szCs w:val="20"/>
        </w:rPr>
        <w:t>Documentary data were analyzed using directed qualitative content analysis. This method was selected because the study commenced with an established theoretical framework and a deductively developed codebook, which enabled systematic application of theory-informed categories to textual data (</w:t>
      </w:r>
      <w:proofErr w:type="spellStart"/>
      <w:r w:rsidRPr="002F322E">
        <w:rPr>
          <w:rFonts w:ascii="Arial" w:hAnsi="Arial" w:cs="Arial"/>
          <w:color w:val="000000"/>
          <w:sz w:val="20"/>
          <w:szCs w:val="20"/>
        </w:rPr>
        <w:t>Alyaqoub</w:t>
      </w:r>
      <w:proofErr w:type="spellEnd"/>
      <w:r w:rsidRPr="002F322E">
        <w:rPr>
          <w:rFonts w:ascii="Arial" w:hAnsi="Arial" w:cs="Arial"/>
          <w:color w:val="000000"/>
          <w:sz w:val="20"/>
          <w:szCs w:val="20"/>
        </w:rPr>
        <w:t xml:space="preserve"> et al., 2024; Fife &amp; Gossner, 2024). The analysis prioritized the identification of observable information serving as signals within the four categories established in Section 2.4.</w:t>
      </w:r>
    </w:p>
    <w:p w14:paraId="630D2FD7" w14:textId="77777777" w:rsidR="00797514" w:rsidRPr="00797514" w:rsidRDefault="00797514" w:rsidP="00797514">
      <w:pPr>
        <w:pStyle w:val="isselectedend"/>
        <w:spacing w:before="0" w:beforeAutospacing="0" w:after="0" w:afterAutospacing="0"/>
        <w:rPr>
          <w:rFonts w:ascii="Arial" w:hAnsi="Arial" w:cs="Arial"/>
          <w:sz w:val="20"/>
          <w:szCs w:val="20"/>
        </w:rPr>
      </w:pPr>
      <w:r w:rsidRPr="00797514">
        <w:rPr>
          <w:rFonts w:ascii="Arial" w:hAnsi="Arial" w:cs="Arial"/>
          <w:sz w:val="20"/>
          <w:szCs w:val="20"/>
        </w:rPr>
        <w:t>The analysis was conducted in five stages. First, the publicly available course information for each selected MOOC was reviewed and organized by case. Second, meaningful segments of course-page information were identified as units of analysis. A segment was deemed relevant if it communicated information that could serve as a credible cue regarding provider credibility, instructor expertise, expected rigor, or credential and competence value. Third, the identified segments were deductively coded using the S1–S4 categories according to their operational definitions. Course-page features were coded only if they satisfied the operational definition of the corresponding signaling category.</w:t>
      </w:r>
    </w:p>
    <w:p w14:paraId="0BF14338" w14:textId="77777777" w:rsidR="00797514" w:rsidRPr="00797514" w:rsidRDefault="00797514" w:rsidP="00797514">
      <w:pPr>
        <w:pStyle w:val="NormalWeb"/>
        <w:spacing w:before="0" w:beforeAutospacing="0" w:after="0" w:afterAutospacing="0"/>
        <w:rPr>
          <w:rFonts w:ascii="Arial" w:hAnsi="Arial" w:cs="Arial"/>
          <w:sz w:val="20"/>
          <w:szCs w:val="20"/>
        </w:rPr>
      </w:pPr>
      <w:r w:rsidRPr="00797514">
        <w:rPr>
          <w:rFonts w:ascii="Arial" w:hAnsi="Arial" w:cs="Arial"/>
          <w:sz w:val="20"/>
          <w:szCs w:val="20"/>
        </w:rPr>
        <w:t>Fourth, within-case analysis was conducted to examine the combination and presentation of signals within each MOOC, maintaining the context of individual cases. Fifth, comparative analysis was performed within each provider group and then across university and industry groups to identify similarities, differences, and distinctive combinations of signals. Course domains were subsequently examined descriptively to identify emergent patterns, without treating domains as predetermined analytical categories.</w:t>
      </w:r>
    </w:p>
    <w:p w14:paraId="48863D9F" w14:textId="5607087C" w:rsidR="002F322E" w:rsidRPr="002F322E" w:rsidRDefault="002F322E" w:rsidP="002F322E">
      <w:pPr>
        <w:pStyle w:val="NormalWeb"/>
        <w:spacing w:before="0" w:beforeAutospacing="0" w:after="0" w:afterAutospacing="0"/>
        <w:rPr>
          <w:rFonts w:ascii="Arial" w:hAnsi="Arial" w:cs="Arial"/>
          <w:color w:val="000000"/>
          <w:sz w:val="20"/>
          <w:szCs w:val="20"/>
        </w:rPr>
      </w:pPr>
      <w:r w:rsidRPr="002F322E">
        <w:rPr>
          <w:rFonts w:ascii="Arial" w:hAnsi="Arial" w:cs="Arial"/>
          <w:color w:val="000000"/>
          <w:sz w:val="20"/>
          <w:szCs w:val="20"/>
        </w:rPr>
        <w:t>The analysis emphasized patterns of signaling rather than numerical frequency or causal effects. No scores, rankings, or statistical tests were assigned to the four codes. Enrollment was used exclusively to establish case inclusion through the Class Central sampling frame and was not analyzed as a dependent variable. This approach precludes causal claims regarding learner enrollment in the selected MOOCs and maintains the study’s focus on observable signaling patterns communicated through publicly available course information.</w:t>
      </w:r>
    </w:p>
    <w:p w14:paraId="47E7C227" w14:textId="77777777" w:rsidR="00B57BC1" w:rsidRPr="00B57BC1" w:rsidRDefault="00B57BC1" w:rsidP="00B57BC1">
      <w:pPr>
        <w:pStyle w:val="Heading3"/>
        <w:spacing w:before="0"/>
        <w:rPr>
          <w:b/>
          <w:bCs/>
          <w:sz w:val="22"/>
          <w:szCs w:val="22"/>
        </w:rPr>
      </w:pPr>
      <w:r w:rsidRPr="00B57BC1">
        <w:rPr>
          <w:rFonts w:ascii="Arial" w:hAnsi="Arial" w:cs="Arial"/>
          <w:b/>
          <w:bCs/>
          <w:color w:val="000000"/>
          <w:sz w:val="22"/>
          <w:szCs w:val="22"/>
        </w:rPr>
        <w:t>2.6 Trustworthiness</w:t>
      </w:r>
    </w:p>
    <w:p w14:paraId="21101C59" w14:textId="77777777" w:rsidR="00B57BC1" w:rsidRDefault="00B57BC1" w:rsidP="00B57BC1"/>
    <w:p w14:paraId="569EECC0" w14:textId="77777777" w:rsidR="00C079FD" w:rsidRDefault="00C079FD" w:rsidP="00C079FD">
      <w:pPr>
        <w:pStyle w:val="NormalWeb"/>
        <w:spacing w:before="0" w:beforeAutospacing="0" w:after="0" w:afterAutospacing="0"/>
      </w:pPr>
      <w:r w:rsidRPr="00C079FD">
        <w:rPr>
          <w:rFonts w:ascii="Arial" w:hAnsi="Arial" w:cs="Arial"/>
          <w:color w:val="000000"/>
          <w:sz w:val="20"/>
          <w:szCs w:val="20"/>
        </w:rPr>
        <w:lastRenderedPageBreak/>
        <w:t>Methodological rigor was ensured by applying the four established criteria of qualitative trustworthiness: credibility, transferability, dependability, and confirmability (Lincoln &amp; Guba, 1985; Ahmed, 2024). These criteria guided the processes of sampling</w:t>
      </w:r>
      <w:r>
        <w:rPr>
          <w:rFonts w:ascii="Arial" w:hAnsi="Arial" w:cs="Arial"/>
          <w:color w:val="000000"/>
          <w:sz w:val="20"/>
          <w:szCs w:val="20"/>
        </w:rPr>
        <w:t>, documentary collection, coding, and comparative analysis (Lim, 2025).</w:t>
      </w:r>
    </w:p>
    <w:p w14:paraId="29ED65A2" w14:textId="77777777" w:rsidR="00C079FD" w:rsidRDefault="00C079FD" w:rsidP="00C079FD">
      <w:pPr>
        <w:pStyle w:val="NormalWeb"/>
        <w:spacing w:before="0" w:beforeAutospacing="0" w:after="0" w:afterAutospacing="0"/>
      </w:pPr>
      <w:r>
        <w:rPr>
          <w:rFonts w:ascii="Arial" w:hAnsi="Arial" w:cs="Arial"/>
          <w:b/>
          <w:bCs/>
          <w:color w:val="000000"/>
          <w:sz w:val="20"/>
          <w:szCs w:val="20"/>
        </w:rPr>
        <w:t>Credibility</w:t>
      </w:r>
      <w:r>
        <w:rPr>
          <w:rFonts w:ascii="Arial" w:hAnsi="Arial" w:cs="Arial"/>
          <w:color w:val="000000"/>
          <w:sz w:val="20"/>
          <w:szCs w:val="20"/>
        </w:rPr>
        <w:t xml:space="preserve"> was established through the use of publicly verifiable primary documentary sources, a clearly defined sampling frame, and a theory-derived codebook with explicit operational definitions. Consistent inclusion criteria and coding rules were applied across all ten cases. The clear distinction between the Class Central ranking for case eligibility and Coursera pages for substantive evidence enhanced the traceability of the analysis.</w:t>
      </w:r>
    </w:p>
    <w:p w14:paraId="1360B033" w14:textId="77777777" w:rsidR="00C079FD" w:rsidRDefault="00C079FD" w:rsidP="00C079FD">
      <w:pPr>
        <w:pStyle w:val="NormalWeb"/>
        <w:spacing w:before="0" w:beforeAutospacing="0" w:after="0" w:afterAutospacing="0"/>
      </w:pPr>
      <w:r>
        <w:rPr>
          <w:rFonts w:ascii="Arial" w:hAnsi="Arial" w:cs="Arial"/>
          <w:b/>
          <w:bCs/>
          <w:color w:val="000000"/>
          <w:sz w:val="20"/>
          <w:szCs w:val="20"/>
        </w:rPr>
        <w:t>Transferability</w:t>
      </w:r>
      <w:r>
        <w:rPr>
          <w:rFonts w:ascii="Arial" w:hAnsi="Arial" w:cs="Arial"/>
          <w:color w:val="000000"/>
          <w:sz w:val="20"/>
          <w:szCs w:val="20"/>
        </w:rPr>
        <w:t xml:space="preserve"> was facilitated by providing detailed descriptions of the platform, sampling frame, provider types, case-selection criteria, documentary sources, and analytical procedures. As purposive sampling was employed, the findings are not intended for statistical generalization. Instead, the contextual detail allows readers to evaluate the applicability of the results to comparable MOOC settings (Ahmed, 2024; Lim, 2025).</w:t>
      </w:r>
    </w:p>
    <w:p w14:paraId="7F545EC7" w14:textId="77777777" w:rsidR="00C079FD" w:rsidRDefault="00C079FD" w:rsidP="00C079FD">
      <w:pPr>
        <w:pStyle w:val="NormalWeb"/>
        <w:spacing w:before="0" w:beforeAutospacing="0" w:after="0" w:afterAutospacing="0"/>
      </w:pPr>
      <w:r>
        <w:rPr>
          <w:rFonts w:ascii="Arial" w:hAnsi="Arial" w:cs="Arial"/>
          <w:b/>
          <w:bCs/>
          <w:color w:val="000000"/>
          <w:sz w:val="20"/>
          <w:szCs w:val="20"/>
        </w:rPr>
        <w:t>Dependability</w:t>
      </w:r>
      <w:r>
        <w:rPr>
          <w:rFonts w:ascii="Arial" w:hAnsi="Arial" w:cs="Arial"/>
          <w:color w:val="000000"/>
          <w:sz w:val="20"/>
          <w:szCs w:val="20"/>
        </w:rPr>
        <w:t xml:space="preserve"> was ensured by maintaining a documented analytical procedure and an audit trail encompassing case selection, documentary collection, coding decisions, and cross-case comparisons. The operational definitions for S1–S4 were applied consistently across all cases (Noble &amp; Smith, 2025).</w:t>
      </w:r>
    </w:p>
    <w:p w14:paraId="62C4F8B8" w14:textId="77777777" w:rsidR="00C079FD" w:rsidRDefault="00C079FD" w:rsidP="00C079FD">
      <w:pPr>
        <w:pStyle w:val="NormalWeb"/>
        <w:spacing w:before="0" w:beforeAutospacing="0" w:after="0" w:afterAutospacing="0"/>
      </w:pPr>
      <w:r>
        <w:rPr>
          <w:rFonts w:ascii="Arial" w:hAnsi="Arial" w:cs="Arial"/>
          <w:b/>
          <w:bCs/>
          <w:color w:val="000000"/>
          <w:sz w:val="20"/>
          <w:szCs w:val="20"/>
        </w:rPr>
        <w:t>Confirmability</w:t>
      </w:r>
      <w:r>
        <w:rPr>
          <w:rFonts w:ascii="Arial" w:hAnsi="Arial" w:cs="Arial"/>
          <w:color w:val="000000"/>
          <w:sz w:val="20"/>
          <w:szCs w:val="20"/>
        </w:rPr>
        <w:t xml:space="preserve"> was achieved by grounding interpretations in identifiable documentary evidence and maintaining analytical notes on coding decisions and interpretations. Provider-presented claims were clearly distinguished from the researcher’s analytical conclusions, and reflexive awareness was maintained to minimize unsupported inference (Lim, 2025; Noble &amp; Smith, 2025).</w:t>
      </w:r>
    </w:p>
    <w:p w14:paraId="3986916C" w14:textId="77777777" w:rsidR="00C079FD" w:rsidRDefault="00C079FD" w:rsidP="00C079FD">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As the study relied exclusively on public documentary sources and did not involve human participants, member checking and participant-based validation were not applicable. Inter-coder reliability and investigator triangulation were also not claimed, as the study was conducted by a single researcher. Instead, rigor was established through transparency, consistency, documentary evidence trails, and alignment among the research questions, theoretical framework, codebook, and analytical procedures.</w:t>
      </w:r>
    </w:p>
    <w:p w14:paraId="1B820E47" w14:textId="77777777" w:rsidR="003B14C4" w:rsidRDefault="003B14C4" w:rsidP="00C079FD">
      <w:pPr>
        <w:pStyle w:val="NormalWeb"/>
        <w:spacing w:before="0" w:beforeAutospacing="0" w:after="0" w:afterAutospacing="0"/>
        <w:rPr>
          <w:rFonts w:ascii="Arial" w:hAnsi="Arial" w:cs="Arial"/>
          <w:color w:val="000000"/>
          <w:sz w:val="20"/>
          <w:szCs w:val="20"/>
        </w:rPr>
      </w:pPr>
    </w:p>
    <w:p w14:paraId="5AECA8DC" w14:textId="77777777" w:rsidR="003B14C4" w:rsidRPr="003B14C4" w:rsidRDefault="003B14C4" w:rsidP="003B14C4">
      <w:pPr>
        <w:pStyle w:val="Heading3"/>
        <w:spacing w:before="0"/>
        <w:rPr>
          <w:b/>
          <w:bCs/>
          <w:sz w:val="22"/>
          <w:szCs w:val="22"/>
        </w:rPr>
      </w:pPr>
      <w:r w:rsidRPr="003B14C4">
        <w:rPr>
          <w:rFonts w:ascii="Arial" w:hAnsi="Arial" w:cs="Arial"/>
          <w:b/>
          <w:bCs/>
          <w:color w:val="000000"/>
          <w:sz w:val="22"/>
          <w:szCs w:val="22"/>
        </w:rPr>
        <w:t>2.7 Ethical Considerations</w:t>
      </w:r>
    </w:p>
    <w:p w14:paraId="4416F76F" w14:textId="77777777" w:rsidR="003B14C4" w:rsidRDefault="003B14C4" w:rsidP="003B14C4"/>
    <w:p w14:paraId="401F2C4D" w14:textId="77777777" w:rsidR="003B14C4" w:rsidRPr="003B14C4" w:rsidRDefault="003B14C4" w:rsidP="003B14C4">
      <w:pPr>
        <w:pStyle w:val="NormalWeb"/>
        <w:spacing w:before="0" w:beforeAutospacing="0" w:after="0" w:afterAutospacing="0"/>
      </w:pPr>
      <w:r w:rsidRPr="003B14C4">
        <w:rPr>
          <w:rFonts w:ascii="Arial" w:hAnsi="Arial" w:cs="Arial"/>
          <w:color w:val="000000"/>
          <w:sz w:val="20"/>
          <w:szCs w:val="20"/>
        </w:rPr>
        <w:t>This study relied exclusively on publicly accessible information, such as Coursera course pages and the Class Central ranking. No human participants were involved, and no private, restricted, or personally sensitive data were collected. The analysis was limited to publicly available information, and provider-presented claims were treated as documentary evidence rather than independently verified facts. All sources were acknowledged to ensure transparency and prevent misrepresentation. As the research focused solely on public documents and did not involve interaction with or data collection from human participants, participant consent was not required.</w:t>
      </w:r>
    </w:p>
    <w:p w14:paraId="5C650699" w14:textId="77777777" w:rsidR="00790ADA" w:rsidRPr="00FB3A86" w:rsidRDefault="00790ADA" w:rsidP="00441B6F">
      <w:pPr>
        <w:pStyle w:val="Body"/>
        <w:spacing w:after="0"/>
        <w:rPr>
          <w:rFonts w:ascii="Arial" w:hAnsi="Arial" w:cs="Arial"/>
        </w:rPr>
      </w:pPr>
    </w:p>
    <w:p w14:paraId="2ABB08FB"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4544026" w14:textId="77777777" w:rsidR="00790ADA" w:rsidRDefault="00790ADA" w:rsidP="00441B6F">
      <w:pPr>
        <w:pStyle w:val="Head1"/>
        <w:spacing w:after="0"/>
        <w:jc w:val="both"/>
        <w:rPr>
          <w:rFonts w:ascii="Arial" w:hAnsi="Arial" w:cs="Arial"/>
        </w:rPr>
      </w:pPr>
    </w:p>
    <w:p w14:paraId="3DABF006" w14:textId="77777777" w:rsidR="002C16A2" w:rsidRPr="002C16A2" w:rsidRDefault="002C16A2" w:rsidP="002C16A2">
      <w:pPr>
        <w:pStyle w:val="NormalWeb"/>
        <w:spacing w:before="0" w:beforeAutospacing="0" w:after="0" w:afterAutospacing="0"/>
      </w:pPr>
      <w:r w:rsidRPr="002C16A2">
        <w:rPr>
          <w:rFonts w:ascii="Arial" w:hAnsi="Arial" w:cs="Arial"/>
          <w:color w:val="000000"/>
          <w:sz w:val="20"/>
          <w:szCs w:val="20"/>
        </w:rPr>
        <w:t xml:space="preserve">The documentary analysis investigated the signals conveyed through publicly available information for the 10 selected MOOCs, applying the four analytical categories defined in Section 2.4: provider reputation/prestige (S1), instructor expertise (S2), rigor signals (S3), and credential and competence signals (S4). The analysis prioritized observable information presented to prospective learners, rather than learners’ perceptions or enrollment decisions. Consequently, the findings identify signaling patterns associated with the selected highly enrolled MOOCs but do not claim that any specific signal influenced enrollment. This distinction is critical, as the sample was chosen based on inclusion in Class Central’s ranking, not through a comparative analysis of enrollment outcomes across courses. This </w:t>
      </w:r>
      <w:r w:rsidRPr="002C16A2">
        <w:rPr>
          <w:rFonts w:ascii="Arial" w:hAnsi="Arial" w:cs="Arial"/>
          <w:color w:val="000000"/>
          <w:sz w:val="20"/>
          <w:szCs w:val="20"/>
        </w:rPr>
        <w:lastRenderedPageBreak/>
        <w:t>rationale also helps clarify that the study examines publicly visible signals, not decision outcomes or participant responses.</w:t>
      </w:r>
    </w:p>
    <w:p w14:paraId="0823DBA4" w14:textId="77777777" w:rsidR="002C16A2" w:rsidRDefault="002C16A2" w:rsidP="002C16A2">
      <w:pPr>
        <w:pStyle w:val="NormalWeb"/>
        <w:spacing w:before="0" w:beforeAutospacing="0" w:after="0" w:afterAutospacing="0"/>
        <w:rPr>
          <w:rFonts w:ascii="Arial" w:hAnsi="Arial" w:cs="Arial"/>
          <w:color w:val="000000"/>
          <w:sz w:val="20"/>
          <w:szCs w:val="20"/>
        </w:rPr>
      </w:pPr>
      <w:r w:rsidRPr="002C16A2">
        <w:rPr>
          <w:rFonts w:ascii="Arial" w:hAnsi="Arial" w:cs="Arial"/>
          <w:color w:val="000000"/>
          <w:sz w:val="20"/>
          <w:szCs w:val="20"/>
        </w:rPr>
        <w:t>Four qualitative descriptors were used for comparative interpretation: Strong, indicating that a signal was clearly and substantially communicated through multiple pieces of documentary information; Moderate, indicating clear presence but less supporting information; Limited, indicating minimal communication of the signal; and Not evident, indicating insufficient documentary evidence. These descriptors are qualitative analytical judgments, not numerical scores or direct measures of course quality. In alignment with Signaling Theory, the analysis focuses on observable cues through which providers may communicate otherwise less visible qualities of an educational offering (Connelly et al., 2011, 2025). The matrix therefore presents the researcher’s interpretation of the documentary evidence before discussing patterns in relation to the research questions and relevant literature.</w:t>
      </w:r>
    </w:p>
    <w:p w14:paraId="5A0A6580" w14:textId="77777777" w:rsidR="002C16A2" w:rsidRPr="002C16A2" w:rsidRDefault="002C16A2" w:rsidP="002C16A2">
      <w:pPr>
        <w:pStyle w:val="NormalWeb"/>
        <w:spacing w:before="0" w:beforeAutospacing="0" w:after="0" w:afterAutospacing="0"/>
      </w:pPr>
    </w:p>
    <w:p w14:paraId="62ADE4AA" w14:textId="77777777" w:rsidR="002C16A2" w:rsidRDefault="002C16A2" w:rsidP="002C16A2">
      <w:pPr>
        <w:pStyle w:val="Heading3"/>
        <w:spacing w:before="0"/>
        <w:rPr>
          <w:rFonts w:ascii="Arial" w:hAnsi="Arial" w:cs="Arial"/>
          <w:b/>
          <w:bCs/>
          <w:color w:val="000000"/>
          <w:sz w:val="22"/>
          <w:szCs w:val="22"/>
        </w:rPr>
      </w:pPr>
      <w:r w:rsidRPr="002C16A2">
        <w:rPr>
          <w:rFonts w:ascii="Arial" w:hAnsi="Arial" w:cs="Arial"/>
          <w:b/>
          <w:bCs/>
          <w:color w:val="000000"/>
          <w:sz w:val="22"/>
          <w:szCs w:val="22"/>
        </w:rPr>
        <w:t>3.1 Signaling Patterns in University-Provided MOOCs</w:t>
      </w:r>
    </w:p>
    <w:p w14:paraId="22E4329E" w14:textId="77777777" w:rsidR="002C16A2" w:rsidRPr="002C16A2" w:rsidRDefault="002C16A2" w:rsidP="002C16A2"/>
    <w:p w14:paraId="442A2F8A" w14:textId="77777777" w:rsidR="002C16A2" w:rsidRDefault="002C16A2" w:rsidP="002C16A2">
      <w:pPr>
        <w:pStyle w:val="NormalWeb"/>
        <w:spacing w:before="0" w:beforeAutospacing="0" w:after="0" w:afterAutospacing="0"/>
        <w:rPr>
          <w:rFonts w:ascii="Arial" w:hAnsi="Arial" w:cs="Arial"/>
          <w:color w:val="000000"/>
          <w:sz w:val="20"/>
          <w:szCs w:val="20"/>
        </w:rPr>
      </w:pPr>
      <w:r w:rsidRPr="002C16A2">
        <w:rPr>
          <w:rFonts w:ascii="Arial" w:hAnsi="Arial" w:cs="Arial"/>
          <w:color w:val="000000"/>
          <w:sz w:val="20"/>
          <w:szCs w:val="20"/>
        </w:rPr>
        <w:t>The five university-provided MOOCs most consistently conveyed credential and competence signals (S4), with all cases assessed as Strong. Instructor expertise (S2) was rated Strong in four cases and Limited in one. Provider reputation/prestige (S1) was Moderate in four cases and Limited in one, while rigor signals (S3) ranged from Limited to Strong. This pattern suggests that institutional prestige was not the primary form of value communication in these university cases. Instead, public course information most consistently highlighted learner competence and, in most instances, instructor or academic-team expertise, based on the documentary evidence reviewed.</w:t>
      </w:r>
    </w:p>
    <w:p w14:paraId="3DF0D082" w14:textId="77777777" w:rsidR="002C16A2" w:rsidRDefault="002C16A2" w:rsidP="002C16A2">
      <w:pPr>
        <w:pStyle w:val="NormalWeb"/>
        <w:spacing w:before="0" w:beforeAutospacing="0" w:after="0" w:afterAutospacing="0"/>
        <w:rPr>
          <w:rFonts w:ascii="Arial" w:hAnsi="Arial" w:cs="Arial"/>
          <w:color w:val="000000"/>
          <w:sz w:val="20"/>
          <w:szCs w:val="20"/>
        </w:rPr>
      </w:pPr>
    </w:p>
    <w:p w14:paraId="40CF0EDD" w14:textId="3C6D20AA" w:rsidR="002C16A2" w:rsidRPr="002C16A2" w:rsidRDefault="002C16A2" w:rsidP="002C16A2">
      <w:pPr>
        <w:pStyle w:val="NormalWeb"/>
        <w:spacing w:before="0" w:beforeAutospacing="0" w:after="0" w:afterAutospacing="0"/>
        <w:jc w:val="center"/>
      </w:pPr>
      <w:r>
        <w:rPr>
          <w:rFonts w:ascii="Arial" w:hAnsi="Arial" w:cs="Arial"/>
          <w:b/>
          <w:bCs/>
          <w:color w:val="000000"/>
          <w:sz w:val="20"/>
          <w:szCs w:val="20"/>
        </w:rPr>
        <w:t>Table 2. Matrix of Signaling Findings for University-Provided MOOCs</w:t>
      </w:r>
    </w:p>
    <w:p w14:paraId="14304AD9" w14:textId="77777777" w:rsidR="00B57BC1" w:rsidRDefault="00B57BC1" w:rsidP="00B57BC1">
      <w:pPr>
        <w:pStyle w:val="NormalWeb"/>
        <w:spacing w:before="0" w:beforeAutospacing="0" w:after="0" w:afterAutospacing="0"/>
        <w:rPr>
          <w:rFonts w:ascii="Arial" w:hAnsi="Arial" w:cs="Arial"/>
          <w:color w:val="000000"/>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1391"/>
        <w:gridCol w:w="1402"/>
        <w:gridCol w:w="1991"/>
        <w:gridCol w:w="1085"/>
        <w:gridCol w:w="1001"/>
        <w:gridCol w:w="1338"/>
      </w:tblGrid>
      <w:tr w:rsidR="002C16A2" w14:paraId="1B96732A" w14:textId="77777777" w:rsidTr="000040A6">
        <w:trPr>
          <w:trHeight w:val="718"/>
        </w:trPr>
        <w:tc>
          <w:tcPr>
            <w:tcW w:w="958" w:type="pct"/>
            <w:tcBorders>
              <w:top w:val="single" w:sz="4" w:space="0" w:color="auto"/>
              <w:bottom w:val="single" w:sz="4" w:space="0" w:color="auto"/>
            </w:tcBorders>
            <w:tcMar>
              <w:top w:w="100" w:type="dxa"/>
              <w:left w:w="100" w:type="dxa"/>
              <w:bottom w:w="100" w:type="dxa"/>
              <w:right w:w="100" w:type="dxa"/>
            </w:tcMar>
            <w:hideMark/>
          </w:tcPr>
          <w:p w14:paraId="278CD8ED"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Provider</w:t>
            </w:r>
          </w:p>
        </w:tc>
        <w:tc>
          <w:tcPr>
            <w:tcW w:w="979" w:type="pct"/>
            <w:tcBorders>
              <w:top w:val="single" w:sz="4" w:space="0" w:color="auto"/>
              <w:bottom w:val="single" w:sz="4" w:space="0" w:color="auto"/>
            </w:tcBorders>
            <w:tcMar>
              <w:top w:w="100" w:type="dxa"/>
              <w:left w:w="100" w:type="dxa"/>
              <w:bottom w:w="100" w:type="dxa"/>
              <w:right w:w="100" w:type="dxa"/>
            </w:tcMar>
            <w:hideMark/>
          </w:tcPr>
          <w:p w14:paraId="616AC9F2"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Selected MOOC</w:t>
            </w:r>
          </w:p>
        </w:tc>
        <w:tc>
          <w:tcPr>
            <w:tcW w:w="1037" w:type="pct"/>
            <w:tcBorders>
              <w:top w:val="single" w:sz="4" w:space="0" w:color="auto"/>
              <w:bottom w:val="single" w:sz="4" w:space="0" w:color="auto"/>
            </w:tcBorders>
            <w:tcMar>
              <w:top w:w="100" w:type="dxa"/>
              <w:left w:w="100" w:type="dxa"/>
              <w:bottom w:w="100" w:type="dxa"/>
              <w:right w:w="100" w:type="dxa"/>
            </w:tcMar>
            <w:hideMark/>
          </w:tcPr>
          <w:p w14:paraId="58D23E8D"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S1 Provider Reputation/Prestige</w:t>
            </w:r>
          </w:p>
        </w:tc>
        <w:tc>
          <w:tcPr>
            <w:tcW w:w="596" w:type="pct"/>
            <w:tcBorders>
              <w:top w:val="single" w:sz="4" w:space="0" w:color="auto"/>
              <w:bottom w:val="single" w:sz="4" w:space="0" w:color="auto"/>
            </w:tcBorders>
            <w:tcMar>
              <w:top w:w="100" w:type="dxa"/>
              <w:left w:w="100" w:type="dxa"/>
              <w:bottom w:w="100" w:type="dxa"/>
              <w:right w:w="100" w:type="dxa"/>
            </w:tcMar>
            <w:hideMark/>
          </w:tcPr>
          <w:p w14:paraId="14B687CF"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S2 Instructor Expertise</w:t>
            </w:r>
          </w:p>
        </w:tc>
        <w:tc>
          <w:tcPr>
            <w:tcW w:w="565" w:type="pct"/>
            <w:tcBorders>
              <w:top w:val="single" w:sz="4" w:space="0" w:color="auto"/>
              <w:bottom w:val="single" w:sz="4" w:space="0" w:color="auto"/>
            </w:tcBorders>
            <w:tcMar>
              <w:top w:w="100" w:type="dxa"/>
              <w:left w:w="100" w:type="dxa"/>
              <w:bottom w:w="100" w:type="dxa"/>
              <w:right w:w="100" w:type="dxa"/>
            </w:tcMar>
            <w:hideMark/>
          </w:tcPr>
          <w:p w14:paraId="3984C8D9"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S3 Rigor Signals</w:t>
            </w:r>
          </w:p>
        </w:tc>
        <w:tc>
          <w:tcPr>
            <w:tcW w:w="866" w:type="pct"/>
            <w:tcBorders>
              <w:top w:val="single" w:sz="4" w:space="0" w:color="auto"/>
              <w:bottom w:val="single" w:sz="4" w:space="0" w:color="auto"/>
            </w:tcBorders>
            <w:tcMar>
              <w:top w:w="100" w:type="dxa"/>
              <w:left w:w="100" w:type="dxa"/>
              <w:bottom w:w="100" w:type="dxa"/>
              <w:right w:w="100" w:type="dxa"/>
            </w:tcMar>
            <w:hideMark/>
          </w:tcPr>
          <w:p w14:paraId="3619EC99" w14:textId="77777777" w:rsidR="002C16A2" w:rsidRPr="002C16A2" w:rsidRDefault="002C16A2">
            <w:pPr>
              <w:pStyle w:val="NormalWeb"/>
              <w:spacing w:before="0" w:beforeAutospacing="0" w:after="0" w:afterAutospacing="0"/>
              <w:rPr>
                <w:b/>
                <w:bCs/>
                <w:sz w:val="20"/>
                <w:szCs w:val="20"/>
              </w:rPr>
            </w:pPr>
            <w:r w:rsidRPr="002C16A2">
              <w:rPr>
                <w:rFonts w:ascii="Arial" w:hAnsi="Arial" w:cs="Arial"/>
                <w:b/>
                <w:bCs/>
                <w:color w:val="000000"/>
                <w:sz w:val="20"/>
                <w:szCs w:val="20"/>
              </w:rPr>
              <w:t>S4 Credential &amp; Competence Signals</w:t>
            </w:r>
          </w:p>
        </w:tc>
      </w:tr>
      <w:tr w:rsidR="002C16A2" w14:paraId="718DB4F3" w14:textId="77777777" w:rsidTr="000040A6">
        <w:trPr>
          <w:trHeight w:val="254"/>
        </w:trPr>
        <w:tc>
          <w:tcPr>
            <w:tcW w:w="958" w:type="pct"/>
            <w:tcBorders>
              <w:top w:val="single" w:sz="4" w:space="0" w:color="auto"/>
            </w:tcBorders>
            <w:tcMar>
              <w:top w:w="100" w:type="dxa"/>
              <w:left w:w="100" w:type="dxa"/>
              <w:bottom w:w="100" w:type="dxa"/>
              <w:right w:w="100" w:type="dxa"/>
            </w:tcMar>
            <w:hideMark/>
          </w:tcPr>
          <w:p w14:paraId="75CCD3F8"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Howard University</w:t>
            </w:r>
          </w:p>
        </w:tc>
        <w:tc>
          <w:tcPr>
            <w:tcW w:w="979" w:type="pct"/>
            <w:tcBorders>
              <w:top w:val="single" w:sz="4" w:space="0" w:color="auto"/>
            </w:tcBorders>
            <w:tcMar>
              <w:top w:w="100" w:type="dxa"/>
              <w:left w:w="100" w:type="dxa"/>
              <w:bottom w:w="100" w:type="dxa"/>
              <w:right w:w="100" w:type="dxa"/>
            </w:tcMar>
            <w:hideMark/>
          </w:tcPr>
          <w:p w14:paraId="4DECB665"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Project Management Essentials</w:t>
            </w:r>
          </w:p>
        </w:tc>
        <w:tc>
          <w:tcPr>
            <w:tcW w:w="1037" w:type="pct"/>
            <w:tcBorders>
              <w:top w:val="single" w:sz="4" w:space="0" w:color="auto"/>
            </w:tcBorders>
            <w:tcMar>
              <w:top w:w="100" w:type="dxa"/>
              <w:left w:w="100" w:type="dxa"/>
              <w:bottom w:w="100" w:type="dxa"/>
              <w:right w:w="100" w:type="dxa"/>
            </w:tcMar>
            <w:hideMark/>
          </w:tcPr>
          <w:p w14:paraId="0D1E30B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596" w:type="pct"/>
            <w:tcBorders>
              <w:top w:val="single" w:sz="4" w:space="0" w:color="auto"/>
            </w:tcBorders>
            <w:tcMar>
              <w:top w:w="100" w:type="dxa"/>
              <w:left w:w="100" w:type="dxa"/>
              <w:bottom w:w="100" w:type="dxa"/>
              <w:right w:w="100" w:type="dxa"/>
            </w:tcMar>
            <w:hideMark/>
          </w:tcPr>
          <w:p w14:paraId="5A3F7ECC"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565" w:type="pct"/>
            <w:tcBorders>
              <w:top w:val="single" w:sz="4" w:space="0" w:color="auto"/>
            </w:tcBorders>
            <w:tcMar>
              <w:top w:w="100" w:type="dxa"/>
              <w:left w:w="100" w:type="dxa"/>
              <w:bottom w:w="100" w:type="dxa"/>
              <w:right w:w="100" w:type="dxa"/>
            </w:tcMar>
            <w:hideMark/>
          </w:tcPr>
          <w:p w14:paraId="50F0394A"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866" w:type="pct"/>
            <w:tcBorders>
              <w:top w:val="single" w:sz="4" w:space="0" w:color="auto"/>
            </w:tcBorders>
            <w:tcMar>
              <w:top w:w="100" w:type="dxa"/>
              <w:left w:w="100" w:type="dxa"/>
              <w:bottom w:w="100" w:type="dxa"/>
              <w:right w:w="100" w:type="dxa"/>
            </w:tcMar>
            <w:hideMark/>
          </w:tcPr>
          <w:p w14:paraId="2AD2BC47"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41E446EB" w14:textId="77777777" w:rsidTr="000040A6">
        <w:trPr>
          <w:trHeight w:val="1235"/>
        </w:trPr>
        <w:tc>
          <w:tcPr>
            <w:tcW w:w="958" w:type="pct"/>
            <w:tcMar>
              <w:top w:w="100" w:type="dxa"/>
              <w:left w:w="100" w:type="dxa"/>
              <w:bottom w:w="100" w:type="dxa"/>
              <w:right w:w="100" w:type="dxa"/>
            </w:tcMar>
            <w:hideMark/>
          </w:tcPr>
          <w:p w14:paraId="6463C137"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Rice University</w:t>
            </w:r>
          </w:p>
        </w:tc>
        <w:tc>
          <w:tcPr>
            <w:tcW w:w="979" w:type="pct"/>
            <w:tcMar>
              <w:top w:w="100" w:type="dxa"/>
              <w:left w:w="100" w:type="dxa"/>
              <w:bottom w:w="100" w:type="dxa"/>
              <w:right w:w="100" w:type="dxa"/>
            </w:tcMar>
            <w:hideMark/>
          </w:tcPr>
          <w:p w14:paraId="61F84D3F"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Fundamentals of Immunology: Complement, MHC I and II, T Cells, and Cytokines</w:t>
            </w:r>
          </w:p>
        </w:tc>
        <w:tc>
          <w:tcPr>
            <w:tcW w:w="1037" w:type="pct"/>
            <w:tcMar>
              <w:top w:w="100" w:type="dxa"/>
              <w:left w:w="100" w:type="dxa"/>
              <w:bottom w:w="100" w:type="dxa"/>
              <w:right w:w="100" w:type="dxa"/>
            </w:tcMar>
            <w:hideMark/>
          </w:tcPr>
          <w:p w14:paraId="0DB843CE"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Mar>
              <w:top w:w="100" w:type="dxa"/>
              <w:left w:w="100" w:type="dxa"/>
              <w:bottom w:w="100" w:type="dxa"/>
              <w:right w:w="100" w:type="dxa"/>
            </w:tcMar>
            <w:hideMark/>
          </w:tcPr>
          <w:p w14:paraId="710DE81C"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Mar>
              <w:top w:w="100" w:type="dxa"/>
              <w:left w:w="100" w:type="dxa"/>
              <w:bottom w:w="100" w:type="dxa"/>
              <w:right w:w="100" w:type="dxa"/>
            </w:tcMar>
            <w:hideMark/>
          </w:tcPr>
          <w:p w14:paraId="3D8E75CE"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866" w:type="pct"/>
            <w:tcMar>
              <w:top w:w="100" w:type="dxa"/>
              <w:left w:w="100" w:type="dxa"/>
              <w:bottom w:w="100" w:type="dxa"/>
              <w:right w:w="100" w:type="dxa"/>
            </w:tcMar>
            <w:hideMark/>
          </w:tcPr>
          <w:p w14:paraId="1D4A2E70"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34195C8D" w14:textId="77777777" w:rsidTr="000040A6">
        <w:trPr>
          <w:trHeight w:val="605"/>
        </w:trPr>
        <w:tc>
          <w:tcPr>
            <w:tcW w:w="958" w:type="pct"/>
            <w:tcMar>
              <w:top w:w="100" w:type="dxa"/>
              <w:left w:w="100" w:type="dxa"/>
              <w:bottom w:w="100" w:type="dxa"/>
              <w:right w:w="100" w:type="dxa"/>
            </w:tcMar>
            <w:hideMark/>
          </w:tcPr>
          <w:p w14:paraId="6D81831B"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University of Michigan</w:t>
            </w:r>
          </w:p>
        </w:tc>
        <w:tc>
          <w:tcPr>
            <w:tcW w:w="979" w:type="pct"/>
            <w:tcMar>
              <w:top w:w="100" w:type="dxa"/>
              <w:left w:w="100" w:type="dxa"/>
              <w:bottom w:w="100" w:type="dxa"/>
              <w:right w:w="100" w:type="dxa"/>
            </w:tcMar>
            <w:hideMark/>
          </w:tcPr>
          <w:p w14:paraId="1C8F8591"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Generative AI Essentials: Overview and Impact</w:t>
            </w:r>
          </w:p>
        </w:tc>
        <w:tc>
          <w:tcPr>
            <w:tcW w:w="1037" w:type="pct"/>
            <w:tcMar>
              <w:top w:w="100" w:type="dxa"/>
              <w:left w:w="100" w:type="dxa"/>
              <w:bottom w:w="100" w:type="dxa"/>
              <w:right w:w="100" w:type="dxa"/>
            </w:tcMar>
            <w:hideMark/>
          </w:tcPr>
          <w:p w14:paraId="4903CE9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Mar>
              <w:top w:w="100" w:type="dxa"/>
              <w:left w:w="100" w:type="dxa"/>
              <w:bottom w:w="100" w:type="dxa"/>
              <w:right w:w="100" w:type="dxa"/>
            </w:tcMar>
            <w:hideMark/>
          </w:tcPr>
          <w:p w14:paraId="32193233"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Mar>
              <w:top w:w="100" w:type="dxa"/>
              <w:left w:w="100" w:type="dxa"/>
              <w:bottom w:w="100" w:type="dxa"/>
              <w:right w:w="100" w:type="dxa"/>
            </w:tcMar>
            <w:hideMark/>
          </w:tcPr>
          <w:p w14:paraId="0BA7A2FA"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866" w:type="pct"/>
            <w:tcMar>
              <w:top w:w="100" w:type="dxa"/>
              <w:left w:w="100" w:type="dxa"/>
              <w:bottom w:w="100" w:type="dxa"/>
              <w:right w:w="100" w:type="dxa"/>
            </w:tcMar>
            <w:hideMark/>
          </w:tcPr>
          <w:p w14:paraId="3923F922"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45ABD858" w14:textId="77777777" w:rsidTr="000040A6">
        <w:trPr>
          <w:trHeight w:val="1040"/>
        </w:trPr>
        <w:tc>
          <w:tcPr>
            <w:tcW w:w="958" w:type="pct"/>
            <w:tcMar>
              <w:top w:w="100" w:type="dxa"/>
              <w:left w:w="100" w:type="dxa"/>
              <w:bottom w:w="100" w:type="dxa"/>
              <w:right w:w="100" w:type="dxa"/>
            </w:tcMar>
            <w:hideMark/>
          </w:tcPr>
          <w:p w14:paraId="4C0066D6"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lastRenderedPageBreak/>
              <w:t>IESE Business School</w:t>
            </w:r>
          </w:p>
        </w:tc>
        <w:tc>
          <w:tcPr>
            <w:tcW w:w="979" w:type="pct"/>
            <w:tcMar>
              <w:top w:w="100" w:type="dxa"/>
              <w:left w:w="100" w:type="dxa"/>
              <w:bottom w:w="100" w:type="dxa"/>
              <w:right w:w="100" w:type="dxa"/>
            </w:tcMar>
            <w:hideMark/>
          </w:tcPr>
          <w:p w14:paraId="467602DF" w14:textId="77777777" w:rsidR="002C16A2" w:rsidRPr="002C16A2" w:rsidRDefault="002C16A2">
            <w:pPr>
              <w:pStyle w:val="NormalWeb"/>
              <w:spacing w:before="0" w:beforeAutospacing="0" w:after="0" w:afterAutospacing="0"/>
              <w:rPr>
                <w:sz w:val="20"/>
                <w:szCs w:val="20"/>
              </w:rPr>
            </w:pPr>
            <w:r w:rsidRPr="002C16A2">
              <w:rPr>
                <w:rFonts w:ascii="Arial" w:hAnsi="Arial" w:cs="Arial"/>
                <w:i/>
                <w:iCs/>
                <w:color w:val="000000"/>
                <w:sz w:val="20"/>
                <w:szCs w:val="20"/>
              </w:rPr>
              <w:t>The Art of Storytelling</w:t>
            </w:r>
          </w:p>
        </w:tc>
        <w:tc>
          <w:tcPr>
            <w:tcW w:w="1037" w:type="pct"/>
            <w:tcMar>
              <w:top w:w="100" w:type="dxa"/>
              <w:left w:w="100" w:type="dxa"/>
              <w:bottom w:w="100" w:type="dxa"/>
              <w:right w:w="100" w:type="dxa"/>
            </w:tcMar>
            <w:hideMark/>
          </w:tcPr>
          <w:p w14:paraId="38590AC4"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Mar>
              <w:top w:w="100" w:type="dxa"/>
              <w:left w:w="100" w:type="dxa"/>
              <w:bottom w:w="100" w:type="dxa"/>
              <w:right w:w="100" w:type="dxa"/>
            </w:tcMar>
            <w:hideMark/>
          </w:tcPr>
          <w:p w14:paraId="4AFECE4E"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Mar>
              <w:top w:w="100" w:type="dxa"/>
              <w:left w:w="100" w:type="dxa"/>
              <w:bottom w:w="100" w:type="dxa"/>
              <w:right w:w="100" w:type="dxa"/>
            </w:tcMar>
            <w:hideMark/>
          </w:tcPr>
          <w:p w14:paraId="2C3D5CA8"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Limited</w:t>
            </w:r>
          </w:p>
        </w:tc>
        <w:tc>
          <w:tcPr>
            <w:tcW w:w="866" w:type="pct"/>
            <w:tcMar>
              <w:top w:w="100" w:type="dxa"/>
              <w:left w:w="100" w:type="dxa"/>
              <w:bottom w:w="100" w:type="dxa"/>
              <w:right w:w="100" w:type="dxa"/>
            </w:tcMar>
            <w:hideMark/>
          </w:tcPr>
          <w:p w14:paraId="49185619"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r w:rsidR="002C16A2" w14:paraId="6C85784D" w14:textId="77777777" w:rsidTr="000040A6">
        <w:trPr>
          <w:trHeight w:val="695"/>
        </w:trPr>
        <w:tc>
          <w:tcPr>
            <w:tcW w:w="958" w:type="pct"/>
            <w:tcBorders>
              <w:bottom w:val="single" w:sz="4" w:space="0" w:color="auto"/>
            </w:tcBorders>
            <w:tcMar>
              <w:top w:w="100" w:type="dxa"/>
              <w:left w:w="100" w:type="dxa"/>
              <w:bottom w:w="100" w:type="dxa"/>
              <w:right w:w="100" w:type="dxa"/>
            </w:tcMar>
            <w:hideMark/>
          </w:tcPr>
          <w:p w14:paraId="6C978AF2"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École Polytechnique</w:t>
            </w:r>
          </w:p>
        </w:tc>
        <w:tc>
          <w:tcPr>
            <w:tcW w:w="979" w:type="pct"/>
            <w:tcBorders>
              <w:bottom w:val="single" w:sz="4" w:space="0" w:color="auto"/>
            </w:tcBorders>
            <w:tcMar>
              <w:top w:w="100" w:type="dxa"/>
              <w:left w:w="100" w:type="dxa"/>
              <w:bottom w:w="100" w:type="dxa"/>
              <w:right w:w="100" w:type="dxa"/>
            </w:tcMar>
            <w:hideMark/>
          </w:tcPr>
          <w:p w14:paraId="0CBA6419" w14:textId="77777777" w:rsidR="002C16A2" w:rsidRPr="002C16A2" w:rsidRDefault="002C16A2">
            <w:pPr>
              <w:pStyle w:val="NormalWeb"/>
              <w:spacing w:before="0" w:beforeAutospacing="0" w:after="0" w:afterAutospacing="0"/>
              <w:rPr>
                <w:sz w:val="20"/>
                <w:szCs w:val="20"/>
              </w:rPr>
            </w:pPr>
            <w:proofErr w:type="spellStart"/>
            <w:r w:rsidRPr="002C16A2">
              <w:rPr>
                <w:rFonts w:ascii="Arial" w:hAnsi="Arial" w:cs="Arial"/>
                <w:i/>
                <w:iCs/>
                <w:color w:val="000000"/>
                <w:sz w:val="20"/>
                <w:szCs w:val="20"/>
              </w:rPr>
              <w:t>Comprendre</w:t>
            </w:r>
            <w:proofErr w:type="spellEnd"/>
            <w:r w:rsidRPr="002C16A2">
              <w:rPr>
                <w:rFonts w:ascii="Arial" w:hAnsi="Arial" w:cs="Arial"/>
                <w:i/>
                <w:iCs/>
                <w:color w:val="000000"/>
                <w:sz w:val="20"/>
                <w:szCs w:val="20"/>
              </w:rPr>
              <w:t xml:space="preserve"> la France, Advanced French Language &amp; Culture</w:t>
            </w:r>
          </w:p>
        </w:tc>
        <w:tc>
          <w:tcPr>
            <w:tcW w:w="1037" w:type="pct"/>
            <w:tcBorders>
              <w:bottom w:val="single" w:sz="4" w:space="0" w:color="auto"/>
            </w:tcBorders>
            <w:tcMar>
              <w:top w:w="100" w:type="dxa"/>
              <w:left w:w="100" w:type="dxa"/>
              <w:bottom w:w="100" w:type="dxa"/>
              <w:right w:w="100" w:type="dxa"/>
            </w:tcMar>
            <w:hideMark/>
          </w:tcPr>
          <w:p w14:paraId="659EC20F"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Moderate</w:t>
            </w:r>
          </w:p>
        </w:tc>
        <w:tc>
          <w:tcPr>
            <w:tcW w:w="596" w:type="pct"/>
            <w:tcBorders>
              <w:bottom w:val="single" w:sz="4" w:space="0" w:color="auto"/>
            </w:tcBorders>
            <w:tcMar>
              <w:top w:w="100" w:type="dxa"/>
              <w:left w:w="100" w:type="dxa"/>
              <w:bottom w:w="100" w:type="dxa"/>
              <w:right w:w="100" w:type="dxa"/>
            </w:tcMar>
            <w:hideMark/>
          </w:tcPr>
          <w:p w14:paraId="1687B562"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565" w:type="pct"/>
            <w:tcBorders>
              <w:bottom w:val="single" w:sz="4" w:space="0" w:color="auto"/>
            </w:tcBorders>
            <w:tcMar>
              <w:top w:w="100" w:type="dxa"/>
              <w:left w:w="100" w:type="dxa"/>
              <w:bottom w:w="100" w:type="dxa"/>
              <w:right w:w="100" w:type="dxa"/>
            </w:tcMar>
            <w:hideMark/>
          </w:tcPr>
          <w:p w14:paraId="6F4634B5"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c>
          <w:tcPr>
            <w:tcW w:w="866" w:type="pct"/>
            <w:tcBorders>
              <w:bottom w:val="single" w:sz="4" w:space="0" w:color="auto"/>
            </w:tcBorders>
            <w:tcMar>
              <w:top w:w="100" w:type="dxa"/>
              <w:left w:w="100" w:type="dxa"/>
              <w:bottom w:w="100" w:type="dxa"/>
              <w:right w:w="100" w:type="dxa"/>
            </w:tcMar>
            <w:hideMark/>
          </w:tcPr>
          <w:p w14:paraId="73610839" w14:textId="77777777" w:rsidR="002C16A2" w:rsidRPr="002C16A2" w:rsidRDefault="002C16A2">
            <w:pPr>
              <w:pStyle w:val="NormalWeb"/>
              <w:spacing w:before="0" w:beforeAutospacing="0" w:after="0" w:afterAutospacing="0"/>
              <w:rPr>
                <w:sz w:val="20"/>
                <w:szCs w:val="20"/>
              </w:rPr>
            </w:pPr>
            <w:r w:rsidRPr="002C16A2">
              <w:rPr>
                <w:rFonts w:ascii="Arial" w:hAnsi="Arial" w:cs="Arial"/>
                <w:color w:val="000000"/>
                <w:sz w:val="20"/>
                <w:szCs w:val="20"/>
              </w:rPr>
              <w:t>Strong</w:t>
            </w:r>
          </w:p>
        </w:tc>
      </w:tr>
    </w:tbl>
    <w:p w14:paraId="0B579CFE" w14:textId="77777777" w:rsidR="002C16A2" w:rsidRPr="002C16A2" w:rsidRDefault="002C16A2" w:rsidP="002C16A2">
      <w:pPr>
        <w:pStyle w:val="NormalWeb"/>
        <w:spacing w:before="0" w:beforeAutospacing="0" w:after="0" w:afterAutospacing="0"/>
        <w:rPr>
          <w:sz w:val="18"/>
          <w:szCs w:val="18"/>
        </w:rPr>
      </w:pPr>
      <w:r w:rsidRPr="002C16A2">
        <w:rPr>
          <w:rFonts w:ascii="Arial" w:hAnsi="Arial" w:cs="Arial"/>
          <w:i/>
          <w:iCs/>
          <w:color w:val="000000"/>
          <w:sz w:val="18"/>
          <w:szCs w:val="18"/>
        </w:rPr>
        <w:t>Note. Strong = the signal is clearly and substantially communicated through several pieces of documentary information; Moderate = the signal is clearly present but supported by less information; Limited = the signal is present but minimally communicated; Not evident = insufficient documentary evidence was identified. These descriptors are qualitative analytical judgments and are not numerical scores or measures of course quality. The ratings therefore indicate the level of documentary evidence supporting each signal.</w:t>
      </w:r>
    </w:p>
    <w:p w14:paraId="3B2E7093" w14:textId="77777777" w:rsidR="002C16A2" w:rsidRDefault="002C16A2" w:rsidP="002C16A2"/>
    <w:p w14:paraId="2A9F5C10"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The most uniform finding was </w:t>
      </w:r>
      <w:r w:rsidRPr="000404FE">
        <w:rPr>
          <w:rFonts w:ascii="Arial" w:hAnsi="Arial" w:cs="Arial"/>
          <w:b/>
          <w:bCs/>
          <w:color w:val="000000"/>
          <w:sz w:val="20"/>
          <w:szCs w:val="20"/>
        </w:rPr>
        <w:t>S4, credential and competence signaling</w:t>
      </w:r>
      <w:r w:rsidRPr="000404FE">
        <w:rPr>
          <w:rFonts w:ascii="Arial" w:hAnsi="Arial" w:cs="Arial"/>
          <w:color w:val="000000"/>
          <w:sz w:val="20"/>
          <w:szCs w:val="20"/>
        </w:rPr>
        <w:t xml:space="preserve">. All five university courses issued a completion certificate and provided information on the associated knowledge, skills, or competencies. The specific competence varied by domain. Howard University’s </w:t>
      </w:r>
      <w:r w:rsidRPr="000404FE">
        <w:rPr>
          <w:rFonts w:ascii="Arial" w:hAnsi="Arial" w:cs="Arial"/>
          <w:i/>
          <w:iCs/>
          <w:color w:val="000000"/>
          <w:sz w:val="20"/>
          <w:szCs w:val="20"/>
        </w:rPr>
        <w:t>Project Management Essentials</w:t>
      </w:r>
      <w:r w:rsidRPr="000404FE">
        <w:rPr>
          <w:rFonts w:ascii="Arial" w:hAnsi="Arial" w:cs="Arial"/>
          <w:color w:val="000000"/>
          <w:sz w:val="20"/>
          <w:szCs w:val="20"/>
        </w:rPr>
        <w:t xml:space="preserve"> linked completion to project management methodologies, tools, and professional application. Rice University’s immunology course emphasized specialized competencies in immunology and related biological sciences. The University of Michigan course identified competencies involving AI literacy, responsible AI, ethics, intellectual property, regulation, and applications. IESE Business School emphasized storytelling, communication, presentation, and public speaking skills, while École Polytechnique emphasized language, cultural, social science, and intercultural competencies.</w:t>
      </w:r>
    </w:p>
    <w:p w14:paraId="3E9B8EBB"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This finding extends beyond the mere presence of a certificate. While a certificate provides evidence of completion, the associated skills and learning outcomes clarify the intended significance of that completion. This distinction aligns with recent research on micro-credentials, where employers recognize online credentials as potentially valuable for professional development but emphasize the importance of meaningful learning and practical application (Bruguera et al., 2025). The current documentary evidence does not establish that completion resulted in actual competence or employment outcomes; instead, it shows that the courses presented completion and specified competencies as integral components of their publicly visible value proposition.</w:t>
      </w:r>
    </w:p>
    <w:p w14:paraId="70BF6942"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b/>
          <w:bCs/>
          <w:color w:val="000000"/>
          <w:sz w:val="20"/>
          <w:szCs w:val="20"/>
        </w:rPr>
        <w:t>Instructor expertise (S2)</w:t>
      </w:r>
      <w:r w:rsidRPr="000404FE">
        <w:rPr>
          <w:rFonts w:ascii="Arial" w:hAnsi="Arial" w:cs="Arial"/>
          <w:color w:val="000000"/>
          <w:sz w:val="20"/>
          <w:szCs w:val="20"/>
        </w:rPr>
        <w:t xml:space="preserve"> represented the second most prominent pattern. Four of the five university cases provided substantial information enabling prospective learners to associate the course with identifiable academic or professional expertise. Rice University offered extensive details on the instructor’s academic and teaching background in biology and immunology. IESE’s course featured an instructor with a professional background in strategic communication and international media. École Polytechnique identified multiple instructors with relevant academic roles, while the University of Michigan described contributions from university experts in fields related to generative artificial intelligence. Howard University provided less detailed information about individual instructors, resulting in a Limited assessment.</w:t>
      </w:r>
    </w:p>
    <w:p w14:paraId="7A35F432"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This pattern is consistent with empirical evidence that instructor reputation is relevant to the perceived value of MOOCs. Wang and Lee (2024), using survey data from 449 university students, found that instructor reputation positively influenced perceived usefulness and learning attitudes, which were associated with MOOC retention. Although their study </w:t>
      </w:r>
      <w:r w:rsidRPr="000404FE">
        <w:rPr>
          <w:rFonts w:ascii="Arial" w:hAnsi="Arial" w:cs="Arial"/>
          <w:color w:val="000000"/>
          <w:sz w:val="20"/>
          <w:szCs w:val="20"/>
        </w:rPr>
        <w:lastRenderedPageBreak/>
        <w:t>examined learner perceptions rather than documentary evidence, it supports treating instructor reputation as a meaningful feature of the MOOC environment. Similarly, Luo et al. (2026) identified teacher competence as one of four dimensions in their validated LMOOC quality evaluation framework. Their findings support the broader relevance of instructor competence in online-course evaluation, while the present study extends this issue by examining how such expertise is publicly communicated before participation.</w:t>
      </w:r>
    </w:p>
    <w:p w14:paraId="02E61FAC"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The role of </w:t>
      </w:r>
      <w:r w:rsidRPr="000404FE">
        <w:rPr>
          <w:rFonts w:ascii="Arial" w:hAnsi="Arial" w:cs="Arial"/>
          <w:b/>
          <w:bCs/>
          <w:color w:val="000000"/>
          <w:sz w:val="20"/>
          <w:szCs w:val="20"/>
        </w:rPr>
        <w:t>S1, provider reputation/prestige</w:t>
      </w:r>
      <w:r w:rsidRPr="000404FE">
        <w:rPr>
          <w:rFonts w:ascii="Arial" w:hAnsi="Arial" w:cs="Arial"/>
          <w:color w:val="000000"/>
          <w:sz w:val="20"/>
          <w:szCs w:val="20"/>
        </w:rPr>
        <w:t>, was more limited and contextual. None of the five university cases was assessed as Strong. Although the institutional identities of Howard University, Rice University, the University of Michigan, IESE Business School, and École Polytechnique were clearly visible, the selected course pages did not consistently construct detailed claims about institutional rankings, historical distinction, or comparative prestige. Consequently, institutional identity functioned primarily as a background credibility cue rather than as the principal content of the signaling message, as evidenced by the course pages.</w:t>
      </w:r>
    </w:p>
    <w:p w14:paraId="5159C68D"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This finding is theoretically significant because the presence of a prestigious or recognizable university does not necessarily mean that prestige is actively communicated as a course-level signal. According to Signaling Theory, the key issue is whether observable information is presented in a manner that supports inferences about the signaler’s qualities (Connelly et al., 2011, 2025). In these cases, institutional identity was visible, but course pages more consistently provided course-specific information about instructors, skills, and learning outcomes. Therefore, institutional reputation appears to offer contextual credibility, while instructor expertise and competence serve as more specific signals regarding the learning opportunity.</w:t>
      </w:r>
    </w:p>
    <w:p w14:paraId="7C22EA7C"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The greatest variation was observed in </w:t>
      </w:r>
      <w:r w:rsidRPr="000404FE">
        <w:rPr>
          <w:rFonts w:ascii="Arial" w:hAnsi="Arial" w:cs="Arial"/>
          <w:b/>
          <w:bCs/>
          <w:color w:val="000000"/>
          <w:sz w:val="20"/>
          <w:szCs w:val="20"/>
        </w:rPr>
        <w:t>rigor signaling (S3)</w:t>
      </w:r>
      <w:r w:rsidRPr="000404FE">
        <w:rPr>
          <w:rFonts w:ascii="Arial" w:hAnsi="Arial" w:cs="Arial"/>
          <w:color w:val="000000"/>
          <w:sz w:val="20"/>
          <w:szCs w:val="20"/>
        </w:rPr>
        <w:t>. Rice University and École Polytechnique conveyed relatively strong signals through their intermediate- or advanced-course positioning, prior-experience expectations, structured modules, substantial learning requirements, and multiple assessment activities. Howard University communicated Moderate rigor through structured modules and assignments, despite being positioned at the beginner level. In contrast, the University of Michigan and IESE courses were shorter, introductory offerings with limited prerequisites and comparatively modest time requirements, resulting in Limited rigor signals.</w:t>
      </w:r>
    </w:p>
    <w:p w14:paraId="628A9107"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The interpretation addresses the communicated expectations of rigor rather than the course's objective rigor. A course page that identifies prerequisites, workload, assessments, or substantial learning activities signals an expectation of effort and engagement but does not, by itself, establish that a course is objectively more rigorous or educationally superior. This distinction aligns with recent MOOC quality research, which considers instructional design, teacher competence, teaching implementation, assessment, and related characteristics as multidimensional aspects of quality rather than as a single measure (Luo et al., 2026). The present study similarly treats these characteristics as observable cues that communicate expected effort or seriousness, not as direct evidence of actual rigor.</w:t>
      </w:r>
    </w:p>
    <w:p w14:paraId="78EAAEA7" w14:textId="77777777" w:rsidR="000404FE" w:rsidRPr="000404FE" w:rsidRDefault="000404FE" w:rsidP="000404FE">
      <w:pPr>
        <w:pStyle w:val="NormalWeb"/>
        <w:spacing w:before="0" w:beforeAutospacing="0" w:after="0" w:afterAutospacing="0"/>
        <w:rPr>
          <w:sz w:val="20"/>
          <w:szCs w:val="20"/>
        </w:rPr>
      </w:pPr>
      <w:r w:rsidRPr="000404FE">
        <w:rPr>
          <w:rFonts w:ascii="Arial" w:hAnsi="Arial" w:cs="Arial"/>
          <w:color w:val="000000"/>
          <w:sz w:val="20"/>
          <w:szCs w:val="20"/>
        </w:rPr>
        <w:t xml:space="preserve">Collectively, the university cases reveal a signaling configuration that prioritizes competence and expertise over institutional prestige alone. The most prominent signal concerned what learners could obtain or demonstrate through course completion, while instructor expertise was highly visible in most cases. Institutional identity provided contextual credibility but was not consistently developed into an explicit prestige message. Rigor varied according to the intended level and purpose of each course. These findings address </w:t>
      </w:r>
      <w:r w:rsidRPr="000404FE">
        <w:rPr>
          <w:rFonts w:ascii="Arial" w:hAnsi="Arial" w:cs="Arial"/>
          <w:b/>
          <w:bCs/>
          <w:color w:val="000000"/>
          <w:sz w:val="20"/>
          <w:szCs w:val="20"/>
        </w:rPr>
        <w:t>RQ1</w:t>
      </w:r>
      <w:r w:rsidRPr="000404FE">
        <w:rPr>
          <w:rFonts w:ascii="Arial" w:hAnsi="Arial" w:cs="Arial"/>
          <w:color w:val="000000"/>
          <w:sz w:val="20"/>
          <w:szCs w:val="20"/>
        </w:rPr>
        <w:t xml:space="preserve"> by showing that the selected highly enrolled university-provided MOOCs primarily communicate value through credential and competence information and, in most cases, through visible academic or professional expertise, with institutional identity and expected rigor serving as supporting and variable signals.</w:t>
      </w:r>
    </w:p>
    <w:p w14:paraId="2E5CB7AC" w14:textId="77777777" w:rsidR="00472000" w:rsidRPr="00472000" w:rsidRDefault="00472000" w:rsidP="00472000"/>
    <w:p w14:paraId="129A2F7E" w14:textId="1349B6F6" w:rsidR="00A643A7" w:rsidRPr="003E6688" w:rsidRDefault="00A643A7" w:rsidP="00A643A7">
      <w:pPr>
        <w:pStyle w:val="Heading1"/>
        <w:spacing w:before="0" w:after="0"/>
        <w:rPr>
          <w:sz w:val="22"/>
          <w:szCs w:val="22"/>
        </w:rPr>
      </w:pPr>
      <w:r w:rsidRPr="003E6688">
        <w:rPr>
          <w:rFonts w:cs="Arial"/>
          <w:color w:val="000000"/>
          <w:sz w:val="22"/>
          <w:szCs w:val="22"/>
        </w:rPr>
        <w:t xml:space="preserve">3.2 </w:t>
      </w:r>
      <w:r w:rsidR="003E6688" w:rsidRPr="003E6688">
        <w:rPr>
          <w:rFonts w:cs="Arial"/>
          <w:color w:val="000000"/>
          <w:sz w:val="22"/>
          <w:szCs w:val="22"/>
        </w:rPr>
        <w:t>Signaling Patterns in Industry-Provided MOOCs</w:t>
      </w:r>
    </w:p>
    <w:p w14:paraId="401CB909" w14:textId="77777777" w:rsidR="00A643A7" w:rsidRDefault="00A643A7" w:rsidP="00A643A7"/>
    <w:p w14:paraId="5F8206C5" w14:textId="77777777" w:rsidR="003E6688" w:rsidRDefault="003E6688" w:rsidP="003E6688">
      <w:pPr>
        <w:pStyle w:val="NormalWeb"/>
        <w:spacing w:before="0" w:beforeAutospacing="0" w:after="0" w:afterAutospacing="0"/>
        <w:rPr>
          <w:rFonts w:ascii="Arial" w:hAnsi="Arial" w:cs="Arial"/>
          <w:color w:val="000000"/>
          <w:sz w:val="20"/>
          <w:szCs w:val="20"/>
        </w:rPr>
      </w:pPr>
      <w:r w:rsidRPr="003E6688">
        <w:rPr>
          <w:rFonts w:ascii="Arial" w:hAnsi="Arial" w:cs="Arial"/>
          <w:color w:val="000000"/>
          <w:sz w:val="20"/>
          <w:szCs w:val="20"/>
        </w:rPr>
        <w:lastRenderedPageBreak/>
        <w:t>The five industry-provided MOOCs showed a more consistent combination of rigor signals (S3) and credential and competence signals (S4) than the university-provided cases. S4 was Strong in all five cases, while S3 was Strong in four and Limited in the Google Cloud course. Provider reputation/prestige (S1) was Strong in four cases and Moderate in one. Instructor expertise (S2) was conveyed consistently through organizational expertise rather than emphasis on individual instructors. This pattern indicates that industry providers communicate value primarily through organizational authority, applied competence, workplace relevance, and visible credentials, rather than through detailed biographies of individual instructors.</w:t>
      </w:r>
    </w:p>
    <w:p w14:paraId="2C19EFA8" w14:textId="42A92FC8" w:rsidR="006D3648" w:rsidRDefault="006D3648" w:rsidP="006D3648">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3. Matrix of Signaling Findings for Industry-Provided MOOCs</w:t>
      </w:r>
    </w:p>
    <w:p w14:paraId="29BD4BB6" w14:textId="77777777" w:rsidR="006D3648" w:rsidRDefault="006D3648" w:rsidP="006D3648">
      <w:pPr>
        <w:pStyle w:val="NormalWeb"/>
        <w:spacing w:before="0" w:beforeAutospacing="0" w:after="0" w:afterAutospacing="0"/>
        <w:jc w:val="center"/>
        <w:rPr>
          <w:rFonts w:ascii="Arial" w:hAnsi="Arial" w:cs="Arial"/>
          <w:b/>
          <w:bCs/>
          <w:color w:val="000000"/>
          <w:sz w:val="20"/>
          <w:szCs w:val="20"/>
        </w:rPr>
      </w:pPr>
    </w:p>
    <w:tbl>
      <w:tblPr>
        <w:tblW w:w="9810" w:type="dxa"/>
        <w:jc w:val="center"/>
        <w:tblCellMar>
          <w:top w:w="15" w:type="dxa"/>
          <w:left w:w="15" w:type="dxa"/>
          <w:bottom w:w="15" w:type="dxa"/>
          <w:right w:w="15" w:type="dxa"/>
        </w:tblCellMar>
        <w:tblLook w:val="04A0" w:firstRow="1" w:lastRow="0" w:firstColumn="1" w:lastColumn="0" w:noHBand="0" w:noVBand="1"/>
      </w:tblPr>
      <w:tblGrid>
        <w:gridCol w:w="1510"/>
        <w:gridCol w:w="2149"/>
        <w:gridCol w:w="2090"/>
        <w:gridCol w:w="1134"/>
        <w:gridCol w:w="1152"/>
        <w:gridCol w:w="1775"/>
      </w:tblGrid>
      <w:tr w:rsidR="006D3648" w:rsidRPr="006D3648" w14:paraId="6E743D51" w14:textId="77777777" w:rsidTr="006D3648">
        <w:trPr>
          <w:trHeight w:val="430"/>
          <w:jc w:val="center"/>
        </w:trPr>
        <w:tc>
          <w:tcPr>
            <w:tcW w:w="1510" w:type="dxa"/>
            <w:tcBorders>
              <w:top w:val="single" w:sz="4" w:space="0" w:color="auto"/>
              <w:bottom w:val="single" w:sz="4" w:space="0" w:color="auto"/>
            </w:tcBorders>
            <w:tcMar>
              <w:top w:w="100" w:type="dxa"/>
              <w:left w:w="100" w:type="dxa"/>
              <w:bottom w:w="100" w:type="dxa"/>
              <w:right w:w="100" w:type="dxa"/>
            </w:tcMar>
            <w:hideMark/>
          </w:tcPr>
          <w:p w14:paraId="6AEF868F"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Provider</w:t>
            </w:r>
          </w:p>
        </w:tc>
        <w:tc>
          <w:tcPr>
            <w:tcW w:w="2149" w:type="dxa"/>
            <w:tcBorders>
              <w:top w:val="single" w:sz="4" w:space="0" w:color="auto"/>
              <w:bottom w:val="single" w:sz="4" w:space="0" w:color="auto"/>
            </w:tcBorders>
            <w:tcMar>
              <w:top w:w="100" w:type="dxa"/>
              <w:left w:w="100" w:type="dxa"/>
              <w:bottom w:w="100" w:type="dxa"/>
              <w:right w:w="100" w:type="dxa"/>
            </w:tcMar>
            <w:hideMark/>
          </w:tcPr>
          <w:p w14:paraId="020A109E"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Selected MOOC</w:t>
            </w:r>
          </w:p>
        </w:tc>
        <w:tc>
          <w:tcPr>
            <w:tcW w:w="0" w:type="auto"/>
            <w:tcBorders>
              <w:top w:val="single" w:sz="4" w:space="0" w:color="auto"/>
              <w:bottom w:val="single" w:sz="4" w:space="0" w:color="auto"/>
            </w:tcBorders>
            <w:tcMar>
              <w:top w:w="100" w:type="dxa"/>
              <w:left w:w="100" w:type="dxa"/>
              <w:bottom w:w="100" w:type="dxa"/>
              <w:right w:w="100" w:type="dxa"/>
            </w:tcMar>
            <w:hideMark/>
          </w:tcPr>
          <w:p w14:paraId="572C29D4"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S1 Provider Reputation/Prestige</w:t>
            </w:r>
          </w:p>
        </w:tc>
        <w:tc>
          <w:tcPr>
            <w:tcW w:w="0" w:type="auto"/>
            <w:tcBorders>
              <w:top w:val="single" w:sz="4" w:space="0" w:color="auto"/>
              <w:bottom w:val="single" w:sz="4" w:space="0" w:color="auto"/>
            </w:tcBorders>
            <w:tcMar>
              <w:top w:w="100" w:type="dxa"/>
              <w:left w:w="100" w:type="dxa"/>
              <w:bottom w:w="100" w:type="dxa"/>
              <w:right w:w="100" w:type="dxa"/>
            </w:tcMar>
            <w:hideMark/>
          </w:tcPr>
          <w:p w14:paraId="544D9F34"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S2 Instructor Expertise</w:t>
            </w:r>
          </w:p>
        </w:tc>
        <w:tc>
          <w:tcPr>
            <w:tcW w:w="1152" w:type="dxa"/>
            <w:tcBorders>
              <w:top w:val="single" w:sz="4" w:space="0" w:color="auto"/>
              <w:bottom w:val="single" w:sz="4" w:space="0" w:color="auto"/>
            </w:tcBorders>
            <w:tcMar>
              <w:top w:w="100" w:type="dxa"/>
              <w:left w:w="100" w:type="dxa"/>
              <w:bottom w:w="100" w:type="dxa"/>
              <w:right w:w="100" w:type="dxa"/>
            </w:tcMar>
            <w:hideMark/>
          </w:tcPr>
          <w:p w14:paraId="40E18208"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S3 Rigor Signals</w:t>
            </w:r>
          </w:p>
        </w:tc>
        <w:tc>
          <w:tcPr>
            <w:tcW w:w="1775" w:type="dxa"/>
            <w:tcBorders>
              <w:top w:val="single" w:sz="4" w:space="0" w:color="auto"/>
              <w:bottom w:val="single" w:sz="4" w:space="0" w:color="auto"/>
            </w:tcBorders>
            <w:tcMar>
              <w:top w:w="100" w:type="dxa"/>
              <w:left w:w="100" w:type="dxa"/>
              <w:bottom w:w="100" w:type="dxa"/>
              <w:right w:w="100" w:type="dxa"/>
            </w:tcMar>
            <w:hideMark/>
          </w:tcPr>
          <w:p w14:paraId="26463537" w14:textId="77777777" w:rsidR="006D3648" w:rsidRPr="006D3648" w:rsidRDefault="006D3648">
            <w:pPr>
              <w:pStyle w:val="NormalWeb"/>
              <w:spacing w:before="0" w:beforeAutospacing="0" w:after="0" w:afterAutospacing="0"/>
              <w:rPr>
                <w:b/>
                <w:bCs/>
                <w:sz w:val="20"/>
                <w:szCs w:val="20"/>
              </w:rPr>
            </w:pPr>
            <w:r w:rsidRPr="006D3648">
              <w:rPr>
                <w:rFonts w:ascii="Arial" w:hAnsi="Arial" w:cs="Arial"/>
                <w:b/>
                <w:bCs/>
                <w:color w:val="000000"/>
                <w:sz w:val="20"/>
                <w:szCs w:val="20"/>
              </w:rPr>
              <w:t>S4 Credential &amp; Competence Signals</w:t>
            </w:r>
          </w:p>
        </w:tc>
      </w:tr>
      <w:tr w:rsidR="006D3648" w:rsidRPr="006D3648" w14:paraId="0F727822" w14:textId="77777777" w:rsidTr="006D3648">
        <w:trPr>
          <w:trHeight w:val="520"/>
          <w:jc w:val="center"/>
        </w:trPr>
        <w:tc>
          <w:tcPr>
            <w:tcW w:w="1510" w:type="dxa"/>
            <w:tcBorders>
              <w:top w:val="single" w:sz="4" w:space="0" w:color="auto"/>
            </w:tcBorders>
            <w:tcMar>
              <w:top w:w="100" w:type="dxa"/>
              <w:left w:w="100" w:type="dxa"/>
              <w:bottom w:w="100" w:type="dxa"/>
              <w:right w:w="100" w:type="dxa"/>
            </w:tcMar>
            <w:hideMark/>
          </w:tcPr>
          <w:p w14:paraId="7C61516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Borders>
              <w:top w:val="single" w:sz="4" w:space="0" w:color="auto"/>
            </w:tcBorders>
            <w:tcMar>
              <w:top w:w="100" w:type="dxa"/>
              <w:left w:w="100" w:type="dxa"/>
              <w:bottom w:w="100" w:type="dxa"/>
              <w:right w:w="100" w:type="dxa"/>
            </w:tcMar>
            <w:hideMark/>
          </w:tcPr>
          <w:p w14:paraId="3C7D85F5"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Operating Systems: Overview, Administration, and Security</w:t>
            </w:r>
          </w:p>
        </w:tc>
        <w:tc>
          <w:tcPr>
            <w:tcW w:w="0" w:type="auto"/>
            <w:tcBorders>
              <w:top w:val="single" w:sz="4" w:space="0" w:color="auto"/>
            </w:tcBorders>
            <w:tcMar>
              <w:top w:w="100" w:type="dxa"/>
              <w:left w:w="100" w:type="dxa"/>
              <w:bottom w:w="100" w:type="dxa"/>
              <w:right w:w="100" w:type="dxa"/>
            </w:tcMar>
            <w:hideMark/>
          </w:tcPr>
          <w:p w14:paraId="3688ED3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Borders>
              <w:top w:val="single" w:sz="4" w:space="0" w:color="auto"/>
            </w:tcBorders>
            <w:tcMar>
              <w:top w:w="100" w:type="dxa"/>
              <w:left w:w="100" w:type="dxa"/>
              <w:bottom w:w="100" w:type="dxa"/>
              <w:right w:w="100" w:type="dxa"/>
            </w:tcMar>
            <w:hideMark/>
          </w:tcPr>
          <w:p w14:paraId="3E01D97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Borders>
              <w:top w:val="single" w:sz="4" w:space="0" w:color="auto"/>
            </w:tcBorders>
            <w:tcMar>
              <w:top w:w="100" w:type="dxa"/>
              <w:left w:w="100" w:type="dxa"/>
              <w:bottom w:w="100" w:type="dxa"/>
              <w:right w:w="100" w:type="dxa"/>
            </w:tcMar>
            <w:hideMark/>
          </w:tcPr>
          <w:p w14:paraId="680136D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Borders>
              <w:top w:val="single" w:sz="4" w:space="0" w:color="auto"/>
            </w:tcBorders>
            <w:tcMar>
              <w:top w:w="100" w:type="dxa"/>
              <w:left w:w="100" w:type="dxa"/>
              <w:bottom w:w="100" w:type="dxa"/>
              <w:right w:w="100" w:type="dxa"/>
            </w:tcMar>
            <w:hideMark/>
          </w:tcPr>
          <w:p w14:paraId="11A203A4"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37A747CC" w14:textId="77777777" w:rsidTr="006D3648">
        <w:trPr>
          <w:trHeight w:val="305"/>
          <w:jc w:val="center"/>
        </w:trPr>
        <w:tc>
          <w:tcPr>
            <w:tcW w:w="1510" w:type="dxa"/>
            <w:tcMar>
              <w:top w:w="100" w:type="dxa"/>
              <w:left w:w="100" w:type="dxa"/>
              <w:bottom w:w="100" w:type="dxa"/>
              <w:right w:w="100" w:type="dxa"/>
            </w:tcMar>
            <w:hideMark/>
          </w:tcPr>
          <w:p w14:paraId="357763C1"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Mar>
              <w:top w:w="100" w:type="dxa"/>
              <w:left w:w="100" w:type="dxa"/>
              <w:bottom w:w="100" w:type="dxa"/>
              <w:right w:w="100" w:type="dxa"/>
            </w:tcMar>
            <w:hideMark/>
          </w:tcPr>
          <w:p w14:paraId="403AADD1"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Cybersecurity Compliance Framework, Standards &amp; Regulations</w:t>
            </w:r>
          </w:p>
        </w:tc>
        <w:tc>
          <w:tcPr>
            <w:tcW w:w="0" w:type="auto"/>
            <w:tcMar>
              <w:top w:w="100" w:type="dxa"/>
              <w:left w:w="100" w:type="dxa"/>
              <w:bottom w:w="100" w:type="dxa"/>
              <w:right w:w="100" w:type="dxa"/>
            </w:tcMar>
            <w:hideMark/>
          </w:tcPr>
          <w:p w14:paraId="262B087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Mar>
              <w:top w:w="100" w:type="dxa"/>
              <w:left w:w="100" w:type="dxa"/>
              <w:bottom w:w="100" w:type="dxa"/>
              <w:right w:w="100" w:type="dxa"/>
            </w:tcMar>
            <w:hideMark/>
          </w:tcPr>
          <w:p w14:paraId="5BEF7E8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Mar>
              <w:top w:w="100" w:type="dxa"/>
              <w:left w:w="100" w:type="dxa"/>
              <w:bottom w:w="100" w:type="dxa"/>
              <w:right w:w="100" w:type="dxa"/>
            </w:tcMar>
            <w:hideMark/>
          </w:tcPr>
          <w:p w14:paraId="0DD6436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Mar>
              <w:top w:w="100" w:type="dxa"/>
              <w:left w:w="100" w:type="dxa"/>
              <w:bottom w:w="100" w:type="dxa"/>
              <w:right w:w="100" w:type="dxa"/>
            </w:tcMar>
            <w:hideMark/>
          </w:tcPr>
          <w:p w14:paraId="6FE4CD5C"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3371A03A" w14:textId="77777777" w:rsidTr="006D3648">
        <w:trPr>
          <w:trHeight w:val="24"/>
          <w:jc w:val="center"/>
        </w:trPr>
        <w:tc>
          <w:tcPr>
            <w:tcW w:w="1510" w:type="dxa"/>
            <w:tcMar>
              <w:top w:w="100" w:type="dxa"/>
              <w:left w:w="100" w:type="dxa"/>
              <w:bottom w:w="100" w:type="dxa"/>
              <w:right w:w="100" w:type="dxa"/>
            </w:tcMar>
            <w:hideMark/>
          </w:tcPr>
          <w:p w14:paraId="277A1CE0"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Mar>
              <w:top w:w="100" w:type="dxa"/>
              <w:left w:w="100" w:type="dxa"/>
              <w:bottom w:w="100" w:type="dxa"/>
              <w:right w:w="100" w:type="dxa"/>
            </w:tcMar>
            <w:hideMark/>
          </w:tcPr>
          <w:p w14:paraId="12B286F5"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Penetration Testing, Threat Hunting, and Cryptography</w:t>
            </w:r>
          </w:p>
        </w:tc>
        <w:tc>
          <w:tcPr>
            <w:tcW w:w="0" w:type="auto"/>
            <w:tcMar>
              <w:top w:w="100" w:type="dxa"/>
              <w:left w:w="100" w:type="dxa"/>
              <w:bottom w:w="100" w:type="dxa"/>
              <w:right w:w="100" w:type="dxa"/>
            </w:tcMar>
            <w:hideMark/>
          </w:tcPr>
          <w:p w14:paraId="65F026B7"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Mar>
              <w:top w:w="100" w:type="dxa"/>
              <w:left w:w="100" w:type="dxa"/>
              <w:bottom w:w="100" w:type="dxa"/>
              <w:right w:w="100" w:type="dxa"/>
            </w:tcMar>
            <w:hideMark/>
          </w:tcPr>
          <w:p w14:paraId="490A1FC9"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Mar>
              <w:top w:w="100" w:type="dxa"/>
              <w:left w:w="100" w:type="dxa"/>
              <w:bottom w:w="100" w:type="dxa"/>
              <w:right w:w="100" w:type="dxa"/>
            </w:tcMar>
            <w:hideMark/>
          </w:tcPr>
          <w:p w14:paraId="24722BAD"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Mar>
              <w:top w:w="100" w:type="dxa"/>
              <w:left w:w="100" w:type="dxa"/>
              <w:bottom w:w="100" w:type="dxa"/>
              <w:right w:w="100" w:type="dxa"/>
            </w:tcMar>
            <w:hideMark/>
          </w:tcPr>
          <w:p w14:paraId="4B025487"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6DB6124C" w14:textId="77777777" w:rsidTr="006D3648">
        <w:trPr>
          <w:trHeight w:val="24"/>
          <w:jc w:val="center"/>
        </w:trPr>
        <w:tc>
          <w:tcPr>
            <w:tcW w:w="1510" w:type="dxa"/>
            <w:tcMar>
              <w:top w:w="100" w:type="dxa"/>
              <w:left w:w="100" w:type="dxa"/>
              <w:bottom w:w="100" w:type="dxa"/>
              <w:right w:w="100" w:type="dxa"/>
            </w:tcMar>
            <w:hideMark/>
          </w:tcPr>
          <w:p w14:paraId="291C9B1A"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IBM</w:t>
            </w:r>
          </w:p>
        </w:tc>
        <w:tc>
          <w:tcPr>
            <w:tcW w:w="2149" w:type="dxa"/>
            <w:tcMar>
              <w:top w:w="100" w:type="dxa"/>
              <w:left w:w="100" w:type="dxa"/>
              <w:bottom w:w="100" w:type="dxa"/>
              <w:right w:w="100" w:type="dxa"/>
            </w:tcMar>
            <w:hideMark/>
          </w:tcPr>
          <w:p w14:paraId="4976F99B"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Incident Response and Digital Forensics</w:t>
            </w:r>
          </w:p>
        </w:tc>
        <w:tc>
          <w:tcPr>
            <w:tcW w:w="0" w:type="auto"/>
            <w:tcMar>
              <w:top w:w="100" w:type="dxa"/>
              <w:left w:w="100" w:type="dxa"/>
              <w:bottom w:w="100" w:type="dxa"/>
              <w:right w:w="100" w:type="dxa"/>
            </w:tcMar>
            <w:hideMark/>
          </w:tcPr>
          <w:p w14:paraId="74527BE2"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0" w:type="auto"/>
            <w:tcMar>
              <w:top w:w="100" w:type="dxa"/>
              <w:left w:w="100" w:type="dxa"/>
              <w:bottom w:w="100" w:type="dxa"/>
              <w:right w:w="100" w:type="dxa"/>
            </w:tcMar>
            <w:hideMark/>
          </w:tcPr>
          <w:p w14:paraId="1B677F5F"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Mar>
              <w:top w:w="100" w:type="dxa"/>
              <w:left w:w="100" w:type="dxa"/>
              <w:bottom w:w="100" w:type="dxa"/>
              <w:right w:w="100" w:type="dxa"/>
            </w:tcMar>
            <w:hideMark/>
          </w:tcPr>
          <w:p w14:paraId="6C8E1323"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c>
          <w:tcPr>
            <w:tcW w:w="1775" w:type="dxa"/>
            <w:tcMar>
              <w:top w:w="100" w:type="dxa"/>
              <w:left w:w="100" w:type="dxa"/>
              <w:bottom w:w="100" w:type="dxa"/>
              <w:right w:w="100" w:type="dxa"/>
            </w:tcMar>
            <w:hideMark/>
          </w:tcPr>
          <w:p w14:paraId="21810553"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r w:rsidR="006D3648" w:rsidRPr="006D3648" w14:paraId="3CBB4288" w14:textId="77777777" w:rsidTr="006D3648">
        <w:trPr>
          <w:trHeight w:val="24"/>
          <w:jc w:val="center"/>
        </w:trPr>
        <w:tc>
          <w:tcPr>
            <w:tcW w:w="1510" w:type="dxa"/>
            <w:tcBorders>
              <w:bottom w:val="single" w:sz="4" w:space="0" w:color="auto"/>
            </w:tcBorders>
            <w:tcMar>
              <w:top w:w="100" w:type="dxa"/>
              <w:left w:w="100" w:type="dxa"/>
              <w:bottom w:w="100" w:type="dxa"/>
              <w:right w:w="100" w:type="dxa"/>
            </w:tcMar>
            <w:hideMark/>
          </w:tcPr>
          <w:p w14:paraId="7CE8E2F2"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Google Cloud</w:t>
            </w:r>
          </w:p>
        </w:tc>
        <w:tc>
          <w:tcPr>
            <w:tcW w:w="2149" w:type="dxa"/>
            <w:tcBorders>
              <w:bottom w:val="single" w:sz="4" w:space="0" w:color="auto"/>
            </w:tcBorders>
            <w:tcMar>
              <w:top w:w="100" w:type="dxa"/>
              <w:left w:w="100" w:type="dxa"/>
              <w:bottom w:w="100" w:type="dxa"/>
              <w:right w:w="100" w:type="dxa"/>
            </w:tcMar>
            <w:hideMark/>
          </w:tcPr>
          <w:p w14:paraId="0D5748FD" w14:textId="77777777" w:rsidR="006D3648" w:rsidRPr="006D3648" w:rsidRDefault="006D3648">
            <w:pPr>
              <w:pStyle w:val="NormalWeb"/>
              <w:spacing w:before="0" w:beforeAutospacing="0" w:after="0" w:afterAutospacing="0"/>
              <w:rPr>
                <w:sz w:val="20"/>
                <w:szCs w:val="20"/>
              </w:rPr>
            </w:pPr>
            <w:r w:rsidRPr="006D3648">
              <w:rPr>
                <w:rFonts w:ascii="Arial" w:hAnsi="Arial" w:cs="Arial"/>
                <w:i/>
                <w:iCs/>
                <w:color w:val="000000"/>
                <w:sz w:val="20"/>
                <w:szCs w:val="20"/>
              </w:rPr>
              <w:t>Introduction to Large Language Models</w:t>
            </w:r>
          </w:p>
        </w:tc>
        <w:tc>
          <w:tcPr>
            <w:tcW w:w="0" w:type="auto"/>
            <w:tcBorders>
              <w:bottom w:val="single" w:sz="4" w:space="0" w:color="auto"/>
            </w:tcBorders>
            <w:tcMar>
              <w:top w:w="100" w:type="dxa"/>
              <w:left w:w="100" w:type="dxa"/>
              <w:bottom w:w="100" w:type="dxa"/>
              <w:right w:w="100" w:type="dxa"/>
            </w:tcMar>
            <w:hideMark/>
          </w:tcPr>
          <w:p w14:paraId="6897DB1D"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0" w:type="auto"/>
            <w:tcBorders>
              <w:bottom w:val="single" w:sz="4" w:space="0" w:color="auto"/>
            </w:tcBorders>
            <w:tcMar>
              <w:top w:w="100" w:type="dxa"/>
              <w:left w:w="100" w:type="dxa"/>
              <w:bottom w:w="100" w:type="dxa"/>
              <w:right w:w="100" w:type="dxa"/>
            </w:tcMar>
            <w:hideMark/>
          </w:tcPr>
          <w:p w14:paraId="24BDD322"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Moderate</w:t>
            </w:r>
          </w:p>
        </w:tc>
        <w:tc>
          <w:tcPr>
            <w:tcW w:w="1152" w:type="dxa"/>
            <w:tcBorders>
              <w:bottom w:val="single" w:sz="4" w:space="0" w:color="auto"/>
            </w:tcBorders>
            <w:tcMar>
              <w:top w:w="100" w:type="dxa"/>
              <w:left w:w="100" w:type="dxa"/>
              <w:bottom w:w="100" w:type="dxa"/>
              <w:right w:w="100" w:type="dxa"/>
            </w:tcMar>
            <w:hideMark/>
          </w:tcPr>
          <w:p w14:paraId="215992E6"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Limited</w:t>
            </w:r>
          </w:p>
        </w:tc>
        <w:tc>
          <w:tcPr>
            <w:tcW w:w="1775" w:type="dxa"/>
            <w:tcBorders>
              <w:bottom w:val="single" w:sz="4" w:space="0" w:color="auto"/>
            </w:tcBorders>
            <w:tcMar>
              <w:top w:w="100" w:type="dxa"/>
              <w:left w:w="100" w:type="dxa"/>
              <w:bottom w:w="100" w:type="dxa"/>
              <w:right w:w="100" w:type="dxa"/>
            </w:tcMar>
            <w:hideMark/>
          </w:tcPr>
          <w:p w14:paraId="04654957" w14:textId="77777777" w:rsidR="006D3648" w:rsidRPr="006D3648" w:rsidRDefault="006D3648">
            <w:pPr>
              <w:pStyle w:val="NormalWeb"/>
              <w:spacing w:before="0" w:beforeAutospacing="0" w:after="0" w:afterAutospacing="0"/>
              <w:rPr>
                <w:sz w:val="20"/>
                <w:szCs w:val="20"/>
              </w:rPr>
            </w:pPr>
            <w:r w:rsidRPr="006D3648">
              <w:rPr>
                <w:rFonts w:ascii="Arial" w:hAnsi="Arial" w:cs="Arial"/>
                <w:color w:val="000000"/>
                <w:sz w:val="20"/>
                <w:szCs w:val="20"/>
              </w:rPr>
              <w:t>Strong</w:t>
            </w:r>
          </w:p>
        </w:tc>
      </w:tr>
    </w:tbl>
    <w:p w14:paraId="5EA3C595" w14:textId="77777777" w:rsidR="006D3648" w:rsidRDefault="006D3648" w:rsidP="00C631CD">
      <w:pPr>
        <w:pStyle w:val="NormalWeb"/>
        <w:spacing w:before="0" w:beforeAutospacing="0" w:after="0" w:afterAutospacing="0"/>
        <w:rPr>
          <w:rFonts w:ascii="Arial" w:hAnsi="Arial" w:cs="Arial"/>
          <w:sz w:val="20"/>
          <w:szCs w:val="20"/>
        </w:rPr>
      </w:pPr>
    </w:p>
    <w:p w14:paraId="19B356BD"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b/>
          <w:bCs/>
          <w:color w:val="000000"/>
          <w:sz w:val="20"/>
          <w:szCs w:val="20"/>
        </w:rPr>
        <w:t>Credential and competence signaling (S4)</w:t>
      </w:r>
      <w:r w:rsidRPr="00C631CD">
        <w:rPr>
          <w:rFonts w:ascii="Arial" w:hAnsi="Arial" w:cs="Arial"/>
          <w:color w:val="000000"/>
          <w:sz w:val="20"/>
          <w:szCs w:val="20"/>
        </w:rPr>
        <w:t xml:space="preserve"> emerged as the most consistent pattern among industry-provided MOOCs. All five courses offered a shareable certificate and included explicit statements regarding the knowledge, skills, or capabilities that learners could acquire. The IBM courses emphasized technical competencies such as systems administration, cybersecurity, compliance, penetration testing, threat hunting, digital forensics, and incident response, frequently linking these skills to practical application. For instance, the IBM operating systems course incorporated hands-on work in operating-system administration, security configuration, command-line tools, and a final project. The penetration-testing course connected technical skills with employer-relevant capabilities and resume enhancement. The Google Cloud course presented a narrative centered on an explicit competence proposition, emphasizing large-language generative AI, prompt tuning, and Google generative AI development tools.</w:t>
      </w:r>
    </w:p>
    <w:p w14:paraId="10134590"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value of the credential derives not solely from the existence of a certificate but also from its association with clearly defined competencies. Research on micro-credentials supports the interpretation of such credentials as meaningful representations of skills and professional development. Bruguera et al. (2025) found that employers considered online micro-credentials useful for updating skills and communicating acquired skills, though concerns </w:t>
      </w:r>
      <w:r w:rsidRPr="00C631CD">
        <w:rPr>
          <w:rFonts w:ascii="Arial" w:hAnsi="Arial" w:cs="Arial"/>
          <w:color w:val="000000"/>
          <w:sz w:val="20"/>
          <w:szCs w:val="20"/>
        </w:rPr>
        <w:lastRenderedPageBreak/>
        <w:t>remained regarding whether the credentials provide sufficient evidence of actual skill mastery. Similarly, Ha et al. (2024) reported that employers generally viewed micro-credentials as beneficial, but emphasized that their effectiveness depends on the characteristics of the credential, learner, employer, and provider. These studies do not demonstrate that the certificates in the present sample lead to employment outcomes; rather, they support the interpretation that credentials can communicate claims about learning and competence.</w:t>
      </w:r>
    </w:p>
    <w:p w14:paraId="4E6061EE"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Kassi and </w:t>
      </w:r>
      <w:proofErr w:type="spellStart"/>
      <w:r w:rsidRPr="00C631CD">
        <w:rPr>
          <w:rFonts w:ascii="Arial" w:hAnsi="Arial" w:cs="Arial"/>
          <w:color w:val="000000"/>
          <w:sz w:val="20"/>
          <w:szCs w:val="20"/>
        </w:rPr>
        <w:t>Lehdonvirta</w:t>
      </w:r>
      <w:proofErr w:type="spellEnd"/>
      <w:r w:rsidRPr="00C631CD">
        <w:rPr>
          <w:rFonts w:ascii="Arial" w:hAnsi="Arial" w:cs="Arial"/>
          <w:color w:val="000000"/>
          <w:sz w:val="20"/>
          <w:szCs w:val="20"/>
        </w:rPr>
        <w:t xml:space="preserve"> (2024) offer further evidence from a labor-market perspective. Their examination of a </w:t>
      </w:r>
      <w:proofErr w:type="spellStart"/>
      <w:r w:rsidRPr="00C631CD">
        <w:rPr>
          <w:rFonts w:ascii="Arial" w:hAnsi="Arial" w:cs="Arial"/>
          <w:color w:val="000000"/>
          <w:sz w:val="20"/>
          <w:szCs w:val="20"/>
        </w:rPr>
        <w:t>microcredentialing</w:t>
      </w:r>
      <w:proofErr w:type="spellEnd"/>
      <w:r w:rsidRPr="00C631CD">
        <w:rPr>
          <w:rFonts w:ascii="Arial" w:hAnsi="Arial" w:cs="Arial"/>
          <w:color w:val="000000"/>
          <w:sz w:val="20"/>
          <w:szCs w:val="20"/>
        </w:rPr>
        <w:t xml:space="preserve"> scheme in an online labor market revealed that obtaining a </w:t>
      </w:r>
      <w:proofErr w:type="spellStart"/>
      <w:r w:rsidRPr="00C631CD">
        <w:rPr>
          <w:rFonts w:ascii="Arial" w:hAnsi="Arial" w:cs="Arial"/>
          <w:color w:val="000000"/>
          <w:sz w:val="20"/>
          <w:szCs w:val="20"/>
        </w:rPr>
        <w:t>microcredential</w:t>
      </w:r>
      <w:proofErr w:type="spellEnd"/>
      <w:r w:rsidRPr="00C631CD">
        <w:rPr>
          <w:rFonts w:ascii="Arial" w:hAnsi="Arial" w:cs="Arial"/>
          <w:color w:val="000000"/>
          <w:sz w:val="20"/>
          <w:szCs w:val="20"/>
        </w:rPr>
        <w:t xml:space="preserve"> increased workers’ earnings, primarily by reducing employer uncertainty rather than by increasing worker productivity. This outcome aligns with a signaling interpretation, where verified credentials provide information about otherwise uncertain worker characteristics. The present study does not assert a causal relationship between Coursera certificates and employment outcomes. Instead, the selected industry MOOCs present credentials alongside identifiable competencies, thereby creating a documentary signal regarding the intended meaning of course completion.</w:t>
      </w:r>
    </w:p>
    <w:p w14:paraId="6299BF46"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b/>
          <w:bCs/>
          <w:color w:val="000000"/>
          <w:sz w:val="20"/>
          <w:szCs w:val="20"/>
        </w:rPr>
        <w:t xml:space="preserve">Rigor signaling (S3) </w:t>
      </w:r>
      <w:r w:rsidRPr="00C631CD">
        <w:rPr>
          <w:rFonts w:ascii="Arial" w:hAnsi="Arial" w:cs="Arial"/>
          <w:color w:val="000000"/>
          <w:sz w:val="20"/>
          <w:szCs w:val="20"/>
        </w:rPr>
        <w:t>was especially prominent in the IBM courses. The four IBM MOOCs incorporated recommended prior experience or intermediate-level positioning, multiple modules, assessments, hands-on activities, laboratories, and final projects. For example, the cybersecurity compliance course addressed governance, risk, compliance, NIST, ISO, IEEE, COBIT, SOC reports, and other standards, and included a final project. The penetration-testing course combined intermediate-level positioning and recommended experience with six modules, assessments, practical tools, hands-on laboratories, and a final project. Although the incident-response course was shorter, it still included recommended experience, multiple assessments, hands-on laboratories, projects, and industry-standard frameworks and tools.</w:t>
      </w:r>
    </w:p>
    <w:p w14:paraId="3F4BDC23"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These findings support the interpretation of rigor as a communicated expectation of effort and seriousness, rather than as an objective measure of educational quality. Recent MOOC research identifies course design and structure, instructional quality, assessment, and learning outcomes as key dimensions for evaluating MOOCs (Mir &amp; Khan, 2026). Wang et al. (2025) similarly demonstrate that MOOC quality encompasses multiple interacting attributes rather than a single dimension. Chen et al. (2025), analyzing data from 8,602 MOOCs, found that course quality, content richness, and interactivity were associated with learning effectiveness. While these studies do not establish that the IBM courses are objectively more rigorous, they support the interpretation that observable course structure, requirements, assessment, and learning activities communicate expectations about the learning experience.</w:t>
      </w:r>
    </w:p>
    <w:p w14:paraId="5C490048"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industry cases also displayed a distinctive form of </w:t>
      </w:r>
      <w:r w:rsidRPr="00C631CD">
        <w:rPr>
          <w:rFonts w:ascii="Arial" w:hAnsi="Arial" w:cs="Arial"/>
          <w:b/>
          <w:bCs/>
          <w:color w:val="000000"/>
          <w:sz w:val="20"/>
          <w:szCs w:val="20"/>
        </w:rPr>
        <w:t>S1, provider reputation/prestige</w:t>
      </w:r>
      <w:r w:rsidRPr="00C631CD">
        <w:rPr>
          <w:rFonts w:ascii="Arial" w:hAnsi="Arial" w:cs="Arial"/>
          <w:color w:val="000000"/>
          <w:sz w:val="20"/>
          <w:szCs w:val="20"/>
        </w:rPr>
        <w:t>. Unlike the university cases, where institutional identity primarily served as a form of contextual academic credibility, the IBM and Google Cloud courses positioned organizational identity alongside industry-oriented content and applications. IBM associated its provider identity with cybersecurity, information technology, professional standards, and workplace practices, while Google Cloud associated its identity with contemporary generative AI technologies and its own development tools. The signal, therefore, involved more than displaying a corporate name; it was reinforced by the alignment between organizational identity and the competencies presented in the course. This alignment was particularly evident in the IBM courses, where industry expertise, job-relevant skills, hands-on projects, and career certificates appeared together.</w:t>
      </w:r>
    </w:p>
    <w:p w14:paraId="779CB4A0"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This interpretation is also pertinent to the uncertainty associated with MOOC selection. </w:t>
      </w:r>
      <w:proofErr w:type="spellStart"/>
      <w:r w:rsidRPr="00C631CD">
        <w:rPr>
          <w:rFonts w:ascii="Arial" w:hAnsi="Arial" w:cs="Arial"/>
          <w:color w:val="000000"/>
          <w:sz w:val="20"/>
          <w:szCs w:val="20"/>
        </w:rPr>
        <w:t>Pörzse</w:t>
      </w:r>
      <w:proofErr w:type="spellEnd"/>
      <w:r w:rsidRPr="00C631CD">
        <w:rPr>
          <w:rFonts w:ascii="Arial" w:hAnsi="Arial" w:cs="Arial"/>
          <w:color w:val="000000"/>
          <w:sz w:val="20"/>
          <w:szCs w:val="20"/>
        </w:rPr>
        <w:t xml:space="preserve"> and Kenesei (2026) found that prospective MOOC learners experience uncertainty regarding the value and risks of course selection, with perceived value constituting a significant aspect of the decision-making environment. In the present study, recognizable industry providers and industry-specific course content can be interpreted as observable </w:t>
      </w:r>
      <w:r w:rsidRPr="00C631CD">
        <w:rPr>
          <w:rFonts w:ascii="Arial" w:hAnsi="Arial" w:cs="Arial"/>
          <w:color w:val="000000"/>
          <w:sz w:val="20"/>
          <w:szCs w:val="20"/>
        </w:rPr>
        <w:lastRenderedPageBreak/>
        <w:t>contextual cues about the learning opportunity. However, since this study examines documentary evidence rather than learner perceptions, it cannot determine whether learners actually interpreted these organizational cues in this manner.</w:t>
      </w:r>
    </w:p>
    <w:p w14:paraId="51CA6299"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most pronounced difference from the university cases involved </w:t>
      </w:r>
      <w:r w:rsidRPr="00C631CD">
        <w:rPr>
          <w:rFonts w:ascii="Arial" w:hAnsi="Arial" w:cs="Arial"/>
          <w:b/>
          <w:bCs/>
          <w:color w:val="000000"/>
          <w:sz w:val="20"/>
          <w:szCs w:val="20"/>
        </w:rPr>
        <w:t>S2, instructor expertise</w:t>
      </w:r>
      <w:r w:rsidRPr="00C631CD">
        <w:rPr>
          <w:rFonts w:ascii="Arial" w:hAnsi="Arial" w:cs="Arial"/>
          <w:color w:val="000000"/>
          <w:sz w:val="20"/>
          <w:szCs w:val="20"/>
        </w:rPr>
        <w:t>. All five industry courses identified an instructional team, but the public presentation emphasized the organization or training team rather than providing detailed biographies of individual instructors. IBM’s courses identified the IBM Skills Network Team, while Google Cloud identified Google Cloud Training. As a result, expertise was visible primarily as organizational expertise rather than individual academic or professional reputation. In these cases, the organization functioned as the principal source of instructional authority.</w:t>
      </w:r>
    </w:p>
    <w:p w14:paraId="5C3566D1"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The Google Cloud course demonstrates that the four signals should not be regarded as a single, unified package. Its </w:t>
      </w:r>
      <w:r w:rsidRPr="00C631CD">
        <w:rPr>
          <w:rFonts w:ascii="Arial" w:hAnsi="Arial" w:cs="Arial"/>
          <w:i/>
          <w:iCs/>
          <w:color w:val="000000"/>
          <w:sz w:val="20"/>
          <w:szCs w:val="20"/>
        </w:rPr>
        <w:t>Introduction to Large Language Models</w:t>
      </w:r>
      <w:r w:rsidRPr="00C631CD">
        <w:rPr>
          <w:rFonts w:ascii="Arial" w:hAnsi="Arial" w:cs="Arial"/>
          <w:color w:val="000000"/>
          <w:sz w:val="20"/>
          <w:szCs w:val="20"/>
        </w:rPr>
        <w:t xml:space="preserve"> course was a beginner-level, one-hour offering requiring no prior experience, with one module and one assignment. As a result, it provided </w:t>
      </w:r>
      <w:r w:rsidRPr="00C631CD">
        <w:rPr>
          <w:rFonts w:ascii="Arial" w:hAnsi="Arial" w:cs="Arial"/>
          <w:b/>
          <w:bCs/>
          <w:color w:val="000000"/>
          <w:sz w:val="20"/>
          <w:szCs w:val="20"/>
        </w:rPr>
        <w:t>Limited S3</w:t>
      </w:r>
      <w:r w:rsidRPr="00C631CD">
        <w:rPr>
          <w:rFonts w:ascii="Arial" w:hAnsi="Arial" w:cs="Arial"/>
          <w:color w:val="000000"/>
          <w:sz w:val="20"/>
          <w:szCs w:val="20"/>
        </w:rPr>
        <w:t xml:space="preserve">, but still offered </w:t>
      </w:r>
      <w:r w:rsidRPr="00C631CD">
        <w:rPr>
          <w:rFonts w:ascii="Arial" w:hAnsi="Arial" w:cs="Arial"/>
          <w:b/>
          <w:bCs/>
          <w:color w:val="000000"/>
          <w:sz w:val="20"/>
          <w:szCs w:val="20"/>
        </w:rPr>
        <w:t>Strong S4</w:t>
      </w:r>
      <w:r w:rsidRPr="00C631CD">
        <w:rPr>
          <w:rFonts w:ascii="Arial" w:hAnsi="Arial" w:cs="Arial"/>
          <w:color w:val="000000"/>
          <w:sz w:val="20"/>
          <w:szCs w:val="20"/>
        </w:rPr>
        <w:t xml:space="preserve"> through clearly specified competencies and a shareable career certificate suitable for inclusion on a learner’s LinkedIn profile, resume, or CV. This case shows that competence and credential signaling can be strong even when communicated rigor is limited. Therefore, the findings do not support the assumption that highly enrolled industry MOOCs must communicate value through intensive course requirements.</w:t>
      </w:r>
    </w:p>
    <w:p w14:paraId="07B63499" w14:textId="77777777" w:rsidR="00C631CD" w:rsidRPr="00C631CD" w:rsidRDefault="00C631CD" w:rsidP="00C631CD">
      <w:pPr>
        <w:pStyle w:val="NormalWeb"/>
        <w:spacing w:before="0" w:beforeAutospacing="0" w:after="0" w:afterAutospacing="0"/>
        <w:rPr>
          <w:sz w:val="20"/>
          <w:szCs w:val="20"/>
        </w:rPr>
      </w:pPr>
      <w:r w:rsidRPr="00C631CD">
        <w:rPr>
          <w:rFonts w:ascii="Arial" w:hAnsi="Arial" w:cs="Arial"/>
          <w:color w:val="000000"/>
          <w:sz w:val="20"/>
          <w:szCs w:val="20"/>
        </w:rPr>
        <w:t xml:space="preserve">Collectively, the industry cases reveal a signaling configuration centered on organizational authority, applied competence, and career-oriented credentials, with rigor strongly communicated in the more technically demanding IBM offerings. Individual instructor biographies were less prominent than in the university cases, indicating a shift in the carrier of expertise from the individual expert to the provider organization. These findings address </w:t>
      </w:r>
      <w:r w:rsidRPr="00C631CD">
        <w:rPr>
          <w:rFonts w:ascii="Arial" w:hAnsi="Arial" w:cs="Arial"/>
          <w:b/>
          <w:bCs/>
          <w:color w:val="000000"/>
          <w:sz w:val="20"/>
          <w:szCs w:val="20"/>
        </w:rPr>
        <w:t>RQ2</w:t>
      </w:r>
      <w:r w:rsidRPr="00C631CD">
        <w:rPr>
          <w:rFonts w:ascii="Arial" w:hAnsi="Arial" w:cs="Arial"/>
          <w:color w:val="000000"/>
          <w:sz w:val="20"/>
          <w:szCs w:val="20"/>
        </w:rPr>
        <w:t xml:space="preserve"> by demonstrating that the selected highly enrolled industry-provided MOOCs communicate value primarily through identifiable technical or professional competencies, credentials, practical application, and organizational authority. Rigor is strongly communicated in most cases but can vary according to course scope and level.</w:t>
      </w:r>
    </w:p>
    <w:p w14:paraId="555B6D57" w14:textId="77777777" w:rsidR="00E57BDA" w:rsidRPr="00A643A7" w:rsidRDefault="00E57BDA" w:rsidP="00A643A7">
      <w:pPr>
        <w:pStyle w:val="NormalWeb"/>
        <w:spacing w:before="0" w:beforeAutospacing="0" w:after="0" w:afterAutospacing="0"/>
      </w:pPr>
    </w:p>
    <w:p w14:paraId="3D453E5D" w14:textId="4C9F41EA" w:rsidR="00312CEB" w:rsidRPr="00C50E31" w:rsidRDefault="00312CEB" w:rsidP="00312CEB">
      <w:pPr>
        <w:pStyle w:val="Heading1"/>
        <w:spacing w:before="0" w:after="0"/>
        <w:rPr>
          <w:sz w:val="22"/>
          <w:szCs w:val="22"/>
        </w:rPr>
      </w:pPr>
      <w:r w:rsidRPr="00C50E31">
        <w:rPr>
          <w:rFonts w:cs="Arial"/>
          <w:color w:val="000000"/>
          <w:sz w:val="22"/>
          <w:szCs w:val="22"/>
        </w:rPr>
        <w:t xml:space="preserve">3.3 </w:t>
      </w:r>
      <w:r w:rsidR="00C50E31" w:rsidRPr="00C50E31">
        <w:rPr>
          <w:rFonts w:cs="Arial"/>
          <w:color w:val="000000"/>
          <w:sz w:val="22"/>
          <w:szCs w:val="22"/>
        </w:rPr>
        <w:t>Comparative Signaling Patterns Between University- and Industry-Provided MOOCs</w:t>
      </w:r>
    </w:p>
    <w:p w14:paraId="247652FF" w14:textId="77777777" w:rsidR="00312CEB" w:rsidRDefault="00312CEB" w:rsidP="00312CEB"/>
    <w:p w14:paraId="2F26944D" w14:textId="77777777" w:rsidR="00C50E31" w:rsidRDefault="00C50E31" w:rsidP="00C50E31">
      <w:pPr>
        <w:pStyle w:val="NormalWeb"/>
        <w:spacing w:before="0" w:beforeAutospacing="0" w:after="0" w:afterAutospacing="0"/>
      </w:pPr>
      <w:r>
        <w:rPr>
          <w:rFonts w:ascii="Arial" w:hAnsi="Arial" w:cs="Arial"/>
          <w:color w:val="000000"/>
          <w:sz w:val="20"/>
          <w:szCs w:val="20"/>
        </w:rPr>
        <w:t xml:space="preserve">A comparison of five university-provided and five industry-provided MOOCs demonstrates that both groups communicated similar broad categories of value, yet differed in the location of credibility and the framing of competence. University cases more frequently highlighted identifiable academic or professional expertise and discipline-specific competence. In </w:t>
      </w:r>
      <w:r w:rsidRPr="00C50E31">
        <w:rPr>
          <w:rFonts w:ascii="Arial" w:hAnsi="Arial" w:cs="Arial"/>
          <w:color w:val="000000"/>
          <w:sz w:val="20"/>
          <w:szCs w:val="20"/>
        </w:rPr>
        <w:t>contrast, industry cases more consistently associated organizational identity with applied technical competence and professional practice. Thus, the primary distinction lies in the carriers and framing of signals, rather than in the presence or absence of value communication by either provider group</w:t>
      </w:r>
      <w:r>
        <w:rPr>
          <w:rFonts w:ascii="Arial" w:hAnsi="Arial" w:cs="Arial"/>
          <w:color w:val="000000"/>
          <w:sz w:val="20"/>
          <w:szCs w:val="20"/>
        </w:rPr>
        <w:t>.</w:t>
      </w:r>
    </w:p>
    <w:p w14:paraId="60125A56" w14:textId="77777777" w:rsidR="00312CEB" w:rsidRDefault="00312CEB" w:rsidP="00312CEB">
      <w:pPr>
        <w:pStyle w:val="NormalWeb"/>
        <w:spacing w:before="0" w:beforeAutospacing="0" w:after="0" w:afterAutospacing="0"/>
        <w:rPr>
          <w:rFonts w:ascii="Arial" w:hAnsi="Arial" w:cs="Arial"/>
          <w:color w:val="000000"/>
          <w:sz w:val="20"/>
          <w:szCs w:val="20"/>
        </w:rPr>
      </w:pPr>
    </w:p>
    <w:p w14:paraId="4C836CC9" w14:textId="5C0369FB" w:rsidR="00C50E31" w:rsidRDefault="00C50E31" w:rsidP="00333201">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4. Comparative Signaling Patterns of University- and Industry-Provided MOOCs</w:t>
      </w:r>
    </w:p>
    <w:p w14:paraId="1A605705" w14:textId="77777777" w:rsidR="00C50E31" w:rsidRPr="00333201" w:rsidRDefault="00C50E31" w:rsidP="00333201">
      <w:pPr>
        <w:pStyle w:val="NormalWeb"/>
        <w:spacing w:before="0" w:beforeAutospacing="0" w:after="0" w:afterAutospacing="0"/>
        <w:jc w:val="center"/>
        <w:rPr>
          <w:rFonts w:ascii="Arial" w:hAnsi="Arial" w:cs="Arial"/>
          <w:color w:val="000000"/>
          <w:sz w:val="20"/>
          <w:szCs w:val="20"/>
        </w:rPr>
      </w:pPr>
    </w:p>
    <w:tbl>
      <w:tblPr>
        <w:tblW w:w="5877" w:type="pct"/>
        <w:jc w:val="center"/>
        <w:tblCellMar>
          <w:top w:w="15" w:type="dxa"/>
          <w:left w:w="15" w:type="dxa"/>
          <w:bottom w:w="15" w:type="dxa"/>
          <w:right w:w="15" w:type="dxa"/>
        </w:tblCellMar>
        <w:tblLook w:val="04A0" w:firstRow="1" w:lastRow="0" w:firstColumn="1" w:lastColumn="0" w:noHBand="0" w:noVBand="1"/>
      </w:tblPr>
      <w:tblGrid>
        <w:gridCol w:w="2699"/>
        <w:gridCol w:w="1712"/>
        <w:gridCol w:w="1800"/>
        <w:gridCol w:w="3437"/>
      </w:tblGrid>
      <w:tr w:rsidR="00C50E31" w:rsidRPr="00333201" w14:paraId="33F19F84" w14:textId="77777777" w:rsidTr="00C50E31">
        <w:trPr>
          <w:tblHeader/>
          <w:jc w:val="center"/>
        </w:trPr>
        <w:tc>
          <w:tcPr>
            <w:tcW w:w="1399" w:type="pct"/>
            <w:tcBorders>
              <w:top w:val="single" w:sz="4" w:space="0" w:color="auto"/>
              <w:bottom w:val="single" w:sz="4" w:space="0" w:color="auto"/>
            </w:tcBorders>
            <w:tcMar>
              <w:top w:w="120" w:type="dxa"/>
              <w:left w:w="120" w:type="dxa"/>
              <w:bottom w:w="120" w:type="dxa"/>
              <w:right w:w="120" w:type="dxa"/>
            </w:tcMar>
            <w:hideMark/>
          </w:tcPr>
          <w:p w14:paraId="7137E1FA" w14:textId="785461E3"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Signaling Category</w:t>
            </w:r>
          </w:p>
        </w:tc>
        <w:tc>
          <w:tcPr>
            <w:tcW w:w="887" w:type="pct"/>
            <w:tcBorders>
              <w:top w:val="single" w:sz="4" w:space="0" w:color="auto"/>
              <w:bottom w:val="single" w:sz="4" w:space="0" w:color="auto"/>
            </w:tcBorders>
            <w:tcMar>
              <w:top w:w="120" w:type="dxa"/>
              <w:left w:w="120" w:type="dxa"/>
              <w:bottom w:w="120" w:type="dxa"/>
              <w:right w:w="120" w:type="dxa"/>
            </w:tcMar>
            <w:hideMark/>
          </w:tcPr>
          <w:p w14:paraId="07E533F4" w14:textId="1A06766D"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University-Provided MOOCs</w:t>
            </w:r>
          </w:p>
        </w:tc>
        <w:tc>
          <w:tcPr>
            <w:tcW w:w="933" w:type="pct"/>
            <w:tcBorders>
              <w:top w:val="single" w:sz="4" w:space="0" w:color="auto"/>
              <w:bottom w:val="single" w:sz="4" w:space="0" w:color="auto"/>
            </w:tcBorders>
            <w:tcMar>
              <w:top w:w="120" w:type="dxa"/>
              <w:left w:w="120" w:type="dxa"/>
              <w:bottom w:w="120" w:type="dxa"/>
              <w:right w:w="120" w:type="dxa"/>
            </w:tcMar>
            <w:hideMark/>
          </w:tcPr>
          <w:p w14:paraId="7F06BBFA" w14:textId="04029FFB"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Industry-Provided MOOCs</w:t>
            </w:r>
          </w:p>
        </w:tc>
        <w:tc>
          <w:tcPr>
            <w:tcW w:w="1781" w:type="pct"/>
            <w:tcBorders>
              <w:top w:val="single" w:sz="4" w:space="0" w:color="auto"/>
              <w:bottom w:val="single" w:sz="4" w:space="0" w:color="auto"/>
            </w:tcBorders>
            <w:tcMar>
              <w:top w:w="120" w:type="dxa"/>
              <w:left w:w="120" w:type="dxa"/>
              <w:bottom w:w="120" w:type="dxa"/>
              <w:right w:w="120" w:type="dxa"/>
            </w:tcMar>
            <w:hideMark/>
          </w:tcPr>
          <w:p w14:paraId="406669B2" w14:textId="2B06E8D6" w:rsidR="00C50E31" w:rsidRPr="00C50E31" w:rsidRDefault="00C50E31" w:rsidP="00C50E31">
            <w:pPr>
              <w:rPr>
                <w:rFonts w:ascii="Arial" w:hAnsi="Arial" w:cs="Arial"/>
                <w:b/>
                <w:bCs/>
                <w:sz w:val="20"/>
                <w:szCs w:val="20"/>
              </w:rPr>
            </w:pPr>
            <w:r w:rsidRPr="00C50E31">
              <w:rPr>
                <w:rFonts w:ascii="Arial" w:hAnsi="Arial" w:cs="Arial"/>
                <w:b/>
                <w:bCs/>
                <w:color w:val="000000"/>
                <w:sz w:val="20"/>
                <w:szCs w:val="20"/>
              </w:rPr>
              <w:t>Comparative Interpretation</w:t>
            </w:r>
          </w:p>
        </w:tc>
      </w:tr>
      <w:tr w:rsidR="00C50E31" w:rsidRPr="00333201" w14:paraId="00CEA67B" w14:textId="77777777" w:rsidTr="00C50E31">
        <w:trPr>
          <w:jc w:val="center"/>
        </w:trPr>
        <w:tc>
          <w:tcPr>
            <w:tcW w:w="1399" w:type="pct"/>
            <w:tcBorders>
              <w:top w:val="single" w:sz="4" w:space="0" w:color="auto"/>
            </w:tcBorders>
            <w:tcMar>
              <w:top w:w="120" w:type="dxa"/>
              <w:left w:w="120" w:type="dxa"/>
              <w:bottom w:w="120" w:type="dxa"/>
              <w:right w:w="120" w:type="dxa"/>
            </w:tcMar>
            <w:hideMark/>
          </w:tcPr>
          <w:p w14:paraId="57815A3A" w14:textId="3A812E40" w:rsidR="00C50E31" w:rsidRPr="00333201" w:rsidRDefault="00C50E31" w:rsidP="00C50E31">
            <w:pPr>
              <w:rPr>
                <w:rFonts w:ascii="Arial" w:hAnsi="Arial" w:cs="Arial"/>
                <w:sz w:val="20"/>
                <w:szCs w:val="20"/>
              </w:rPr>
            </w:pPr>
            <w:r>
              <w:rPr>
                <w:rFonts w:ascii="Arial" w:hAnsi="Arial" w:cs="Arial"/>
                <w:b/>
                <w:bCs/>
                <w:color w:val="000000"/>
                <w:sz w:val="20"/>
                <w:szCs w:val="20"/>
              </w:rPr>
              <w:t>S1 Provider Reputation/Prestige</w:t>
            </w:r>
          </w:p>
        </w:tc>
        <w:tc>
          <w:tcPr>
            <w:tcW w:w="887" w:type="pct"/>
            <w:tcBorders>
              <w:top w:val="single" w:sz="4" w:space="0" w:color="auto"/>
            </w:tcBorders>
            <w:tcMar>
              <w:top w:w="120" w:type="dxa"/>
              <w:left w:w="120" w:type="dxa"/>
              <w:bottom w:w="120" w:type="dxa"/>
              <w:right w:w="120" w:type="dxa"/>
            </w:tcMar>
            <w:hideMark/>
          </w:tcPr>
          <w:p w14:paraId="186F43A8" w14:textId="63E836FD" w:rsidR="00C50E31" w:rsidRPr="00333201" w:rsidRDefault="00C50E31" w:rsidP="00C50E31">
            <w:pPr>
              <w:rPr>
                <w:rFonts w:ascii="Arial" w:hAnsi="Arial" w:cs="Arial"/>
                <w:sz w:val="20"/>
                <w:szCs w:val="20"/>
              </w:rPr>
            </w:pPr>
            <w:r>
              <w:rPr>
                <w:rFonts w:ascii="Arial" w:hAnsi="Arial" w:cs="Arial"/>
                <w:color w:val="000000"/>
                <w:sz w:val="20"/>
                <w:szCs w:val="20"/>
              </w:rPr>
              <w:t>Moderate in 4/5 cases; Limited in 1/5</w:t>
            </w:r>
          </w:p>
        </w:tc>
        <w:tc>
          <w:tcPr>
            <w:tcW w:w="933" w:type="pct"/>
            <w:tcBorders>
              <w:top w:val="single" w:sz="4" w:space="0" w:color="auto"/>
            </w:tcBorders>
            <w:tcMar>
              <w:top w:w="120" w:type="dxa"/>
              <w:left w:w="120" w:type="dxa"/>
              <w:bottom w:w="120" w:type="dxa"/>
              <w:right w:w="120" w:type="dxa"/>
            </w:tcMar>
            <w:hideMark/>
          </w:tcPr>
          <w:p w14:paraId="7F833CAC" w14:textId="31C82865" w:rsidR="00C50E31" w:rsidRPr="00333201" w:rsidRDefault="00C50E31" w:rsidP="00C50E31">
            <w:pPr>
              <w:rPr>
                <w:rFonts w:ascii="Arial" w:hAnsi="Arial" w:cs="Arial"/>
                <w:sz w:val="20"/>
                <w:szCs w:val="20"/>
              </w:rPr>
            </w:pPr>
            <w:r>
              <w:rPr>
                <w:rFonts w:ascii="Arial" w:hAnsi="Arial" w:cs="Arial"/>
                <w:color w:val="000000"/>
                <w:sz w:val="20"/>
                <w:szCs w:val="20"/>
              </w:rPr>
              <w:t>Strong in 4/5 cases; Moderate in 1/5</w:t>
            </w:r>
          </w:p>
        </w:tc>
        <w:tc>
          <w:tcPr>
            <w:tcW w:w="1781" w:type="pct"/>
            <w:tcBorders>
              <w:top w:val="single" w:sz="4" w:space="0" w:color="auto"/>
            </w:tcBorders>
            <w:tcMar>
              <w:top w:w="120" w:type="dxa"/>
              <w:left w:w="120" w:type="dxa"/>
              <w:bottom w:w="120" w:type="dxa"/>
              <w:right w:w="120" w:type="dxa"/>
            </w:tcMar>
            <w:hideMark/>
          </w:tcPr>
          <w:p w14:paraId="68BB9EF9" w14:textId="4F604735" w:rsidR="00C50E31" w:rsidRPr="00333201" w:rsidRDefault="00C50E31" w:rsidP="00C50E31">
            <w:pPr>
              <w:rPr>
                <w:rFonts w:ascii="Arial" w:hAnsi="Arial" w:cs="Arial"/>
                <w:sz w:val="20"/>
                <w:szCs w:val="20"/>
              </w:rPr>
            </w:pPr>
            <w:r>
              <w:rPr>
                <w:rFonts w:ascii="Arial" w:hAnsi="Arial" w:cs="Arial"/>
                <w:color w:val="000000"/>
                <w:sz w:val="20"/>
                <w:szCs w:val="20"/>
              </w:rPr>
              <w:t xml:space="preserve">Both communicate provider credibility, but universities emphasize academic institutional identity, whereas industry providers </w:t>
            </w:r>
            <w:r>
              <w:rPr>
                <w:rFonts w:ascii="Arial" w:hAnsi="Arial" w:cs="Arial"/>
                <w:color w:val="000000"/>
                <w:sz w:val="20"/>
                <w:szCs w:val="20"/>
              </w:rPr>
              <w:lastRenderedPageBreak/>
              <w:t>more closely connect organizational identity with domain authority</w:t>
            </w:r>
          </w:p>
        </w:tc>
      </w:tr>
      <w:tr w:rsidR="00C50E31" w:rsidRPr="00333201" w14:paraId="03AD35E4" w14:textId="77777777" w:rsidTr="00C50E31">
        <w:trPr>
          <w:jc w:val="center"/>
        </w:trPr>
        <w:tc>
          <w:tcPr>
            <w:tcW w:w="1399" w:type="pct"/>
            <w:tcMar>
              <w:top w:w="120" w:type="dxa"/>
              <w:left w:w="120" w:type="dxa"/>
              <w:bottom w:w="120" w:type="dxa"/>
              <w:right w:w="120" w:type="dxa"/>
            </w:tcMar>
            <w:hideMark/>
          </w:tcPr>
          <w:p w14:paraId="12D55F01" w14:textId="684FC20D" w:rsidR="00C50E31" w:rsidRPr="00333201" w:rsidRDefault="00C50E31" w:rsidP="00C50E31">
            <w:pPr>
              <w:rPr>
                <w:rFonts w:ascii="Arial" w:hAnsi="Arial" w:cs="Arial"/>
                <w:sz w:val="20"/>
                <w:szCs w:val="20"/>
              </w:rPr>
            </w:pPr>
            <w:r>
              <w:rPr>
                <w:rFonts w:ascii="Arial" w:hAnsi="Arial" w:cs="Arial"/>
                <w:b/>
                <w:bCs/>
                <w:color w:val="000000"/>
                <w:sz w:val="20"/>
                <w:szCs w:val="20"/>
              </w:rPr>
              <w:lastRenderedPageBreak/>
              <w:t>S2 Instructor Expertise</w:t>
            </w:r>
          </w:p>
        </w:tc>
        <w:tc>
          <w:tcPr>
            <w:tcW w:w="887" w:type="pct"/>
            <w:tcMar>
              <w:top w:w="120" w:type="dxa"/>
              <w:left w:w="120" w:type="dxa"/>
              <w:bottom w:w="120" w:type="dxa"/>
              <w:right w:w="120" w:type="dxa"/>
            </w:tcMar>
            <w:hideMark/>
          </w:tcPr>
          <w:p w14:paraId="1EAA642F" w14:textId="2CCE4402" w:rsidR="00C50E31" w:rsidRPr="00333201" w:rsidRDefault="00C50E31" w:rsidP="00C50E31">
            <w:pPr>
              <w:rPr>
                <w:rFonts w:ascii="Arial" w:hAnsi="Arial" w:cs="Arial"/>
                <w:sz w:val="20"/>
                <w:szCs w:val="20"/>
              </w:rPr>
            </w:pPr>
            <w:r>
              <w:rPr>
                <w:rFonts w:ascii="Arial" w:hAnsi="Arial" w:cs="Arial"/>
                <w:color w:val="000000"/>
                <w:sz w:val="20"/>
                <w:szCs w:val="20"/>
              </w:rPr>
              <w:t>Strong in 4/5 cases; Limited in 1/5</w:t>
            </w:r>
          </w:p>
        </w:tc>
        <w:tc>
          <w:tcPr>
            <w:tcW w:w="933" w:type="pct"/>
            <w:tcMar>
              <w:top w:w="120" w:type="dxa"/>
              <w:left w:w="120" w:type="dxa"/>
              <w:bottom w:w="120" w:type="dxa"/>
              <w:right w:w="120" w:type="dxa"/>
            </w:tcMar>
            <w:hideMark/>
          </w:tcPr>
          <w:p w14:paraId="09D2349C" w14:textId="0FBB57A4" w:rsidR="00C50E31" w:rsidRPr="00333201" w:rsidRDefault="00C50E31" w:rsidP="00C50E31">
            <w:pPr>
              <w:rPr>
                <w:rFonts w:ascii="Arial" w:hAnsi="Arial" w:cs="Arial"/>
                <w:sz w:val="20"/>
                <w:szCs w:val="20"/>
              </w:rPr>
            </w:pPr>
            <w:r>
              <w:rPr>
                <w:rFonts w:ascii="Arial" w:hAnsi="Arial" w:cs="Arial"/>
                <w:color w:val="000000"/>
                <w:sz w:val="20"/>
                <w:szCs w:val="20"/>
              </w:rPr>
              <w:t>Moderate in all 5 cases</w:t>
            </w:r>
          </w:p>
        </w:tc>
        <w:tc>
          <w:tcPr>
            <w:tcW w:w="1781" w:type="pct"/>
            <w:tcMar>
              <w:top w:w="120" w:type="dxa"/>
              <w:left w:w="120" w:type="dxa"/>
              <w:bottom w:w="120" w:type="dxa"/>
              <w:right w:w="120" w:type="dxa"/>
            </w:tcMar>
            <w:hideMark/>
          </w:tcPr>
          <w:p w14:paraId="6038F21D" w14:textId="15C60C44" w:rsidR="00C50E31" w:rsidRPr="00333201" w:rsidRDefault="00C50E31" w:rsidP="00C50E31">
            <w:pPr>
              <w:rPr>
                <w:rFonts w:ascii="Arial" w:hAnsi="Arial" w:cs="Arial"/>
                <w:sz w:val="20"/>
                <w:szCs w:val="20"/>
              </w:rPr>
            </w:pPr>
            <w:r>
              <w:rPr>
                <w:rFonts w:ascii="Arial" w:hAnsi="Arial" w:cs="Arial"/>
                <w:color w:val="000000"/>
                <w:sz w:val="20"/>
                <w:szCs w:val="20"/>
              </w:rPr>
              <w:t>University expertise is more often attached to identifiable individuals; industry expertise is more often attached to the organization or instructional team</w:t>
            </w:r>
          </w:p>
        </w:tc>
      </w:tr>
      <w:tr w:rsidR="00C50E31" w:rsidRPr="00333201" w14:paraId="5E0A2335" w14:textId="77777777" w:rsidTr="00C50E31">
        <w:trPr>
          <w:jc w:val="center"/>
        </w:trPr>
        <w:tc>
          <w:tcPr>
            <w:tcW w:w="1399" w:type="pct"/>
            <w:tcMar>
              <w:top w:w="120" w:type="dxa"/>
              <w:left w:w="120" w:type="dxa"/>
              <w:bottom w:w="120" w:type="dxa"/>
              <w:right w:w="120" w:type="dxa"/>
            </w:tcMar>
            <w:hideMark/>
          </w:tcPr>
          <w:p w14:paraId="26F9248D" w14:textId="1C799C3C" w:rsidR="00C50E31" w:rsidRPr="00333201" w:rsidRDefault="00C50E31" w:rsidP="00C50E31">
            <w:pPr>
              <w:rPr>
                <w:rFonts w:ascii="Arial" w:hAnsi="Arial" w:cs="Arial"/>
                <w:sz w:val="20"/>
                <w:szCs w:val="20"/>
              </w:rPr>
            </w:pPr>
            <w:r>
              <w:rPr>
                <w:rFonts w:ascii="Arial" w:hAnsi="Arial" w:cs="Arial"/>
                <w:b/>
                <w:bCs/>
                <w:color w:val="000000"/>
                <w:sz w:val="20"/>
                <w:szCs w:val="20"/>
              </w:rPr>
              <w:t>S3 Rigor Signals</w:t>
            </w:r>
          </w:p>
        </w:tc>
        <w:tc>
          <w:tcPr>
            <w:tcW w:w="887" w:type="pct"/>
            <w:tcMar>
              <w:top w:w="120" w:type="dxa"/>
              <w:left w:w="120" w:type="dxa"/>
              <w:bottom w:w="120" w:type="dxa"/>
              <w:right w:w="120" w:type="dxa"/>
            </w:tcMar>
            <w:hideMark/>
          </w:tcPr>
          <w:p w14:paraId="3EFBFBF5" w14:textId="3239745A" w:rsidR="00C50E31" w:rsidRPr="00333201" w:rsidRDefault="00C50E31" w:rsidP="00C50E31">
            <w:pPr>
              <w:rPr>
                <w:rFonts w:ascii="Arial" w:hAnsi="Arial" w:cs="Arial"/>
                <w:sz w:val="20"/>
                <w:szCs w:val="20"/>
              </w:rPr>
            </w:pPr>
            <w:r>
              <w:rPr>
                <w:rFonts w:ascii="Arial" w:hAnsi="Arial" w:cs="Arial"/>
                <w:color w:val="000000"/>
                <w:sz w:val="20"/>
                <w:szCs w:val="20"/>
              </w:rPr>
              <w:t>Variable: Limited to Strong</w:t>
            </w:r>
          </w:p>
        </w:tc>
        <w:tc>
          <w:tcPr>
            <w:tcW w:w="933" w:type="pct"/>
            <w:tcMar>
              <w:top w:w="120" w:type="dxa"/>
              <w:left w:w="120" w:type="dxa"/>
              <w:bottom w:w="120" w:type="dxa"/>
              <w:right w:w="120" w:type="dxa"/>
            </w:tcMar>
            <w:hideMark/>
          </w:tcPr>
          <w:p w14:paraId="63FDAB76" w14:textId="417BDF59" w:rsidR="00C50E31" w:rsidRPr="00333201" w:rsidRDefault="00C50E31" w:rsidP="00C50E31">
            <w:pPr>
              <w:rPr>
                <w:rFonts w:ascii="Arial" w:hAnsi="Arial" w:cs="Arial"/>
                <w:sz w:val="20"/>
                <w:szCs w:val="20"/>
              </w:rPr>
            </w:pPr>
            <w:r>
              <w:rPr>
                <w:rFonts w:ascii="Arial" w:hAnsi="Arial" w:cs="Arial"/>
                <w:color w:val="000000"/>
                <w:sz w:val="20"/>
                <w:szCs w:val="20"/>
              </w:rPr>
              <w:t>Strong in 4/5 cases; Limited in 1/5</w:t>
            </w:r>
          </w:p>
        </w:tc>
        <w:tc>
          <w:tcPr>
            <w:tcW w:w="1781" w:type="pct"/>
            <w:tcMar>
              <w:top w:w="120" w:type="dxa"/>
              <w:left w:w="120" w:type="dxa"/>
              <w:bottom w:w="120" w:type="dxa"/>
              <w:right w:w="120" w:type="dxa"/>
            </w:tcMar>
            <w:hideMark/>
          </w:tcPr>
          <w:p w14:paraId="15A7B652" w14:textId="17A43940" w:rsidR="00C50E31" w:rsidRPr="00333201" w:rsidRDefault="00C50E31" w:rsidP="00C50E31">
            <w:pPr>
              <w:rPr>
                <w:rFonts w:ascii="Arial" w:hAnsi="Arial" w:cs="Arial"/>
                <w:sz w:val="20"/>
                <w:szCs w:val="20"/>
              </w:rPr>
            </w:pPr>
            <w:r>
              <w:rPr>
                <w:rFonts w:ascii="Arial" w:hAnsi="Arial" w:cs="Arial"/>
                <w:color w:val="000000"/>
                <w:sz w:val="20"/>
                <w:szCs w:val="20"/>
              </w:rPr>
              <w:t>Industry cases communicate applied rigor more consistently in this sample, although neither group is uniformly rigorous</w:t>
            </w:r>
          </w:p>
        </w:tc>
      </w:tr>
      <w:tr w:rsidR="00C50E31" w:rsidRPr="00333201" w14:paraId="0E4CE062" w14:textId="77777777" w:rsidTr="00C50E31">
        <w:trPr>
          <w:jc w:val="center"/>
        </w:trPr>
        <w:tc>
          <w:tcPr>
            <w:tcW w:w="1399" w:type="pct"/>
            <w:tcBorders>
              <w:bottom w:val="single" w:sz="4" w:space="0" w:color="auto"/>
            </w:tcBorders>
            <w:tcMar>
              <w:top w:w="120" w:type="dxa"/>
              <w:left w:w="120" w:type="dxa"/>
              <w:bottom w:w="120" w:type="dxa"/>
              <w:right w:w="120" w:type="dxa"/>
            </w:tcMar>
            <w:hideMark/>
          </w:tcPr>
          <w:p w14:paraId="61E28242" w14:textId="1965502A" w:rsidR="00C50E31" w:rsidRPr="00333201" w:rsidRDefault="00C50E31" w:rsidP="00C50E31">
            <w:pPr>
              <w:rPr>
                <w:rFonts w:ascii="Arial" w:hAnsi="Arial" w:cs="Arial"/>
                <w:sz w:val="20"/>
                <w:szCs w:val="20"/>
              </w:rPr>
            </w:pPr>
            <w:r>
              <w:rPr>
                <w:rFonts w:ascii="Arial" w:hAnsi="Arial" w:cs="Arial"/>
                <w:b/>
                <w:bCs/>
                <w:color w:val="000000"/>
                <w:sz w:val="20"/>
                <w:szCs w:val="20"/>
              </w:rPr>
              <w:t>S4 Credential &amp; Competence Signals</w:t>
            </w:r>
          </w:p>
        </w:tc>
        <w:tc>
          <w:tcPr>
            <w:tcW w:w="887" w:type="pct"/>
            <w:tcBorders>
              <w:bottom w:val="single" w:sz="4" w:space="0" w:color="auto"/>
            </w:tcBorders>
            <w:tcMar>
              <w:top w:w="120" w:type="dxa"/>
              <w:left w:w="120" w:type="dxa"/>
              <w:bottom w:w="120" w:type="dxa"/>
              <w:right w:w="120" w:type="dxa"/>
            </w:tcMar>
            <w:hideMark/>
          </w:tcPr>
          <w:p w14:paraId="49ABFFD5" w14:textId="2F78F2CE" w:rsidR="00C50E31" w:rsidRPr="00333201" w:rsidRDefault="00C50E31" w:rsidP="00C50E31">
            <w:pPr>
              <w:rPr>
                <w:rFonts w:ascii="Arial" w:hAnsi="Arial" w:cs="Arial"/>
                <w:sz w:val="20"/>
                <w:szCs w:val="20"/>
              </w:rPr>
            </w:pPr>
            <w:r>
              <w:rPr>
                <w:rFonts w:ascii="Arial" w:hAnsi="Arial" w:cs="Arial"/>
                <w:color w:val="000000"/>
                <w:sz w:val="20"/>
                <w:szCs w:val="20"/>
              </w:rPr>
              <w:t>Strong in all 5 cases</w:t>
            </w:r>
          </w:p>
        </w:tc>
        <w:tc>
          <w:tcPr>
            <w:tcW w:w="933" w:type="pct"/>
            <w:tcBorders>
              <w:bottom w:val="single" w:sz="4" w:space="0" w:color="auto"/>
            </w:tcBorders>
            <w:tcMar>
              <w:top w:w="120" w:type="dxa"/>
              <w:left w:w="120" w:type="dxa"/>
              <w:bottom w:w="120" w:type="dxa"/>
              <w:right w:w="120" w:type="dxa"/>
            </w:tcMar>
            <w:hideMark/>
          </w:tcPr>
          <w:p w14:paraId="668270C2" w14:textId="1618371A" w:rsidR="00C50E31" w:rsidRPr="00333201" w:rsidRDefault="00C50E31" w:rsidP="00C50E31">
            <w:pPr>
              <w:rPr>
                <w:rFonts w:ascii="Arial" w:hAnsi="Arial" w:cs="Arial"/>
                <w:sz w:val="20"/>
                <w:szCs w:val="20"/>
              </w:rPr>
            </w:pPr>
            <w:r>
              <w:rPr>
                <w:rFonts w:ascii="Arial" w:hAnsi="Arial" w:cs="Arial"/>
                <w:color w:val="000000"/>
                <w:sz w:val="20"/>
                <w:szCs w:val="20"/>
              </w:rPr>
              <w:t>Strong in all 5 cases</w:t>
            </w:r>
          </w:p>
        </w:tc>
        <w:tc>
          <w:tcPr>
            <w:tcW w:w="1781" w:type="pct"/>
            <w:tcBorders>
              <w:bottom w:val="single" w:sz="4" w:space="0" w:color="auto"/>
            </w:tcBorders>
            <w:tcMar>
              <w:top w:w="120" w:type="dxa"/>
              <w:left w:w="120" w:type="dxa"/>
              <w:bottom w:w="120" w:type="dxa"/>
              <w:right w:w="120" w:type="dxa"/>
            </w:tcMar>
            <w:hideMark/>
          </w:tcPr>
          <w:p w14:paraId="352CAF46" w14:textId="28490336" w:rsidR="00C50E31" w:rsidRPr="00333201" w:rsidRDefault="00C50E31" w:rsidP="00C50E31">
            <w:pPr>
              <w:rPr>
                <w:rFonts w:ascii="Arial" w:hAnsi="Arial" w:cs="Arial"/>
                <w:sz w:val="20"/>
                <w:szCs w:val="20"/>
              </w:rPr>
            </w:pPr>
            <w:r>
              <w:rPr>
                <w:rFonts w:ascii="Arial" w:hAnsi="Arial" w:cs="Arial"/>
                <w:color w:val="000000"/>
                <w:sz w:val="20"/>
                <w:szCs w:val="20"/>
              </w:rPr>
              <w:t>The strongest common signal across both groups, but competence is framed more academically/disciplinarily in university cases and more practically/professionally in industry cases</w:t>
            </w:r>
          </w:p>
        </w:tc>
      </w:tr>
    </w:tbl>
    <w:p w14:paraId="3F11BC5B" w14:textId="77777777" w:rsidR="00803527" w:rsidRPr="00803527" w:rsidRDefault="00803527" w:rsidP="00A643A7">
      <w:pPr>
        <w:rPr>
          <w:rFonts w:ascii="Arial" w:hAnsi="Arial" w:cs="Arial"/>
          <w:sz w:val="18"/>
          <w:szCs w:val="18"/>
        </w:rPr>
      </w:pPr>
    </w:p>
    <w:p w14:paraId="21FDBA0F"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most significant commonality was </w:t>
      </w:r>
      <w:r w:rsidRPr="00C50E31">
        <w:rPr>
          <w:rFonts w:ascii="Arial" w:hAnsi="Arial" w:cs="Arial"/>
          <w:b/>
          <w:bCs/>
          <w:color w:val="000000"/>
          <w:sz w:val="20"/>
          <w:szCs w:val="20"/>
        </w:rPr>
        <w:t>S4, which pertains to credential and competence signaling</w:t>
      </w:r>
      <w:r w:rsidRPr="00C50E31">
        <w:rPr>
          <w:rFonts w:ascii="Arial" w:hAnsi="Arial" w:cs="Arial"/>
          <w:color w:val="000000"/>
          <w:sz w:val="20"/>
          <w:szCs w:val="20"/>
        </w:rPr>
        <w:t>. All ten MOOCs were rated as Strong in this category, as each combined a completion credential with clearly identifiable knowledge, skills, or competencies. However, the context for presenting competence varied. University MOOCs typically linked competencies to academic or disciplinary learning. For example, the Rice University course emphasized specialized immunology and biological-science knowledge, while the University of Michigan course addressed competencies in AI literacy, responsible AI, ethics, regulation, and applications. In contrast, industry MOOCs more frequently conveyed competencies through technical applications and professional practice, such as systems administration, cybersecurity, compliance, penetration testing, digital forensics, and generative AI tools.</w:t>
      </w:r>
    </w:p>
    <w:p w14:paraId="1DD789CC"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This finding indicates that both provider groups communicate competence, yet they frame its meaning differently. University cases generally present competence as disciplinary or educational attainment, while industry cases more often frame competence as applied technical capability. Recent research on online-course quality supports the view that course content and learning resources are multidimensional rather than singular indicators of quality. For instance, Wang et al. (2024) identified course resource construction, course implementation, and teaching effectiveness as distinct dimensions in their evaluation of 541 online courses. Similarly, Chen et al. (2024) demonstrated that online-course evaluation can distinguish among multiple course characteristics and learner feedback, rather than reducing course quality to a single attribute. Although these studies do not validate the present coding categories, they provide contextual support for interpreting competence-related information as part of a broader configuration of observable course characteristics.</w:t>
      </w:r>
    </w:p>
    <w:p w14:paraId="70CE215C"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comparison also reveals a difference in </w:t>
      </w:r>
      <w:r w:rsidRPr="00C50E31">
        <w:rPr>
          <w:rFonts w:ascii="Arial" w:hAnsi="Arial" w:cs="Arial"/>
          <w:b/>
          <w:bCs/>
          <w:color w:val="000000"/>
          <w:sz w:val="20"/>
          <w:szCs w:val="20"/>
        </w:rPr>
        <w:t>S2, instructor expertise</w:t>
      </w:r>
      <w:r w:rsidRPr="00C50E31">
        <w:rPr>
          <w:rFonts w:ascii="Arial" w:hAnsi="Arial" w:cs="Arial"/>
          <w:color w:val="000000"/>
          <w:sz w:val="20"/>
          <w:szCs w:val="20"/>
        </w:rPr>
        <w:t xml:space="preserve">. Instructor expertise was rated as Strong in four university cases and Limited in one, whereas all five industry cases were assessed as Moderate. More notably, the carrier of expertise varied. University courses more often attributed expertise to named individuals or identifiable academic </w:t>
      </w:r>
      <w:r w:rsidRPr="00C50E31">
        <w:rPr>
          <w:rFonts w:ascii="Arial" w:hAnsi="Arial" w:cs="Arial"/>
          <w:color w:val="000000"/>
          <w:sz w:val="20"/>
          <w:szCs w:val="20"/>
        </w:rPr>
        <w:lastRenderedPageBreak/>
        <w:t>professionals. For example, Rice University provided extensive information about the instructor’s academic and teaching background, IESE offered a detailed professional biography, and École Polytechnique identified instructors with relevant academic positions and expertise. The University of Michigan similarly presented the course as drawing on experts from several university fields.</w:t>
      </w:r>
    </w:p>
    <w:p w14:paraId="2EE2C6DA"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In industry cases, the carrier of expertise generally shifted from the individual instructor to the provider organization or instructional team. IBM’s courses identified the IBM Skills Network Team, while Google Cloud referenced Google Cloud Training. Thus, expertise remained visible but was communicated primarily through organizational affiliation and the provider’s professional domain.</w:t>
      </w:r>
    </w:p>
    <w:p w14:paraId="4CF35969"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This distinction should not be interpreted as evidence that learners inherently value one form of expertise over the other. Instead, it reflects how expertise was made observable in the documentary sources. Broader online learning research supports this, demonstrating that instructor-related and course-design factors are analytically distinct. Levinsson et al. (2024), analyzing over 6,000 student evaluations, found that course design was a stronger predictor of perceived quality and student engagement than teacher ratings, although teacher ratings still contributed to perceived quality. This finding underscores the importance of treating instructor expertise and course characteristics as separate analytical features, rather than assuming one can substitute for the other.</w:t>
      </w:r>
    </w:p>
    <w:p w14:paraId="2EB9DE2C"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comparison of </w:t>
      </w:r>
      <w:r w:rsidRPr="00C50E31">
        <w:rPr>
          <w:rFonts w:ascii="Arial" w:hAnsi="Arial" w:cs="Arial"/>
          <w:b/>
          <w:bCs/>
          <w:color w:val="000000"/>
          <w:sz w:val="20"/>
          <w:szCs w:val="20"/>
        </w:rPr>
        <w:t>S1, provider reputation or prestige, also requires</w:t>
      </w:r>
      <w:r w:rsidRPr="00C50E31">
        <w:rPr>
          <w:rFonts w:ascii="Arial" w:hAnsi="Arial" w:cs="Arial"/>
          <w:color w:val="000000"/>
          <w:sz w:val="20"/>
          <w:szCs w:val="20"/>
        </w:rPr>
        <w:t xml:space="preserve"> caution. University providers were generally rated as Moderate, with Howard University assessed as Limited, while four industry cases were rated as Strong and Google Cloud as Moderate. This should not be interpreted as evidence that industry organizations possess greater prestige than universities. A more defensible interpretation concerns how provider identity was connected to the course offering.</w:t>
      </w:r>
    </w:p>
    <w:p w14:paraId="2B8D0D56"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In university cases, institutional identity primarily served as an academic credibility cue. The university name established the institutional context of the course, but course pages did not consistently emphasize rankings, historical distinction, or comparative prestige. In contrast, industry cases more closely integrated organizational identity with the subject matter. IBM’s courses linked the provider to information technology, cybersecurity, professional standards, and workplace practice, while Google Cloud’s course associated the provider with contemporary generative-AI technologies and its own development tools. Difference is better understood as a difference in forms of authority than as a simple difference in prestige. University providers communicated credibility largely through their institutional academic identity, whereas industry providers more frequently embedded organizational identity within the course's technical or professional domain. The documentary evidence therefore suggests that provider reputation functions differently according to the organizational context in which the signal is presented.</w:t>
      </w:r>
    </w:p>
    <w:p w14:paraId="5D455D6E"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groups also differed in </w:t>
      </w:r>
      <w:r w:rsidRPr="00C50E31">
        <w:rPr>
          <w:rFonts w:ascii="Arial" w:hAnsi="Arial" w:cs="Arial"/>
          <w:b/>
          <w:bCs/>
          <w:color w:val="000000"/>
          <w:sz w:val="20"/>
          <w:szCs w:val="20"/>
        </w:rPr>
        <w:t>S3, which concerns rigor signaling</w:t>
      </w:r>
      <w:r w:rsidRPr="00C50E31">
        <w:rPr>
          <w:rFonts w:ascii="Arial" w:hAnsi="Arial" w:cs="Arial"/>
          <w:color w:val="000000"/>
          <w:sz w:val="20"/>
          <w:szCs w:val="20"/>
        </w:rPr>
        <w:t>. University cases ranged from Limited to Strong. Rice University and École Polytechnique communicated relatively strong expectations through intermediate or advanced positioning, prior-experience requirements, substantial learning activities, and multiple assessments. Howard University demonstrated Moderate rigor, while the shorter introductory courses from the University of Michigan and IESE demonstrated Limited rigor.</w:t>
      </w:r>
    </w:p>
    <w:p w14:paraId="491E1FD9"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Industry cases were more consistent, with four IBM courses assessed as Strong and the Google Cloud course as Limited. The IBM courses frequently combined prior-experience expectations, multiple modules, assessments, laboratories, hands-on activities, and projects. Thus, the difference concerns the visibility of applied course requirements, rather than suggesting that industry courses are objectively more rigorous.</w:t>
      </w:r>
    </w:p>
    <w:p w14:paraId="23B8AE56"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This interpretation aligns with recent research on online-course quality. McInnes et al. (2024), in a scoping review of 75 online-course quality evaluation instruments, identified learning design, assessment and evaluation, usability and accessibility, social interaction, and technology as recurring domains of course quality. Similarly, Wang et al. (2024) </w:t>
      </w:r>
      <w:r w:rsidRPr="00C50E31">
        <w:rPr>
          <w:rFonts w:ascii="Arial" w:hAnsi="Arial" w:cs="Arial"/>
          <w:color w:val="000000"/>
          <w:sz w:val="20"/>
          <w:szCs w:val="20"/>
        </w:rPr>
        <w:lastRenderedPageBreak/>
        <w:t>distinguished course resource construction, course implementation, and teaching effectiveness in their evaluation framework. These studies support the treatment of observable course structure and requirements as multidimensional characteristics, rather than reducing them to a single quality judgment. In this study, S3 therefore represents how rigor or expected effort is communicated, rather than whether a course is objectively more rigorous.</w:t>
      </w:r>
    </w:p>
    <w:p w14:paraId="7F04DF4C"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 Google Cloud case further illustrates why the four signals should not be treated as a single continuum. Its </w:t>
      </w:r>
      <w:r w:rsidRPr="00C50E31">
        <w:rPr>
          <w:rFonts w:ascii="Arial" w:hAnsi="Arial" w:cs="Arial"/>
          <w:i/>
          <w:iCs/>
          <w:color w:val="000000"/>
          <w:sz w:val="20"/>
          <w:szCs w:val="20"/>
        </w:rPr>
        <w:t>Introduction to Large Language Models</w:t>
      </w:r>
      <w:r w:rsidRPr="00C50E31">
        <w:rPr>
          <w:rFonts w:ascii="Arial" w:hAnsi="Arial" w:cs="Arial"/>
          <w:color w:val="000000"/>
          <w:sz w:val="20"/>
          <w:szCs w:val="20"/>
        </w:rPr>
        <w:t xml:space="preserve"> course was a beginner-level, one-hour course requiring no prior experience, with one module and a limited assessment structure. As a result, it received a Limited S3 assessment but a Strong S4 rating. This case demonstrates that strong competence and credential signaling can coexist with limited rigor signaling. Therefore, the industry pattern should not be interpreted as a uniform preference for lengthy or demanding courses.</w:t>
      </w:r>
    </w:p>
    <w:p w14:paraId="78F76071"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In summary, the comparison reveals two distinct signaling configurations. University-provided MOOCs tend to locate credibility in the academic institution and in identifiable academic or professional experts, framing competence primarily in terms of disciplinary or educational knowledge. In contrast, industry-provided MOOCs tend to locate credibility in the provider organization itself and more frequently frame competence in terms of applied technical skills and professional practice. Both groups strongly communicate credentials and competence, but the carrier and framing of these signals differ according to provider type.</w:t>
      </w:r>
    </w:p>
    <w:p w14:paraId="453BB63A"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The comparison also demonstrates why it would be inappropriate to conclude that universities signal prestige while industry providers signal employability. Such a conclusion would overlook the strong S4 findings for both groups, the substantial S2 signaling in university cases, and the variation in S3 among industry cases. A more defensible conclusion is that both provider types communicate value through overlapping signals, but draw on different sources of authority and contexts for framing competence.</w:t>
      </w:r>
    </w:p>
    <w:p w14:paraId="1ECAAD8F" w14:textId="77777777" w:rsidR="00C50E31" w:rsidRPr="00C50E31" w:rsidRDefault="00C50E31" w:rsidP="00C50E31">
      <w:pPr>
        <w:pStyle w:val="NormalWeb"/>
        <w:spacing w:before="0" w:beforeAutospacing="0" w:after="0" w:afterAutospacing="0"/>
        <w:rPr>
          <w:sz w:val="20"/>
          <w:szCs w:val="20"/>
        </w:rPr>
      </w:pPr>
      <w:r w:rsidRPr="00C50E31">
        <w:rPr>
          <w:rFonts w:ascii="Arial" w:hAnsi="Arial" w:cs="Arial"/>
          <w:color w:val="000000"/>
          <w:sz w:val="20"/>
          <w:szCs w:val="20"/>
        </w:rPr>
        <w:t xml:space="preserve">These findings address </w:t>
      </w:r>
      <w:r w:rsidRPr="00C50E31">
        <w:rPr>
          <w:rFonts w:ascii="Arial" w:hAnsi="Arial" w:cs="Arial"/>
          <w:b/>
          <w:bCs/>
          <w:color w:val="000000"/>
          <w:sz w:val="20"/>
          <w:szCs w:val="20"/>
        </w:rPr>
        <w:t>RQ3</w:t>
      </w:r>
      <w:r w:rsidRPr="00C50E31">
        <w:rPr>
          <w:rFonts w:ascii="Arial" w:hAnsi="Arial" w:cs="Arial"/>
          <w:color w:val="000000"/>
          <w:sz w:val="20"/>
          <w:szCs w:val="20"/>
        </w:rPr>
        <w:t xml:space="preserve"> by demonstrating that university- and industry-provided MOOCs communicate overlapping signals of provider credibility, instructor expertise, rigor, credentials, and competence, yet differ in their primary signal carriers and framing. University providers more frequently make individual academic or professional expertise and disciplinary competence visible, while industry providers more often highlight organizational authority, applied competence, and technical practice. The comparative contribution is not that one provider type signals quality more effectively than the other, but rather that different organizational identities produce distinct observable forms of signaling within the same online learning environment. As the study examines only highly enrolled cases and does not include learner-level evidence or a low-enrollment comparison group, these patterns should be interpreted as comparative signaling configurations rather than causal explanations of enrollment.</w:t>
      </w:r>
    </w:p>
    <w:p w14:paraId="5C278B5E" w14:textId="77777777" w:rsidR="00964D0D" w:rsidRPr="00964D0D" w:rsidRDefault="00964D0D" w:rsidP="00964D0D"/>
    <w:p w14:paraId="741A85B0" w14:textId="2267E5BB" w:rsidR="00964D0D" w:rsidRPr="00C50E31" w:rsidRDefault="00964D0D" w:rsidP="00964D0D">
      <w:pPr>
        <w:outlineLvl w:val="0"/>
        <w:rPr>
          <w:b/>
          <w:bCs/>
          <w:kern w:val="36"/>
          <w:sz w:val="22"/>
          <w:szCs w:val="22"/>
        </w:rPr>
      </w:pPr>
      <w:r w:rsidRPr="00C50E31">
        <w:rPr>
          <w:rFonts w:ascii="Arial" w:hAnsi="Arial" w:cs="Arial"/>
          <w:b/>
          <w:bCs/>
          <w:color w:val="000000"/>
          <w:kern w:val="36"/>
          <w:sz w:val="22"/>
          <w:szCs w:val="22"/>
        </w:rPr>
        <w:t xml:space="preserve">3.4 </w:t>
      </w:r>
      <w:r w:rsidR="00C50E31" w:rsidRPr="00C50E31">
        <w:rPr>
          <w:rFonts w:ascii="Arial" w:hAnsi="Arial" w:cs="Arial"/>
          <w:b/>
          <w:bCs/>
          <w:color w:val="000000"/>
          <w:sz w:val="22"/>
          <w:szCs w:val="22"/>
        </w:rPr>
        <w:t>Emergent Patterns Across Course Domains</w:t>
      </w:r>
    </w:p>
    <w:p w14:paraId="3887AA66" w14:textId="77777777" w:rsidR="00964D0D" w:rsidRPr="00964D0D" w:rsidRDefault="00964D0D" w:rsidP="00964D0D"/>
    <w:p w14:paraId="30C0BC09"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Course domain was not used as a sampling or coding criterion; however, several domain-related patterns emerged across the 10 cases. These observations are descriptive rather than causal, given the small and unevenly distributed sample across fields. Industry cases were concentrated in cybersecurity, information technology, and artificial intelligence, while university cases represented a more heterogeneous set of fields, including project management, immunology, generative AI, storytelling, and language and culture. Thus, domain should be understood as a contextual feature of the signaling environment rather than as an independent explanation for enrollment or signaling differences.</w:t>
      </w:r>
    </w:p>
    <w:p w14:paraId="6CFA6ACD"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 xml:space="preserve">The most prominent pattern was that the form of competence signaling varied according to subject matter. The IBM cybersecurity and information technology courses emphasized technical skills, standards, tools, procedures, and applied activities, thereby making professional competence particularly visible. In contrast, the Rice University immunology </w:t>
      </w:r>
      <w:r w:rsidRPr="00C50E31">
        <w:rPr>
          <w:rFonts w:ascii="Arial" w:hAnsi="Arial" w:cs="Arial"/>
          <w:color w:val="000000"/>
          <w:sz w:val="20"/>
          <w:szCs w:val="20"/>
        </w:rPr>
        <w:lastRenderedPageBreak/>
        <w:t>course emphasized specialized disciplinary knowledge, while the École Polytechnique course highlighted language and cultural competence. The IESE course focused on communication and storytelling capabilities. This variation aligns with research indicating that online course design decisions differ across disciplinary contexts (Richardson et al., 2025). Similarly, Chen et al. (2024) demonstrated that the perceived value of activities in an online biotechnology professional development course was closely linked to field-specific career preparation and practical activities. Therefore, the type of competence that can be visibly communicated may depend in part on the nature of the subject matter.</w:t>
      </w:r>
    </w:p>
    <w:p w14:paraId="5DE029E4"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The professional orientation of certain domains also appeared to strengthen credential and competence signaling. Industry-oriented cases frequently presented skills and certificates in ways that linked course completion with specific technical or workplace capabilities. This observation aligns with research indicating that human-resource professionals increasingly consider micro-credentials in relation to qualifications, recruitment, continuing education, and workplace development (</w:t>
      </w:r>
      <w:proofErr w:type="spellStart"/>
      <w:r w:rsidRPr="00C50E31">
        <w:rPr>
          <w:rFonts w:ascii="Arial" w:hAnsi="Arial" w:cs="Arial"/>
          <w:color w:val="000000"/>
          <w:sz w:val="20"/>
          <w:szCs w:val="20"/>
        </w:rPr>
        <w:t>Alasmari</w:t>
      </w:r>
      <w:proofErr w:type="spellEnd"/>
      <w:r w:rsidRPr="00C50E31">
        <w:rPr>
          <w:rFonts w:ascii="Arial" w:hAnsi="Arial" w:cs="Arial"/>
          <w:color w:val="000000"/>
          <w:sz w:val="20"/>
          <w:szCs w:val="20"/>
        </w:rPr>
        <w:t>, 2024). Research on e-learning micro-credentials further suggests that perceived credential value is influenced by the credential source and by characteristics such as academic rigor and the nature of the credential itself (Narayanaswamy et al., 2024). These findings contextualize why S4 was strongly communicated across the industry cases, although the present study does not assess employers’ or learners’ perceptions of those credentials.</w:t>
      </w:r>
    </w:p>
    <w:p w14:paraId="7BB3ED8F"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The comparison further demonstrated that similar domains may exhibit different signaling configurations depending on provider context. Generative AI was represented by both the University of Michigan and Google Cloud; however, the university course emphasized AI literacy, responsible use, ethics, intellectual property, regulation, and broader applications, while the Google Cloud course focused on large language models, practical use cases, prompt tuning, and generative AI development. Thus, the same broad domain did not produce an identical signaling package. Instead, subject matter and provider context appeared to interact in determining which aspects of competence, expertise, and practical value were made visible. Research on online course design also suggests that disciplinary practices influence how course elements are designed and communicated (Richardson et al., 2025).</w:t>
      </w:r>
    </w:p>
    <w:p w14:paraId="40AD9011" w14:textId="77777777" w:rsidR="00C50E31" w:rsidRPr="00C50E31" w:rsidRDefault="00C50E31" w:rsidP="00C50E31">
      <w:pPr>
        <w:pStyle w:val="NormalWeb"/>
        <w:spacing w:before="0" w:beforeAutospacing="0" w:after="0" w:afterAutospacing="0"/>
      </w:pPr>
      <w:r w:rsidRPr="00C50E31">
        <w:rPr>
          <w:rFonts w:ascii="Arial" w:hAnsi="Arial" w:cs="Arial"/>
          <w:color w:val="000000"/>
          <w:sz w:val="20"/>
          <w:szCs w:val="20"/>
        </w:rPr>
        <w:t>In summary, the domain-level observations reinforce the broader finding that signaling is context-dependent. Subject matter influences which types of competence and practical value can be made visible, while provider type shapes how those qualities are framed and who conveys the credibility signal. However, because domains were neither sampled nor balanced systematically, these observations should not be interpreted as evidence that particular fields inherently produce stronger signals or higher enrollment. Rather, they identify contextual patterns that may be examined more systematically in future comparative research.</w:t>
      </w:r>
    </w:p>
    <w:p w14:paraId="4D9A16B6" w14:textId="77777777" w:rsidR="00964D0D" w:rsidRDefault="00964D0D" w:rsidP="00964D0D"/>
    <w:p w14:paraId="37F9CC9A" w14:textId="3A84B36B" w:rsidR="008A5658" w:rsidRDefault="008A5658" w:rsidP="008A5658">
      <w:pPr>
        <w:pStyle w:val="Heading1"/>
        <w:spacing w:before="0" w:after="0"/>
        <w:rPr>
          <w:sz w:val="48"/>
          <w:szCs w:val="48"/>
        </w:rPr>
      </w:pPr>
      <w:r>
        <w:rPr>
          <w:rFonts w:cs="Arial"/>
          <w:color w:val="000000"/>
          <w:sz w:val="20"/>
          <w:szCs w:val="20"/>
        </w:rPr>
        <w:t>4. CONCLUSION</w:t>
      </w:r>
      <w:r w:rsidR="003B4D94">
        <w:rPr>
          <w:rFonts w:cs="Arial"/>
          <w:color w:val="000000"/>
          <w:sz w:val="20"/>
          <w:szCs w:val="20"/>
        </w:rPr>
        <w:t xml:space="preserve"> AND IMPLICATIONS</w:t>
      </w:r>
    </w:p>
    <w:p w14:paraId="052AF1F6" w14:textId="77777777" w:rsidR="008A5658" w:rsidRDefault="008A5658" w:rsidP="008A5658"/>
    <w:p w14:paraId="25FAA04B"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t>4.1 Conclusion</w:t>
      </w:r>
    </w:p>
    <w:p w14:paraId="1AE41B5D" w14:textId="77777777" w:rsidR="003B4D94" w:rsidRDefault="003B4D94" w:rsidP="003B4D94"/>
    <w:p w14:paraId="3BFA8884" w14:textId="77777777" w:rsidR="003B4D94" w:rsidRDefault="003B4D94" w:rsidP="003B4D94">
      <w:pPr>
        <w:pStyle w:val="NormalWeb"/>
        <w:spacing w:before="0" w:beforeAutospacing="0" w:after="0" w:afterAutospacing="0"/>
      </w:pPr>
      <w:r>
        <w:rPr>
          <w:rFonts w:ascii="Arial" w:hAnsi="Arial" w:cs="Arial"/>
          <w:color w:val="000000"/>
          <w:sz w:val="20"/>
          <w:szCs w:val="20"/>
        </w:rPr>
        <w:t>This study investigated the ways in which highly enrolled university- and industry-provided MOOCs communicate observable signals through publicly available course information. The analysis indicates that MOOC course pages function as signaling environments, enabling providers to make specific aspects of their credibility, expertise, course expectations, and competence value visible to prospective learners.</w:t>
      </w:r>
    </w:p>
    <w:p w14:paraId="1553FF9B" w14:textId="77777777" w:rsidR="003B4D94" w:rsidRPr="003B4D94" w:rsidRDefault="003B4D94" w:rsidP="003B4D94">
      <w:pPr>
        <w:pStyle w:val="NormalWeb"/>
        <w:spacing w:before="0" w:beforeAutospacing="0" w:after="0" w:afterAutospacing="0"/>
      </w:pPr>
      <w:r>
        <w:rPr>
          <w:rFonts w:ascii="Arial" w:hAnsi="Arial" w:cs="Arial"/>
          <w:color w:val="000000"/>
          <w:sz w:val="20"/>
          <w:szCs w:val="20"/>
        </w:rPr>
        <w:t xml:space="preserve">The principal conclusion is that provider type does not result in entirely distinct forms of signaling. Rather, university and industry providers communicate overlapping forms of value, differing primarily in the configuration of signals, the locus of credibility, and the framing of </w:t>
      </w:r>
      <w:r w:rsidRPr="003B4D94">
        <w:rPr>
          <w:rFonts w:ascii="Arial" w:hAnsi="Arial" w:cs="Arial"/>
          <w:color w:val="000000"/>
          <w:sz w:val="20"/>
          <w:szCs w:val="20"/>
        </w:rPr>
        <w:t xml:space="preserve">competence. This perspective offers a more nuanced understanding of signaling in MOOCs </w:t>
      </w:r>
      <w:r w:rsidRPr="003B4D94">
        <w:rPr>
          <w:rFonts w:ascii="Arial" w:hAnsi="Arial" w:cs="Arial"/>
          <w:color w:val="000000"/>
          <w:sz w:val="20"/>
          <w:szCs w:val="20"/>
        </w:rPr>
        <w:lastRenderedPageBreak/>
        <w:t>than approaches that treat university and industry courses as fundamentally separate categories of value communication.</w:t>
      </w:r>
    </w:p>
    <w:p w14:paraId="52819401" w14:textId="77777777" w:rsidR="003B4D94" w:rsidRDefault="003B4D94" w:rsidP="003B4D94">
      <w:pPr>
        <w:pStyle w:val="NormalWeb"/>
        <w:spacing w:before="0" w:beforeAutospacing="0" w:after="0" w:afterAutospacing="0"/>
      </w:pPr>
      <w:r w:rsidRPr="003B4D94">
        <w:rPr>
          <w:rFonts w:ascii="Arial" w:hAnsi="Arial" w:cs="Arial"/>
          <w:color w:val="000000"/>
          <w:sz w:val="20"/>
          <w:szCs w:val="20"/>
        </w:rPr>
        <w:t>The study also delineates a critical distinction between signal communication and signal effectiveness. The presence of a signal on a course page signifies that a provider has made a particular quality or value claim observable, but does not confirm that learners noticed, trusted, or acted upon that signal. Consequently, the findings describe signaling configurations associated with highly enrolled MOOCs, rather than</w:t>
      </w:r>
      <w:r>
        <w:rPr>
          <w:rFonts w:ascii="Arial" w:hAnsi="Arial" w:cs="Arial"/>
          <w:color w:val="000000"/>
          <w:sz w:val="20"/>
          <w:szCs w:val="20"/>
        </w:rPr>
        <w:t xml:space="preserve"> providing causal explanations for enrollment. This distinction is essential for interpreting public course information as evidence of provider communication, rather than as direct evidence of learner decision-making.</w:t>
      </w:r>
    </w:p>
    <w:p w14:paraId="5017DB21" w14:textId="77777777" w:rsidR="003B4D94" w:rsidRDefault="003B4D94" w:rsidP="003B4D94"/>
    <w:p w14:paraId="3E3E68FD"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t>4.2 Contributions to Literature</w:t>
      </w:r>
    </w:p>
    <w:p w14:paraId="7B4E903E" w14:textId="77777777" w:rsidR="003B4D94" w:rsidRDefault="003B4D94" w:rsidP="003B4D94"/>
    <w:p w14:paraId="10008EAA"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The study makes four related contributions to the literature on signaling and online learning.</w:t>
      </w:r>
    </w:p>
    <w:p w14:paraId="006DD811"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First, this study extends the application of Signaling Theory to the provider-generated information environment of MOOCs. Signaling Theory has traditionally addressed how actors communicate information about otherwise difficult-to-observe qualities under conditions of information asymmetry (Connelly et al., 2011, 2025). In this context, the study demonstrates that publicly accessible course information constitutes an observable setting in which providers communicate such qualities without direct access to learner perceptions. This positions the MOOC course page as more than a repository of course information and allows it to be examined as a structured signaling environment.</w:t>
      </w:r>
    </w:p>
    <w:p w14:paraId="1106C285"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Second, the findings offer a more contextualized understanding of how organizational identity shapes signaling. The comparison indicates that provider type influences the primary carrier through which credibility and expertise are made observable. University-provided MOOCs more frequently highlight expertise through identifiable academic or professional individuals, while industry-provided MOOCs tend to associate expertise and authority with the provider organization or instructional team. The theoretical implication is that the same broad signal category may be communicated through different organizational carriers. Therefore, signaling should be examined not only in terms of the presence of a signal, but also regarding the entity that carries the signal and the manner in which it is framed.</w:t>
      </w:r>
    </w:p>
    <w:p w14:paraId="4B612097"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Third, the study advances understanding of signaling configurations rather than focusing on isolated signals. The four analytical categories examined should not be interpreted as independent measures of course quality. Instead, the findings indicate that credibility, expertise, rigor, and competence-related information can be combined in various configurations. Notably, strong credential and competence signaling was evident across both provider groups, despite differences in the sources of authority and framing. This suggests that the meaning of an observable signal may depend in part on its relationship with other signals and the organizational context in which it is presented.</w:t>
      </w:r>
    </w:p>
    <w:p w14:paraId="682C0FA4"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Fourth, the study offers a methodological contribution to MOOC research by demonstrating how comparative documentary analysis can examine signaling without conflating provider communication with learner response. Public course information enables researchers to systematically analyze what providers make observable, while maintaining a clear distinction between communicated signals and their presumed effects. This approach establishes a foundation for future research that can connect documentary evidence with learner perceptions, enrollment behavior, completion, or other outcomes.</w:t>
      </w:r>
    </w:p>
    <w:p w14:paraId="7D60F372" w14:textId="77777777" w:rsidR="003B4D94" w:rsidRPr="003B4D94" w:rsidRDefault="003B4D94" w:rsidP="003B4D94">
      <w:pPr>
        <w:pStyle w:val="NormalWeb"/>
        <w:spacing w:before="0" w:beforeAutospacing="0" w:after="0" w:afterAutospacing="0"/>
      </w:pPr>
      <w:r w:rsidRPr="003B4D94">
        <w:rPr>
          <w:rFonts w:ascii="Arial" w:hAnsi="Arial" w:cs="Arial"/>
          <w:color w:val="000000"/>
          <w:sz w:val="20"/>
          <w:szCs w:val="20"/>
        </w:rPr>
        <w:t>Collectively, these contributions indicate that provider differences in MOOCs cannot be adequately characterized by a simple distinction between academic and employment-oriented value. A more effective theoretical perspective considers how organizational context determines the source, carrier, framing, and configuration of observable signals.</w:t>
      </w:r>
    </w:p>
    <w:p w14:paraId="0B6859B3" w14:textId="77777777" w:rsidR="003B4D94" w:rsidRDefault="003B4D94" w:rsidP="003B4D94"/>
    <w:p w14:paraId="3D45D01D"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lastRenderedPageBreak/>
        <w:t>4.3 Practical Implications</w:t>
      </w:r>
    </w:p>
    <w:p w14:paraId="3A4DC931" w14:textId="77777777" w:rsidR="003B4D94" w:rsidRDefault="003B4D94" w:rsidP="003B4D94"/>
    <w:p w14:paraId="552C42C7" w14:textId="77777777" w:rsidR="003B4D94" w:rsidRDefault="003B4D94" w:rsidP="003B4D94">
      <w:pPr>
        <w:pStyle w:val="NormalWeb"/>
        <w:spacing w:before="0" w:beforeAutospacing="0" w:after="0" w:afterAutospacing="0"/>
      </w:pPr>
      <w:r>
        <w:rPr>
          <w:rFonts w:ascii="Arial" w:hAnsi="Arial" w:cs="Arial"/>
          <w:color w:val="000000"/>
          <w:sz w:val="20"/>
          <w:szCs w:val="20"/>
        </w:rPr>
        <w:t>The findings have implications for the design and presentation of publicly accessible course information by MOOC providers. Providers should consider not only the information made available to prospective learners, but also whether essential qualities are sufficiently observable through the course page. Information regarding provider authority, instructor or instructional expertise, expected level of engagement, and competencies associated with completion can assist prospective learners in assessing the nature and potential value of a course.</w:t>
      </w:r>
    </w:p>
    <w:p w14:paraId="1E0AAE4D" w14:textId="77777777" w:rsidR="003B4D94" w:rsidRDefault="003B4D94" w:rsidP="003B4D94">
      <w:pPr>
        <w:pStyle w:val="NormalWeb"/>
        <w:spacing w:before="0" w:beforeAutospacing="0" w:after="0" w:afterAutospacing="0"/>
      </w:pPr>
      <w:r>
        <w:rPr>
          <w:rFonts w:ascii="Arial" w:hAnsi="Arial" w:cs="Arial"/>
          <w:color w:val="000000"/>
          <w:sz w:val="20"/>
          <w:szCs w:val="20"/>
        </w:rPr>
        <w:t>For universities, this may require making instructor expertise and disciplinary authority more visible alongside the institutional identity of the course. For industry providers, organizational expertise already serves as an important source of authority, but specifying the expertise of instructional teams where relevant may provide additional context for prospective learners. Both provider types can also communicate competencies and credential outcomes in ways that clarify the meaning of successful completion.</w:t>
      </w:r>
    </w:p>
    <w:p w14:paraId="1ACD89EE" w14:textId="77777777" w:rsidR="003B4D94" w:rsidRDefault="003B4D94" w:rsidP="003B4D94">
      <w:pPr>
        <w:pStyle w:val="NormalWeb"/>
        <w:spacing w:before="0" w:beforeAutospacing="0" w:after="0" w:afterAutospacing="0"/>
      </w:pPr>
      <w:r>
        <w:rPr>
          <w:rFonts w:ascii="Arial" w:hAnsi="Arial" w:cs="Arial"/>
          <w:color w:val="000000"/>
          <w:sz w:val="20"/>
          <w:szCs w:val="20"/>
        </w:rPr>
        <w:t>These implications should not be interpreted as a formula for increasing enrollment, as the present study does not establish that particular signals cause prospective learners to enroll. Instead, the practical implication is that providers can enhance the transparency of their course communication by making the basis of credibility, expected learning demands, and intended competence more explicit. Clearer signaling may enable prospective learners to conduct more informed course evaluations.</w:t>
      </w:r>
    </w:p>
    <w:p w14:paraId="5A312DA6" w14:textId="77777777" w:rsidR="003B4D94" w:rsidRDefault="003B4D94" w:rsidP="003B4D94"/>
    <w:p w14:paraId="2BB1305E" w14:textId="77777777" w:rsidR="003B4D94" w:rsidRPr="003B4D94" w:rsidRDefault="003B4D94" w:rsidP="003B4D94">
      <w:pPr>
        <w:pStyle w:val="Heading3"/>
        <w:spacing w:before="0"/>
        <w:rPr>
          <w:b/>
          <w:bCs/>
          <w:sz w:val="22"/>
          <w:szCs w:val="22"/>
        </w:rPr>
      </w:pPr>
      <w:r w:rsidRPr="003B4D94">
        <w:rPr>
          <w:rFonts w:ascii="Arial" w:hAnsi="Arial" w:cs="Arial"/>
          <w:b/>
          <w:bCs/>
          <w:color w:val="000000"/>
          <w:sz w:val="22"/>
          <w:szCs w:val="22"/>
        </w:rPr>
        <w:t>4.4 Limitations and Future Research</w:t>
      </w:r>
    </w:p>
    <w:p w14:paraId="479951AD" w14:textId="77777777" w:rsidR="003B4D94" w:rsidRDefault="003B4D94" w:rsidP="003B4D94"/>
    <w:p w14:paraId="5FDF3748" w14:textId="77777777" w:rsidR="003B4D94" w:rsidRDefault="003B4D94" w:rsidP="003B4D94">
      <w:pPr>
        <w:pStyle w:val="NormalWeb"/>
        <w:spacing w:before="0" w:beforeAutospacing="0" w:after="0" w:afterAutospacing="0"/>
      </w:pPr>
      <w:r>
        <w:rPr>
          <w:rFonts w:ascii="Arial" w:hAnsi="Arial" w:cs="Arial"/>
          <w:color w:val="000000"/>
          <w:sz w:val="20"/>
          <w:szCs w:val="20"/>
        </w:rPr>
        <w:t>The study has several limitations that affect the interpretation and generalizability of its findings. First, the analysis was limited to ten highly enrolled MOOCs identified through the Class Central 2025 ranking and offered on Coursera. The balanced selection of five university and five industry cases enabled systematic comparison, but was not intended to represent the broader MOOC population. Second, because only highly enrolled courses were examined, the study cannot determine whether the identified signaling configurations distinguish highly enrolled MOOCs from those with lower enrollment. Third, the study relied exclusively on publicly available course information and therefore cannot establish how learners perceived, interpreted, trusted, or acted upon the identified signals. Fourth, course domains were unevenly represented and were treated as descriptive contextual features rather than systematically sampled categories. Finally, the documentary sources are dynamic, so publicly displayed course information may change over time.</w:t>
      </w:r>
    </w:p>
    <w:p w14:paraId="1158B268" w14:textId="77777777" w:rsidR="003B4D94" w:rsidRDefault="003B4D94" w:rsidP="003B4D94">
      <w:pPr>
        <w:pStyle w:val="NormalWeb"/>
        <w:spacing w:before="0" w:beforeAutospacing="0" w:after="0" w:afterAutospacing="0"/>
      </w:pPr>
      <w:r>
        <w:rPr>
          <w:rFonts w:ascii="Arial" w:hAnsi="Arial" w:cs="Arial"/>
          <w:color w:val="000000"/>
          <w:sz w:val="20"/>
          <w:szCs w:val="20"/>
        </w:rPr>
        <w:t>These limitations suggest several directions for future research. Comparative studies that include both highly and less-enrolled MOOCs could examine whether specific signaling configurations are associated with differences in enrollment. Learner-centered research could investigate how prospective learners interpret particular signals and whether these interpretations align with the intentions of providers. Longitudinal research could assess whether changes in course-page information correspond with changes in enrollment, completion, or other learner outcomes. Future studies could also broaden the comparison to additional MOOC platforms and systematically examine whether signaling configurations vary across disciplinary domains. Such research would enable the documentary patterns identified here to be linked more directly to learner behavior, while maintaining the distinction between provider communication and learner response.</w:t>
      </w:r>
    </w:p>
    <w:p w14:paraId="4ECFFF06" w14:textId="77777777" w:rsidR="00315186" w:rsidRPr="004C2541" w:rsidRDefault="00315186" w:rsidP="004C2541">
      <w:pPr>
        <w:rPr>
          <w:rFonts w:ascii="Arial" w:hAnsi="Arial" w:cs="Arial"/>
          <w:color w:val="000000" w:themeColor="text1"/>
          <w:sz w:val="20"/>
          <w:szCs w:val="20"/>
        </w:rPr>
      </w:pPr>
    </w:p>
    <w:p w14:paraId="225D2705" w14:textId="77777777" w:rsidR="00344BA2" w:rsidRDefault="00344BA2" w:rsidP="00344BA2">
      <w:pPr>
        <w:rPr>
          <w:b/>
        </w:rPr>
      </w:pPr>
      <w:r w:rsidRPr="000839CE">
        <w:rPr>
          <w:b/>
        </w:rPr>
        <w:t>Declaration of AI Use</w:t>
      </w:r>
    </w:p>
    <w:p w14:paraId="6AAEA4CF" w14:textId="77777777" w:rsidR="00344BA2" w:rsidRDefault="00344BA2" w:rsidP="00344BA2">
      <w:pPr>
        <w:rPr>
          <w:b/>
        </w:rPr>
      </w:pPr>
    </w:p>
    <w:p w14:paraId="48F589AB" w14:textId="77777777" w:rsidR="00344BA2" w:rsidRDefault="00344BA2" w:rsidP="00344BA2">
      <w:pPr>
        <w:rPr>
          <w:b/>
        </w:rPr>
      </w:pPr>
    </w:p>
    <w:p w14:paraId="0EAF3140" w14:textId="77777777" w:rsidR="00344BA2" w:rsidRDefault="00344BA2" w:rsidP="00344BA2">
      <w:pPr>
        <w:rPr>
          <w:b/>
        </w:rPr>
      </w:pPr>
    </w:p>
    <w:p w14:paraId="72012CB4" w14:textId="77777777" w:rsidR="00344BA2" w:rsidRPr="002D08AC" w:rsidRDefault="00344BA2" w:rsidP="00344BA2">
      <w:pPr>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E0EA83" w14:textId="77777777" w:rsidR="004C2541" w:rsidRPr="004C2541" w:rsidRDefault="004C2541" w:rsidP="004C2541">
      <w:pPr>
        <w:rPr>
          <w:rFonts w:ascii="Arial" w:hAnsi="Arial" w:cs="Arial"/>
          <w:color w:val="000000" w:themeColor="text1"/>
          <w:sz w:val="20"/>
          <w:szCs w:val="20"/>
        </w:rPr>
      </w:pPr>
    </w:p>
    <w:p w14:paraId="1C777082"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D23F136" w14:textId="77777777" w:rsidR="00860000" w:rsidRPr="004C2541" w:rsidRDefault="00860000" w:rsidP="004C2541">
      <w:pPr>
        <w:pStyle w:val="ReferHead"/>
        <w:spacing w:after="0"/>
        <w:jc w:val="both"/>
        <w:rPr>
          <w:rFonts w:ascii="Arial" w:hAnsi="Arial" w:cs="Arial"/>
          <w:sz w:val="20"/>
          <w:szCs w:val="20"/>
        </w:rPr>
      </w:pPr>
    </w:p>
    <w:p w14:paraId="56E9711E" w14:textId="553CA488"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63113149" w14:textId="77777777" w:rsidR="00C42725" w:rsidRDefault="00C42725" w:rsidP="00441B6F">
      <w:pPr>
        <w:pStyle w:val="ReferHead"/>
        <w:spacing w:after="0"/>
        <w:jc w:val="both"/>
        <w:rPr>
          <w:rFonts w:ascii="Arial" w:hAnsi="Arial" w:cs="Arial"/>
        </w:rPr>
      </w:pPr>
    </w:p>
    <w:p w14:paraId="3461436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263757A" w14:textId="77777777" w:rsidR="00790ADA" w:rsidRPr="00FB3A86" w:rsidRDefault="00790ADA" w:rsidP="00441B6F">
      <w:pPr>
        <w:pStyle w:val="ReferHead"/>
        <w:spacing w:after="0"/>
        <w:jc w:val="both"/>
        <w:rPr>
          <w:rFonts w:ascii="Arial" w:hAnsi="Arial" w:cs="Arial"/>
        </w:rPr>
      </w:pPr>
    </w:p>
    <w:p w14:paraId="58548457" w14:textId="7F560966" w:rsidR="004D4277" w:rsidRPr="00FB3A86" w:rsidRDefault="004D4277" w:rsidP="00441B6F">
      <w:pPr>
        <w:pStyle w:val="Appendix"/>
        <w:spacing w:after="0"/>
        <w:jc w:val="both"/>
        <w:rPr>
          <w:rFonts w:ascii="Arial" w:hAnsi="Arial" w:cs="Arial"/>
          <w:b w:val="0"/>
        </w:rPr>
        <w:sectPr w:rsidR="004D4277" w:rsidRPr="00FB3A86" w:rsidSect="00A17174">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A686216"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Ahmed, S. K. (2024). The pillars of trustworthiness in qualitative research. </w:t>
      </w:r>
      <w:r w:rsidRPr="00636540">
        <w:rPr>
          <w:rFonts w:ascii="Arial" w:hAnsi="Arial" w:cs="Arial"/>
          <w:i/>
          <w:iCs/>
          <w:color w:val="000000" w:themeColor="text1"/>
          <w:sz w:val="20"/>
          <w:szCs w:val="20"/>
        </w:rPr>
        <w:t>Journal of Medicine, Surgery, and Public Health, 2</w:t>
      </w:r>
      <w:r w:rsidRPr="00636540">
        <w:rPr>
          <w:rFonts w:ascii="Arial" w:hAnsi="Arial" w:cs="Arial"/>
          <w:color w:val="000000" w:themeColor="text1"/>
          <w:sz w:val="20"/>
          <w:szCs w:val="20"/>
        </w:rPr>
        <w:t>, 100051.</w:t>
      </w:r>
      <w:hyperlink r:id="rId18" w:history="1">
        <w:r w:rsidRPr="00636540">
          <w:rPr>
            <w:rStyle w:val="Hyperlink"/>
            <w:rFonts w:ascii="Arial" w:hAnsi="Arial" w:cs="Arial"/>
            <w:color w:val="000000" w:themeColor="text1"/>
            <w:sz w:val="20"/>
            <w:szCs w:val="20"/>
            <w:u w:val="none"/>
          </w:rPr>
          <w:t xml:space="preserve"> </w:t>
        </w:r>
      </w:hyperlink>
      <w:hyperlink r:id="rId19" w:history="1">
        <w:r w:rsidRPr="00636540">
          <w:rPr>
            <w:rStyle w:val="Hyperlink"/>
            <w:rFonts w:ascii="Arial" w:hAnsi="Arial" w:cs="Arial"/>
            <w:color w:val="000000" w:themeColor="text1"/>
            <w:sz w:val="20"/>
            <w:szCs w:val="20"/>
            <w:u w:val="none"/>
          </w:rPr>
          <w:t>https://doi.org/10.1016/j.glmedi.2024.100051</w:t>
        </w:r>
      </w:hyperlink>
    </w:p>
    <w:p w14:paraId="5187B68A"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proofErr w:type="spellStart"/>
      <w:r w:rsidRPr="00636540">
        <w:rPr>
          <w:rFonts w:ascii="Arial" w:hAnsi="Arial" w:cs="Arial"/>
          <w:color w:val="000000" w:themeColor="text1"/>
          <w:sz w:val="20"/>
          <w:szCs w:val="20"/>
        </w:rPr>
        <w:t>Alasmari</w:t>
      </w:r>
      <w:proofErr w:type="spellEnd"/>
      <w:r w:rsidRPr="00636540">
        <w:rPr>
          <w:rFonts w:ascii="Arial" w:hAnsi="Arial" w:cs="Arial"/>
          <w:color w:val="000000" w:themeColor="text1"/>
          <w:sz w:val="20"/>
          <w:szCs w:val="20"/>
        </w:rPr>
        <w:t xml:space="preserve">, T. (2024). Reshaping vocational training: A study on the recognition of micro-credentials in job markets. </w:t>
      </w:r>
      <w:r w:rsidRPr="00636540">
        <w:rPr>
          <w:rFonts w:ascii="Arial" w:hAnsi="Arial" w:cs="Arial"/>
          <w:i/>
          <w:iCs/>
          <w:color w:val="000000" w:themeColor="text1"/>
          <w:sz w:val="20"/>
          <w:szCs w:val="20"/>
        </w:rPr>
        <w:t>Education + Training, 66</w:t>
      </w:r>
      <w:r w:rsidRPr="00636540">
        <w:rPr>
          <w:rFonts w:ascii="Arial" w:hAnsi="Arial" w:cs="Arial"/>
          <w:color w:val="000000" w:themeColor="text1"/>
          <w:sz w:val="20"/>
          <w:szCs w:val="20"/>
        </w:rPr>
        <w:t xml:space="preserve">(2–3), 233–251. </w:t>
      </w:r>
      <w:hyperlink r:id="rId20" w:history="1">
        <w:r w:rsidRPr="00636540">
          <w:rPr>
            <w:rStyle w:val="Hyperlink"/>
            <w:rFonts w:ascii="Arial" w:hAnsi="Arial" w:cs="Arial"/>
            <w:color w:val="000000" w:themeColor="text1"/>
            <w:sz w:val="20"/>
            <w:szCs w:val="20"/>
            <w:u w:val="none"/>
          </w:rPr>
          <w:t>https://doi.org/10.1108/ET-07-2023-0282</w:t>
        </w:r>
      </w:hyperlink>
    </w:p>
    <w:p w14:paraId="5E72B016"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proofErr w:type="spellStart"/>
      <w:r w:rsidRPr="00636540">
        <w:rPr>
          <w:rFonts w:ascii="Arial" w:hAnsi="Arial" w:cs="Arial"/>
          <w:color w:val="000000" w:themeColor="text1"/>
          <w:sz w:val="20"/>
          <w:szCs w:val="20"/>
        </w:rPr>
        <w:t>Alraimi</w:t>
      </w:r>
      <w:proofErr w:type="spellEnd"/>
      <w:r w:rsidRPr="00636540">
        <w:rPr>
          <w:rFonts w:ascii="Arial" w:hAnsi="Arial" w:cs="Arial"/>
          <w:color w:val="000000" w:themeColor="text1"/>
          <w:sz w:val="20"/>
          <w:szCs w:val="20"/>
        </w:rPr>
        <w:t xml:space="preserve">, K. M., Zo, H., &amp; Ciganek, A. P. (2015). Understanding the MOOCs continuance: The role of openness and reputation. </w:t>
      </w:r>
      <w:r w:rsidRPr="00636540">
        <w:rPr>
          <w:rFonts w:ascii="Arial" w:hAnsi="Arial" w:cs="Arial"/>
          <w:i/>
          <w:iCs/>
          <w:color w:val="000000" w:themeColor="text1"/>
          <w:sz w:val="20"/>
          <w:szCs w:val="20"/>
        </w:rPr>
        <w:t>Computers &amp; Education, 80</w:t>
      </w:r>
      <w:r w:rsidRPr="00636540">
        <w:rPr>
          <w:rFonts w:ascii="Arial" w:hAnsi="Arial" w:cs="Arial"/>
          <w:color w:val="000000" w:themeColor="text1"/>
          <w:sz w:val="20"/>
          <w:szCs w:val="20"/>
        </w:rPr>
        <w:t xml:space="preserve">, 28–38. </w:t>
      </w:r>
      <w:hyperlink r:id="rId21" w:history="1">
        <w:r w:rsidRPr="00636540">
          <w:rPr>
            <w:rStyle w:val="Hyperlink"/>
            <w:rFonts w:ascii="Arial" w:hAnsi="Arial" w:cs="Arial"/>
            <w:color w:val="000000" w:themeColor="text1"/>
            <w:sz w:val="20"/>
            <w:szCs w:val="20"/>
            <w:u w:val="none"/>
          </w:rPr>
          <w:t>https://doi.org/10.1016/j.compedu.2014.08.006</w:t>
        </w:r>
      </w:hyperlink>
    </w:p>
    <w:p w14:paraId="70DA21A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Alshehri, A. (2025). Reviewing grievances of automated decisions in UK administrative justice: Qualitative documentary analysis methodology. </w:t>
      </w:r>
      <w:r w:rsidRPr="00636540">
        <w:rPr>
          <w:rFonts w:ascii="Arial" w:hAnsi="Arial" w:cs="Arial"/>
          <w:i/>
          <w:iCs/>
          <w:color w:val="000000" w:themeColor="text1"/>
          <w:sz w:val="20"/>
          <w:szCs w:val="20"/>
        </w:rPr>
        <w:t>Journal of Legal Research Methodology, 4</w:t>
      </w:r>
      <w:r w:rsidRPr="00636540">
        <w:rPr>
          <w:rFonts w:ascii="Arial" w:hAnsi="Arial" w:cs="Arial"/>
          <w:color w:val="000000" w:themeColor="text1"/>
          <w:sz w:val="20"/>
          <w:szCs w:val="20"/>
        </w:rPr>
        <w:t xml:space="preserve">(1). </w:t>
      </w:r>
      <w:hyperlink r:id="rId22" w:history="1">
        <w:r w:rsidRPr="00636540">
          <w:rPr>
            <w:rStyle w:val="Hyperlink"/>
            <w:rFonts w:ascii="Arial" w:hAnsi="Arial" w:cs="Arial"/>
            <w:color w:val="000000" w:themeColor="text1"/>
            <w:sz w:val="20"/>
            <w:szCs w:val="20"/>
            <w:u w:val="none"/>
          </w:rPr>
          <w:t>https://doi.org/10.19164/jlrm.v4i1.1699</w:t>
        </w:r>
      </w:hyperlink>
    </w:p>
    <w:p w14:paraId="7B4A899D"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proofErr w:type="spellStart"/>
      <w:r w:rsidRPr="00636540">
        <w:rPr>
          <w:rFonts w:ascii="Arial" w:hAnsi="Arial" w:cs="Arial"/>
          <w:color w:val="000000" w:themeColor="text1"/>
          <w:sz w:val="20"/>
          <w:szCs w:val="20"/>
        </w:rPr>
        <w:t>Alterkait</w:t>
      </w:r>
      <w:proofErr w:type="spellEnd"/>
      <w:r w:rsidRPr="00636540">
        <w:rPr>
          <w:rFonts w:ascii="Arial" w:hAnsi="Arial" w:cs="Arial"/>
          <w:color w:val="000000" w:themeColor="text1"/>
          <w:sz w:val="20"/>
          <w:szCs w:val="20"/>
        </w:rPr>
        <w:t xml:space="preserve">, M. A., &amp; </w:t>
      </w:r>
      <w:proofErr w:type="spellStart"/>
      <w:r w:rsidRPr="00636540">
        <w:rPr>
          <w:rFonts w:ascii="Arial" w:hAnsi="Arial" w:cs="Arial"/>
          <w:color w:val="000000" w:themeColor="text1"/>
          <w:sz w:val="20"/>
          <w:szCs w:val="20"/>
        </w:rPr>
        <w:t>Alduaij</w:t>
      </w:r>
      <w:proofErr w:type="spellEnd"/>
      <w:r w:rsidRPr="00636540">
        <w:rPr>
          <w:rFonts w:ascii="Arial" w:hAnsi="Arial" w:cs="Arial"/>
          <w:color w:val="000000" w:themeColor="text1"/>
          <w:sz w:val="20"/>
          <w:szCs w:val="20"/>
        </w:rPr>
        <w:t xml:space="preserve">, M. Y. (2024). Impact of Information Quality on Satisfaction with E-Learning Platforms: Moderating Role of Instructor and Learner Quality. </w:t>
      </w:r>
      <w:r w:rsidRPr="00636540">
        <w:rPr>
          <w:rFonts w:ascii="Arial" w:hAnsi="Arial" w:cs="Arial"/>
          <w:i/>
          <w:iCs/>
          <w:color w:val="000000" w:themeColor="text1"/>
          <w:sz w:val="20"/>
          <w:szCs w:val="20"/>
        </w:rPr>
        <w:t>Sage Open</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14</w:t>
      </w:r>
      <w:r w:rsidRPr="00636540">
        <w:rPr>
          <w:rFonts w:ascii="Arial" w:hAnsi="Arial" w:cs="Arial"/>
          <w:color w:val="000000" w:themeColor="text1"/>
          <w:sz w:val="20"/>
          <w:szCs w:val="20"/>
        </w:rPr>
        <w:t>(1).</w:t>
      </w:r>
      <w:hyperlink r:id="rId23" w:history="1">
        <w:r w:rsidRPr="00636540">
          <w:rPr>
            <w:rStyle w:val="Hyperlink"/>
            <w:rFonts w:ascii="Arial" w:hAnsi="Arial" w:cs="Arial"/>
            <w:color w:val="000000" w:themeColor="text1"/>
            <w:sz w:val="20"/>
            <w:szCs w:val="20"/>
            <w:u w:val="none"/>
          </w:rPr>
          <w:t xml:space="preserve"> https://doi.org/10.1177/21582440241233400</w:t>
        </w:r>
      </w:hyperlink>
    </w:p>
    <w:p w14:paraId="758E4CD5"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Alyaqoub, R., </w:t>
      </w:r>
      <w:proofErr w:type="spellStart"/>
      <w:r w:rsidRPr="00636540">
        <w:rPr>
          <w:rFonts w:ascii="Arial" w:hAnsi="Arial" w:cs="Arial"/>
          <w:color w:val="000000" w:themeColor="text1"/>
          <w:sz w:val="20"/>
          <w:szCs w:val="20"/>
        </w:rPr>
        <w:t>Alsharairi</w:t>
      </w:r>
      <w:proofErr w:type="spellEnd"/>
      <w:r w:rsidRPr="00636540">
        <w:rPr>
          <w:rFonts w:ascii="Arial" w:hAnsi="Arial" w:cs="Arial"/>
          <w:color w:val="000000" w:themeColor="text1"/>
          <w:sz w:val="20"/>
          <w:szCs w:val="20"/>
        </w:rPr>
        <w:t xml:space="preserve">, A., &amp; Aslam, M. Z. (2024). Elaboration of underpinning methods and data analysis process of directed qualitative content analysis for communication studies. </w:t>
      </w:r>
      <w:r w:rsidRPr="00636540">
        <w:rPr>
          <w:rFonts w:ascii="Arial" w:hAnsi="Arial" w:cs="Arial"/>
          <w:i/>
          <w:iCs/>
          <w:color w:val="000000" w:themeColor="text1"/>
          <w:sz w:val="20"/>
          <w:szCs w:val="20"/>
        </w:rPr>
        <w:t>Journal of Intercultural Communication, 24</w:t>
      </w:r>
      <w:r w:rsidRPr="00636540">
        <w:rPr>
          <w:rFonts w:ascii="Arial" w:hAnsi="Arial" w:cs="Arial"/>
          <w:color w:val="000000" w:themeColor="text1"/>
          <w:sz w:val="20"/>
          <w:szCs w:val="20"/>
        </w:rPr>
        <w:t>(2).</w:t>
      </w:r>
      <w:hyperlink r:id="rId24" w:history="1">
        <w:r w:rsidRPr="00636540">
          <w:rPr>
            <w:rStyle w:val="Hyperlink"/>
            <w:rFonts w:ascii="Arial" w:hAnsi="Arial" w:cs="Arial"/>
            <w:color w:val="000000" w:themeColor="text1"/>
            <w:sz w:val="20"/>
            <w:szCs w:val="20"/>
            <w:u w:val="none"/>
          </w:rPr>
          <w:t xml:space="preserve"> </w:t>
        </w:r>
      </w:hyperlink>
      <w:hyperlink r:id="rId25" w:history="1">
        <w:r w:rsidRPr="00636540">
          <w:rPr>
            <w:rStyle w:val="Hyperlink"/>
            <w:rFonts w:ascii="Arial" w:hAnsi="Arial" w:cs="Arial"/>
            <w:color w:val="000000" w:themeColor="text1"/>
            <w:sz w:val="20"/>
            <w:szCs w:val="20"/>
            <w:u w:val="none"/>
          </w:rPr>
          <w:t>https://doi.org/10.36923/jicc.v24i2.573</w:t>
        </w:r>
      </w:hyperlink>
    </w:p>
    <w:p w14:paraId="6F2690DF"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Bruguera, C., </w:t>
      </w:r>
      <w:proofErr w:type="spellStart"/>
      <w:r w:rsidRPr="00636540">
        <w:rPr>
          <w:rFonts w:ascii="Arial" w:hAnsi="Arial" w:cs="Arial"/>
          <w:color w:val="000000" w:themeColor="text1"/>
          <w:sz w:val="20"/>
          <w:szCs w:val="20"/>
        </w:rPr>
        <w:t>Pagés</w:t>
      </w:r>
      <w:proofErr w:type="spellEnd"/>
      <w:r w:rsidRPr="00636540">
        <w:rPr>
          <w:rFonts w:ascii="Arial" w:hAnsi="Arial" w:cs="Arial"/>
          <w:color w:val="000000" w:themeColor="text1"/>
          <w:sz w:val="20"/>
          <w:szCs w:val="20"/>
        </w:rPr>
        <w:t xml:space="preserve">, C., Peters, M., &amp; Fitó, À. (2025). Micro-credentials and soft skills in online education: The employers' perspective. </w:t>
      </w:r>
      <w:r w:rsidRPr="00636540">
        <w:rPr>
          <w:rFonts w:ascii="Arial" w:hAnsi="Arial" w:cs="Arial"/>
          <w:i/>
          <w:iCs/>
          <w:color w:val="000000" w:themeColor="text1"/>
          <w:sz w:val="20"/>
          <w:szCs w:val="20"/>
        </w:rPr>
        <w:t>Distance Education, 46</w:t>
      </w:r>
      <w:r w:rsidRPr="00636540">
        <w:rPr>
          <w:rFonts w:ascii="Arial" w:hAnsi="Arial" w:cs="Arial"/>
          <w:color w:val="000000" w:themeColor="text1"/>
          <w:sz w:val="20"/>
          <w:szCs w:val="20"/>
        </w:rPr>
        <w:t>(1), 56–76.</w:t>
      </w:r>
      <w:hyperlink r:id="rId26" w:history="1">
        <w:r w:rsidRPr="00636540">
          <w:rPr>
            <w:rStyle w:val="Hyperlink"/>
            <w:rFonts w:ascii="Arial" w:hAnsi="Arial" w:cs="Arial"/>
            <w:color w:val="000000" w:themeColor="text1"/>
            <w:sz w:val="20"/>
            <w:szCs w:val="20"/>
            <w:u w:val="none"/>
          </w:rPr>
          <w:t xml:space="preserve"> </w:t>
        </w:r>
      </w:hyperlink>
      <w:hyperlink r:id="rId27" w:history="1">
        <w:r w:rsidRPr="00636540">
          <w:rPr>
            <w:rStyle w:val="Hyperlink"/>
            <w:rFonts w:ascii="Arial" w:hAnsi="Arial" w:cs="Arial"/>
            <w:color w:val="000000" w:themeColor="text1"/>
            <w:sz w:val="20"/>
            <w:szCs w:val="20"/>
            <w:u w:val="none"/>
          </w:rPr>
          <w:t>https://doi.org/10.1080/01587919.2024.2435645</w:t>
        </w:r>
      </w:hyperlink>
    </w:p>
    <w:p w14:paraId="3590A0D7"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Case, S. (2024). </w:t>
      </w:r>
      <w:r w:rsidRPr="00636540">
        <w:rPr>
          <w:rFonts w:ascii="Arial" w:hAnsi="Arial" w:cs="Arial"/>
          <w:i/>
          <w:iCs/>
          <w:color w:val="000000" w:themeColor="text1"/>
          <w:sz w:val="20"/>
          <w:szCs w:val="20"/>
        </w:rPr>
        <w:t xml:space="preserve">Youth justice: Towards a </w:t>
      </w:r>
      <w:proofErr w:type="spellStart"/>
      <w:r w:rsidRPr="00636540">
        <w:rPr>
          <w:rFonts w:ascii="Arial" w:hAnsi="Arial" w:cs="Arial"/>
          <w:i/>
          <w:iCs/>
          <w:color w:val="000000" w:themeColor="text1"/>
          <w:sz w:val="20"/>
          <w:szCs w:val="20"/>
        </w:rPr>
        <w:t>contextualised</w:t>
      </w:r>
      <w:proofErr w:type="spellEnd"/>
      <w:r w:rsidRPr="00636540">
        <w:rPr>
          <w:rFonts w:ascii="Arial" w:hAnsi="Arial" w:cs="Arial"/>
          <w:i/>
          <w:iCs/>
          <w:color w:val="000000" w:themeColor="text1"/>
          <w:sz w:val="20"/>
          <w:szCs w:val="20"/>
        </w:rPr>
        <w:t xml:space="preserve"> understanding of policy-making</w:t>
      </w:r>
      <w:r w:rsidRPr="00636540">
        <w:rPr>
          <w:rFonts w:ascii="Arial" w:hAnsi="Arial" w:cs="Arial"/>
          <w:color w:val="000000" w:themeColor="text1"/>
          <w:sz w:val="20"/>
          <w:szCs w:val="20"/>
        </w:rPr>
        <w:t xml:space="preserve">. Policy Press. </w:t>
      </w:r>
      <w:hyperlink r:id="rId28" w:history="1">
        <w:r w:rsidRPr="00636540">
          <w:rPr>
            <w:rStyle w:val="Hyperlink"/>
            <w:rFonts w:ascii="Arial" w:hAnsi="Arial" w:cs="Arial"/>
            <w:color w:val="000000" w:themeColor="text1"/>
            <w:sz w:val="20"/>
            <w:szCs w:val="20"/>
            <w:u w:val="none"/>
          </w:rPr>
          <w:t>https://doi.org/10.1332/policypress/9781447369660.001.0001</w:t>
        </w:r>
      </w:hyperlink>
    </w:p>
    <w:p w14:paraId="08772C41"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Chen, S. H., Dums, J. T., &amp; Hasley, A. O. (2024). Building a valuable professional development course: Instructor effort vs. perceived student value of activities in an online biotechnology course. </w:t>
      </w:r>
      <w:r w:rsidRPr="00636540">
        <w:rPr>
          <w:rFonts w:ascii="Arial" w:hAnsi="Arial" w:cs="Arial"/>
          <w:i/>
          <w:iCs/>
          <w:color w:val="000000" w:themeColor="text1"/>
          <w:sz w:val="20"/>
          <w:szCs w:val="20"/>
        </w:rPr>
        <w:t>Frontiers in Education, 9</w:t>
      </w:r>
      <w:r w:rsidRPr="00636540">
        <w:rPr>
          <w:rFonts w:ascii="Arial" w:hAnsi="Arial" w:cs="Arial"/>
          <w:color w:val="000000" w:themeColor="text1"/>
          <w:sz w:val="20"/>
          <w:szCs w:val="20"/>
        </w:rPr>
        <w:t xml:space="preserve">, 1464387. </w:t>
      </w:r>
      <w:hyperlink r:id="rId29" w:history="1">
        <w:r w:rsidRPr="00636540">
          <w:rPr>
            <w:rStyle w:val="Hyperlink"/>
            <w:rFonts w:ascii="Arial" w:hAnsi="Arial" w:cs="Arial"/>
            <w:color w:val="000000" w:themeColor="text1"/>
            <w:sz w:val="20"/>
            <w:szCs w:val="20"/>
            <w:u w:val="none"/>
          </w:rPr>
          <w:t>https://doi.org/10.3389/feduc.2024.1464387</w:t>
        </w:r>
      </w:hyperlink>
    </w:p>
    <w:p w14:paraId="5EE96C6A"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Chen, X., Xie, H., Tao, X., Wang, F. L., &amp; Cao, J. (2024). Leveraging text mining and analytic hierarchy process for the automatic evaluation of online courses. </w:t>
      </w:r>
      <w:r w:rsidRPr="00636540">
        <w:rPr>
          <w:rFonts w:ascii="Arial" w:hAnsi="Arial" w:cs="Arial"/>
          <w:i/>
          <w:iCs/>
          <w:color w:val="000000" w:themeColor="text1"/>
          <w:sz w:val="20"/>
          <w:szCs w:val="20"/>
        </w:rPr>
        <w:t>International Journal of Machine Learning and Cybernetics, 15</w:t>
      </w:r>
      <w:r w:rsidRPr="00636540">
        <w:rPr>
          <w:rFonts w:ascii="Arial" w:hAnsi="Arial" w:cs="Arial"/>
          <w:color w:val="000000" w:themeColor="text1"/>
          <w:sz w:val="20"/>
          <w:szCs w:val="20"/>
        </w:rPr>
        <w:t>(11), 4973–4998.</w:t>
      </w:r>
      <w:hyperlink r:id="rId30" w:history="1">
        <w:r w:rsidRPr="00636540">
          <w:rPr>
            <w:rStyle w:val="Hyperlink"/>
            <w:rFonts w:ascii="Arial" w:hAnsi="Arial" w:cs="Arial"/>
            <w:color w:val="000000" w:themeColor="text1"/>
            <w:sz w:val="20"/>
            <w:szCs w:val="20"/>
            <w:u w:val="none"/>
          </w:rPr>
          <w:t xml:space="preserve"> https://doi.org/10.1007/s13042-024-02203-6</w:t>
        </w:r>
      </w:hyperlink>
    </w:p>
    <w:p w14:paraId="3BF0FE31"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Chen, Z., Liu, M., &amp; Zhou, R. (2025). The more the better? How excessive content and online interaction hinder the learning effectiveness of high-quality MOOCs. </w:t>
      </w:r>
      <w:r w:rsidRPr="00636540">
        <w:rPr>
          <w:rFonts w:ascii="Arial" w:hAnsi="Arial" w:cs="Arial"/>
          <w:i/>
          <w:iCs/>
          <w:color w:val="000000" w:themeColor="text1"/>
          <w:sz w:val="20"/>
          <w:szCs w:val="20"/>
        </w:rPr>
        <w:t>British Journal of Educational Technology, 56</w:t>
      </w:r>
      <w:r w:rsidRPr="00636540">
        <w:rPr>
          <w:rFonts w:ascii="Arial" w:hAnsi="Arial" w:cs="Arial"/>
          <w:color w:val="000000" w:themeColor="text1"/>
          <w:sz w:val="20"/>
          <w:szCs w:val="20"/>
        </w:rPr>
        <w:t xml:space="preserve">, 1640–1670. </w:t>
      </w:r>
      <w:hyperlink r:id="rId31" w:history="1">
        <w:r w:rsidRPr="00636540">
          <w:rPr>
            <w:rStyle w:val="Hyperlink"/>
            <w:rFonts w:ascii="Arial" w:hAnsi="Arial" w:cs="Arial"/>
            <w:color w:val="000000" w:themeColor="text1"/>
            <w:sz w:val="20"/>
            <w:szCs w:val="20"/>
            <w:u w:val="none"/>
          </w:rPr>
          <w:t>https://doi.org/10.1111/bjet.13539</w:t>
        </w:r>
      </w:hyperlink>
    </w:p>
    <w:p w14:paraId="275475E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Class Central. (2025, January 4). </w:t>
      </w:r>
      <w:r w:rsidRPr="00636540">
        <w:rPr>
          <w:rFonts w:ascii="Arial" w:hAnsi="Arial" w:cs="Arial"/>
          <w:i/>
          <w:iCs/>
          <w:color w:val="000000" w:themeColor="text1"/>
          <w:sz w:val="20"/>
          <w:szCs w:val="20"/>
        </w:rPr>
        <w:t>The 100 most popular online courses (2025 edition).</w:t>
      </w:r>
      <w:r w:rsidRPr="00636540">
        <w:rPr>
          <w:rFonts w:ascii="Arial" w:hAnsi="Arial" w:cs="Arial"/>
          <w:color w:val="000000" w:themeColor="text1"/>
          <w:sz w:val="20"/>
          <w:szCs w:val="20"/>
        </w:rPr>
        <w:t xml:space="preserve"> The Report by Class Central.</w:t>
      </w:r>
      <w:hyperlink r:id="rId32" w:history="1">
        <w:r w:rsidRPr="00636540">
          <w:rPr>
            <w:rStyle w:val="Hyperlink"/>
            <w:rFonts w:ascii="Arial" w:hAnsi="Arial" w:cs="Arial"/>
            <w:color w:val="000000" w:themeColor="text1"/>
            <w:sz w:val="20"/>
            <w:szCs w:val="20"/>
            <w:u w:val="none"/>
          </w:rPr>
          <w:t xml:space="preserve"> https://www.classcentral.com/report/most-popular-courses-2025/</w:t>
        </w:r>
      </w:hyperlink>
    </w:p>
    <w:p w14:paraId="6E3C8339"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Connelly, B. L., Certo, S. T., Ireland, R. D., &amp; Reutzel, C. R. (2011). Signaling Theory: A Review and Assessment. </w:t>
      </w:r>
      <w:r w:rsidRPr="00636540">
        <w:rPr>
          <w:rFonts w:ascii="Arial" w:hAnsi="Arial" w:cs="Arial"/>
          <w:i/>
          <w:iCs/>
          <w:color w:val="000000" w:themeColor="text1"/>
          <w:sz w:val="20"/>
          <w:szCs w:val="20"/>
        </w:rPr>
        <w:t>Journal of Management</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37</w:t>
      </w:r>
      <w:r w:rsidRPr="00636540">
        <w:rPr>
          <w:rFonts w:ascii="Arial" w:hAnsi="Arial" w:cs="Arial"/>
          <w:color w:val="000000" w:themeColor="text1"/>
          <w:sz w:val="20"/>
          <w:szCs w:val="20"/>
        </w:rPr>
        <w:t>(1), 39-67.</w:t>
      </w:r>
      <w:hyperlink r:id="rId33" w:history="1">
        <w:r w:rsidRPr="00636540">
          <w:rPr>
            <w:rStyle w:val="Hyperlink"/>
            <w:rFonts w:ascii="Arial" w:hAnsi="Arial" w:cs="Arial"/>
            <w:color w:val="000000" w:themeColor="text1"/>
            <w:sz w:val="20"/>
            <w:szCs w:val="20"/>
            <w:u w:val="none"/>
          </w:rPr>
          <w:t xml:space="preserve"> https://doi.org/10.1177/0149206310388419</w:t>
        </w:r>
      </w:hyperlink>
    </w:p>
    <w:p w14:paraId="22830D28"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lastRenderedPageBreak/>
        <w:t xml:space="preserve">Connelly, B. L., Certo, S. T., Reutzel, C. R., </w:t>
      </w:r>
      <w:proofErr w:type="spellStart"/>
      <w:r w:rsidRPr="00636540">
        <w:rPr>
          <w:rFonts w:ascii="Arial" w:hAnsi="Arial" w:cs="Arial"/>
          <w:color w:val="000000" w:themeColor="text1"/>
          <w:sz w:val="20"/>
          <w:szCs w:val="20"/>
        </w:rPr>
        <w:t>DesJardine</w:t>
      </w:r>
      <w:proofErr w:type="spellEnd"/>
      <w:r w:rsidRPr="00636540">
        <w:rPr>
          <w:rFonts w:ascii="Arial" w:hAnsi="Arial" w:cs="Arial"/>
          <w:color w:val="000000" w:themeColor="text1"/>
          <w:sz w:val="20"/>
          <w:szCs w:val="20"/>
        </w:rPr>
        <w:t xml:space="preserve">, M. R., &amp; Zhou, Y. S. (2025). Signaling Theory: State of the Theory and Its Future. </w:t>
      </w:r>
      <w:r w:rsidRPr="00636540">
        <w:rPr>
          <w:rFonts w:ascii="Arial" w:hAnsi="Arial" w:cs="Arial"/>
          <w:i/>
          <w:iCs/>
          <w:color w:val="000000" w:themeColor="text1"/>
          <w:sz w:val="20"/>
          <w:szCs w:val="20"/>
        </w:rPr>
        <w:t>Journal of Management</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51</w:t>
      </w:r>
      <w:r w:rsidRPr="00636540">
        <w:rPr>
          <w:rFonts w:ascii="Arial" w:hAnsi="Arial" w:cs="Arial"/>
          <w:color w:val="000000" w:themeColor="text1"/>
          <w:sz w:val="20"/>
          <w:szCs w:val="20"/>
        </w:rPr>
        <w:t>(1), 24-61.</w:t>
      </w:r>
      <w:hyperlink r:id="rId34" w:history="1">
        <w:r w:rsidRPr="00636540">
          <w:rPr>
            <w:rStyle w:val="Hyperlink"/>
            <w:rFonts w:ascii="Arial" w:hAnsi="Arial" w:cs="Arial"/>
            <w:color w:val="000000" w:themeColor="text1"/>
            <w:sz w:val="20"/>
            <w:szCs w:val="20"/>
            <w:u w:val="none"/>
          </w:rPr>
          <w:t xml:space="preserve"> https://doi.org/10.1177/01492063241268459</w:t>
        </w:r>
      </w:hyperlink>
    </w:p>
    <w:p w14:paraId="189C7D24"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Coursera. (2025a). </w:t>
      </w:r>
      <w:r w:rsidRPr="00636540">
        <w:rPr>
          <w:rFonts w:ascii="Arial" w:hAnsi="Arial" w:cs="Arial"/>
          <w:i/>
          <w:iCs/>
          <w:color w:val="000000" w:themeColor="text1"/>
          <w:sz w:val="20"/>
          <w:szCs w:val="20"/>
        </w:rPr>
        <w:t>Partner with Coursera: Teach the world.</w:t>
      </w:r>
      <w:hyperlink r:id="rId35" w:history="1">
        <w:r w:rsidRPr="00636540">
          <w:rPr>
            <w:rStyle w:val="Hyperlink"/>
            <w:rFonts w:ascii="Arial" w:hAnsi="Arial" w:cs="Arial"/>
            <w:color w:val="000000" w:themeColor="text1"/>
            <w:sz w:val="20"/>
            <w:szCs w:val="20"/>
            <w:u w:val="none"/>
          </w:rPr>
          <w:t xml:space="preserve"> https://www.coursera.org/partnerships</w:t>
        </w:r>
      </w:hyperlink>
    </w:p>
    <w:p w14:paraId="46799E1A"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Deng, R., </w:t>
      </w:r>
      <w:proofErr w:type="spellStart"/>
      <w:r w:rsidRPr="00636540">
        <w:rPr>
          <w:rFonts w:ascii="Arial" w:hAnsi="Arial" w:cs="Arial"/>
          <w:color w:val="000000" w:themeColor="text1"/>
          <w:sz w:val="20"/>
          <w:szCs w:val="20"/>
        </w:rPr>
        <w:t>Benckendorff</w:t>
      </w:r>
      <w:proofErr w:type="spellEnd"/>
      <w:r w:rsidRPr="00636540">
        <w:rPr>
          <w:rFonts w:ascii="Arial" w:hAnsi="Arial" w:cs="Arial"/>
          <w:color w:val="000000" w:themeColor="text1"/>
          <w:sz w:val="20"/>
          <w:szCs w:val="20"/>
        </w:rPr>
        <w:t xml:space="preserve">, P., &amp; Gannaway, D. (2019). Progress and new directions for teaching and learning in MOOCs. </w:t>
      </w:r>
      <w:r w:rsidRPr="00636540">
        <w:rPr>
          <w:rFonts w:ascii="Arial" w:hAnsi="Arial" w:cs="Arial"/>
          <w:i/>
          <w:iCs/>
          <w:color w:val="000000" w:themeColor="text1"/>
          <w:sz w:val="20"/>
          <w:szCs w:val="20"/>
        </w:rPr>
        <w:t>Computers &amp; Education, 129</w:t>
      </w:r>
      <w:r w:rsidRPr="00636540">
        <w:rPr>
          <w:rFonts w:ascii="Arial" w:hAnsi="Arial" w:cs="Arial"/>
          <w:color w:val="000000" w:themeColor="text1"/>
          <w:sz w:val="20"/>
          <w:szCs w:val="20"/>
        </w:rPr>
        <w:t xml:space="preserve">, 48–60. </w:t>
      </w:r>
      <w:hyperlink r:id="rId36" w:history="1">
        <w:r w:rsidRPr="00636540">
          <w:rPr>
            <w:rStyle w:val="Hyperlink"/>
            <w:rFonts w:ascii="Arial" w:hAnsi="Arial" w:cs="Arial"/>
            <w:color w:val="000000" w:themeColor="text1"/>
            <w:sz w:val="20"/>
            <w:szCs w:val="20"/>
            <w:u w:val="none"/>
          </w:rPr>
          <w:t>https://doi.org/10.1016/j.compedu.2018.10.019</w:t>
        </w:r>
      </w:hyperlink>
    </w:p>
    <w:p w14:paraId="42B324FC"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Fife, S. T., &amp; Gossner, J. D. (2024). Deductive Qualitative Analysis: Evaluating, Expanding, and Refining Theory. </w:t>
      </w:r>
      <w:r w:rsidRPr="00636540">
        <w:rPr>
          <w:rFonts w:ascii="Arial" w:hAnsi="Arial" w:cs="Arial"/>
          <w:i/>
          <w:iCs/>
          <w:color w:val="000000" w:themeColor="text1"/>
          <w:sz w:val="20"/>
          <w:szCs w:val="20"/>
        </w:rPr>
        <w:t>International Journal of Qualitative Methods</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23</w:t>
      </w:r>
      <w:r w:rsidRPr="00636540">
        <w:rPr>
          <w:rFonts w:ascii="Arial" w:hAnsi="Arial" w:cs="Arial"/>
          <w:color w:val="000000" w:themeColor="text1"/>
          <w:sz w:val="20"/>
          <w:szCs w:val="20"/>
        </w:rPr>
        <w:t>.</w:t>
      </w:r>
      <w:hyperlink r:id="rId37" w:history="1">
        <w:r w:rsidRPr="00636540">
          <w:rPr>
            <w:rStyle w:val="Hyperlink"/>
            <w:rFonts w:ascii="Arial" w:hAnsi="Arial" w:cs="Arial"/>
            <w:color w:val="000000" w:themeColor="text1"/>
            <w:sz w:val="20"/>
            <w:szCs w:val="20"/>
            <w:u w:val="none"/>
          </w:rPr>
          <w:t xml:space="preserve"> https://doi.org/10.1177/16094069241244856</w:t>
        </w:r>
      </w:hyperlink>
    </w:p>
    <w:p w14:paraId="6D9EB3B5"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Gorbatov, S., </w:t>
      </w:r>
      <w:proofErr w:type="spellStart"/>
      <w:r w:rsidRPr="00636540">
        <w:rPr>
          <w:rFonts w:ascii="Arial" w:hAnsi="Arial" w:cs="Arial"/>
          <w:color w:val="000000" w:themeColor="text1"/>
          <w:sz w:val="20"/>
          <w:szCs w:val="20"/>
        </w:rPr>
        <w:t>Hamori</w:t>
      </w:r>
      <w:proofErr w:type="spellEnd"/>
      <w:r w:rsidRPr="00636540">
        <w:rPr>
          <w:rFonts w:ascii="Arial" w:hAnsi="Arial" w:cs="Arial"/>
          <w:color w:val="000000" w:themeColor="text1"/>
          <w:sz w:val="20"/>
          <w:szCs w:val="20"/>
        </w:rPr>
        <w:t xml:space="preserve">, M., Khapova, S. N., </w:t>
      </w:r>
      <w:proofErr w:type="spellStart"/>
      <w:r w:rsidRPr="00636540">
        <w:rPr>
          <w:rFonts w:ascii="Arial" w:hAnsi="Arial" w:cs="Arial"/>
          <w:color w:val="000000" w:themeColor="text1"/>
          <w:sz w:val="20"/>
          <w:szCs w:val="20"/>
        </w:rPr>
        <w:t>Lysova</w:t>
      </w:r>
      <w:proofErr w:type="spellEnd"/>
      <w:r w:rsidRPr="00636540">
        <w:rPr>
          <w:rFonts w:ascii="Arial" w:hAnsi="Arial" w:cs="Arial"/>
          <w:color w:val="000000" w:themeColor="text1"/>
          <w:sz w:val="20"/>
          <w:szCs w:val="20"/>
        </w:rPr>
        <w:t xml:space="preserve">, E. I., &amp; </w:t>
      </w:r>
      <w:proofErr w:type="spellStart"/>
      <w:r w:rsidRPr="00636540">
        <w:rPr>
          <w:rFonts w:ascii="Arial" w:hAnsi="Arial" w:cs="Arial"/>
          <w:color w:val="000000" w:themeColor="text1"/>
          <w:sz w:val="20"/>
          <w:szCs w:val="20"/>
        </w:rPr>
        <w:t>Oostrom</w:t>
      </w:r>
      <w:proofErr w:type="spellEnd"/>
      <w:r w:rsidRPr="00636540">
        <w:rPr>
          <w:rFonts w:ascii="Arial" w:hAnsi="Arial" w:cs="Arial"/>
          <w:color w:val="000000" w:themeColor="text1"/>
          <w:sz w:val="20"/>
          <w:szCs w:val="20"/>
        </w:rPr>
        <w:t xml:space="preserve">, J. K. (2020). More Than a Course: Participation in MOOCs to Signal Professional Value. In K. </w:t>
      </w:r>
      <w:proofErr w:type="spellStart"/>
      <w:r w:rsidRPr="00636540">
        <w:rPr>
          <w:rFonts w:ascii="Arial" w:hAnsi="Arial" w:cs="Arial"/>
          <w:color w:val="000000" w:themeColor="text1"/>
          <w:sz w:val="20"/>
          <w:szCs w:val="20"/>
        </w:rPr>
        <w:t>Setzekorn</w:t>
      </w:r>
      <w:proofErr w:type="spellEnd"/>
      <w:r w:rsidRPr="00636540">
        <w:rPr>
          <w:rFonts w:ascii="Arial" w:hAnsi="Arial" w:cs="Arial"/>
          <w:color w:val="000000" w:themeColor="text1"/>
          <w:sz w:val="20"/>
          <w:szCs w:val="20"/>
        </w:rPr>
        <w:t xml:space="preserve">, N. </w:t>
      </w:r>
      <w:proofErr w:type="spellStart"/>
      <w:r w:rsidRPr="00636540">
        <w:rPr>
          <w:rFonts w:ascii="Arial" w:hAnsi="Arial" w:cs="Arial"/>
          <w:color w:val="000000" w:themeColor="text1"/>
          <w:sz w:val="20"/>
          <w:szCs w:val="20"/>
        </w:rPr>
        <w:t>Patnayakuni</w:t>
      </w:r>
      <w:proofErr w:type="spellEnd"/>
      <w:r w:rsidRPr="00636540">
        <w:rPr>
          <w:rFonts w:ascii="Arial" w:hAnsi="Arial" w:cs="Arial"/>
          <w:color w:val="000000" w:themeColor="text1"/>
          <w:sz w:val="20"/>
          <w:szCs w:val="20"/>
        </w:rPr>
        <w:t xml:space="preserve">, &amp; T. Burton (Eds.), </w:t>
      </w:r>
      <w:r w:rsidRPr="00636540">
        <w:rPr>
          <w:rFonts w:ascii="Arial" w:hAnsi="Arial" w:cs="Arial"/>
          <w:i/>
          <w:iCs/>
          <w:color w:val="000000" w:themeColor="text1"/>
          <w:sz w:val="20"/>
          <w:szCs w:val="20"/>
        </w:rPr>
        <w:t>Socioeconomics, Diversity, and the Politics of Online Education</w:t>
      </w:r>
      <w:r w:rsidRPr="00636540">
        <w:rPr>
          <w:rFonts w:ascii="Arial" w:hAnsi="Arial" w:cs="Arial"/>
          <w:color w:val="000000" w:themeColor="text1"/>
          <w:sz w:val="20"/>
          <w:szCs w:val="20"/>
        </w:rPr>
        <w:t xml:space="preserve"> (pp. 50-77). IGI Global Scientific Publishing. </w:t>
      </w:r>
      <w:hyperlink r:id="rId38" w:history="1">
        <w:r w:rsidRPr="00636540">
          <w:rPr>
            <w:rStyle w:val="Hyperlink"/>
            <w:rFonts w:ascii="Arial" w:hAnsi="Arial" w:cs="Arial"/>
            <w:color w:val="000000" w:themeColor="text1"/>
            <w:sz w:val="20"/>
            <w:szCs w:val="20"/>
            <w:u w:val="none"/>
          </w:rPr>
          <w:t>https://doi.org/10.4018/978-1-7998-3583-7.ch004</w:t>
        </w:r>
      </w:hyperlink>
    </w:p>
    <w:p w14:paraId="7C6110A0"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Ha, N. T. N., Van Dyke, N., Spittle, M., Watt, A., &amp; Smallridge, A. (2024). Micro-credentials through the eyes of employers: Benefits, challenges and enablers of effectiveness. </w:t>
      </w:r>
      <w:r w:rsidRPr="00636540">
        <w:rPr>
          <w:rFonts w:ascii="Arial" w:hAnsi="Arial" w:cs="Arial"/>
          <w:i/>
          <w:iCs/>
          <w:color w:val="000000" w:themeColor="text1"/>
          <w:sz w:val="20"/>
          <w:szCs w:val="20"/>
        </w:rPr>
        <w:t>Education + Training, 66</w:t>
      </w:r>
      <w:r w:rsidRPr="00636540">
        <w:rPr>
          <w:rFonts w:ascii="Arial" w:hAnsi="Arial" w:cs="Arial"/>
          <w:color w:val="000000" w:themeColor="text1"/>
          <w:sz w:val="20"/>
          <w:szCs w:val="20"/>
        </w:rPr>
        <w:t>(7), 948–963.</w:t>
      </w:r>
      <w:hyperlink r:id="rId39" w:history="1">
        <w:r w:rsidRPr="00636540">
          <w:rPr>
            <w:rStyle w:val="Hyperlink"/>
            <w:rFonts w:ascii="Arial" w:hAnsi="Arial" w:cs="Arial"/>
            <w:color w:val="000000" w:themeColor="text1"/>
            <w:sz w:val="20"/>
            <w:szCs w:val="20"/>
            <w:u w:val="none"/>
          </w:rPr>
          <w:t xml:space="preserve"> https://doi.org/10.1108/ET-08-2023-0340</w:t>
        </w:r>
      </w:hyperlink>
    </w:p>
    <w:p w14:paraId="32C7BD4A"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Hew, K. F., Hu, X., Qiao, C., &amp; Tang, Y. (2020). What predicts student satisfaction with MOOCs: A gradient boosting trees supervised machine learning and sentiment analysis approach. </w:t>
      </w:r>
      <w:r w:rsidRPr="00636540">
        <w:rPr>
          <w:rFonts w:ascii="Arial" w:hAnsi="Arial" w:cs="Arial"/>
          <w:i/>
          <w:iCs/>
          <w:color w:val="000000" w:themeColor="text1"/>
          <w:sz w:val="20"/>
          <w:szCs w:val="20"/>
        </w:rPr>
        <w:t>Computers &amp; Education, 145</w:t>
      </w:r>
      <w:r w:rsidRPr="00636540">
        <w:rPr>
          <w:rFonts w:ascii="Arial" w:hAnsi="Arial" w:cs="Arial"/>
          <w:color w:val="000000" w:themeColor="text1"/>
          <w:sz w:val="20"/>
          <w:szCs w:val="20"/>
        </w:rPr>
        <w:t xml:space="preserve">, 103724. </w:t>
      </w:r>
      <w:hyperlink r:id="rId40" w:history="1">
        <w:r w:rsidRPr="00636540">
          <w:rPr>
            <w:rStyle w:val="Hyperlink"/>
            <w:rFonts w:ascii="Arial" w:hAnsi="Arial" w:cs="Arial"/>
            <w:color w:val="000000" w:themeColor="text1"/>
            <w:sz w:val="20"/>
            <w:szCs w:val="20"/>
            <w:u w:val="none"/>
          </w:rPr>
          <w:t>https://doi.org/10.1016/j.compedu.2019.103724</w:t>
        </w:r>
      </w:hyperlink>
    </w:p>
    <w:p w14:paraId="33B5A0C4"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Jordan, K. (2015). Massive open online course completion rates revisited: Assessment, length and attrition. </w:t>
      </w:r>
      <w:r w:rsidRPr="00636540">
        <w:rPr>
          <w:rFonts w:ascii="Arial" w:hAnsi="Arial" w:cs="Arial"/>
          <w:i/>
          <w:iCs/>
          <w:color w:val="000000" w:themeColor="text1"/>
          <w:sz w:val="20"/>
          <w:szCs w:val="20"/>
        </w:rPr>
        <w:t>The International Review of Research in Open and Distributed Learning</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16</w:t>
      </w:r>
      <w:r w:rsidRPr="00636540">
        <w:rPr>
          <w:rFonts w:ascii="Arial" w:hAnsi="Arial" w:cs="Arial"/>
          <w:color w:val="000000" w:themeColor="text1"/>
          <w:sz w:val="20"/>
          <w:szCs w:val="20"/>
        </w:rPr>
        <w:t xml:space="preserve">(3). </w:t>
      </w:r>
      <w:hyperlink r:id="rId41" w:history="1">
        <w:r w:rsidRPr="00636540">
          <w:rPr>
            <w:rStyle w:val="Hyperlink"/>
            <w:rFonts w:ascii="Arial" w:hAnsi="Arial" w:cs="Arial"/>
            <w:color w:val="000000" w:themeColor="text1"/>
            <w:sz w:val="20"/>
            <w:szCs w:val="20"/>
            <w:u w:val="none"/>
          </w:rPr>
          <w:t>https://doi.org/10.19173/irrodl.v16i3.2112</w:t>
        </w:r>
      </w:hyperlink>
    </w:p>
    <w:p w14:paraId="59E553B9"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Kassi, O., &amp; </w:t>
      </w:r>
      <w:proofErr w:type="spellStart"/>
      <w:r w:rsidRPr="00636540">
        <w:rPr>
          <w:rFonts w:ascii="Arial" w:hAnsi="Arial" w:cs="Arial"/>
          <w:color w:val="000000" w:themeColor="text1"/>
          <w:sz w:val="20"/>
          <w:szCs w:val="20"/>
        </w:rPr>
        <w:t>Lehdonvirta</w:t>
      </w:r>
      <w:proofErr w:type="spellEnd"/>
      <w:r w:rsidRPr="00636540">
        <w:rPr>
          <w:rFonts w:ascii="Arial" w:hAnsi="Arial" w:cs="Arial"/>
          <w:color w:val="000000" w:themeColor="text1"/>
          <w:sz w:val="20"/>
          <w:szCs w:val="20"/>
        </w:rPr>
        <w:t xml:space="preserve">, V. (2024). Do </w:t>
      </w:r>
      <w:proofErr w:type="spellStart"/>
      <w:r w:rsidRPr="00636540">
        <w:rPr>
          <w:rFonts w:ascii="Arial" w:hAnsi="Arial" w:cs="Arial"/>
          <w:color w:val="000000" w:themeColor="text1"/>
          <w:sz w:val="20"/>
          <w:szCs w:val="20"/>
        </w:rPr>
        <w:t>microcredentials</w:t>
      </w:r>
      <w:proofErr w:type="spellEnd"/>
      <w:r w:rsidRPr="00636540">
        <w:rPr>
          <w:rFonts w:ascii="Arial" w:hAnsi="Arial" w:cs="Arial"/>
          <w:color w:val="000000" w:themeColor="text1"/>
          <w:sz w:val="20"/>
          <w:szCs w:val="20"/>
        </w:rPr>
        <w:t xml:space="preserve"> help new workers enter the market? Evidence from an online labor platform. </w:t>
      </w:r>
      <w:r w:rsidRPr="00636540">
        <w:rPr>
          <w:rFonts w:ascii="Arial" w:hAnsi="Arial" w:cs="Arial"/>
          <w:i/>
          <w:iCs/>
          <w:color w:val="000000" w:themeColor="text1"/>
          <w:sz w:val="20"/>
          <w:szCs w:val="20"/>
        </w:rPr>
        <w:t>The Journal of Human Resources, 59</w:t>
      </w:r>
      <w:r w:rsidRPr="00636540">
        <w:rPr>
          <w:rFonts w:ascii="Arial" w:hAnsi="Arial" w:cs="Arial"/>
          <w:color w:val="000000" w:themeColor="text1"/>
          <w:sz w:val="20"/>
          <w:szCs w:val="20"/>
        </w:rPr>
        <w:t xml:space="preserve">(4), 1284–1318. </w:t>
      </w:r>
      <w:hyperlink r:id="rId42" w:history="1">
        <w:r w:rsidRPr="00636540">
          <w:rPr>
            <w:rStyle w:val="Hyperlink"/>
            <w:rFonts w:ascii="Arial" w:hAnsi="Arial" w:cs="Arial"/>
            <w:color w:val="000000" w:themeColor="text1"/>
            <w:sz w:val="20"/>
            <w:szCs w:val="20"/>
            <w:u w:val="none"/>
          </w:rPr>
          <w:t>https://doi.org/10.3368/jhr.0519-10226R3</w:t>
        </w:r>
      </w:hyperlink>
    </w:p>
    <w:p w14:paraId="4DC9B5D9"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Levinsson, H., Nilsson, A., Mårtensson, K., &amp; Persson, S. D. (2024). Course design as a stronger predictor of student evaluation of quality and student engagement than teacher ratings. </w:t>
      </w:r>
      <w:r w:rsidRPr="00636540">
        <w:rPr>
          <w:rFonts w:ascii="Arial" w:hAnsi="Arial" w:cs="Arial"/>
          <w:i/>
          <w:iCs/>
          <w:color w:val="000000" w:themeColor="text1"/>
          <w:sz w:val="20"/>
          <w:szCs w:val="20"/>
        </w:rPr>
        <w:t>Higher Education, 88</w:t>
      </w:r>
      <w:r w:rsidRPr="00636540">
        <w:rPr>
          <w:rFonts w:ascii="Arial" w:hAnsi="Arial" w:cs="Arial"/>
          <w:color w:val="000000" w:themeColor="text1"/>
          <w:sz w:val="20"/>
          <w:szCs w:val="20"/>
        </w:rPr>
        <w:t>, 1997–2013.</w:t>
      </w:r>
      <w:hyperlink r:id="rId43" w:history="1">
        <w:r w:rsidRPr="00636540">
          <w:rPr>
            <w:rStyle w:val="Hyperlink"/>
            <w:rFonts w:ascii="Arial" w:hAnsi="Arial" w:cs="Arial"/>
            <w:color w:val="000000" w:themeColor="text1"/>
            <w:sz w:val="20"/>
            <w:szCs w:val="20"/>
            <w:u w:val="none"/>
          </w:rPr>
          <w:t xml:space="preserve"> https://doi.org/10.1007/s10734-024-01197-y</w:t>
        </w:r>
      </w:hyperlink>
    </w:p>
    <w:p w14:paraId="4E523746"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Lim, W. M. (2025). What Is Qualitative Research? An Overview and Guidelines. </w:t>
      </w:r>
      <w:r w:rsidRPr="00636540">
        <w:rPr>
          <w:rFonts w:ascii="Arial" w:hAnsi="Arial" w:cs="Arial"/>
          <w:i/>
          <w:iCs/>
          <w:color w:val="000000" w:themeColor="text1"/>
          <w:sz w:val="20"/>
          <w:szCs w:val="20"/>
        </w:rPr>
        <w:t>Australasian Marketing Journal</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33</w:t>
      </w:r>
      <w:r w:rsidRPr="00636540">
        <w:rPr>
          <w:rFonts w:ascii="Arial" w:hAnsi="Arial" w:cs="Arial"/>
          <w:color w:val="000000" w:themeColor="text1"/>
          <w:sz w:val="20"/>
          <w:szCs w:val="20"/>
        </w:rPr>
        <w:t>(2), 199-229.</w:t>
      </w:r>
      <w:hyperlink r:id="rId44" w:history="1">
        <w:r w:rsidRPr="00636540">
          <w:rPr>
            <w:rStyle w:val="Hyperlink"/>
            <w:rFonts w:ascii="Arial" w:hAnsi="Arial" w:cs="Arial"/>
            <w:color w:val="000000" w:themeColor="text1"/>
            <w:sz w:val="20"/>
            <w:szCs w:val="20"/>
            <w:u w:val="none"/>
          </w:rPr>
          <w:t xml:space="preserve"> https://doi.org/10.1177/14413582241264619</w:t>
        </w:r>
      </w:hyperlink>
    </w:p>
    <w:p w14:paraId="431F526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Lincoln, Y. S., &amp; Guba, E. G. (1985). </w:t>
      </w:r>
      <w:r w:rsidRPr="00636540">
        <w:rPr>
          <w:rFonts w:ascii="Arial" w:hAnsi="Arial" w:cs="Arial"/>
          <w:i/>
          <w:iCs/>
          <w:color w:val="000000" w:themeColor="text1"/>
          <w:sz w:val="20"/>
          <w:szCs w:val="20"/>
        </w:rPr>
        <w:t>Naturalistic inquiry</w:t>
      </w:r>
      <w:r w:rsidRPr="00636540">
        <w:rPr>
          <w:rFonts w:ascii="Arial" w:hAnsi="Arial" w:cs="Arial"/>
          <w:color w:val="000000" w:themeColor="text1"/>
          <w:sz w:val="20"/>
          <w:szCs w:val="20"/>
        </w:rPr>
        <w:t>. SAGE.</w:t>
      </w:r>
    </w:p>
    <w:p w14:paraId="23A9B27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Luo, R., Huang, R., &amp; Shi, G. (2026). Development and validation of an LMOOC quality evaluation scale: A large-scale mixed-method approach. </w:t>
      </w:r>
      <w:proofErr w:type="spellStart"/>
      <w:r w:rsidRPr="00636540">
        <w:rPr>
          <w:rFonts w:ascii="Arial" w:hAnsi="Arial" w:cs="Arial"/>
          <w:i/>
          <w:iCs/>
          <w:color w:val="000000" w:themeColor="text1"/>
          <w:sz w:val="20"/>
          <w:szCs w:val="20"/>
        </w:rPr>
        <w:t>ReCALL</w:t>
      </w:r>
      <w:proofErr w:type="spellEnd"/>
      <w:r w:rsidRPr="00636540">
        <w:rPr>
          <w:rFonts w:ascii="Arial" w:hAnsi="Arial" w:cs="Arial"/>
          <w:i/>
          <w:iCs/>
          <w:color w:val="000000" w:themeColor="text1"/>
          <w:sz w:val="20"/>
          <w:szCs w:val="20"/>
        </w:rPr>
        <w:t>, 38</w:t>
      </w:r>
      <w:r w:rsidRPr="00636540">
        <w:rPr>
          <w:rFonts w:ascii="Arial" w:hAnsi="Arial" w:cs="Arial"/>
          <w:color w:val="000000" w:themeColor="text1"/>
          <w:sz w:val="20"/>
          <w:szCs w:val="20"/>
        </w:rPr>
        <w:t xml:space="preserve">(1), 4–21. </w:t>
      </w:r>
      <w:hyperlink r:id="rId45" w:history="1">
        <w:r w:rsidRPr="00636540">
          <w:rPr>
            <w:rStyle w:val="Hyperlink"/>
            <w:rFonts w:ascii="Arial" w:hAnsi="Arial" w:cs="Arial"/>
            <w:color w:val="000000" w:themeColor="text1"/>
            <w:sz w:val="20"/>
            <w:szCs w:val="20"/>
            <w:u w:val="none"/>
          </w:rPr>
          <w:t>https://doi.org/10.1017/S0958344025000072</w:t>
        </w:r>
      </w:hyperlink>
    </w:p>
    <w:p w14:paraId="4030E9D5"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McInnes, R., Hobson, J. E., Johnson, K. L., Cramp, J., Aitchison, C., &amp; </w:t>
      </w:r>
      <w:proofErr w:type="spellStart"/>
      <w:r w:rsidRPr="00636540">
        <w:rPr>
          <w:rFonts w:ascii="Arial" w:hAnsi="Arial" w:cs="Arial"/>
          <w:color w:val="000000" w:themeColor="text1"/>
          <w:sz w:val="20"/>
          <w:szCs w:val="20"/>
        </w:rPr>
        <w:t>Baldock</w:t>
      </w:r>
      <w:proofErr w:type="spellEnd"/>
      <w:r w:rsidRPr="00636540">
        <w:rPr>
          <w:rFonts w:ascii="Arial" w:hAnsi="Arial" w:cs="Arial"/>
          <w:color w:val="000000" w:themeColor="text1"/>
          <w:sz w:val="20"/>
          <w:szCs w:val="20"/>
        </w:rPr>
        <w:t xml:space="preserve">, K. L. (2024). Online course quality evaluation instruments: A scoping review. </w:t>
      </w:r>
      <w:r w:rsidRPr="00636540">
        <w:rPr>
          <w:rFonts w:ascii="Arial" w:hAnsi="Arial" w:cs="Arial"/>
          <w:i/>
          <w:iCs/>
          <w:color w:val="000000" w:themeColor="text1"/>
          <w:sz w:val="20"/>
          <w:szCs w:val="20"/>
        </w:rPr>
        <w:t>Australasian Journal of Educational Technology</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40</w:t>
      </w:r>
      <w:r w:rsidRPr="00636540">
        <w:rPr>
          <w:rFonts w:ascii="Arial" w:hAnsi="Arial" w:cs="Arial"/>
          <w:color w:val="000000" w:themeColor="text1"/>
          <w:sz w:val="20"/>
          <w:szCs w:val="20"/>
        </w:rPr>
        <w:t xml:space="preserve">(2), 55–75. </w:t>
      </w:r>
      <w:hyperlink r:id="rId46" w:history="1">
        <w:r w:rsidRPr="00636540">
          <w:rPr>
            <w:rStyle w:val="Hyperlink"/>
            <w:rFonts w:ascii="Arial" w:hAnsi="Arial" w:cs="Arial"/>
            <w:color w:val="000000" w:themeColor="text1"/>
            <w:sz w:val="20"/>
            <w:szCs w:val="20"/>
            <w:u w:val="none"/>
          </w:rPr>
          <w:t>https://doi.org/10.14742/ajet.8978</w:t>
        </w:r>
      </w:hyperlink>
    </w:p>
    <w:p w14:paraId="2F875F5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Mir, S. M., &amp; Khan, N. A. (2026). A systematic review of MOOC platforms, evaluation frameworks and development of integrated model. </w:t>
      </w:r>
      <w:r w:rsidRPr="00636540">
        <w:rPr>
          <w:rFonts w:ascii="Arial" w:hAnsi="Arial" w:cs="Arial"/>
          <w:i/>
          <w:iCs/>
          <w:color w:val="000000" w:themeColor="text1"/>
          <w:sz w:val="20"/>
          <w:szCs w:val="20"/>
        </w:rPr>
        <w:t>Discover Education, 5</w:t>
      </w:r>
      <w:r w:rsidRPr="00636540">
        <w:rPr>
          <w:rFonts w:ascii="Arial" w:hAnsi="Arial" w:cs="Arial"/>
          <w:color w:val="000000" w:themeColor="text1"/>
          <w:sz w:val="20"/>
          <w:szCs w:val="20"/>
        </w:rPr>
        <w:t xml:space="preserve">, 105. </w:t>
      </w:r>
      <w:hyperlink r:id="rId47" w:history="1">
        <w:r w:rsidRPr="00636540">
          <w:rPr>
            <w:rStyle w:val="Hyperlink"/>
            <w:rFonts w:ascii="Arial" w:hAnsi="Arial" w:cs="Arial"/>
            <w:color w:val="000000" w:themeColor="text1"/>
            <w:sz w:val="20"/>
            <w:szCs w:val="20"/>
            <w:u w:val="none"/>
          </w:rPr>
          <w:t>https://doi.org/10.1007/s44217-025-01085-2</w:t>
        </w:r>
      </w:hyperlink>
    </w:p>
    <w:p w14:paraId="7761EAC4"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Narayanaswamy, R., Albers, C. S., Knotts, T. L., &amp; Albers, N. D. (2024). Sustaining and reinforcing the perceived value of higher education: E-learning with micro-credentials. </w:t>
      </w:r>
      <w:r w:rsidRPr="00636540">
        <w:rPr>
          <w:rFonts w:ascii="Arial" w:hAnsi="Arial" w:cs="Arial"/>
          <w:i/>
          <w:iCs/>
          <w:color w:val="000000" w:themeColor="text1"/>
          <w:sz w:val="20"/>
          <w:szCs w:val="20"/>
        </w:rPr>
        <w:t>Sustainability, 16</w:t>
      </w:r>
      <w:r w:rsidRPr="00636540">
        <w:rPr>
          <w:rFonts w:ascii="Arial" w:hAnsi="Arial" w:cs="Arial"/>
          <w:color w:val="000000" w:themeColor="text1"/>
          <w:sz w:val="20"/>
          <w:szCs w:val="20"/>
        </w:rPr>
        <w:t>(20), 8860.</w:t>
      </w:r>
      <w:hyperlink r:id="rId48" w:history="1">
        <w:r w:rsidRPr="00636540">
          <w:rPr>
            <w:rStyle w:val="Hyperlink"/>
            <w:rFonts w:ascii="Arial" w:hAnsi="Arial" w:cs="Arial"/>
            <w:color w:val="000000" w:themeColor="text1"/>
            <w:sz w:val="20"/>
            <w:szCs w:val="20"/>
            <w:u w:val="none"/>
          </w:rPr>
          <w:t xml:space="preserve"> https://doi.org/10.3390/su16208860</w:t>
        </w:r>
      </w:hyperlink>
    </w:p>
    <w:p w14:paraId="027850B3"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Noble, H., &amp; Smith, J. (2025). Ensuring validity and reliability in qualitative research. </w:t>
      </w:r>
      <w:r w:rsidRPr="00636540">
        <w:rPr>
          <w:rFonts w:ascii="Arial" w:hAnsi="Arial" w:cs="Arial"/>
          <w:i/>
          <w:iCs/>
          <w:color w:val="000000" w:themeColor="text1"/>
          <w:sz w:val="20"/>
          <w:szCs w:val="20"/>
        </w:rPr>
        <w:t>Evidence-Based Nursing, 28</w:t>
      </w:r>
      <w:r w:rsidRPr="00636540">
        <w:rPr>
          <w:rFonts w:ascii="Arial" w:hAnsi="Arial" w:cs="Arial"/>
          <w:color w:val="000000" w:themeColor="text1"/>
          <w:sz w:val="20"/>
          <w:szCs w:val="20"/>
        </w:rPr>
        <w:t>(4), e104232.</w:t>
      </w:r>
      <w:hyperlink r:id="rId49" w:history="1">
        <w:r w:rsidRPr="00636540">
          <w:rPr>
            <w:rStyle w:val="Hyperlink"/>
            <w:rFonts w:ascii="Arial" w:hAnsi="Arial" w:cs="Arial"/>
            <w:color w:val="000000" w:themeColor="text1"/>
            <w:sz w:val="20"/>
            <w:szCs w:val="20"/>
            <w:u w:val="none"/>
          </w:rPr>
          <w:t xml:space="preserve"> https://doi.org/10.1136/ebnurs-2024-104232</w:t>
        </w:r>
      </w:hyperlink>
    </w:p>
    <w:p w14:paraId="5CBCA14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proofErr w:type="spellStart"/>
      <w:r w:rsidRPr="00636540">
        <w:rPr>
          <w:rFonts w:ascii="Arial" w:hAnsi="Arial" w:cs="Arial"/>
          <w:color w:val="000000" w:themeColor="text1"/>
          <w:sz w:val="20"/>
          <w:szCs w:val="20"/>
        </w:rPr>
        <w:t>Pörzse</w:t>
      </w:r>
      <w:proofErr w:type="spellEnd"/>
      <w:r w:rsidRPr="00636540">
        <w:rPr>
          <w:rFonts w:ascii="Arial" w:hAnsi="Arial" w:cs="Arial"/>
          <w:color w:val="000000" w:themeColor="text1"/>
          <w:sz w:val="20"/>
          <w:szCs w:val="20"/>
        </w:rPr>
        <w:t xml:space="preserve">, G., &amp; Kenesei, Z. (2026). To </w:t>
      </w:r>
      <w:proofErr w:type="spellStart"/>
      <w:r w:rsidRPr="00636540">
        <w:rPr>
          <w:rFonts w:ascii="Arial" w:hAnsi="Arial" w:cs="Arial"/>
          <w:color w:val="000000" w:themeColor="text1"/>
          <w:sz w:val="20"/>
          <w:szCs w:val="20"/>
        </w:rPr>
        <w:t>enrol</w:t>
      </w:r>
      <w:proofErr w:type="spellEnd"/>
      <w:r w:rsidRPr="00636540">
        <w:rPr>
          <w:rFonts w:ascii="Arial" w:hAnsi="Arial" w:cs="Arial"/>
          <w:color w:val="000000" w:themeColor="text1"/>
          <w:sz w:val="20"/>
          <w:szCs w:val="20"/>
        </w:rPr>
        <w:t xml:space="preserve"> or not to </w:t>
      </w:r>
      <w:proofErr w:type="spellStart"/>
      <w:r w:rsidRPr="00636540">
        <w:rPr>
          <w:rFonts w:ascii="Arial" w:hAnsi="Arial" w:cs="Arial"/>
          <w:color w:val="000000" w:themeColor="text1"/>
          <w:sz w:val="20"/>
          <w:szCs w:val="20"/>
        </w:rPr>
        <w:t>enrol</w:t>
      </w:r>
      <w:proofErr w:type="spellEnd"/>
      <w:r w:rsidRPr="00636540">
        <w:rPr>
          <w:rFonts w:ascii="Arial" w:hAnsi="Arial" w:cs="Arial"/>
          <w:color w:val="000000" w:themeColor="text1"/>
          <w:sz w:val="20"/>
          <w:szCs w:val="20"/>
        </w:rPr>
        <w:t xml:space="preserve">: What are the risks in choosing a massive open online course (MOOC)? </w:t>
      </w:r>
      <w:r w:rsidRPr="00636540">
        <w:rPr>
          <w:rFonts w:ascii="Arial" w:hAnsi="Arial" w:cs="Arial"/>
          <w:i/>
          <w:iCs/>
          <w:color w:val="000000" w:themeColor="text1"/>
          <w:sz w:val="20"/>
          <w:szCs w:val="20"/>
        </w:rPr>
        <w:t>International Review of Education, 72</w:t>
      </w:r>
      <w:r w:rsidRPr="00636540">
        <w:rPr>
          <w:rFonts w:ascii="Arial" w:hAnsi="Arial" w:cs="Arial"/>
          <w:color w:val="000000" w:themeColor="text1"/>
          <w:sz w:val="20"/>
          <w:szCs w:val="20"/>
        </w:rPr>
        <w:t>, 345–367.</w:t>
      </w:r>
      <w:hyperlink r:id="rId50" w:history="1">
        <w:r w:rsidRPr="00636540">
          <w:rPr>
            <w:rStyle w:val="Hyperlink"/>
            <w:rFonts w:ascii="Arial" w:hAnsi="Arial" w:cs="Arial"/>
            <w:color w:val="000000" w:themeColor="text1"/>
            <w:sz w:val="20"/>
            <w:szCs w:val="20"/>
            <w:u w:val="none"/>
          </w:rPr>
          <w:t xml:space="preserve"> </w:t>
        </w:r>
      </w:hyperlink>
      <w:hyperlink r:id="rId51" w:history="1">
        <w:r w:rsidRPr="00636540">
          <w:rPr>
            <w:rStyle w:val="Hyperlink"/>
            <w:rFonts w:ascii="Arial" w:hAnsi="Arial" w:cs="Arial"/>
            <w:color w:val="000000" w:themeColor="text1"/>
            <w:sz w:val="20"/>
            <w:szCs w:val="20"/>
            <w:u w:val="none"/>
          </w:rPr>
          <w:t>https://doi.org/10.1007/s11159-025-10170-5</w:t>
        </w:r>
      </w:hyperlink>
    </w:p>
    <w:p w14:paraId="4B8491EA"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Richardson, J. C., Koehler, A. A., Tagare, D., Urena-Rodriguez, L., Xu, Q., Zhang, Z., </w:t>
      </w:r>
      <w:proofErr w:type="spellStart"/>
      <w:r w:rsidRPr="00636540">
        <w:rPr>
          <w:rFonts w:ascii="Arial" w:hAnsi="Arial" w:cs="Arial"/>
          <w:color w:val="000000" w:themeColor="text1"/>
          <w:sz w:val="20"/>
          <w:szCs w:val="20"/>
        </w:rPr>
        <w:t>Fiock</w:t>
      </w:r>
      <w:proofErr w:type="spellEnd"/>
      <w:r w:rsidRPr="00636540">
        <w:rPr>
          <w:rFonts w:ascii="Arial" w:hAnsi="Arial" w:cs="Arial"/>
          <w:color w:val="000000" w:themeColor="text1"/>
          <w:sz w:val="20"/>
          <w:szCs w:val="20"/>
        </w:rPr>
        <w:t xml:space="preserve">, H., Long, Y., &amp; Shams Ud Duha, M. (2025). Community of Inquiry design decisions </w:t>
      </w:r>
      <w:r w:rsidRPr="00636540">
        <w:rPr>
          <w:rFonts w:ascii="Arial" w:hAnsi="Arial" w:cs="Arial"/>
          <w:color w:val="000000" w:themeColor="text1"/>
          <w:sz w:val="20"/>
          <w:szCs w:val="20"/>
        </w:rPr>
        <w:lastRenderedPageBreak/>
        <w:t xml:space="preserve">across disciplines. </w:t>
      </w:r>
      <w:r w:rsidRPr="00636540">
        <w:rPr>
          <w:rFonts w:ascii="Arial" w:hAnsi="Arial" w:cs="Arial"/>
          <w:i/>
          <w:iCs/>
          <w:color w:val="000000" w:themeColor="text1"/>
          <w:sz w:val="20"/>
          <w:szCs w:val="20"/>
        </w:rPr>
        <w:t>Journal of Computing in Higher Education, 37</w:t>
      </w:r>
      <w:r w:rsidRPr="00636540">
        <w:rPr>
          <w:rFonts w:ascii="Arial" w:hAnsi="Arial" w:cs="Arial"/>
          <w:color w:val="000000" w:themeColor="text1"/>
          <w:sz w:val="20"/>
          <w:szCs w:val="20"/>
        </w:rPr>
        <w:t>, 1119–1160.</w:t>
      </w:r>
      <w:hyperlink r:id="rId52" w:history="1">
        <w:r w:rsidRPr="00636540">
          <w:rPr>
            <w:rStyle w:val="Hyperlink"/>
            <w:rFonts w:ascii="Arial" w:hAnsi="Arial" w:cs="Arial"/>
            <w:color w:val="000000" w:themeColor="text1"/>
            <w:sz w:val="20"/>
            <w:szCs w:val="20"/>
            <w:u w:val="none"/>
          </w:rPr>
          <w:t xml:space="preserve"> https://doi.org/10.1007/s12528-024-09417-1</w:t>
        </w:r>
      </w:hyperlink>
    </w:p>
    <w:p w14:paraId="37DE9C6B"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Rivas, M. J., Baker, R. B., &amp; Evans, B. J. (2020). Do MOOCs Make You More Marketable? An Experimental Analysis of the Value of MOOCs Relative to Traditional Credentials and Experience. </w:t>
      </w:r>
      <w:r w:rsidRPr="00636540">
        <w:rPr>
          <w:rFonts w:ascii="Arial" w:hAnsi="Arial" w:cs="Arial"/>
          <w:i/>
          <w:iCs/>
          <w:color w:val="000000" w:themeColor="text1"/>
          <w:sz w:val="20"/>
          <w:szCs w:val="20"/>
        </w:rPr>
        <w:t>AERA Open</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6</w:t>
      </w:r>
      <w:r w:rsidRPr="00636540">
        <w:rPr>
          <w:rFonts w:ascii="Arial" w:hAnsi="Arial" w:cs="Arial"/>
          <w:color w:val="000000" w:themeColor="text1"/>
          <w:sz w:val="20"/>
          <w:szCs w:val="20"/>
        </w:rPr>
        <w:t>(4).</w:t>
      </w:r>
      <w:hyperlink r:id="rId53" w:history="1">
        <w:r w:rsidRPr="00636540">
          <w:rPr>
            <w:rStyle w:val="Hyperlink"/>
            <w:rFonts w:ascii="Arial" w:hAnsi="Arial" w:cs="Arial"/>
            <w:color w:val="000000" w:themeColor="text1"/>
            <w:sz w:val="20"/>
            <w:szCs w:val="20"/>
            <w:u w:val="none"/>
          </w:rPr>
          <w:t xml:space="preserve"> https://doi.org/10.1177/2332858420973577</w:t>
        </w:r>
      </w:hyperlink>
    </w:p>
    <w:p w14:paraId="7223899D"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Shi, Y., &amp; Xu, A. T. (2024). A comparative study of Coursera and edX on unveiling the enigma of MOOC platforms' </w:t>
      </w:r>
      <w:proofErr w:type="spellStart"/>
      <w:r w:rsidRPr="00636540">
        <w:rPr>
          <w:rFonts w:ascii="Arial" w:hAnsi="Arial" w:cs="Arial"/>
          <w:color w:val="000000" w:themeColor="text1"/>
          <w:sz w:val="20"/>
          <w:szCs w:val="20"/>
        </w:rPr>
        <w:t>signalling</w:t>
      </w:r>
      <w:proofErr w:type="spellEnd"/>
      <w:r w:rsidRPr="00636540">
        <w:rPr>
          <w:rFonts w:ascii="Arial" w:hAnsi="Arial" w:cs="Arial"/>
          <w:color w:val="000000" w:themeColor="text1"/>
          <w:sz w:val="20"/>
          <w:szCs w:val="20"/>
        </w:rPr>
        <w:t xml:space="preserve"> effects: A mixed-method approach. </w:t>
      </w:r>
      <w:r w:rsidRPr="00636540">
        <w:rPr>
          <w:rFonts w:ascii="Arial" w:hAnsi="Arial" w:cs="Arial"/>
          <w:i/>
          <w:iCs/>
          <w:color w:val="000000" w:themeColor="text1"/>
          <w:sz w:val="20"/>
          <w:szCs w:val="20"/>
        </w:rPr>
        <w:t>Australasian Conference on Information Systems 2024 Proceedings</w:t>
      </w:r>
      <w:r w:rsidRPr="00636540">
        <w:rPr>
          <w:rFonts w:ascii="Arial" w:hAnsi="Arial" w:cs="Arial"/>
          <w:color w:val="000000" w:themeColor="text1"/>
          <w:sz w:val="20"/>
          <w:szCs w:val="20"/>
        </w:rPr>
        <w:t>, Article 12.</w:t>
      </w:r>
      <w:hyperlink r:id="rId54" w:history="1">
        <w:r w:rsidRPr="00636540">
          <w:rPr>
            <w:rStyle w:val="Hyperlink"/>
            <w:rFonts w:ascii="Arial" w:hAnsi="Arial" w:cs="Arial"/>
            <w:color w:val="000000" w:themeColor="text1"/>
            <w:sz w:val="20"/>
            <w:szCs w:val="20"/>
            <w:u w:val="none"/>
          </w:rPr>
          <w:t xml:space="preserve"> https://aisel.aisnet.org/acis2024/12</w:t>
        </w:r>
      </w:hyperlink>
    </w:p>
    <w:p w14:paraId="58633695"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Srivastava, N., Nawaz, S., Tsai, Y.-S., &amp; </w:t>
      </w:r>
      <w:proofErr w:type="spellStart"/>
      <w:r w:rsidRPr="00636540">
        <w:rPr>
          <w:rFonts w:ascii="Arial" w:hAnsi="Arial" w:cs="Arial"/>
          <w:color w:val="000000" w:themeColor="text1"/>
          <w:sz w:val="20"/>
          <w:szCs w:val="20"/>
        </w:rPr>
        <w:t>Gašević</w:t>
      </w:r>
      <w:proofErr w:type="spellEnd"/>
      <w:r w:rsidRPr="00636540">
        <w:rPr>
          <w:rFonts w:ascii="Arial" w:hAnsi="Arial" w:cs="Arial"/>
          <w:color w:val="000000" w:themeColor="text1"/>
          <w:sz w:val="20"/>
          <w:szCs w:val="20"/>
        </w:rPr>
        <w:t xml:space="preserve">, D. (2024). Curriculum Analytics of Course Choices: : Links with Academic Performance. </w:t>
      </w:r>
      <w:r w:rsidRPr="00636540">
        <w:rPr>
          <w:rFonts w:ascii="Arial" w:hAnsi="Arial" w:cs="Arial"/>
          <w:i/>
          <w:iCs/>
          <w:color w:val="000000" w:themeColor="text1"/>
          <w:sz w:val="20"/>
          <w:szCs w:val="20"/>
        </w:rPr>
        <w:t>Journal of Learning Analytics</w:t>
      </w:r>
      <w:r w:rsidRPr="00636540">
        <w:rPr>
          <w:rFonts w:ascii="Arial" w:hAnsi="Arial" w:cs="Arial"/>
          <w:color w:val="000000" w:themeColor="text1"/>
          <w:sz w:val="20"/>
          <w:szCs w:val="20"/>
        </w:rPr>
        <w:t xml:space="preserve">, </w:t>
      </w:r>
      <w:r w:rsidRPr="00636540">
        <w:rPr>
          <w:rFonts w:ascii="Arial" w:hAnsi="Arial" w:cs="Arial"/>
          <w:i/>
          <w:iCs/>
          <w:color w:val="000000" w:themeColor="text1"/>
          <w:sz w:val="20"/>
          <w:szCs w:val="20"/>
        </w:rPr>
        <w:t>11</w:t>
      </w:r>
      <w:r w:rsidRPr="00636540">
        <w:rPr>
          <w:rFonts w:ascii="Arial" w:hAnsi="Arial" w:cs="Arial"/>
          <w:color w:val="000000" w:themeColor="text1"/>
          <w:sz w:val="20"/>
          <w:szCs w:val="20"/>
        </w:rPr>
        <w:t>(1), 116-131. https://doi.org/10.18608/jla.2024.8095</w:t>
      </w:r>
    </w:p>
    <w:p w14:paraId="7131D734"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Wang, J., Yang, X., &amp; Liu, D. (2024). A Comparison of the Validity of Online Courses Quality Evaluation Models. </w:t>
      </w:r>
      <w:r w:rsidRPr="00636540">
        <w:rPr>
          <w:rFonts w:ascii="Arial" w:hAnsi="Arial" w:cs="Arial"/>
          <w:i/>
          <w:iCs/>
          <w:color w:val="000000" w:themeColor="text1"/>
          <w:sz w:val="20"/>
          <w:szCs w:val="20"/>
        </w:rPr>
        <w:t>International Journal of Web-Based Learning and Teaching Technologies (IJWLTT), 19</w:t>
      </w:r>
      <w:r w:rsidRPr="00636540">
        <w:rPr>
          <w:rFonts w:ascii="Arial" w:hAnsi="Arial" w:cs="Arial"/>
          <w:color w:val="000000" w:themeColor="text1"/>
          <w:sz w:val="20"/>
          <w:szCs w:val="20"/>
        </w:rPr>
        <w:t xml:space="preserve">(1), 1-17. </w:t>
      </w:r>
      <w:hyperlink r:id="rId55" w:history="1">
        <w:r w:rsidRPr="00636540">
          <w:rPr>
            <w:rStyle w:val="Hyperlink"/>
            <w:rFonts w:ascii="Arial" w:hAnsi="Arial" w:cs="Arial"/>
            <w:color w:val="000000" w:themeColor="text1"/>
            <w:sz w:val="20"/>
            <w:szCs w:val="20"/>
            <w:u w:val="none"/>
          </w:rPr>
          <w:t>https://doi.org/10.4018/IJWLTT.349984</w:t>
        </w:r>
      </w:hyperlink>
    </w:p>
    <w:p w14:paraId="2019E75E"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Wang, S., &amp; Lee, S.-K. (2024). Exploring the role of learning goal orientation, instructor reputation, parasocial interaction, and tutor intervention in university students' MOOC retention: A TAM-TRA based examination. </w:t>
      </w:r>
      <w:r w:rsidRPr="00636540">
        <w:rPr>
          <w:rFonts w:ascii="Arial" w:hAnsi="Arial" w:cs="Arial"/>
          <w:i/>
          <w:iCs/>
          <w:color w:val="000000" w:themeColor="text1"/>
          <w:sz w:val="20"/>
          <w:szCs w:val="20"/>
        </w:rPr>
        <w:t>PLOS ONE, 19</w:t>
      </w:r>
      <w:r w:rsidRPr="00636540">
        <w:rPr>
          <w:rFonts w:ascii="Arial" w:hAnsi="Arial" w:cs="Arial"/>
          <w:color w:val="000000" w:themeColor="text1"/>
          <w:sz w:val="20"/>
          <w:szCs w:val="20"/>
        </w:rPr>
        <w:t>(9), e0299014.</w:t>
      </w:r>
      <w:hyperlink r:id="rId56" w:history="1">
        <w:r w:rsidRPr="00636540">
          <w:rPr>
            <w:rStyle w:val="Hyperlink"/>
            <w:rFonts w:ascii="Arial" w:hAnsi="Arial" w:cs="Arial"/>
            <w:color w:val="000000" w:themeColor="text1"/>
            <w:sz w:val="20"/>
            <w:szCs w:val="20"/>
            <w:u w:val="none"/>
          </w:rPr>
          <w:t xml:space="preserve"> https://doi.org/10.1371/journal.pone.0299014</w:t>
        </w:r>
      </w:hyperlink>
    </w:p>
    <w:p w14:paraId="1CCDD632"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Wang, W. Z., Chen, Y., Yang, Z., Hu, Y., Deveci, M., &amp; Tomášková, H. (2025). The quality appraisal of massive open online courses using decision support model. </w:t>
      </w:r>
      <w:r w:rsidRPr="00636540">
        <w:rPr>
          <w:rFonts w:ascii="Arial" w:hAnsi="Arial" w:cs="Arial"/>
          <w:i/>
          <w:iCs/>
          <w:color w:val="000000" w:themeColor="text1"/>
          <w:sz w:val="20"/>
          <w:szCs w:val="20"/>
        </w:rPr>
        <w:t>Complex &amp; Intelligent Systems, 11</w:t>
      </w:r>
      <w:r w:rsidRPr="00636540">
        <w:rPr>
          <w:rFonts w:ascii="Arial" w:hAnsi="Arial" w:cs="Arial"/>
          <w:color w:val="000000" w:themeColor="text1"/>
          <w:sz w:val="20"/>
          <w:szCs w:val="20"/>
        </w:rPr>
        <w:t xml:space="preserve">, 355. </w:t>
      </w:r>
      <w:hyperlink r:id="rId57" w:history="1">
        <w:r w:rsidRPr="00636540">
          <w:rPr>
            <w:rStyle w:val="Hyperlink"/>
            <w:rFonts w:ascii="Arial" w:hAnsi="Arial" w:cs="Arial"/>
            <w:color w:val="000000" w:themeColor="text1"/>
            <w:sz w:val="20"/>
            <w:szCs w:val="20"/>
            <w:u w:val="none"/>
          </w:rPr>
          <w:t>https://doi.org/10.1007/s40747-025-01927-4</w:t>
        </w:r>
      </w:hyperlink>
    </w:p>
    <w:p w14:paraId="1F9EF5DC" w14:textId="77777777" w:rsidR="00636540" w:rsidRPr="00636540" w:rsidRDefault="00636540" w:rsidP="00636540">
      <w:pPr>
        <w:pStyle w:val="NormalWeb"/>
        <w:spacing w:before="0" w:beforeAutospacing="0" w:after="0" w:afterAutospacing="0"/>
        <w:ind w:left="450" w:hanging="450"/>
        <w:rPr>
          <w:rFonts w:ascii="Arial" w:hAnsi="Arial" w:cs="Arial"/>
          <w:color w:val="000000" w:themeColor="text1"/>
          <w:sz w:val="20"/>
          <w:szCs w:val="20"/>
        </w:rPr>
      </w:pPr>
      <w:r w:rsidRPr="00636540">
        <w:rPr>
          <w:rFonts w:ascii="Arial" w:hAnsi="Arial" w:cs="Arial"/>
          <w:color w:val="000000" w:themeColor="text1"/>
          <w:sz w:val="20"/>
          <w:szCs w:val="20"/>
        </w:rPr>
        <w:t xml:space="preserve">Yu, X., Mao, Q., Wang, X., Yin, Q., Che, X., &amp; Zheng, X. (2024). CR-LCRP: Course recommendation based on learner–course relation prediction with data augmentation in a heterogeneous view. </w:t>
      </w:r>
      <w:r w:rsidRPr="00636540">
        <w:rPr>
          <w:rFonts w:ascii="Arial" w:hAnsi="Arial" w:cs="Arial"/>
          <w:i/>
          <w:iCs/>
          <w:color w:val="000000" w:themeColor="text1"/>
          <w:sz w:val="20"/>
          <w:szCs w:val="20"/>
        </w:rPr>
        <w:t>Expert Systems with Applications, 249</w:t>
      </w:r>
      <w:r w:rsidRPr="00636540">
        <w:rPr>
          <w:rFonts w:ascii="Arial" w:hAnsi="Arial" w:cs="Arial"/>
          <w:color w:val="000000" w:themeColor="text1"/>
          <w:sz w:val="20"/>
          <w:szCs w:val="20"/>
        </w:rPr>
        <w:t xml:space="preserve">, 123777. </w:t>
      </w:r>
      <w:hyperlink r:id="rId58" w:history="1">
        <w:r w:rsidRPr="00636540">
          <w:rPr>
            <w:rStyle w:val="Hyperlink"/>
            <w:rFonts w:ascii="Arial" w:hAnsi="Arial" w:cs="Arial"/>
            <w:color w:val="000000" w:themeColor="text1"/>
            <w:sz w:val="20"/>
            <w:szCs w:val="20"/>
            <w:u w:val="none"/>
          </w:rPr>
          <w:t>https://doi.org/10.1016/j.eswa.2024.123777</w:t>
        </w:r>
      </w:hyperlink>
    </w:p>
    <w:sectPr w:rsidR="00636540" w:rsidRPr="00636540" w:rsidSect="00A17174">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728BF" w14:textId="77777777" w:rsidR="00183FA9" w:rsidRDefault="00183FA9" w:rsidP="00C37E61">
      <w:r>
        <w:separator/>
      </w:r>
    </w:p>
  </w:endnote>
  <w:endnote w:type="continuationSeparator" w:id="0">
    <w:p w14:paraId="30D951C7" w14:textId="77777777" w:rsidR="00183FA9" w:rsidRDefault="00183FA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92F6" w14:textId="77777777" w:rsidR="00A17174" w:rsidRDefault="00A17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380E0" w14:textId="77777777" w:rsidR="00A17174" w:rsidRDefault="00A171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1195" w14:textId="2339D83A" w:rsidR="00754C9A" w:rsidRPr="00A17174" w:rsidRDefault="00754C9A" w:rsidP="00A171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2B2E"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EE42" w14:textId="77777777" w:rsidR="00183FA9" w:rsidRDefault="00183FA9" w:rsidP="00C37E61">
      <w:r>
        <w:separator/>
      </w:r>
    </w:p>
  </w:footnote>
  <w:footnote w:type="continuationSeparator" w:id="0">
    <w:p w14:paraId="2FE994DF" w14:textId="77777777" w:rsidR="00183FA9" w:rsidRDefault="00183FA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BABF2" w14:textId="0D7F08B0" w:rsidR="00A17174" w:rsidRDefault="00A17174">
    <w:pPr>
      <w:pStyle w:val="Header"/>
    </w:pPr>
    <w:r>
      <w:rPr>
        <w:noProof/>
      </w:rPr>
      <w:pict w14:anchorId="708A87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CA0C" w14:textId="1F8355B0" w:rsidR="00A17174" w:rsidRDefault="00A17174">
    <w:pPr>
      <w:pStyle w:val="Header"/>
    </w:pPr>
    <w:r>
      <w:rPr>
        <w:noProof/>
      </w:rPr>
      <w:pict w14:anchorId="1A8947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D0D1" w14:textId="675719E2" w:rsidR="00296529" w:rsidRPr="00296529" w:rsidRDefault="00A17174" w:rsidP="00296529">
    <w:pPr>
      <w:ind w:left="2160"/>
      <w:jc w:val="center"/>
      <w:rPr>
        <w:rFonts w:eastAsia="Calibri"/>
        <w:i/>
        <w:sz w:val="18"/>
        <w:szCs w:val="22"/>
      </w:rPr>
    </w:pPr>
    <w:r>
      <w:rPr>
        <w:noProof/>
      </w:rPr>
      <w:pict w14:anchorId="1150E4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7F4CF0E3"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45C2242F" w14:textId="77777777" w:rsidR="00296529" w:rsidRPr="00296529" w:rsidRDefault="00754C9A" w:rsidP="00296529">
    <w:pPr>
      <w:jc w:val="center"/>
      <w:rPr>
        <w:rFonts w:eastAsia="Calibri"/>
        <w:i/>
        <w:sz w:val="18"/>
        <w:szCs w:val="22"/>
      </w:rPr>
    </w:pPr>
    <w:r>
      <w:rPr>
        <w:rFonts w:eastAsia="Calibri"/>
        <w:i/>
        <w:sz w:val="18"/>
        <w:szCs w:val="22"/>
      </w:rPr>
      <w:t>.</w:t>
    </w:r>
  </w:p>
  <w:p w14:paraId="43F2F252"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5A47060F"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1C05838"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B05565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71D8" w14:textId="4937DE57" w:rsidR="00A17174" w:rsidRDefault="00A17174">
    <w:pPr>
      <w:pStyle w:val="Header"/>
    </w:pPr>
    <w:r>
      <w:rPr>
        <w:noProof/>
      </w:rPr>
      <w:pict w14:anchorId="2B9D3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AFDAD2">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9228D" w14:textId="156D754D" w:rsidR="00A17174" w:rsidRDefault="00A17174">
    <w:pPr>
      <w:pStyle w:val="Header"/>
    </w:pPr>
    <w:r>
      <w:rPr>
        <w:noProof/>
      </w:rPr>
      <w:pict w14:anchorId="4EB51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3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193BFFD">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E59D" w14:textId="5399BBC2" w:rsidR="00A17174" w:rsidRPr="00296529" w:rsidRDefault="00A17174" w:rsidP="00296529">
    <w:pPr>
      <w:ind w:left="2160"/>
      <w:jc w:val="center"/>
      <w:rPr>
        <w:rFonts w:eastAsia="Calibri"/>
        <w:i/>
        <w:sz w:val="18"/>
        <w:szCs w:val="22"/>
      </w:rPr>
    </w:pPr>
    <w:r>
      <w:rPr>
        <w:noProof/>
      </w:rPr>
      <w:pict w14:anchorId="6BC730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03012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2918EDA">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p w14:paraId="20727628" w14:textId="77777777" w:rsidR="00A17174" w:rsidRPr="00296529" w:rsidRDefault="00A17174"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622B96E6" w14:textId="77777777" w:rsidR="00A17174" w:rsidRPr="00296529" w:rsidRDefault="00A17174" w:rsidP="00296529">
    <w:pPr>
      <w:jc w:val="center"/>
      <w:rPr>
        <w:rFonts w:eastAsia="Calibri"/>
        <w:i/>
        <w:sz w:val="18"/>
        <w:szCs w:val="22"/>
      </w:rPr>
    </w:pPr>
    <w:r>
      <w:rPr>
        <w:rFonts w:eastAsia="Calibri"/>
        <w:i/>
        <w:sz w:val="18"/>
        <w:szCs w:val="22"/>
      </w:rPr>
      <w:t>.</w:t>
    </w:r>
  </w:p>
  <w:p w14:paraId="3D48E280" w14:textId="77777777" w:rsidR="00A17174" w:rsidRPr="00296529" w:rsidRDefault="00A17174"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30262663" w14:textId="77777777" w:rsidR="00A17174" w:rsidRDefault="00A17174" w:rsidP="00296529">
    <w:pPr>
      <w:jc w:val="center"/>
      <w:rPr>
        <w:rFonts w:eastAsia="Calibri"/>
        <w:i/>
        <w:sz w:val="18"/>
        <w:szCs w:val="22"/>
      </w:rPr>
    </w:pPr>
    <w:r w:rsidRPr="00296529">
      <w:rPr>
        <w:rFonts w:eastAsia="Calibri"/>
        <w:i/>
        <w:sz w:val="18"/>
        <w:szCs w:val="22"/>
      </w:rPr>
      <w:t xml:space="preserve">                     </w:t>
    </w:r>
  </w:p>
  <w:p w14:paraId="429B6E4B" w14:textId="77777777" w:rsidR="00A17174" w:rsidRDefault="00A17174" w:rsidP="00296529">
    <w:pPr>
      <w:tabs>
        <w:tab w:val="left" w:pos="2145"/>
      </w:tabs>
      <w:rPr>
        <w:rFonts w:eastAsia="Calibri"/>
        <w:i/>
        <w:sz w:val="18"/>
        <w:szCs w:val="22"/>
      </w:rPr>
    </w:pPr>
    <w:r>
      <w:rPr>
        <w:rFonts w:eastAsia="Calibri"/>
        <w:i/>
        <w:sz w:val="18"/>
        <w:szCs w:val="22"/>
      </w:rPr>
      <w:tab/>
      <w:t>.</w:t>
    </w:r>
  </w:p>
  <w:p w14:paraId="5FE31447" w14:textId="77777777" w:rsidR="00A17174" w:rsidRDefault="00A1717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5"/>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8"/>
  </w:num>
  <w:num w:numId="10" w16cid:durableId="249659283">
    <w:abstractNumId w:val="2"/>
  </w:num>
  <w:num w:numId="11" w16cid:durableId="1732656361">
    <w:abstractNumId w:val="20"/>
  </w:num>
  <w:num w:numId="12" w16cid:durableId="1657537769">
    <w:abstractNumId w:val="3"/>
  </w:num>
  <w:num w:numId="13" w16cid:durableId="1538161017">
    <w:abstractNumId w:val="19"/>
  </w:num>
  <w:num w:numId="14" w16cid:durableId="1156144008">
    <w:abstractNumId w:val="8"/>
  </w:num>
  <w:num w:numId="15" w16cid:durableId="283007475">
    <w:abstractNumId w:val="23"/>
  </w:num>
  <w:num w:numId="16" w16cid:durableId="1659307781">
    <w:abstractNumId w:val="5"/>
  </w:num>
  <w:num w:numId="17" w16cid:durableId="1898470046">
    <w:abstractNumId w:val="24"/>
  </w:num>
  <w:num w:numId="18" w16cid:durableId="73864778">
    <w:abstractNumId w:val="16"/>
  </w:num>
  <w:num w:numId="19" w16cid:durableId="713584812">
    <w:abstractNumId w:val="31"/>
  </w:num>
  <w:num w:numId="20" w16cid:durableId="453714349">
    <w:abstractNumId w:val="13"/>
  </w:num>
  <w:num w:numId="21" w16cid:durableId="1178041074">
    <w:abstractNumId w:val="10"/>
  </w:num>
  <w:num w:numId="22" w16cid:durableId="359479019">
    <w:abstractNumId w:val="15"/>
  </w:num>
  <w:num w:numId="23" w16cid:durableId="644360971">
    <w:abstractNumId w:val="21"/>
  </w:num>
  <w:num w:numId="24" w16cid:durableId="874537813">
    <w:abstractNumId w:val="29"/>
  </w:num>
  <w:num w:numId="25" w16cid:durableId="1393698916">
    <w:abstractNumId w:val="4"/>
  </w:num>
  <w:num w:numId="26" w16cid:durableId="629020859">
    <w:abstractNumId w:val="18"/>
  </w:num>
  <w:num w:numId="27" w16cid:durableId="1995836081">
    <w:abstractNumId w:val="22"/>
  </w:num>
  <w:num w:numId="28" w16cid:durableId="493186585">
    <w:abstractNumId w:val="30"/>
  </w:num>
  <w:num w:numId="29" w16cid:durableId="1522937024">
    <w:abstractNumId w:val="27"/>
  </w:num>
  <w:num w:numId="30" w16cid:durableId="319311731">
    <w:abstractNumId w:val="11"/>
  </w:num>
  <w:num w:numId="31" w16cid:durableId="855971305">
    <w:abstractNumId w:val="9"/>
  </w:num>
  <w:num w:numId="32" w16cid:durableId="206531686">
    <w:abstractNumId w:val="26"/>
  </w:num>
  <w:num w:numId="33" w16cid:durableId="1325476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40A6"/>
    <w:rsid w:val="00030174"/>
    <w:rsid w:val="000404FE"/>
    <w:rsid w:val="0004579C"/>
    <w:rsid w:val="00045C72"/>
    <w:rsid w:val="000A47FA"/>
    <w:rsid w:val="000A65D3"/>
    <w:rsid w:val="000B1E33"/>
    <w:rsid w:val="000B5B2A"/>
    <w:rsid w:val="000D0E11"/>
    <w:rsid w:val="000D689F"/>
    <w:rsid w:val="000E7B7B"/>
    <w:rsid w:val="000E7D62"/>
    <w:rsid w:val="00103357"/>
    <w:rsid w:val="001064A5"/>
    <w:rsid w:val="00123C9F"/>
    <w:rsid w:val="00126190"/>
    <w:rsid w:val="00130F17"/>
    <w:rsid w:val="001320BF"/>
    <w:rsid w:val="00163BC4"/>
    <w:rsid w:val="001739B2"/>
    <w:rsid w:val="00180FAB"/>
    <w:rsid w:val="00183FA9"/>
    <w:rsid w:val="00191062"/>
    <w:rsid w:val="00192B72"/>
    <w:rsid w:val="001A29D8"/>
    <w:rsid w:val="001A5CAA"/>
    <w:rsid w:val="001B0427"/>
    <w:rsid w:val="001D3A51"/>
    <w:rsid w:val="001E10D2"/>
    <w:rsid w:val="001E25B4"/>
    <w:rsid w:val="001E44FE"/>
    <w:rsid w:val="001F3917"/>
    <w:rsid w:val="00200595"/>
    <w:rsid w:val="0020183E"/>
    <w:rsid w:val="00204835"/>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85A"/>
    <w:rsid w:val="002C16A2"/>
    <w:rsid w:val="002C57D2"/>
    <w:rsid w:val="002E0D56"/>
    <w:rsid w:val="002F322E"/>
    <w:rsid w:val="00312CEB"/>
    <w:rsid w:val="0031390C"/>
    <w:rsid w:val="00315186"/>
    <w:rsid w:val="00333201"/>
    <w:rsid w:val="0033343E"/>
    <w:rsid w:val="00344BA2"/>
    <w:rsid w:val="003512C2"/>
    <w:rsid w:val="00360E33"/>
    <w:rsid w:val="00371FB6"/>
    <w:rsid w:val="003763C1"/>
    <w:rsid w:val="00376BBE"/>
    <w:rsid w:val="00386261"/>
    <w:rsid w:val="0039224F"/>
    <w:rsid w:val="003A43A4"/>
    <w:rsid w:val="003A7E18"/>
    <w:rsid w:val="003B14C4"/>
    <w:rsid w:val="003B4D94"/>
    <w:rsid w:val="003C4C86"/>
    <w:rsid w:val="003C6258"/>
    <w:rsid w:val="003E2904"/>
    <w:rsid w:val="003E6688"/>
    <w:rsid w:val="00401927"/>
    <w:rsid w:val="0041027F"/>
    <w:rsid w:val="00412475"/>
    <w:rsid w:val="00423789"/>
    <w:rsid w:val="004243E6"/>
    <w:rsid w:val="00440F43"/>
    <w:rsid w:val="00441B6F"/>
    <w:rsid w:val="00446221"/>
    <w:rsid w:val="00450E62"/>
    <w:rsid w:val="0045381C"/>
    <w:rsid w:val="004539DB"/>
    <w:rsid w:val="00471A80"/>
    <w:rsid w:val="00472000"/>
    <w:rsid w:val="004C2541"/>
    <w:rsid w:val="004C6910"/>
    <w:rsid w:val="004D305E"/>
    <w:rsid w:val="004D3E28"/>
    <w:rsid w:val="004D4277"/>
    <w:rsid w:val="005014AD"/>
    <w:rsid w:val="00502516"/>
    <w:rsid w:val="00505F06"/>
    <w:rsid w:val="00506828"/>
    <w:rsid w:val="0053056E"/>
    <w:rsid w:val="00554FDA"/>
    <w:rsid w:val="005C784C"/>
    <w:rsid w:val="005D17F6"/>
    <w:rsid w:val="005E5539"/>
    <w:rsid w:val="00602BF5"/>
    <w:rsid w:val="00617FDD"/>
    <w:rsid w:val="00633614"/>
    <w:rsid w:val="00633F68"/>
    <w:rsid w:val="00636540"/>
    <w:rsid w:val="00636EB2"/>
    <w:rsid w:val="00637219"/>
    <w:rsid w:val="006375B8"/>
    <w:rsid w:val="0066510A"/>
    <w:rsid w:val="00673F9F"/>
    <w:rsid w:val="00686953"/>
    <w:rsid w:val="00687DEA"/>
    <w:rsid w:val="00687E67"/>
    <w:rsid w:val="006909DC"/>
    <w:rsid w:val="006967F7"/>
    <w:rsid w:val="006A250C"/>
    <w:rsid w:val="006B21D3"/>
    <w:rsid w:val="006B57D0"/>
    <w:rsid w:val="006D30FF"/>
    <w:rsid w:val="006D3648"/>
    <w:rsid w:val="006D6940"/>
    <w:rsid w:val="006F11EC"/>
    <w:rsid w:val="006F3343"/>
    <w:rsid w:val="0070082C"/>
    <w:rsid w:val="00725077"/>
    <w:rsid w:val="007369E6"/>
    <w:rsid w:val="00746E59"/>
    <w:rsid w:val="00754C9A"/>
    <w:rsid w:val="007556F4"/>
    <w:rsid w:val="0075599A"/>
    <w:rsid w:val="00761D52"/>
    <w:rsid w:val="0077749E"/>
    <w:rsid w:val="00790ADA"/>
    <w:rsid w:val="00797514"/>
    <w:rsid w:val="007C0507"/>
    <w:rsid w:val="007D2288"/>
    <w:rsid w:val="007E088F"/>
    <w:rsid w:val="007E7C94"/>
    <w:rsid w:val="007F7B32"/>
    <w:rsid w:val="00803527"/>
    <w:rsid w:val="00804BC2"/>
    <w:rsid w:val="0081431A"/>
    <w:rsid w:val="0083216F"/>
    <w:rsid w:val="00860000"/>
    <w:rsid w:val="00863BD3"/>
    <w:rsid w:val="008641ED"/>
    <w:rsid w:val="00866D66"/>
    <w:rsid w:val="008671C6"/>
    <w:rsid w:val="00875803"/>
    <w:rsid w:val="008833D1"/>
    <w:rsid w:val="008A5658"/>
    <w:rsid w:val="008B3F0D"/>
    <w:rsid w:val="008B459E"/>
    <w:rsid w:val="008E13AE"/>
    <w:rsid w:val="008E1506"/>
    <w:rsid w:val="008E710C"/>
    <w:rsid w:val="008F69D6"/>
    <w:rsid w:val="00902823"/>
    <w:rsid w:val="00915CA6"/>
    <w:rsid w:val="00927834"/>
    <w:rsid w:val="009500A6"/>
    <w:rsid w:val="00957C18"/>
    <w:rsid w:val="00964D0D"/>
    <w:rsid w:val="009659BA"/>
    <w:rsid w:val="009735FB"/>
    <w:rsid w:val="00983040"/>
    <w:rsid w:val="009B3FB9"/>
    <w:rsid w:val="009B6B47"/>
    <w:rsid w:val="009C2465"/>
    <w:rsid w:val="009D35A0"/>
    <w:rsid w:val="009D7EB7"/>
    <w:rsid w:val="009E048A"/>
    <w:rsid w:val="009E08E9"/>
    <w:rsid w:val="009E3DB9"/>
    <w:rsid w:val="009E6E35"/>
    <w:rsid w:val="009F0EDA"/>
    <w:rsid w:val="00A03B96"/>
    <w:rsid w:val="00A05B19"/>
    <w:rsid w:val="00A1134E"/>
    <w:rsid w:val="00A12423"/>
    <w:rsid w:val="00A17174"/>
    <w:rsid w:val="00A24E7E"/>
    <w:rsid w:val="00A258C3"/>
    <w:rsid w:val="00A347C0"/>
    <w:rsid w:val="00A51431"/>
    <w:rsid w:val="00A539AD"/>
    <w:rsid w:val="00A643A7"/>
    <w:rsid w:val="00A6649A"/>
    <w:rsid w:val="00A94063"/>
    <w:rsid w:val="00AA6219"/>
    <w:rsid w:val="00AA74E0"/>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E20E1"/>
    <w:rsid w:val="00BE62AD"/>
    <w:rsid w:val="00BF121F"/>
    <w:rsid w:val="00BF1F80"/>
    <w:rsid w:val="00BF5421"/>
    <w:rsid w:val="00C079FD"/>
    <w:rsid w:val="00C166EF"/>
    <w:rsid w:val="00C17EB0"/>
    <w:rsid w:val="00C27F5F"/>
    <w:rsid w:val="00C30A0F"/>
    <w:rsid w:val="00C37E61"/>
    <w:rsid w:val="00C42725"/>
    <w:rsid w:val="00C50E31"/>
    <w:rsid w:val="00C631CD"/>
    <w:rsid w:val="00C70F1B"/>
    <w:rsid w:val="00C71A47"/>
    <w:rsid w:val="00C721AF"/>
    <w:rsid w:val="00C7464C"/>
    <w:rsid w:val="00C85588"/>
    <w:rsid w:val="00CD6755"/>
    <w:rsid w:val="00CD6856"/>
    <w:rsid w:val="00CE0089"/>
    <w:rsid w:val="00CE793C"/>
    <w:rsid w:val="00CF193C"/>
    <w:rsid w:val="00D173F1"/>
    <w:rsid w:val="00D32EE8"/>
    <w:rsid w:val="00D348E9"/>
    <w:rsid w:val="00D74CB0"/>
    <w:rsid w:val="00D8295D"/>
    <w:rsid w:val="00D848F2"/>
    <w:rsid w:val="00DA05CD"/>
    <w:rsid w:val="00DC2A65"/>
    <w:rsid w:val="00DE15F0"/>
    <w:rsid w:val="00DE5663"/>
    <w:rsid w:val="00DE78AA"/>
    <w:rsid w:val="00E053D0"/>
    <w:rsid w:val="00E15994"/>
    <w:rsid w:val="00E16642"/>
    <w:rsid w:val="00E24FB2"/>
    <w:rsid w:val="00E3114E"/>
    <w:rsid w:val="00E31A70"/>
    <w:rsid w:val="00E35B02"/>
    <w:rsid w:val="00E379DE"/>
    <w:rsid w:val="00E57BDA"/>
    <w:rsid w:val="00E66496"/>
    <w:rsid w:val="00E66B35"/>
    <w:rsid w:val="00E66E10"/>
    <w:rsid w:val="00E769F6"/>
    <w:rsid w:val="00E8407C"/>
    <w:rsid w:val="00E84F3C"/>
    <w:rsid w:val="00EA012C"/>
    <w:rsid w:val="00EB5A3B"/>
    <w:rsid w:val="00EC6A55"/>
    <w:rsid w:val="00ED0288"/>
    <w:rsid w:val="00EE52CB"/>
    <w:rsid w:val="00EF581D"/>
    <w:rsid w:val="00EF7FD8"/>
    <w:rsid w:val="00F06F59"/>
    <w:rsid w:val="00F17988"/>
    <w:rsid w:val="00F469F0"/>
    <w:rsid w:val="00F53273"/>
    <w:rsid w:val="00F7506A"/>
    <w:rsid w:val="00F755E4"/>
    <w:rsid w:val="00F77D02"/>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4AE3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paragraph" w:customStyle="1" w:styleId="isselectedend">
    <w:name w:val="isselectedend"/>
    <w:basedOn w:val="Normal"/>
    <w:rsid w:val="0079751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glmedi.2024.100051?utm_source=chatgpt.com" TargetMode="External"/><Relationship Id="rId26" Type="http://schemas.openxmlformats.org/officeDocument/2006/relationships/hyperlink" Target="https://doi.org/10.1080/01587919.2024.2435645?utm_source=chatgpt.com" TargetMode="External"/><Relationship Id="rId39" Type="http://schemas.openxmlformats.org/officeDocument/2006/relationships/hyperlink" Target="https://doi.org/10.1108/ET-08-2023-0340" TargetMode="External"/><Relationship Id="rId21" Type="http://schemas.openxmlformats.org/officeDocument/2006/relationships/hyperlink" Target="https://doi.org/10.1016/j.compedu.2014.08.006" TargetMode="External"/><Relationship Id="rId34" Type="http://schemas.openxmlformats.org/officeDocument/2006/relationships/hyperlink" Target="https://doi.org/10.1177/01492063241268459" TargetMode="External"/><Relationship Id="rId42" Type="http://schemas.openxmlformats.org/officeDocument/2006/relationships/hyperlink" Target="https://doi.org/10.3368/jhr.0519-10226R3" TargetMode="External"/><Relationship Id="rId47" Type="http://schemas.openxmlformats.org/officeDocument/2006/relationships/hyperlink" Target="https://doi.org/10.1007/s44217-025-01085-2" TargetMode="External"/><Relationship Id="rId50" Type="http://schemas.openxmlformats.org/officeDocument/2006/relationships/hyperlink" Target="https://doi.org/10.1007/s11159-025-10170-5?utm_source=chatgpt.com" TargetMode="External"/><Relationship Id="rId55" Type="http://schemas.openxmlformats.org/officeDocument/2006/relationships/hyperlink" Target="https://doi.org/10.4018/IJWLTT.3499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3389/feduc.2024.1464387" TargetMode="External"/><Relationship Id="rId11" Type="http://schemas.openxmlformats.org/officeDocument/2006/relationships/footer" Target="footer2.xml"/><Relationship Id="rId24" Type="http://schemas.openxmlformats.org/officeDocument/2006/relationships/hyperlink" Target="https://doi.org/10.36923/jicc.v24i2.573?utm_source=chatgpt.com" TargetMode="External"/><Relationship Id="rId32" Type="http://schemas.openxmlformats.org/officeDocument/2006/relationships/hyperlink" Target="https://www.classcentral.com/report/most-popular-courses-2025/?utm_source=chatgpt.com" TargetMode="External"/><Relationship Id="rId37" Type="http://schemas.openxmlformats.org/officeDocument/2006/relationships/hyperlink" Target="https://doi.org/10.1177/16094069241244856" TargetMode="External"/><Relationship Id="rId40" Type="http://schemas.openxmlformats.org/officeDocument/2006/relationships/hyperlink" Target="https://doi.org/10.1016/j.compedu.2019.103724" TargetMode="External"/><Relationship Id="rId45" Type="http://schemas.openxmlformats.org/officeDocument/2006/relationships/hyperlink" Target="https://doi.org/10.1017/S0958344025000072" TargetMode="External"/><Relationship Id="rId53" Type="http://schemas.openxmlformats.org/officeDocument/2006/relationships/hyperlink" Target="https://doi.org/10.1177/2332858420973577" TargetMode="External"/><Relationship Id="rId58" Type="http://schemas.openxmlformats.org/officeDocument/2006/relationships/hyperlink" Target="https://doi.org/10.1016/j.eswa.2024.123777" TargetMode="External"/><Relationship Id="rId5" Type="http://schemas.openxmlformats.org/officeDocument/2006/relationships/webSettings" Target="webSettings.xml"/><Relationship Id="rId19" Type="http://schemas.openxmlformats.org/officeDocument/2006/relationships/hyperlink" Target="https://doi.org/10.1016/j.glmedi.2024.10005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9164/jlrm.v4i1.1699" TargetMode="External"/><Relationship Id="rId27" Type="http://schemas.openxmlformats.org/officeDocument/2006/relationships/hyperlink" Target="https://doi.org/10.1080/01587919.2024.2435645" TargetMode="External"/><Relationship Id="rId30" Type="http://schemas.openxmlformats.org/officeDocument/2006/relationships/hyperlink" Target="https://doi.org/10.1007/s13042-024-02203-6" TargetMode="External"/><Relationship Id="rId35" Type="http://schemas.openxmlformats.org/officeDocument/2006/relationships/hyperlink" Target="https://www.coursera.org/partnerships?utm_source=chatgpt.com" TargetMode="External"/><Relationship Id="rId43" Type="http://schemas.openxmlformats.org/officeDocument/2006/relationships/hyperlink" Target="https://doi.org/10.1007/s10734-024-01197-y" TargetMode="External"/><Relationship Id="rId48" Type="http://schemas.openxmlformats.org/officeDocument/2006/relationships/hyperlink" Target="https://doi.org/10.3390/su16208860" TargetMode="External"/><Relationship Id="rId56" Type="http://schemas.openxmlformats.org/officeDocument/2006/relationships/hyperlink" Target="https://doi.org/10.1371/journal.pone.0299014" TargetMode="External"/><Relationship Id="rId8" Type="http://schemas.openxmlformats.org/officeDocument/2006/relationships/header" Target="header1.xml"/><Relationship Id="rId51" Type="http://schemas.openxmlformats.org/officeDocument/2006/relationships/hyperlink" Target="https://doi.org/10.1007/s11159-025-10170-5"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36923/jicc.v24i2.573" TargetMode="External"/><Relationship Id="rId33" Type="http://schemas.openxmlformats.org/officeDocument/2006/relationships/hyperlink" Target="https://doi.org/10.1177/0149206310388419" TargetMode="External"/><Relationship Id="rId38" Type="http://schemas.openxmlformats.org/officeDocument/2006/relationships/hyperlink" Target="https://doi.org/10.4018/978-1-7998-3583-7.ch004" TargetMode="External"/><Relationship Id="rId46" Type="http://schemas.openxmlformats.org/officeDocument/2006/relationships/hyperlink" Target="https://doi.org/10.14742/ajet.8978" TargetMode="External"/><Relationship Id="rId59" Type="http://schemas.openxmlformats.org/officeDocument/2006/relationships/fontTable" Target="fontTable.xml"/><Relationship Id="rId20" Type="http://schemas.openxmlformats.org/officeDocument/2006/relationships/hyperlink" Target="https://doi.org/10.1108/ET-07-2023-0282" TargetMode="External"/><Relationship Id="rId41" Type="http://schemas.openxmlformats.org/officeDocument/2006/relationships/hyperlink" Target="https://doi.org/10.19173/irrodl.v16i3.2112" TargetMode="External"/><Relationship Id="rId54" Type="http://schemas.openxmlformats.org/officeDocument/2006/relationships/hyperlink" Target="https://aisel.aisnet.org/acis2024/12?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77/21582440241233400" TargetMode="External"/><Relationship Id="rId28" Type="http://schemas.openxmlformats.org/officeDocument/2006/relationships/hyperlink" Target="https://doi.org/10.1332/policypress/9781447369660.001.0001" TargetMode="External"/><Relationship Id="rId36" Type="http://schemas.openxmlformats.org/officeDocument/2006/relationships/hyperlink" Target="https://doi.org/10.1016/j.compedu.2018.10.019" TargetMode="External"/><Relationship Id="rId49" Type="http://schemas.openxmlformats.org/officeDocument/2006/relationships/hyperlink" Target="https://doi.org/10.1136/ebnurs-2024-104232" TargetMode="External"/><Relationship Id="rId57" Type="http://schemas.openxmlformats.org/officeDocument/2006/relationships/hyperlink" Target="https://doi.org/10.1007/s40747-025-01927-4" TargetMode="External"/><Relationship Id="rId10" Type="http://schemas.openxmlformats.org/officeDocument/2006/relationships/footer" Target="footer1.xml"/><Relationship Id="rId31" Type="http://schemas.openxmlformats.org/officeDocument/2006/relationships/hyperlink" Target="https://doi.org/10.1111/bjet.13539" TargetMode="External"/><Relationship Id="rId44" Type="http://schemas.openxmlformats.org/officeDocument/2006/relationships/hyperlink" Target="https://doi.org/10.1177/14413582241264619" TargetMode="External"/><Relationship Id="rId52" Type="http://schemas.openxmlformats.org/officeDocument/2006/relationships/hyperlink" Target="https://doi.org/10.1007/s12528-024-09417-1"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33</TotalTime>
  <Pages>23</Pages>
  <Words>12769</Words>
  <Characters>72786</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85385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28</cp:revision>
  <cp:lastPrinted>1999-07-06T11:00:00Z</cp:lastPrinted>
  <dcterms:created xsi:type="dcterms:W3CDTF">2026-09-06T16:14:00Z</dcterms:created>
  <dcterms:modified xsi:type="dcterms:W3CDTF">2026-09-07T12:13:00Z</dcterms:modified>
</cp:coreProperties>
</file>