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0FDCF" w14:textId="77777777" w:rsidR="00046C55" w:rsidRPr="00C87BAE" w:rsidRDefault="00046C55" w:rsidP="00046C55">
      <w:pPr>
        <w:spacing w:after="0" w:line="360" w:lineRule="auto"/>
        <w:jc w:val="center"/>
        <w:outlineLvl w:val="0"/>
        <w:rPr>
          <w:rFonts w:ascii="Times New Roman" w:eastAsia="Times New Roman" w:hAnsi="Times New Roman" w:cs="Times New Roman"/>
          <w:b/>
          <w:bCs/>
          <w:kern w:val="36"/>
          <w:sz w:val="32"/>
          <w:szCs w:val="24"/>
          <w:lang w:eastAsia="en-IN"/>
        </w:rPr>
      </w:pPr>
      <w:r w:rsidRPr="00C87BAE">
        <w:rPr>
          <w:rFonts w:ascii="Times New Roman" w:eastAsia="Times New Roman" w:hAnsi="Times New Roman" w:cs="Times New Roman"/>
          <w:b/>
          <w:bCs/>
          <w:kern w:val="36"/>
          <w:sz w:val="32"/>
          <w:szCs w:val="24"/>
          <w:lang w:eastAsia="en-IN"/>
        </w:rPr>
        <w:t>A STUDY TO ASSESS PARENTING STRESS AND PSYCHOLOGICAL HEALTH AMONG STAFF NURSES WORKING IN SELECTED HOSPITALS OF SASARAM, BIHAR</w:t>
      </w:r>
    </w:p>
    <w:p w14:paraId="02CD0EFA" w14:textId="77777777" w:rsidR="00046C55" w:rsidRPr="00C87BAE" w:rsidRDefault="00046C55" w:rsidP="00046C55">
      <w:pPr>
        <w:spacing w:after="0" w:line="360" w:lineRule="auto"/>
        <w:rPr>
          <w:rFonts w:ascii="Times New Roman" w:eastAsia="Times New Roman" w:hAnsi="Times New Roman" w:cs="Times New Roman"/>
          <w:b/>
          <w:bCs/>
          <w:sz w:val="24"/>
          <w:szCs w:val="24"/>
          <w:lang w:eastAsia="en-IN"/>
        </w:rPr>
      </w:pPr>
    </w:p>
    <w:p w14:paraId="0FC44326" w14:textId="77777777" w:rsidR="00046C55" w:rsidRPr="00C87BAE" w:rsidRDefault="00046C55" w:rsidP="00046C55">
      <w:pPr>
        <w:spacing w:after="0" w:line="240" w:lineRule="auto"/>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Abstract</w:t>
      </w:r>
    </w:p>
    <w:p w14:paraId="7750B05E" w14:textId="77777777" w:rsidR="00046C55" w:rsidRPr="00C87BAE" w:rsidRDefault="00046C55" w:rsidP="00046C55">
      <w:pPr>
        <w:spacing w:after="0" w:line="360" w:lineRule="auto"/>
        <w:jc w:val="both"/>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Background</w:t>
      </w:r>
    </w:p>
    <w:p w14:paraId="6D8AF364"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Staff nurses frequently experience occupational stress due to demanding clinical responsibilities, long working hours, shift duties, workload, and emotional demands associated with patient care. Nurses who are also parents face the additional responsibility of balancing professional duties with childcare and family responsibilities. Parenting stress may negatively influence psychological wellbeing, family functioning, and professional performance. Previous literature indicates that work-family conflict, shift duties, occupational workload, and inadequate family support may contribute to increased stress and psychological distress among nurses.</w:t>
      </w:r>
    </w:p>
    <w:p w14:paraId="06A83D3E" w14:textId="77777777" w:rsidR="00046C55" w:rsidRPr="00C87BAE" w:rsidRDefault="00046C55" w:rsidP="00046C55">
      <w:pPr>
        <w:spacing w:after="0" w:line="360" w:lineRule="auto"/>
        <w:jc w:val="both"/>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Objectives</w:t>
      </w:r>
    </w:p>
    <w:p w14:paraId="7F421503" w14:textId="77777777" w:rsidR="00046C55" w:rsidRPr="00C87BAE" w:rsidRDefault="00046C55" w:rsidP="00046C55">
      <w:pPr>
        <w:numPr>
          <w:ilvl w:val="0"/>
          <w:numId w:val="1"/>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To assess the level of parenting stress among staff nurses working in selected hospitals of Sasaram.</w:t>
      </w:r>
    </w:p>
    <w:p w14:paraId="252D1BB6" w14:textId="77777777" w:rsidR="00046C55" w:rsidRPr="00C87BAE" w:rsidRDefault="00046C55" w:rsidP="00046C55">
      <w:pPr>
        <w:numPr>
          <w:ilvl w:val="0"/>
          <w:numId w:val="1"/>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To assess the psychological health among staff nurses.</w:t>
      </w:r>
    </w:p>
    <w:p w14:paraId="4E8CE644" w14:textId="77777777" w:rsidR="00046C55" w:rsidRPr="00C87BAE" w:rsidRDefault="00046C55" w:rsidP="00046C55">
      <w:pPr>
        <w:numPr>
          <w:ilvl w:val="0"/>
          <w:numId w:val="1"/>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To determine the relationship between parenting stress and psychological health among staff nurses.</w:t>
      </w:r>
    </w:p>
    <w:p w14:paraId="0E6A8DAE" w14:textId="77777777" w:rsidR="00046C55" w:rsidRPr="00C87BAE" w:rsidRDefault="00046C55" w:rsidP="00046C55">
      <w:pPr>
        <w:numPr>
          <w:ilvl w:val="0"/>
          <w:numId w:val="1"/>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To determine the association between parenting stress, psychological health, and selected demographic variables.</w:t>
      </w:r>
    </w:p>
    <w:p w14:paraId="28CA10EC" w14:textId="77777777" w:rsidR="00046C55" w:rsidRPr="00C87BAE" w:rsidRDefault="00046C55" w:rsidP="00046C55">
      <w:pPr>
        <w:spacing w:after="0" w:line="360" w:lineRule="auto"/>
        <w:jc w:val="both"/>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Methods</w:t>
      </w:r>
    </w:p>
    <w:p w14:paraId="6AF7F6DD"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 xml:space="preserve">A quantitative descriptive-correlational research design was adopted among </w:t>
      </w:r>
      <w:r w:rsidRPr="00C87BAE">
        <w:rPr>
          <w:rFonts w:ascii="Times New Roman" w:eastAsia="Times New Roman" w:hAnsi="Times New Roman" w:cs="Times New Roman"/>
          <w:b/>
          <w:bCs/>
          <w:sz w:val="24"/>
          <w:szCs w:val="24"/>
          <w:lang w:eastAsia="en-IN"/>
        </w:rPr>
        <w:t>100 married staff nurses having children</w:t>
      </w:r>
      <w:r w:rsidRPr="00C87BAE">
        <w:rPr>
          <w:rFonts w:ascii="Times New Roman" w:eastAsia="Times New Roman" w:hAnsi="Times New Roman" w:cs="Times New Roman"/>
          <w:sz w:val="24"/>
          <w:szCs w:val="24"/>
          <w:lang w:eastAsia="en-IN"/>
        </w:rPr>
        <w:t xml:space="preserve"> and working in selected hospitals of Sasaram, Bihar. Participants were selected using a non-probability sampling technique. Data were collected using a socio-demographic proforma, the </w:t>
      </w:r>
      <w:r w:rsidRPr="00C87BAE">
        <w:rPr>
          <w:rFonts w:ascii="Times New Roman" w:eastAsia="Times New Roman" w:hAnsi="Times New Roman" w:cs="Times New Roman"/>
          <w:b/>
          <w:bCs/>
          <w:sz w:val="24"/>
          <w:szCs w:val="24"/>
          <w:lang w:eastAsia="en-IN"/>
        </w:rPr>
        <w:t>18-item Parenting Stress Scale</w:t>
      </w:r>
      <w:r w:rsidRPr="00C87BAE">
        <w:rPr>
          <w:rFonts w:ascii="Times New Roman" w:eastAsia="Times New Roman" w:hAnsi="Times New Roman" w:cs="Times New Roman"/>
          <w:sz w:val="24"/>
          <w:szCs w:val="24"/>
          <w:lang w:eastAsia="en-IN"/>
        </w:rPr>
        <w:t xml:space="preserve">, and the </w:t>
      </w:r>
      <w:r w:rsidRPr="00C87BAE">
        <w:rPr>
          <w:rFonts w:ascii="Times New Roman" w:eastAsia="Times New Roman" w:hAnsi="Times New Roman" w:cs="Times New Roman"/>
          <w:b/>
          <w:bCs/>
          <w:sz w:val="24"/>
          <w:szCs w:val="24"/>
          <w:lang w:eastAsia="en-IN"/>
        </w:rPr>
        <w:t>General Health Questionnaire-28 (GHQ-28)</w:t>
      </w:r>
      <w:r w:rsidRPr="00C87BAE">
        <w:rPr>
          <w:rFonts w:ascii="Times New Roman" w:eastAsia="Times New Roman" w:hAnsi="Times New Roman" w:cs="Times New Roman"/>
          <w:sz w:val="24"/>
          <w:szCs w:val="24"/>
          <w:lang w:eastAsia="en-IN"/>
        </w:rPr>
        <w:t xml:space="preserve">. Data were </w:t>
      </w:r>
      <w:proofErr w:type="spellStart"/>
      <w:r w:rsidRPr="00C87BAE">
        <w:rPr>
          <w:rFonts w:ascii="Times New Roman" w:eastAsia="Times New Roman" w:hAnsi="Times New Roman" w:cs="Times New Roman"/>
          <w:sz w:val="24"/>
          <w:szCs w:val="24"/>
          <w:lang w:eastAsia="en-IN"/>
        </w:rPr>
        <w:t>analyzed</w:t>
      </w:r>
      <w:proofErr w:type="spellEnd"/>
      <w:r w:rsidRPr="00C87BAE">
        <w:rPr>
          <w:rFonts w:ascii="Times New Roman" w:eastAsia="Times New Roman" w:hAnsi="Times New Roman" w:cs="Times New Roman"/>
          <w:sz w:val="24"/>
          <w:szCs w:val="24"/>
          <w:lang w:eastAsia="en-IN"/>
        </w:rPr>
        <w:t xml:space="preserve"> using descriptive statistics, Pearson's correlation coefficient, and Chi-square test. A </w:t>
      </w:r>
      <w:r w:rsidRPr="00C87BAE">
        <w:rPr>
          <w:rFonts w:ascii="Times New Roman" w:eastAsia="Times New Roman" w:hAnsi="Times New Roman" w:cs="Times New Roman"/>
          <w:i/>
          <w:iCs/>
          <w:sz w:val="24"/>
          <w:szCs w:val="24"/>
          <w:lang w:eastAsia="en-IN"/>
        </w:rPr>
        <w:t>p</w:t>
      </w:r>
      <w:r w:rsidRPr="00C87BAE">
        <w:rPr>
          <w:rFonts w:ascii="Times New Roman" w:eastAsia="Times New Roman" w:hAnsi="Times New Roman" w:cs="Times New Roman"/>
          <w:sz w:val="24"/>
          <w:szCs w:val="24"/>
          <w:lang w:eastAsia="en-IN"/>
        </w:rPr>
        <w:t>-value of &lt;0.05 was considered statistically significant. The study was guided by Roy's Adaptation Model.</w:t>
      </w:r>
    </w:p>
    <w:p w14:paraId="45C660EA" w14:textId="77777777" w:rsidR="00772544" w:rsidRPr="00C87BAE" w:rsidRDefault="00772544" w:rsidP="00046C55">
      <w:pPr>
        <w:spacing w:after="0" w:line="360" w:lineRule="auto"/>
        <w:jc w:val="both"/>
        <w:rPr>
          <w:rFonts w:ascii="Times New Roman" w:eastAsia="Times New Roman" w:hAnsi="Times New Roman" w:cs="Times New Roman"/>
          <w:sz w:val="24"/>
          <w:szCs w:val="24"/>
          <w:lang w:eastAsia="en-IN"/>
        </w:rPr>
      </w:pPr>
    </w:p>
    <w:p w14:paraId="6680C8BF" w14:textId="77777777" w:rsidR="00772544" w:rsidRPr="00C87BAE" w:rsidRDefault="00772544" w:rsidP="00046C55">
      <w:pPr>
        <w:spacing w:after="0" w:line="360" w:lineRule="auto"/>
        <w:jc w:val="both"/>
        <w:rPr>
          <w:rFonts w:ascii="Times New Roman" w:eastAsia="Times New Roman" w:hAnsi="Times New Roman" w:cs="Times New Roman"/>
          <w:sz w:val="24"/>
          <w:szCs w:val="24"/>
          <w:lang w:eastAsia="en-IN"/>
        </w:rPr>
      </w:pPr>
    </w:p>
    <w:p w14:paraId="75A23C1F" w14:textId="77777777" w:rsidR="00046C55" w:rsidRPr="00C87BAE" w:rsidRDefault="00046C55" w:rsidP="00046C55">
      <w:pPr>
        <w:spacing w:after="0" w:line="360" w:lineRule="auto"/>
        <w:jc w:val="both"/>
        <w:outlineLvl w:val="2"/>
        <w:rPr>
          <w:rFonts w:ascii="Times New Roman" w:eastAsia="Times New Roman" w:hAnsi="Times New Roman" w:cs="Times New Roman"/>
          <w:b/>
          <w:bCs/>
          <w:sz w:val="24"/>
          <w:szCs w:val="24"/>
          <w:lang w:eastAsia="en-IN"/>
        </w:rPr>
      </w:pPr>
    </w:p>
    <w:p w14:paraId="6BE97150" w14:textId="77777777" w:rsidR="00046C55" w:rsidRPr="00C87BAE" w:rsidRDefault="00046C55" w:rsidP="00046C55">
      <w:pPr>
        <w:spacing w:after="0" w:line="360" w:lineRule="auto"/>
        <w:jc w:val="both"/>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Results</w:t>
      </w:r>
    </w:p>
    <w:p w14:paraId="75ACF43C"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 xml:space="preserve">The findings showed that </w:t>
      </w:r>
      <w:r w:rsidRPr="00C87BAE">
        <w:rPr>
          <w:rFonts w:ascii="Times New Roman" w:eastAsia="Times New Roman" w:hAnsi="Times New Roman" w:cs="Times New Roman"/>
          <w:b/>
          <w:bCs/>
          <w:sz w:val="24"/>
          <w:szCs w:val="24"/>
          <w:lang w:eastAsia="en-IN"/>
        </w:rPr>
        <w:t>64% of staff nurses experienced moderate parenting stress</w:t>
      </w:r>
      <w:r w:rsidRPr="00C87BAE">
        <w:rPr>
          <w:rFonts w:ascii="Times New Roman" w:eastAsia="Times New Roman" w:hAnsi="Times New Roman" w:cs="Times New Roman"/>
          <w:sz w:val="24"/>
          <w:szCs w:val="24"/>
          <w:lang w:eastAsia="en-IN"/>
        </w:rPr>
        <w:t xml:space="preserve">, while 18% experienced low stress and 18% experienced high stress. The mean parenting stress score was </w:t>
      </w:r>
      <w:r w:rsidRPr="00C87BAE">
        <w:rPr>
          <w:rFonts w:ascii="Times New Roman" w:eastAsia="Times New Roman" w:hAnsi="Times New Roman" w:cs="Times New Roman"/>
          <w:b/>
          <w:bCs/>
          <w:sz w:val="24"/>
          <w:szCs w:val="24"/>
          <w:lang w:eastAsia="en-IN"/>
        </w:rPr>
        <w:t xml:space="preserve">56.82 </w:t>
      </w:r>
      <w:r w:rsidRPr="00C87BAE">
        <w:rPr>
          <w:rFonts w:ascii="Times New Roman" w:eastAsia="Times New Roman" w:hAnsi="Times New Roman" w:cs="Times New Roman"/>
          <w:b/>
          <w:bCs/>
          <w:sz w:val="24"/>
          <w:szCs w:val="24"/>
          <w:lang w:eastAsia="en-IN"/>
        </w:rPr>
        <w:lastRenderedPageBreak/>
        <w:t>± 11.34</w:t>
      </w:r>
      <w:r w:rsidRPr="00C87BAE">
        <w:rPr>
          <w:rFonts w:ascii="Times New Roman" w:eastAsia="Times New Roman" w:hAnsi="Times New Roman" w:cs="Times New Roman"/>
          <w:sz w:val="24"/>
          <w:szCs w:val="24"/>
          <w:lang w:eastAsia="en-IN"/>
        </w:rPr>
        <w:t xml:space="preserve">. Regarding psychological health, 47% of staff nurses experienced mild psychological distress, 25% experienced moderate distress, 7% experienced severe distress, and 21% had good psychological health. The mean GHQ-28 score was </w:t>
      </w:r>
      <w:r w:rsidRPr="00C87BAE">
        <w:rPr>
          <w:rFonts w:ascii="Times New Roman" w:eastAsia="Times New Roman" w:hAnsi="Times New Roman" w:cs="Times New Roman"/>
          <w:b/>
          <w:bCs/>
          <w:sz w:val="24"/>
          <w:szCs w:val="24"/>
          <w:lang w:eastAsia="en-IN"/>
        </w:rPr>
        <w:t>12.76 ± 4.95</w:t>
      </w:r>
      <w:r w:rsidRPr="00C87BAE">
        <w:rPr>
          <w:rFonts w:ascii="Times New Roman" w:eastAsia="Times New Roman" w:hAnsi="Times New Roman" w:cs="Times New Roman"/>
          <w:sz w:val="24"/>
          <w:szCs w:val="24"/>
          <w:lang w:eastAsia="en-IN"/>
        </w:rPr>
        <w:t>.</w:t>
      </w:r>
    </w:p>
    <w:p w14:paraId="07228A7A"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A statistically significant positive relationship was found between parenting stress and psychological distress (</w:t>
      </w:r>
      <w:r w:rsidRPr="00C87BAE">
        <w:rPr>
          <w:rFonts w:ascii="Times New Roman" w:eastAsia="Times New Roman" w:hAnsi="Times New Roman" w:cs="Times New Roman"/>
          <w:b/>
          <w:bCs/>
          <w:sz w:val="24"/>
          <w:szCs w:val="24"/>
          <w:lang w:eastAsia="en-IN"/>
        </w:rPr>
        <w:t>r = 0.68, p &lt; 0.05</w:t>
      </w:r>
      <w:r w:rsidRPr="00C87BAE">
        <w:rPr>
          <w:rFonts w:ascii="Times New Roman" w:eastAsia="Times New Roman" w:hAnsi="Times New Roman" w:cs="Times New Roman"/>
          <w:sz w:val="24"/>
          <w:szCs w:val="24"/>
          <w:lang w:eastAsia="en-IN"/>
        </w:rPr>
        <w:t>), indicating that higher parenting stress was associated with greater psychological distress. Significant associations were found between parenting stress and age, number of children, type of family, and duty pattern. Similar significant associations were found between psychological health and age, number of children, type of family, and duty pattern. No significant association was observed with gender, department of work, or years of professional experience.</w:t>
      </w:r>
    </w:p>
    <w:p w14:paraId="5327145B" w14:textId="77777777" w:rsidR="00046C55" w:rsidRPr="00C87BAE" w:rsidRDefault="00046C55" w:rsidP="00046C55">
      <w:pPr>
        <w:spacing w:after="0" w:line="360" w:lineRule="auto"/>
        <w:jc w:val="both"/>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Conclusion</w:t>
      </w:r>
    </w:p>
    <w:p w14:paraId="1D44BD14"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The study concluded that moderate parenting stress and psychological distress were common among staff nurses with parenting responsibilities. Higher parenting stress was significantly associated with poorer psychological wellbeing. Counselling, stress-management interventions, family support, and family-friendly workplace policies may help reduce parenting stress and promote psychological wellbeing among nursing professionals.</w:t>
      </w:r>
    </w:p>
    <w:p w14:paraId="71166FD2"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b/>
          <w:bCs/>
          <w:sz w:val="24"/>
          <w:szCs w:val="24"/>
          <w:lang w:eastAsia="en-IN"/>
        </w:rPr>
        <w:t>Keywords:</w:t>
      </w:r>
      <w:r w:rsidRPr="00C87BAE">
        <w:rPr>
          <w:rFonts w:ascii="Times New Roman" w:eastAsia="Times New Roman" w:hAnsi="Times New Roman" w:cs="Times New Roman"/>
          <w:sz w:val="24"/>
          <w:szCs w:val="24"/>
          <w:lang w:eastAsia="en-IN"/>
        </w:rPr>
        <w:t xml:space="preserve"> Parenting Stress, Psychological Health, Staff Nurses, Work-Family Conflict, Psychological Distress, Nursing, GHQ-28, Sasaram</w:t>
      </w:r>
    </w:p>
    <w:p w14:paraId="04CCB70A" w14:textId="77777777" w:rsidR="00046C55" w:rsidRPr="00C87BAE" w:rsidRDefault="00046C55" w:rsidP="00046C55">
      <w:pPr>
        <w:spacing w:after="0" w:line="360" w:lineRule="auto"/>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Introduction</w:t>
      </w:r>
    </w:p>
    <w:p w14:paraId="3C96B5E7"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Nursing is a demanding profession that requires continuous patient care, clinical decision-making, emotional involvement, teamwork, and professional responsibility. Staff nurses may experience occupational stress because of heavy workloads, long working hours, shift duties, staffing challenges, and emotionally demanding clinical situations.</w:t>
      </w:r>
    </w:p>
    <w:p w14:paraId="7CCD2C64"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Contemporary evidence continues to identify shift work and work-family interference as relevant correlates of nurses’ mental health and work outcomes; greater night-shift exposure has been associated with poorer mental health and well-being, while work-family conflict has predicted job stress and other adverse occupational outcomes (Labrague et al., 2021; Li et al., 2024).</w:t>
      </w:r>
    </w:p>
    <w:p w14:paraId="662CF17C"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Evidence from nursing and the broader healthcare workforce also documents substantial burnout and psychological burden under sustained clinical demands, including during crisis conditions (Dyrbye &amp; Shanafelt, 2016; Gómez-Urquiza et al., 2017; Labrague &amp; De Los Santos, 2021; Maben &amp; Bridges, 2020).</w:t>
      </w:r>
    </w:p>
    <w:p w14:paraId="6539174F"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When professional responsibilities are combined with parenting responsibilities, nurses may experience additional stress. Parenting requires time, emotional availability, financial resources, childcare, supervision, and participation in family activities. Irregular work schedules and night duties may interfere with these responsibilities and contribute to work-family conflict.</w:t>
      </w:r>
    </w:p>
    <w:p w14:paraId="5A4015CD"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lastRenderedPageBreak/>
        <w:t>Qualitative work among married nurses raising young children while working rotating shifts has likewise described recurring tension between professional schedules and child-rearing responsibilities (Yoo &amp; Shim, 2022).</w:t>
      </w:r>
    </w:p>
    <w:p w14:paraId="67914D16"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Parenting stress refers to the physical, emotional, and psychological strain experienced while managing parenting responsibilities. Psychological health includes emotional wellbeing, mental stability, coping ability, and effective psychological functioning.</w:t>
      </w:r>
    </w:p>
    <w:p w14:paraId="4C47293F"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The 18-item Parental Stress Scale was developed to capture perceived rewards and demands associated with parenthood (Berry &amp; Jones, 1995), whereas the GHQ-28 was developed as a four-domain screening measure of psychological distress encompassing somatic symptoms, anxiety/insomnia, social dysfunction, and severe depression (Goldberg &amp; Hillier, 1979).</w:t>
      </w:r>
    </w:p>
    <w:p w14:paraId="61063113"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Previous studies have demonstrated that work-family conflict and family-related stressors are associated with emotional exhaustion, burnout, psychological distress, and reduced wellbeing among nurses.</w:t>
      </w:r>
    </w:p>
    <w:p w14:paraId="459581EA"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The broader literature supports this pattern: work-family conflict has been conceptualized as inter-role incompatibility (Greenhaus &amp; Beutell, 1985) and has been linked in nurses to work demands, burnout, psychological strain, and impaired work-family functioning across different settings (Dilmaghani et al., 2022; Gonnelli &amp; Raffagnino, 2017; Häusler et al., 2018; Pal, 2012; Yildirim &amp; Aycan, 2008).</w:t>
      </w:r>
    </w:p>
    <w:p w14:paraId="13A5C9F3"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Therefore, the present study was undertaken to assess parenting stress and psychological health among staff nurses working in selected hospitals of Sasaram, Bihar.</w:t>
      </w:r>
    </w:p>
    <w:p w14:paraId="5A411DE2" w14:textId="77777777" w:rsidR="00046C55" w:rsidRPr="00C87BAE" w:rsidRDefault="00046C55" w:rsidP="00046C55">
      <w:pPr>
        <w:spacing w:after="0" w:line="360" w:lineRule="auto"/>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Background of the Study</w:t>
      </w:r>
    </w:p>
    <w:p w14:paraId="0F244032"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Parenting stress may develop when the demands of parenting exceed the resources available to an individual. For nurses, the challenge may be greater because professional responsibilities often require rotational duties, night shifts, extended working hours, and unpredictable clinical demands.</w:t>
      </w:r>
    </w:p>
    <w:p w14:paraId="7CBF7083"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Within a transactional stress framework, strain is expected when perceived demands exceed available coping resources (Lazarus &amp; Folkman, 1984), while Roy’s adaptation perspective emphasizes how individuals respond to environmental and role-related demands through adaptive processes (Roy, 1976; Roy &amp; Andrews, 1999).</w:t>
      </w:r>
    </w:p>
    <w:p w14:paraId="574C5430"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Parenting-stress scholarship similarly treats parenting-specific strain as distinguishable from general stress and has long used structured assessment approaches to quantify such burden (Abidin, 2012).</w:t>
      </w:r>
    </w:p>
    <w:p w14:paraId="2646A65B"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Studies reviewed in the dissertation identified shift work, long duty hours, occupational workload, inadequate family support, childcare responsibilities, and sleep disturbance as important factors contributing to parenting-related stress and work-family conflict. Increased family-role strain has also been associated with emotional exhaustion, burnout, reduced family functioning, and poorer psychological wellbeing.</w:t>
      </w:r>
    </w:p>
    <w:p w14:paraId="7F68C0A1"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lastRenderedPageBreak/>
        <w:t>Recent studies also suggest that these pressures are context-sensitive. Among Indian healthcare-worker parents, severe parenting stress was associated with both occupational and family factors (Kalrao et al., 2023), while parent nurses in Japan reported measurable work-family enrichment, underscoring that work-family processes can include both strain and positive resource transfer (Kawakita &amp; Hosoda, 2024).</w:t>
      </w:r>
    </w:p>
    <w:p w14:paraId="70B2DCF1"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Psychological health is equally important for nursing professionals because psychological distress can affect concentration, decision-making, interpersonal relationships, job satisfaction, family functioning, and quality of patient care. Studies among nurses have demonstrated that occupational stress is associated with poorer mental health, while resilience and supportive environments may protect psychological wellbeing.</w:t>
      </w:r>
    </w:p>
    <w:p w14:paraId="18D2FE84"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Research in nurses further links occupational stress and work-family conflict with poorer mental-health indicators, while resilience and supportive resources may buffer adverse professional outcomes (Alonazi et al., 2023; Azemi et al., 2022; Chen et al., 2022; Vallone &amp; Zurlo, 2024).</w:t>
      </w:r>
    </w:p>
    <w:p w14:paraId="717AD642" w14:textId="77777777" w:rsidR="00046C55" w:rsidRPr="00C87BAE" w:rsidRDefault="00046C55" w:rsidP="00046C55">
      <w:pPr>
        <w:spacing w:after="0" w:line="360" w:lineRule="auto"/>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Need for the Study</w:t>
      </w:r>
    </w:p>
    <w:p w14:paraId="107A86AF"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Staff nurses who are parents must simultaneously manage professional responsibilities and family responsibilities. This dual role may result in stress, emotional exhaustion, sleep disturbance, work-family conflict, and psychological distress.</w:t>
      </w:r>
    </w:p>
    <w:p w14:paraId="478D9FD8"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Sleep disruption may be one pathway connecting irregular schedules and work-family strain: studies of nurses have reported links among work-family conflict, sleep disturbance, burnout, and mental-health outcomes (Han &amp; Kwak, 2022; Zheng et al., 2025).</w:t>
      </w:r>
    </w:p>
    <w:p w14:paraId="1F3A0B1F"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Previous research has established relationships between work-family conflict and psychological health among nursing professionals. A study among nursing staff in India found that work-family conflict increased stress, which negatively affected psychological health, while emotional intelligence moderated the adverse effects of stress.</w:t>
      </w:r>
    </w:p>
    <w:p w14:paraId="10C95C16"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Comparable associations have been reported between work-family conflict and depressive or anxiety symptoms in nursing populations, although cross-sectional evidence does not establish temporal direction (Al-Hammouri &amp; Rababah, 2024; Yan et al., 2024; Zhao et al., 2023).</w:t>
      </w:r>
    </w:p>
    <w:p w14:paraId="17DE77D5"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The Indian nursing literature cited in the present manuscript also describes stress as a pathway linking work-family conflict with psychological health, with emotional intelligence proposed as a moderator (Afsar &amp; Burcu, 2016).</w:t>
      </w:r>
    </w:p>
    <w:p w14:paraId="4CA7F6ED"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However, limited evidence is available regarding parenting stress specifically among staff nurses in Sasaram, Bihar. Assessing parenting stress and psychological health may help identify nurses who require counselling, family support, stress-management interventions, and organizational assistance.</w:t>
      </w:r>
    </w:p>
    <w:p w14:paraId="62B8C60D"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lastRenderedPageBreak/>
        <w:t>Because associations can vary with age, household structure, shift pattern, and organizational conditions, locally grounded data are important for determining whether patterns reported elsewhere generalize to staff nurses in Sasaram (Huang et al., 2023; Jung &amp; Sung, 2022; Labrague et al., 2021).</w:t>
      </w:r>
    </w:p>
    <w:p w14:paraId="6592C666"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Therefore, the present study was conducted to assess parenting stress and psychological health among staff nurses working in selected hospitals of Sasaram, Bihar.</w:t>
      </w:r>
    </w:p>
    <w:p w14:paraId="4AD2238D" w14:textId="77777777" w:rsidR="00046C55" w:rsidRPr="00C87BAE" w:rsidRDefault="00046C55" w:rsidP="00046C55">
      <w:pPr>
        <w:spacing w:after="0" w:line="360" w:lineRule="auto"/>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Materials and Methods</w:t>
      </w:r>
    </w:p>
    <w:p w14:paraId="7AAAB2A8" w14:textId="77777777" w:rsidR="00772544" w:rsidRPr="00C87BAE" w:rsidRDefault="00046C55" w:rsidP="007D7E29">
      <w:pPr>
        <w:spacing w:after="0" w:line="360" w:lineRule="auto"/>
        <w:jc w:val="both"/>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 xml:space="preserve">Research </w:t>
      </w:r>
      <w:proofErr w:type="spellStart"/>
      <w:proofErr w:type="gramStart"/>
      <w:r w:rsidRPr="00C87BAE">
        <w:rPr>
          <w:rFonts w:ascii="Times New Roman" w:eastAsia="Times New Roman" w:hAnsi="Times New Roman" w:cs="Times New Roman"/>
          <w:b/>
          <w:bCs/>
          <w:sz w:val="24"/>
          <w:szCs w:val="24"/>
          <w:lang w:eastAsia="en-IN"/>
        </w:rPr>
        <w:t>Design:</w:t>
      </w:r>
      <w:r w:rsidRPr="00C87BAE">
        <w:rPr>
          <w:rFonts w:ascii="Times New Roman" w:eastAsia="Times New Roman" w:hAnsi="Times New Roman" w:cs="Times New Roman"/>
          <w:sz w:val="24"/>
          <w:szCs w:val="24"/>
          <w:lang w:eastAsia="en-IN"/>
        </w:rPr>
        <w:t>A</w:t>
      </w:r>
      <w:proofErr w:type="spellEnd"/>
      <w:proofErr w:type="gramEnd"/>
      <w:r w:rsidRPr="00C87BAE">
        <w:rPr>
          <w:rFonts w:ascii="Times New Roman" w:eastAsia="Times New Roman" w:hAnsi="Times New Roman" w:cs="Times New Roman"/>
          <w:sz w:val="24"/>
          <w:szCs w:val="24"/>
          <w:lang w:eastAsia="en-IN"/>
        </w:rPr>
        <w:t xml:space="preserve"> quantitative research approach with a </w:t>
      </w:r>
      <w:r w:rsidRPr="00C87BAE">
        <w:rPr>
          <w:rFonts w:ascii="Times New Roman" w:eastAsia="Times New Roman" w:hAnsi="Times New Roman" w:cs="Times New Roman"/>
          <w:bCs/>
          <w:sz w:val="24"/>
          <w:szCs w:val="24"/>
          <w:lang w:eastAsia="en-IN"/>
        </w:rPr>
        <w:t>descriptive-correlational research design</w:t>
      </w:r>
      <w:r w:rsidRPr="00C87BAE">
        <w:rPr>
          <w:rFonts w:ascii="Times New Roman" w:eastAsia="Times New Roman" w:hAnsi="Times New Roman" w:cs="Times New Roman"/>
          <w:sz w:val="24"/>
          <w:szCs w:val="24"/>
          <w:lang w:eastAsia="en-IN"/>
        </w:rPr>
        <w:t xml:space="preserve"> was adopted to assess parenting stress and psychological health among staff nurses. </w:t>
      </w:r>
      <w:r w:rsidRPr="00C87BAE">
        <w:rPr>
          <w:rFonts w:ascii="Times New Roman" w:eastAsia="Times New Roman" w:hAnsi="Times New Roman" w:cs="Times New Roman"/>
          <w:b/>
          <w:bCs/>
          <w:sz w:val="24"/>
          <w:szCs w:val="24"/>
          <w:lang w:eastAsia="en-IN"/>
        </w:rPr>
        <w:t>Setting and Participants</w:t>
      </w:r>
      <w:r w:rsidRPr="00C87BAE">
        <w:rPr>
          <w:rFonts w:ascii="Times New Roman" w:eastAsia="Times New Roman" w:hAnsi="Times New Roman" w:cs="Times New Roman"/>
          <w:sz w:val="24"/>
          <w:szCs w:val="24"/>
          <w:lang w:eastAsia="en-IN"/>
        </w:rPr>
        <w:t xml:space="preserve">: The study was conducted among staff nurses working in selected hospitals of </w:t>
      </w:r>
      <w:r w:rsidRPr="00C87BAE">
        <w:rPr>
          <w:rFonts w:ascii="Times New Roman" w:eastAsia="Times New Roman" w:hAnsi="Times New Roman" w:cs="Times New Roman"/>
          <w:bCs/>
          <w:sz w:val="24"/>
          <w:szCs w:val="24"/>
          <w:lang w:eastAsia="en-IN"/>
        </w:rPr>
        <w:t>Sasaram, Bihar</w:t>
      </w:r>
      <w:r w:rsidRPr="00C87BAE">
        <w:rPr>
          <w:rFonts w:ascii="Times New Roman" w:eastAsia="Times New Roman" w:hAnsi="Times New Roman" w:cs="Times New Roman"/>
          <w:sz w:val="24"/>
          <w:szCs w:val="24"/>
          <w:lang w:eastAsia="en-IN"/>
        </w:rPr>
        <w:t xml:space="preserve">. </w:t>
      </w:r>
      <w:r w:rsidRPr="00C87BAE">
        <w:rPr>
          <w:rFonts w:ascii="Times New Roman" w:eastAsia="Times New Roman" w:hAnsi="Times New Roman" w:cs="Times New Roman"/>
          <w:b/>
          <w:bCs/>
          <w:sz w:val="24"/>
          <w:szCs w:val="24"/>
          <w:lang w:eastAsia="en-IN"/>
        </w:rPr>
        <w:t>Sample Size and Sampling Technique</w:t>
      </w:r>
      <w:r w:rsidRPr="00C87BAE">
        <w:rPr>
          <w:rFonts w:ascii="Times New Roman" w:eastAsia="Times New Roman" w:hAnsi="Times New Roman" w:cs="Times New Roman"/>
          <w:sz w:val="24"/>
          <w:szCs w:val="24"/>
          <w:lang w:eastAsia="en-IN"/>
        </w:rPr>
        <w:t xml:space="preserve">: A total of </w:t>
      </w:r>
      <w:r w:rsidRPr="00C87BAE">
        <w:rPr>
          <w:rFonts w:ascii="Times New Roman" w:eastAsia="Times New Roman" w:hAnsi="Times New Roman" w:cs="Times New Roman"/>
          <w:bCs/>
          <w:sz w:val="24"/>
          <w:szCs w:val="24"/>
          <w:lang w:eastAsia="en-IN"/>
        </w:rPr>
        <w:t>100 married staff nurses having at least one child</w:t>
      </w:r>
      <w:r w:rsidRPr="00C87BAE">
        <w:rPr>
          <w:rFonts w:ascii="Times New Roman" w:eastAsia="Times New Roman" w:hAnsi="Times New Roman" w:cs="Times New Roman"/>
          <w:sz w:val="24"/>
          <w:szCs w:val="24"/>
          <w:lang w:eastAsia="en-IN"/>
        </w:rPr>
        <w:t xml:space="preserve"> participated in the study. Participants were selected according to the eligibility criteria specified in the study methodology.</w:t>
      </w:r>
    </w:p>
    <w:p w14:paraId="0194E074" w14:textId="77777777" w:rsidR="007D7E29" w:rsidRPr="00C87BAE" w:rsidRDefault="007D7E29" w:rsidP="00046C55">
      <w:pPr>
        <w:spacing w:after="0" w:line="360" w:lineRule="auto"/>
        <w:jc w:val="center"/>
        <w:outlineLvl w:val="2"/>
        <w:rPr>
          <w:rFonts w:ascii="Times New Roman" w:eastAsia="Times New Roman" w:hAnsi="Times New Roman" w:cs="Times New Roman"/>
          <w:b/>
          <w:bCs/>
          <w:sz w:val="28"/>
          <w:szCs w:val="24"/>
          <w:lang w:eastAsia="en-IN"/>
        </w:rPr>
      </w:pPr>
    </w:p>
    <w:p w14:paraId="47737AB6" w14:textId="77777777" w:rsidR="00046C55" w:rsidRPr="00C87BAE" w:rsidRDefault="00046C55" w:rsidP="00046C55">
      <w:pPr>
        <w:spacing w:after="0" w:line="360" w:lineRule="auto"/>
        <w:jc w:val="center"/>
        <w:outlineLvl w:val="2"/>
        <w:rPr>
          <w:rFonts w:ascii="Times New Roman" w:eastAsia="Times New Roman" w:hAnsi="Times New Roman" w:cs="Times New Roman"/>
          <w:b/>
          <w:bCs/>
          <w:sz w:val="28"/>
          <w:szCs w:val="24"/>
          <w:lang w:eastAsia="en-IN"/>
        </w:rPr>
      </w:pPr>
      <w:r w:rsidRPr="00C87BAE">
        <w:rPr>
          <w:rFonts w:ascii="Times New Roman" w:eastAsia="Times New Roman" w:hAnsi="Times New Roman" w:cs="Times New Roman"/>
          <w:b/>
          <w:bCs/>
          <w:sz w:val="28"/>
          <w:szCs w:val="24"/>
          <w:lang w:eastAsia="en-IN"/>
        </w:rPr>
        <w:t>Research Instruments</w:t>
      </w:r>
    </w:p>
    <w:p w14:paraId="34377747" w14:textId="77777777" w:rsidR="00046C55" w:rsidRPr="00C87BAE" w:rsidRDefault="00046C55" w:rsidP="00046C5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 xml:space="preserve">Data were collected using the following instruments: </w:t>
      </w:r>
      <w:r w:rsidRPr="00C87BAE">
        <w:rPr>
          <w:rFonts w:ascii="Times New Roman" w:eastAsia="Times New Roman" w:hAnsi="Times New Roman" w:cs="Times New Roman"/>
          <w:b/>
          <w:bCs/>
          <w:sz w:val="24"/>
          <w:szCs w:val="24"/>
          <w:lang w:eastAsia="en-IN"/>
        </w:rPr>
        <w:t>Section A: Socio-demographic Proforma</w:t>
      </w:r>
      <w:r w:rsidRPr="00C87BAE">
        <w:rPr>
          <w:rFonts w:ascii="Times New Roman" w:eastAsia="Times New Roman" w:hAnsi="Times New Roman" w:cs="Times New Roman"/>
          <w:sz w:val="24"/>
          <w:szCs w:val="24"/>
          <w:lang w:eastAsia="en-IN"/>
        </w:rPr>
        <w:t xml:space="preserve">: The socio-demographic proforma included age, gender, marital status, number of children, type of family, department/area of work, years of professional experience, and working shift pattern. </w:t>
      </w:r>
      <w:r w:rsidRPr="00C87BAE">
        <w:rPr>
          <w:rFonts w:ascii="Times New Roman" w:eastAsia="Times New Roman" w:hAnsi="Times New Roman" w:cs="Times New Roman"/>
          <w:b/>
          <w:bCs/>
          <w:sz w:val="24"/>
          <w:szCs w:val="24"/>
          <w:lang w:eastAsia="en-IN"/>
        </w:rPr>
        <w:t>Section B: Parenting Stress Scale</w:t>
      </w:r>
      <w:r w:rsidRPr="00C87BAE">
        <w:rPr>
          <w:rFonts w:ascii="Times New Roman" w:eastAsia="Times New Roman" w:hAnsi="Times New Roman" w:cs="Times New Roman"/>
          <w:sz w:val="24"/>
          <w:szCs w:val="24"/>
          <w:lang w:eastAsia="en-IN"/>
        </w:rPr>
        <w:t xml:space="preserve">: Parenting stress was assessed using the </w:t>
      </w:r>
      <w:r w:rsidRPr="00C87BAE">
        <w:rPr>
          <w:rFonts w:ascii="Times New Roman" w:eastAsia="Times New Roman" w:hAnsi="Times New Roman" w:cs="Times New Roman"/>
          <w:bCs/>
          <w:sz w:val="24"/>
          <w:szCs w:val="24"/>
          <w:lang w:eastAsia="en-IN"/>
        </w:rPr>
        <w:t>18-item Parenting Stress Scale</w:t>
      </w:r>
      <w:r w:rsidRPr="00C87BAE">
        <w:rPr>
          <w:rFonts w:ascii="Times New Roman" w:eastAsia="Times New Roman" w:hAnsi="Times New Roman" w:cs="Times New Roman"/>
          <w:sz w:val="24"/>
          <w:szCs w:val="24"/>
          <w:lang w:eastAsia="en-IN"/>
        </w:rPr>
        <w:t xml:space="preserve">. Higher scores represented higher levels of parenting stress. The study categorized participants into low, moderate, and high parenting stress groups. </w:t>
      </w:r>
      <w:r w:rsidRPr="00C87BAE">
        <w:rPr>
          <w:rFonts w:ascii="Times New Roman" w:eastAsia="Times New Roman" w:hAnsi="Times New Roman" w:cs="Times New Roman"/>
          <w:b/>
          <w:bCs/>
          <w:sz w:val="24"/>
          <w:szCs w:val="24"/>
          <w:lang w:eastAsia="en-IN"/>
        </w:rPr>
        <w:t>Section C: General Health Questionnaire-28</w:t>
      </w:r>
      <w:r w:rsidRPr="00C87BAE">
        <w:rPr>
          <w:rFonts w:ascii="Times New Roman" w:eastAsia="Times New Roman" w:hAnsi="Times New Roman" w:cs="Times New Roman"/>
          <w:sz w:val="24"/>
          <w:szCs w:val="24"/>
          <w:lang w:eastAsia="en-IN"/>
        </w:rPr>
        <w:t xml:space="preserve">: Psychological health was assessed using the </w:t>
      </w:r>
      <w:r w:rsidRPr="00C87BAE">
        <w:rPr>
          <w:rFonts w:ascii="Times New Roman" w:eastAsia="Times New Roman" w:hAnsi="Times New Roman" w:cs="Times New Roman"/>
          <w:bCs/>
          <w:sz w:val="24"/>
          <w:szCs w:val="24"/>
          <w:lang w:eastAsia="en-IN"/>
        </w:rPr>
        <w:t>GHQ-28</w:t>
      </w:r>
      <w:r w:rsidRPr="00C87BAE">
        <w:rPr>
          <w:rFonts w:ascii="Times New Roman" w:eastAsia="Times New Roman" w:hAnsi="Times New Roman" w:cs="Times New Roman"/>
          <w:sz w:val="24"/>
          <w:szCs w:val="24"/>
          <w:lang w:eastAsia="en-IN"/>
        </w:rPr>
        <w:t xml:space="preserve">. The instrument assessed psychological distress through domains including somatic symptoms, anxiety/insomnia, social dysfunction, and severe psychological distress. </w:t>
      </w:r>
      <w:r w:rsidRPr="00C87BAE">
        <w:rPr>
          <w:rFonts w:ascii="Times New Roman" w:eastAsia="Times New Roman" w:hAnsi="Times New Roman" w:cs="Times New Roman"/>
          <w:b/>
          <w:bCs/>
          <w:sz w:val="24"/>
          <w:szCs w:val="24"/>
          <w:lang w:eastAsia="en-IN"/>
        </w:rPr>
        <w:t>Validity and Reliability</w:t>
      </w:r>
      <w:r w:rsidRPr="00C87BAE">
        <w:rPr>
          <w:rFonts w:ascii="Times New Roman" w:eastAsia="Times New Roman" w:hAnsi="Times New Roman" w:cs="Times New Roman"/>
          <w:sz w:val="24"/>
          <w:szCs w:val="24"/>
          <w:lang w:eastAsia="en-IN"/>
        </w:rPr>
        <w:t xml:space="preserve">: The research instruments were subjected to expert review for content validity. The reported reliability coefficients were </w:t>
      </w:r>
      <w:r w:rsidRPr="00C87BAE">
        <w:rPr>
          <w:rFonts w:ascii="Times New Roman" w:eastAsia="Times New Roman" w:hAnsi="Times New Roman" w:cs="Times New Roman"/>
          <w:b/>
          <w:bCs/>
          <w:sz w:val="24"/>
          <w:szCs w:val="24"/>
          <w:lang w:eastAsia="en-IN"/>
        </w:rPr>
        <w:t xml:space="preserve">0.82 </w:t>
      </w:r>
      <w:r w:rsidRPr="00C87BAE">
        <w:rPr>
          <w:rFonts w:ascii="Times New Roman" w:eastAsia="Times New Roman" w:hAnsi="Times New Roman" w:cs="Times New Roman"/>
          <w:bCs/>
          <w:sz w:val="24"/>
          <w:szCs w:val="24"/>
          <w:lang w:eastAsia="en-IN"/>
        </w:rPr>
        <w:t>for the Parenting Stress Scale</w:t>
      </w:r>
      <w:r w:rsidRPr="00C87BAE">
        <w:rPr>
          <w:rFonts w:ascii="Times New Roman" w:eastAsia="Times New Roman" w:hAnsi="Times New Roman" w:cs="Times New Roman"/>
          <w:sz w:val="24"/>
          <w:szCs w:val="24"/>
          <w:lang w:eastAsia="en-IN"/>
        </w:rPr>
        <w:t xml:space="preserve"> and </w:t>
      </w:r>
      <w:r w:rsidRPr="00C87BAE">
        <w:rPr>
          <w:rFonts w:ascii="Times New Roman" w:eastAsia="Times New Roman" w:hAnsi="Times New Roman" w:cs="Times New Roman"/>
          <w:b/>
          <w:bCs/>
          <w:sz w:val="24"/>
          <w:szCs w:val="24"/>
          <w:lang w:eastAsia="en-IN"/>
        </w:rPr>
        <w:t xml:space="preserve">0.86 </w:t>
      </w:r>
      <w:r w:rsidRPr="00C87BAE">
        <w:rPr>
          <w:rFonts w:ascii="Times New Roman" w:eastAsia="Times New Roman" w:hAnsi="Times New Roman" w:cs="Times New Roman"/>
          <w:bCs/>
          <w:sz w:val="24"/>
          <w:szCs w:val="24"/>
          <w:lang w:eastAsia="en-IN"/>
        </w:rPr>
        <w:t>for GHQ-28</w:t>
      </w:r>
      <w:r w:rsidRPr="00C87BAE">
        <w:rPr>
          <w:rFonts w:ascii="Times New Roman" w:eastAsia="Times New Roman" w:hAnsi="Times New Roman" w:cs="Times New Roman"/>
          <w:sz w:val="24"/>
          <w:szCs w:val="24"/>
          <w:lang w:eastAsia="en-IN"/>
        </w:rPr>
        <w:t xml:space="preserve">. </w:t>
      </w:r>
      <w:r w:rsidRPr="00C87BAE">
        <w:rPr>
          <w:rFonts w:ascii="Times New Roman" w:eastAsia="Times New Roman" w:hAnsi="Times New Roman" w:cs="Times New Roman"/>
          <w:b/>
          <w:bCs/>
          <w:sz w:val="24"/>
          <w:szCs w:val="24"/>
          <w:lang w:eastAsia="en-IN"/>
        </w:rPr>
        <w:t>Pilot Study</w:t>
      </w:r>
      <w:r w:rsidRPr="00C87BAE">
        <w:rPr>
          <w:rFonts w:ascii="Times New Roman" w:eastAsia="Times New Roman" w:hAnsi="Times New Roman" w:cs="Times New Roman"/>
          <w:sz w:val="24"/>
          <w:szCs w:val="24"/>
          <w:lang w:eastAsia="en-IN"/>
        </w:rPr>
        <w:t xml:space="preserve">: A pilot study was conducted among approximately 10% of the sample to assess feasibility, clarity, and practicality of the research procedure and </w:t>
      </w:r>
      <w:proofErr w:type="gramStart"/>
      <w:r w:rsidRPr="00C87BAE">
        <w:rPr>
          <w:rFonts w:ascii="Times New Roman" w:eastAsia="Times New Roman" w:hAnsi="Times New Roman" w:cs="Times New Roman"/>
          <w:sz w:val="24"/>
          <w:szCs w:val="24"/>
          <w:lang w:eastAsia="en-IN"/>
        </w:rPr>
        <w:t>instruments..</w:t>
      </w:r>
      <w:proofErr w:type="gramEnd"/>
    </w:p>
    <w:p w14:paraId="4EE7B7F5" w14:textId="77777777" w:rsidR="00046C55" w:rsidRPr="00C87BAE" w:rsidRDefault="00046C55" w:rsidP="00046C55">
      <w:pPr>
        <w:spacing w:after="0" w:line="360" w:lineRule="auto"/>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Results</w:t>
      </w:r>
    </w:p>
    <w:p w14:paraId="2A8911B0" w14:textId="77777777" w:rsidR="00046C55" w:rsidRPr="00C87BAE" w:rsidRDefault="00046C55" w:rsidP="00772544">
      <w:pPr>
        <w:spacing w:after="0" w:line="360" w:lineRule="auto"/>
        <w:outlineLvl w:val="1"/>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Demographic Characteristics of Participants</w:t>
      </w:r>
    </w:p>
    <w:p w14:paraId="6778650D" w14:textId="77777777" w:rsidR="00772544" w:rsidRPr="00C87BAE" w:rsidRDefault="00046C55" w:rsidP="00772544">
      <w:pPr>
        <w:spacing w:after="0" w:line="360" w:lineRule="auto"/>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 xml:space="preserve">Table 1. Distribution of Staff Nurses According to Selected Demographic Variables </w:t>
      </w:r>
    </w:p>
    <w:p w14:paraId="10C994F1" w14:textId="77777777" w:rsidR="00046C55" w:rsidRPr="00C87BAE" w:rsidRDefault="00046C55" w:rsidP="00772544">
      <w:pPr>
        <w:spacing w:after="0" w:line="360" w:lineRule="auto"/>
        <w:ind w:right="403"/>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(N = 100)</w:t>
      </w:r>
    </w:p>
    <w:tbl>
      <w:tblPr>
        <w:tblW w:w="9371" w:type="dxa"/>
        <w:tblInd w:w="93" w:type="dxa"/>
        <w:tblLook w:val="04A0" w:firstRow="1" w:lastRow="0" w:firstColumn="1" w:lastColumn="0" w:noHBand="0" w:noVBand="1"/>
      </w:tblPr>
      <w:tblGrid>
        <w:gridCol w:w="2425"/>
        <w:gridCol w:w="2410"/>
        <w:gridCol w:w="2410"/>
        <w:gridCol w:w="2126"/>
      </w:tblGrid>
      <w:tr w:rsidR="00772544" w:rsidRPr="00C87BAE" w14:paraId="049C7E21" w14:textId="77777777" w:rsidTr="00772544">
        <w:trPr>
          <w:trHeight w:val="450"/>
        </w:trPr>
        <w:tc>
          <w:tcPr>
            <w:tcW w:w="2425" w:type="dxa"/>
            <w:tcBorders>
              <w:top w:val="single" w:sz="4" w:space="0" w:color="auto"/>
              <w:left w:val="single" w:sz="4" w:space="0" w:color="auto"/>
              <w:bottom w:val="single" w:sz="4" w:space="0" w:color="auto"/>
              <w:right w:val="single" w:sz="4" w:space="0" w:color="auto"/>
            </w:tcBorders>
            <w:vAlign w:val="center"/>
            <w:hideMark/>
          </w:tcPr>
          <w:p w14:paraId="2063A6A3"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Variable</w:t>
            </w:r>
          </w:p>
        </w:tc>
        <w:tc>
          <w:tcPr>
            <w:tcW w:w="2410" w:type="dxa"/>
            <w:tcBorders>
              <w:top w:val="single" w:sz="4" w:space="0" w:color="auto"/>
              <w:left w:val="nil"/>
              <w:bottom w:val="single" w:sz="4" w:space="0" w:color="auto"/>
              <w:right w:val="single" w:sz="4" w:space="0" w:color="auto"/>
            </w:tcBorders>
            <w:vAlign w:val="center"/>
            <w:hideMark/>
          </w:tcPr>
          <w:p w14:paraId="29FC80D3"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Category</w:t>
            </w:r>
          </w:p>
        </w:tc>
        <w:tc>
          <w:tcPr>
            <w:tcW w:w="2410" w:type="dxa"/>
            <w:tcBorders>
              <w:top w:val="single" w:sz="4" w:space="0" w:color="auto"/>
              <w:left w:val="nil"/>
              <w:bottom w:val="single" w:sz="4" w:space="0" w:color="auto"/>
              <w:right w:val="single" w:sz="4" w:space="0" w:color="auto"/>
            </w:tcBorders>
            <w:vAlign w:val="center"/>
            <w:hideMark/>
          </w:tcPr>
          <w:p w14:paraId="56E6EEAD"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Frequency (f)</w:t>
            </w:r>
          </w:p>
        </w:tc>
        <w:tc>
          <w:tcPr>
            <w:tcW w:w="2126" w:type="dxa"/>
            <w:tcBorders>
              <w:top w:val="single" w:sz="4" w:space="0" w:color="auto"/>
              <w:left w:val="nil"/>
              <w:bottom w:val="single" w:sz="4" w:space="0" w:color="auto"/>
              <w:right w:val="single" w:sz="4" w:space="0" w:color="auto"/>
            </w:tcBorders>
            <w:vAlign w:val="center"/>
            <w:hideMark/>
          </w:tcPr>
          <w:p w14:paraId="745F3C62"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Percentage (%)</w:t>
            </w:r>
          </w:p>
        </w:tc>
      </w:tr>
      <w:tr w:rsidR="00772544" w:rsidRPr="00C87BAE" w14:paraId="56401BD9" w14:textId="77777777" w:rsidTr="00772544">
        <w:trPr>
          <w:trHeight w:val="450"/>
        </w:trPr>
        <w:tc>
          <w:tcPr>
            <w:tcW w:w="2425" w:type="dxa"/>
            <w:vMerge w:val="restart"/>
            <w:tcBorders>
              <w:top w:val="nil"/>
              <w:left w:val="single" w:sz="4" w:space="0" w:color="auto"/>
              <w:bottom w:val="single" w:sz="4" w:space="0" w:color="000000"/>
              <w:right w:val="single" w:sz="4" w:space="0" w:color="auto"/>
            </w:tcBorders>
            <w:vAlign w:val="center"/>
            <w:hideMark/>
          </w:tcPr>
          <w:p w14:paraId="029F7BA7"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Age</w:t>
            </w:r>
          </w:p>
        </w:tc>
        <w:tc>
          <w:tcPr>
            <w:tcW w:w="2410" w:type="dxa"/>
            <w:tcBorders>
              <w:top w:val="nil"/>
              <w:left w:val="nil"/>
              <w:bottom w:val="single" w:sz="4" w:space="0" w:color="auto"/>
              <w:right w:val="single" w:sz="4" w:space="0" w:color="auto"/>
            </w:tcBorders>
            <w:vAlign w:val="center"/>
            <w:hideMark/>
          </w:tcPr>
          <w:p w14:paraId="3B5769F8"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21–30 years</w:t>
            </w:r>
          </w:p>
        </w:tc>
        <w:tc>
          <w:tcPr>
            <w:tcW w:w="2410" w:type="dxa"/>
            <w:tcBorders>
              <w:top w:val="nil"/>
              <w:left w:val="nil"/>
              <w:bottom w:val="single" w:sz="4" w:space="0" w:color="auto"/>
              <w:right w:val="single" w:sz="4" w:space="0" w:color="auto"/>
            </w:tcBorders>
            <w:vAlign w:val="center"/>
            <w:hideMark/>
          </w:tcPr>
          <w:p w14:paraId="238920B2"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38</w:t>
            </w:r>
          </w:p>
        </w:tc>
        <w:tc>
          <w:tcPr>
            <w:tcW w:w="2126" w:type="dxa"/>
            <w:tcBorders>
              <w:top w:val="nil"/>
              <w:left w:val="nil"/>
              <w:bottom w:val="single" w:sz="4" w:space="0" w:color="auto"/>
              <w:right w:val="single" w:sz="4" w:space="0" w:color="auto"/>
            </w:tcBorders>
            <w:vAlign w:val="center"/>
            <w:hideMark/>
          </w:tcPr>
          <w:p w14:paraId="5EB80FB9"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38</w:t>
            </w:r>
          </w:p>
        </w:tc>
      </w:tr>
      <w:tr w:rsidR="00772544" w:rsidRPr="00C87BAE" w14:paraId="2F7B4BC3" w14:textId="77777777" w:rsidTr="00772544">
        <w:trPr>
          <w:trHeight w:val="450"/>
        </w:trPr>
        <w:tc>
          <w:tcPr>
            <w:tcW w:w="2425" w:type="dxa"/>
            <w:vMerge/>
            <w:tcBorders>
              <w:top w:val="nil"/>
              <w:left w:val="single" w:sz="4" w:space="0" w:color="auto"/>
              <w:bottom w:val="single" w:sz="4" w:space="0" w:color="000000"/>
              <w:right w:val="single" w:sz="4" w:space="0" w:color="auto"/>
            </w:tcBorders>
            <w:vAlign w:val="center"/>
            <w:hideMark/>
          </w:tcPr>
          <w:p w14:paraId="74794665"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6B8E867A"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31–40 years</w:t>
            </w:r>
          </w:p>
        </w:tc>
        <w:tc>
          <w:tcPr>
            <w:tcW w:w="2410" w:type="dxa"/>
            <w:tcBorders>
              <w:top w:val="nil"/>
              <w:left w:val="nil"/>
              <w:bottom w:val="single" w:sz="4" w:space="0" w:color="auto"/>
              <w:right w:val="single" w:sz="4" w:space="0" w:color="auto"/>
            </w:tcBorders>
            <w:vAlign w:val="center"/>
            <w:hideMark/>
          </w:tcPr>
          <w:p w14:paraId="55C9E4D7"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42</w:t>
            </w:r>
          </w:p>
        </w:tc>
        <w:tc>
          <w:tcPr>
            <w:tcW w:w="2126" w:type="dxa"/>
            <w:tcBorders>
              <w:top w:val="nil"/>
              <w:left w:val="nil"/>
              <w:bottom w:val="single" w:sz="4" w:space="0" w:color="auto"/>
              <w:right w:val="single" w:sz="4" w:space="0" w:color="auto"/>
            </w:tcBorders>
            <w:vAlign w:val="center"/>
            <w:hideMark/>
          </w:tcPr>
          <w:p w14:paraId="3D5CE2F3"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42</w:t>
            </w:r>
          </w:p>
        </w:tc>
      </w:tr>
      <w:tr w:rsidR="00772544" w:rsidRPr="00C87BAE" w14:paraId="3838F6A6" w14:textId="77777777" w:rsidTr="00772544">
        <w:trPr>
          <w:trHeight w:val="450"/>
        </w:trPr>
        <w:tc>
          <w:tcPr>
            <w:tcW w:w="2425" w:type="dxa"/>
            <w:vMerge/>
            <w:tcBorders>
              <w:top w:val="nil"/>
              <w:left w:val="single" w:sz="4" w:space="0" w:color="auto"/>
              <w:bottom w:val="single" w:sz="4" w:space="0" w:color="000000"/>
              <w:right w:val="single" w:sz="4" w:space="0" w:color="auto"/>
            </w:tcBorders>
            <w:vAlign w:val="center"/>
            <w:hideMark/>
          </w:tcPr>
          <w:p w14:paraId="28163642"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772C4137"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Above 40 years</w:t>
            </w:r>
          </w:p>
        </w:tc>
        <w:tc>
          <w:tcPr>
            <w:tcW w:w="2410" w:type="dxa"/>
            <w:tcBorders>
              <w:top w:val="nil"/>
              <w:left w:val="nil"/>
              <w:bottom w:val="single" w:sz="4" w:space="0" w:color="auto"/>
              <w:right w:val="single" w:sz="4" w:space="0" w:color="auto"/>
            </w:tcBorders>
            <w:vAlign w:val="center"/>
            <w:hideMark/>
          </w:tcPr>
          <w:p w14:paraId="77CEC081"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20</w:t>
            </w:r>
          </w:p>
        </w:tc>
        <w:tc>
          <w:tcPr>
            <w:tcW w:w="2126" w:type="dxa"/>
            <w:tcBorders>
              <w:top w:val="nil"/>
              <w:left w:val="nil"/>
              <w:bottom w:val="single" w:sz="4" w:space="0" w:color="auto"/>
              <w:right w:val="single" w:sz="4" w:space="0" w:color="auto"/>
            </w:tcBorders>
            <w:vAlign w:val="center"/>
            <w:hideMark/>
          </w:tcPr>
          <w:p w14:paraId="51BC19DC"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20</w:t>
            </w:r>
          </w:p>
        </w:tc>
      </w:tr>
      <w:tr w:rsidR="00772544" w:rsidRPr="00C87BAE" w14:paraId="72009D96" w14:textId="77777777" w:rsidTr="00772544">
        <w:trPr>
          <w:trHeight w:val="450"/>
        </w:trPr>
        <w:tc>
          <w:tcPr>
            <w:tcW w:w="2425" w:type="dxa"/>
            <w:vMerge w:val="restart"/>
            <w:tcBorders>
              <w:top w:val="nil"/>
              <w:left w:val="single" w:sz="4" w:space="0" w:color="auto"/>
              <w:bottom w:val="single" w:sz="4" w:space="0" w:color="000000"/>
              <w:right w:val="single" w:sz="4" w:space="0" w:color="auto"/>
            </w:tcBorders>
            <w:vAlign w:val="center"/>
            <w:hideMark/>
          </w:tcPr>
          <w:p w14:paraId="7C5AFD17"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Gender</w:t>
            </w:r>
          </w:p>
        </w:tc>
        <w:tc>
          <w:tcPr>
            <w:tcW w:w="2410" w:type="dxa"/>
            <w:tcBorders>
              <w:top w:val="nil"/>
              <w:left w:val="nil"/>
              <w:bottom w:val="single" w:sz="4" w:space="0" w:color="auto"/>
              <w:right w:val="single" w:sz="4" w:space="0" w:color="auto"/>
            </w:tcBorders>
            <w:vAlign w:val="center"/>
            <w:hideMark/>
          </w:tcPr>
          <w:p w14:paraId="49AC63CD"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Male</w:t>
            </w:r>
          </w:p>
        </w:tc>
        <w:tc>
          <w:tcPr>
            <w:tcW w:w="2410" w:type="dxa"/>
            <w:tcBorders>
              <w:top w:val="nil"/>
              <w:left w:val="nil"/>
              <w:bottom w:val="single" w:sz="4" w:space="0" w:color="auto"/>
              <w:right w:val="single" w:sz="4" w:space="0" w:color="auto"/>
            </w:tcBorders>
            <w:vAlign w:val="center"/>
            <w:hideMark/>
          </w:tcPr>
          <w:p w14:paraId="757D8078"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22</w:t>
            </w:r>
          </w:p>
        </w:tc>
        <w:tc>
          <w:tcPr>
            <w:tcW w:w="2126" w:type="dxa"/>
            <w:tcBorders>
              <w:top w:val="nil"/>
              <w:left w:val="nil"/>
              <w:bottom w:val="single" w:sz="4" w:space="0" w:color="auto"/>
              <w:right w:val="single" w:sz="4" w:space="0" w:color="auto"/>
            </w:tcBorders>
            <w:vAlign w:val="center"/>
            <w:hideMark/>
          </w:tcPr>
          <w:p w14:paraId="6AB662FE"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22</w:t>
            </w:r>
          </w:p>
        </w:tc>
      </w:tr>
      <w:tr w:rsidR="00772544" w:rsidRPr="00C87BAE" w14:paraId="1FFB0C73" w14:textId="77777777" w:rsidTr="00772544">
        <w:trPr>
          <w:trHeight w:val="450"/>
        </w:trPr>
        <w:tc>
          <w:tcPr>
            <w:tcW w:w="2425" w:type="dxa"/>
            <w:vMerge/>
            <w:tcBorders>
              <w:top w:val="nil"/>
              <w:left w:val="single" w:sz="4" w:space="0" w:color="auto"/>
              <w:bottom w:val="single" w:sz="4" w:space="0" w:color="000000"/>
              <w:right w:val="single" w:sz="4" w:space="0" w:color="auto"/>
            </w:tcBorders>
            <w:vAlign w:val="center"/>
            <w:hideMark/>
          </w:tcPr>
          <w:p w14:paraId="1CAA723D"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51ED539E"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Female</w:t>
            </w:r>
          </w:p>
        </w:tc>
        <w:tc>
          <w:tcPr>
            <w:tcW w:w="2410" w:type="dxa"/>
            <w:tcBorders>
              <w:top w:val="nil"/>
              <w:left w:val="nil"/>
              <w:bottom w:val="single" w:sz="4" w:space="0" w:color="auto"/>
              <w:right w:val="single" w:sz="4" w:space="0" w:color="auto"/>
            </w:tcBorders>
            <w:vAlign w:val="center"/>
            <w:hideMark/>
          </w:tcPr>
          <w:p w14:paraId="18ADBCDA"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78</w:t>
            </w:r>
          </w:p>
        </w:tc>
        <w:tc>
          <w:tcPr>
            <w:tcW w:w="2126" w:type="dxa"/>
            <w:tcBorders>
              <w:top w:val="nil"/>
              <w:left w:val="nil"/>
              <w:bottom w:val="single" w:sz="4" w:space="0" w:color="auto"/>
              <w:right w:val="single" w:sz="4" w:space="0" w:color="auto"/>
            </w:tcBorders>
            <w:vAlign w:val="center"/>
            <w:hideMark/>
          </w:tcPr>
          <w:p w14:paraId="5C32B29D"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78</w:t>
            </w:r>
          </w:p>
        </w:tc>
      </w:tr>
      <w:tr w:rsidR="00772544" w:rsidRPr="00C87BAE" w14:paraId="65F1D732" w14:textId="77777777" w:rsidTr="00772544">
        <w:trPr>
          <w:trHeight w:val="450"/>
        </w:trPr>
        <w:tc>
          <w:tcPr>
            <w:tcW w:w="2425" w:type="dxa"/>
            <w:vMerge w:val="restart"/>
            <w:tcBorders>
              <w:top w:val="nil"/>
              <w:left w:val="single" w:sz="4" w:space="0" w:color="auto"/>
              <w:bottom w:val="single" w:sz="4" w:space="0" w:color="000000"/>
              <w:right w:val="single" w:sz="4" w:space="0" w:color="auto"/>
            </w:tcBorders>
            <w:vAlign w:val="center"/>
            <w:hideMark/>
          </w:tcPr>
          <w:p w14:paraId="7D196254"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Number of children</w:t>
            </w:r>
          </w:p>
        </w:tc>
        <w:tc>
          <w:tcPr>
            <w:tcW w:w="2410" w:type="dxa"/>
            <w:tcBorders>
              <w:top w:val="nil"/>
              <w:left w:val="nil"/>
              <w:bottom w:val="single" w:sz="4" w:space="0" w:color="auto"/>
              <w:right w:val="single" w:sz="4" w:space="0" w:color="auto"/>
            </w:tcBorders>
            <w:vAlign w:val="center"/>
            <w:hideMark/>
          </w:tcPr>
          <w:p w14:paraId="51DE2674"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One</w:t>
            </w:r>
          </w:p>
        </w:tc>
        <w:tc>
          <w:tcPr>
            <w:tcW w:w="2410" w:type="dxa"/>
            <w:tcBorders>
              <w:top w:val="nil"/>
              <w:left w:val="nil"/>
              <w:bottom w:val="single" w:sz="4" w:space="0" w:color="auto"/>
              <w:right w:val="single" w:sz="4" w:space="0" w:color="auto"/>
            </w:tcBorders>
            <w:vAlign w:val="center"/>
            <w:hideMark/>
          </w:tcPr>
          <w:p w14:paraId="52760662"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41</w:t>
            </w:r>
          </w:p>
        </w:tc>
        <w:tc>
          <w:tcPr>
            <w:tcW w:w="2126" w:type="dxa"/>
            <w:tcBorders>
              <w:top w:val="nil"/>
              <w:left w:val="nil"/>
              <w:bottom w:val="single" w:sz="4" w:space="0" w:color="auto"/>
              <w:right w:val="single" w:sz="4" w:space="0" w:color="auto"/>
            </w:tcBorders>
            <w:vAlign w:val="center"/>
            <w:hideMark/>
          </w:tcPr>
          <w:p w14:paraId="14DFBA11"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41</w:t>
            </w:r>
          </w:p>
        </w:tc>
      </w:tr>
      <w:tr w:rsidR="00772544" w:rsidRPr="00C87BAE" w14:paraId="2848C76E" w14:textId="77777777" w:rsidTr="00772544">
        <w:trPr>
          <w:trHeight w:val="450"/>
        </w:trPr>
        <w:tc>
          <w:tcPr>
            <w:tcW w:w="2425" w:type="dxa"/>
            <w:vMerge/>
            <w:tcBorders>
              <w:top w:val="nil"/>
              <w:left w:val="single" w:sz="4" w:space="0" w:color="auto"/>
              <w:bottom w:val="single" w:sz="4" w:space="0" w:color="000000"/>
              <w:right w:val="single" w:sz="4" w:space="0" w:color="auto"/>
            </w:tcBorders>
            <w:vAlign w:val="center"/>
            <w:hideMark/>
          </w:tcPr>
          <w:p w14:paraId="09D97BC6"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776E0FE7"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Two</w:t>
            </w:r>
          </w:p>
        </w:tc>
        <w:tc>
          <w:tcPr>
            <w:tcW w:w="2410" w:type="dxa"/>
            <w:tcBorders>
              <w:top w:val="nil"/>
              <w:left w:val="nil"/>
              <w:bottom w:val="single" w:sz="4" w:space="0" w:color="auto"/>
              <w:right w:val="single" w:sz="4" w:space="0" w:color="auto"/>
            </w:tcBorders>
            <w:vAlign w:val="center"/>
            <w:hideMark/>
          </w:tcPr>
          <w:p w14:paraId="5464FADE"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45</w:t>
            </w:r>
          </w:p>
        </w:tc>
        <w:tc>
          <w:tcPr>
            <w:tcW w:w="2126" w:type="dxa"/>
            <w:tcBorders>
              <w:top w:val="nil"/>
              <w:left w:val="nil"/>
              <w:bottom w:val="single" w:sz="4" w:space="0" w:color="auto"/>
              <w:right w:val="single" w:sz="4" w:space="0" w:color="auto"/>
            </w:tcBorders>
            <w:vAlign w:val="center"/>
            <w:hideMark/>
          </w:tcPr>
          <w:p w14:paraId="40F8EA7E"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45</w:t>
            </w:r>
          </w:p>
        </w:tc>
      </w:tr>
      <w:tr w:rsidR="00772544" w:rsidRPr="00C87BAE" w14:paraId="5DFD0818" w14:textId="77777777" w:rsidTr="00772544">
        <w:trPr>
          <w:trHeight w:val="450"/>
        </w:trPr>
        <w:tc>
          <w:tcPr>
            <w:tcW w:w="2425" w:type="dxa"/>
            <w:vMerge/>
            <w:tcBorders>
              <w:top w:val="nil"/>
              <w:left w:val="single" w:sz="4" w:space="0" w:color="auto"/>
              <w:bottom w:val="single" w:sz="4" w:space="0" w:color="000000"/>
              <w:right w:val="single" w:sz="4" w:space="0" w:color="auto"/>
            </w:tcBorders>
            <w:vAlign w:val="center"/>
            <w:hideMark/>
          </w:tcPr>
          <w:p w14:paraId="0B1790C5"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221985D3"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Three or more</w:t>
            </w:r>
          </w:p>
        </w:tc>
        <w:tc>
          <w:tcPr>
            <w:tcW w:w="2410" w:type="dxa"/>
            <w:tcBorders>
              <w:top w:val="nil"/>
              <w:left w:val="nil"/>
              <w:bottom w:val="single" w:sz="4" w:space="0" w:color="auto"/>
              <w:right w:val="single" w:sz="4" w:space="0" w:color="auto"/>
            </w:tcBorders>
            <w:vAlign w:val="center"/>
            <w:hideMark/>
          </w:tcPr>
          <w:p w14:paraId="482FA23B"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14</w:t>
            </w:r>
          </w:p>
        </w:tc>
        <w:tc>
          <w:tcPr>
            <w:tcW w:w="2126" w:type="dxa"/>
            <w:tcBorders>
              <w:top w:val="nil"/>
              <w:left w:val="nil"/>
              <w:bottom w:val="single" w:sz="4" w:space="0" w:color="auto"/>
              <w:right w:val="single" w:sz="4" w:space="0" w:color="auto"/>
            </w:tcBorders>
            <w:vAlign w:val="center"/>
            <w:hideMark/>
          </w:tcPr>
          <w:p w14:paraId="666F7C36"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14</w:t>
            </w:r>
          </w:p>
        </w:tc>
      </w:tr>
      <w:tr w:rsidR="00772544" w:rsidRPr="00C87BAE" w14:paraId="4DF962C7" w14:textId="77777777" w:rsidTr="00772544">
        <w:trPr>
          <w:trHeight w:val="450"/>
        </w:trPr>
        <w:tc>
          <w:tcPr>
            <w:tcW w:w="2425" w:type="dxa"/>
            <w:vMerge w:val="restart"/>
            <w:tcBorders>
              <w:top w:val="nil"/>
              <w:left w:val="single" w:sz="4" w:space="0" w:color="auto"/>
              <w:bottom w:val="single" w:sz="4" w:space="0" w:color="000000"/>
              <w:right w:val="single" w:sz="4" w:space="0" w:color="auto"/>
            </w:tcBorders>
            <w:vAlign w:val="center"/>
            <w:hideMark/>
          </w:tcPr>
          <w:p w14:paraId="4F2C70D0"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Type of family</w:t>
            </w:r>
          </w:p>
        </w:tc>
        <w:tc>
          <w:tcPr>
            <w:tcW w:w="2410" w:type="dxa"/>
            <w:tcBorders>
              <w:top w:val="nil"/>
              <w:left w:val="nil"/>
              <w:bottom w:val="single" w:sz="4" w:space="0" w:color="auto"/>
              <w:right w:val="single" w:sz="4" w:space="0" w:color="auto"/>
            </w:tcBorders>
            <w:vAlign w:val="center"/>
            <w:hideMark/>
          </w:tcPr>
          <w:p w14:paraId="76F0AB35"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Nuclear</w:t>
            </w:r>
          </w:p>
        </w:tc>
        <w:tc>
          <w:tcPr>
            <w:tcW w:w="2410" w:type="dxa"/>
            <w:tcBorders>
              <w:top w:val="nil"/>
              <w:left w:val="nil"/>
              <w:bottom w:val="single" w:sz="4" w:space="0" w:color="auto"/>
              <w:right w:val="single" w:sz="4" w:space="0" w:color="auto"/>
            </w:tcBorders>
            <w:vAlign w:val="center"/>
            <w:hideMark/>
          </w:tcPr>
          <w:p w14:paraId="09E513AF"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63</w:t>
            </w:r>
          </w:p>
        </w:tc>
        <w:tc>
          <w:tcPr>
            <w:tcW w:w="2126" w:type="dxa"/>
            <w:tcBorders>
              <w:top w:val="nil"/>
              <w:left w:val="nil"/>
              <w:bottom w:val="single" w:sz="4" w:space="0" w:color="auto"/>
              <w:right w:val="single" w:sz="4" w:space="0" w:color="auto"/>
            </w:tcBorders>
            <w:vAlign w:val="center"/>
            <w:hideMark/>
          </w:tcPr>
          <w:p w14:paraId="3430C4C4"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63</w:t>
            </w:r>
          </w:p>
        </w:tc>
      </w:tr>
      <w:tr w:rsidR="00772544" w:rsidRPr="00C87BAE" w14:paraId="631A2E01" w14:textId="77777777" w:rsidTr="00772544">
        <w:trPr>
          <w:trHeight w:val="450"/>
        </w:trPr>
        <w:tc>
          <w:tcPr>
            <w:tcW w:w="2425" w:type="dxa"/>
            <w:vMerge/>
            <w:tcBorders>
              <w:top w:val="nil"/>
              <w:left w:val="single" w:sz="4" w:space="0" w:color="auto"/>
              <w:bottom w:val="single" w:sz="4" w:space="0" w:color="000000"/>
              <w:right w:val="single" w:sz="4" w:space="0" w:color="auto"/>
            </w:tcBorders>
            <w:vAlign w:val="center"/>
            <w:hideMark/>
          </w:tcPr>
          <w:p w14:paraId="734F4262"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42B29E7D"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Joint</w:t>
            </w:r>
          </w:p>
        </w:tc>
        <w:tc>
          <w:tcPr>
            <w:tcW w:w="2410" w:type="dxa"/>
            <w:tcBorders>
              <w:top w:val="nil"/>
              <w:left w:val="nil"/>
              <w:bottom w:val="single" w:sz="4" w:space="0" w:color="auto"/>
              <w:right w:val="single" w:sz="4" w:space="0" w:color="auto"/>
            </w:tcBorders>
            <w:vAlign w:val="center"/>
            <w:hideMark/>
          </w:tcPr>
          <w:p w14:paraId="59770909"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37</w:t>
            </w:r>
          </w:p>
        </w:tc>
        <w:tc>
          <w:tcPr>
            <w:tcW w:w="2126" w:type="dxa"/>
            <w:tcBorders>
              <w:top w:val="nil"/>
              <w:left w:val="nil"/>
              <w:bottom w:val="single" w:sz="4" w:space="0" w:color="auto"/>
              <w:right w:val="single" w:sz="4" w:space="0" w:color="auto"/>
            </w:tcBorders>
            <w:vAlign w:val="center"/>
            <w:hideMark/>
          </w:tcPr>
          <w:p w14:paraId="46A28020"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37</w:t>
            </w:r>
          </w:p>
        </w:tc>
      </w:tr>
      <w:tr w:rsidR="00772544" w:rsidRPr="00C87BAE" w14:paraId="29C63D66" w14:textId="77777777" w:rsidTr="00772544">
        <w:trPr>
          <w:trHeight w:val="450"/>
        </w:trPr>
        <w:tc>
          <w:tcPr>
            <w:tcW w:w="2425" w:type="dxa"/>
            <w:vMerge w:val="restart"/>
            <w:tcBorders>
              <w:top w:val="nil"/>
              <w:left w:val="single" w:sz="4" w:space="0" w:color="auto"/>
              <w:bottom w:val="single" w:sz="4" w:space="0" w:color="000000"/>
              <w:right w:val="single" w:sz="4" w:space="0" w:color="auto"/>
            </w:tcBorders>
            <w:vAlign w:val="center"/>
            <w:hideMark/>
          </w:tcPr>
          <w:p w14:paraId="7E63C928"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Duty pattern</w:t>
            </w:r>
          </w:p>
        </w:tc>
        <w:tc>
          <w:tcPr>
            <w:tcW w:w="2410" w:type="dxa"/>
            <w:tcBorders>
              <w:top w:val="nil"/>
              <w:left w:val="nil"/>
              <w:bottom w:val="single" w:sz="4" w:space="0" w:color="auto"/>
              <w:right w:val="single" w:sz="4" w:space="0" w:color="auto"/>
            </w:tcBorders>
            <w:vAlign w:val="center"/>
            <w:hideMark/>
          </w:tcPr>
          <w:p w14:paraId="5528F9D8"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Rotational</w:t>
            </w:r>
          </w:p>
        </w:tc>
        <w:tc>
          <w:tcPr>
            <w:tcW w:w="2410" w:type="dxa"/>
            <w:tcBorders>
              <w:top w:val="nil"/>
              <w:left w:val="nil"/>
              <w:bottom w:val="single" w:sz="4" w:space="0" w:color="auto"/>
              <w:right w:val="single" w:sz="4" w:space="0" w:color="auto"/>
            </w:tcBorders>
            <w:vAlign w:val="center"/>
            <w:hideMark/>
          </w:tcPr>
          <w:p w14:paraId="2005A61E"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66</w:t>
            </w:r>
          </w:p>
        </w:tc>
        <w:tc>
          <w:tcPr>
            <w:tcW w:w="2126" w:type="dxa"/>
            <w:tcBorders>
              <w:top w:val="nil"/>
              <w:left w:val="nil"/>
              <w:bottom w:val="single" w:sz="4" w:space="0" w:color="auto"/>
              <w:right w:val="single" w:sz="4" w:space="0" w:color="auto"/>
            </w:tcBorders>
            <w:vAlign w:val="center"/>
            <w:hideMark/>
          </w:tcPr>
          <w:p w14:paraId="13C28DCA"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66</w:t>
            </w:r>
          </w:p>
        </w:tc>
      </w:tr>
      <w:tr w:rsidR="00772544" w:rsidRPr="00C87BAE" w14:paraId="6381ED44" w14:textId="77777777" w:rsidTr="00772544">
        <w:trPr>
          <w:trHeight w:val="450"/>
        </w:trPr>
        <w:tc>
          <w:tcPr>
            <w:tcW w:w="2425" w:type="dxa"/>
            <w:vMerge/>
            <w:tcBorders>
              <w:top w:val="nil"/>
              <w:left w:val="single" w:sz="4" w:space="0" w:color="auto"/>
              <w:bottom w:val="single" w:sz="4" w:space="0" w:color="000000"/>
              <w:right w:val="single" w:sz="4" w:space="0" w:color="auto"/>
            </w:tcBorders>
            <w:vAlign w:val="center"/>
            <w:hideMark/>
          </w:tcPr>
          <w:p w14:paraId="352E42AE"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4AC0D1C5"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Fixed</w:t>
            </w:r>
          </w:p>
        </w:tc>
        <w:tc>
          <w:tcPr>
            <w:tcW w:w="2410" w:type="dxa"/>
            <w:tcBorders>
              <w:top w:val="nil"/>
              <w:left w:val="nil"/>
              <w:bottom w:val="single" w:sz="4" w:space="0" w:color="auto"/>
              <w:right w:val="single" w:sz="4" w:space="0" w:color="auto"/>
            </w:tcBorders>
            <w:vAlign w:val="center"/>
            <w:hideMark/>
          </w:tcPr>
          <w:p w14:paraId="623C541F"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34</w:t>
            </w:r>
          </w:p>
        </w:tc>
        <w:tc>
          <w:tcPr>
            <w:tcW w:w="2126" w:type="dxa"/>
            <w:tcBorders>
              <w:top w:val="nil"/>
              <w:left w:val="nil"/>
              <w:bottom w:val="single" w:sz="4" w:space="0" w:color="auto"/>
              <w:right w:val="single" w:sz="4" w:space="0" w:color="auto"/>
            </w:tcBorders>
            <w:vAlign w:val="center"/>
            <w:hideMark/>
          </w:tcPr>
          <w:p w14:paraId="3F741622"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34</w:t>
            </w:r>
          </w:p>
        </w:tc>
      </w:tr>
      <w:tr w:rsidR="00772544" w:rsidRPr="00C87BAE" w14:paraId="13C51D05" w14:textId="77777777" w:rsidTr="00772544">
        <w:trPr>
          <w:trHeight w:val="450"/>
        </w:trPr>
        <w:tc>
          <w:tcPr>
            <w:tcW w:w="2425" w:type="dxa"/>
            <w:vMerge w:val="restart"/>
            <w:tcBorders>
              <w:top w:val="nil"/>
              <w:left w:val="single" w:sz="4" w:space="0" w:color="auto"/>
              <w:bottom w:val="single" w:sz="4" w:space="0" w:color="000000"/>
              <w:right w:val="single" w:sz="4" w:space="0" w:color="auto"/>
            </w:tcBorders>
            <w:vAlign w:val="center"/>
            <w:hideMark/>
          </w:tcPr>
          <w:p w14:paraId="0A783E85"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Professional experience</w:t>
            </w:r>
          </w:p>
        </w:tc>
        <w:tc>
          <w:tcPr>
            <w:tcW w:w="2410" w:type="dxa"/>
            <w:tcBorders>
              <w:top w:val="nil"/>
              <w:left w:val="nil"/>
              <w:bottom w:val="single" w:sz="4" w:space="0" w:color="auto"/>
              <w:right w:val="single" w:sz="4" w:space="0" w:color="auto"/>
            </w:tcBorders>
            <w:vAlign w:val="center"/>
            <w:hideMark/>
          </w:tcPr>
          <w:p w14:paraId="42032E9C"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Less than 5 years</w:t>
            </w:r>
          </w:p>
        </w:tc>
        <w:tc>
          <w:tcPr>
            <w:tcW w:w="2410" w:type="dxa"/>
            <w:tcBorders>
              <w:top w:val="nil"/>
              <w:left w:val="nil"/>
              <w:bottom w:val="single" w:sz="4" w:space="0" w:color="auto"/>
              <w:right w:val="single" w:sz="4" w:space="0" w:color="auto"/>
            </w:tcBorders>
            <w:vAlign w:val="center"/>
            <w:hideMark/>
          </w:tcPr>
          <w:p w14:paraId="0F1FFCA7"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31</w:t>
            </w:r>
          </w:p>
        </w:tc>
        <w:tc>
          <w:tcPr>
            <w:tcW w:w="2126" w:type="dxa"/>
            <w:tcBorders>
              <w:top w:val="nil"/>
              <w:left w:val="nil"/>
              <w:bottom w:val="single" w:sz="4" w:space="0" w:color="auto"/>
              <w:right w:val="single" w:sz="4" w:space="0" w:color="auto"/>
            </w:tcBorders>
            <w:vAlign w:val="center"/>
            <w:hideMark/>
          </w:tcPr>
          <w:p w14:paraId="592C4E4F"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31</w:t>
            </w:r>
          </w:p>
        </w:tc>
      </w:tr>
      <w:tr w:rsidR="00772544" w:rsidRPr="00C87BAE" w14:paraId="2F32C2B2" w14:textId="77777777" w:rsidTr="00772544">
        <w:trPr>
          <w:trHeight w:val="450"/>
        </w:trPr>
        <w:tc>
          <w:tcPr>
            <w:tcW w:w="2425" w:type="dxa"/>
            <w:vMerge/>
            <w:tcBorders>
              <w:top w:val="nil"/>
              <w:left w:val="single" w:sz="4" w:space="0" w:color="auto"/>
              <w:bottom w:val="single" w:sz="4" w:space="0" w:color="000000"/>
              <w:right w:val="single" w:sz="4" w:space="0" w:color="auto"/>
            </w:tcBorders>
            <w:vAlign w:val="center"/>
            <w:hideMark/>
          </w:tcPr>
          <w:p w14:paraId="0BF70703"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1ED4A86D"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5–10 years</w:t>
            </w:r>
          </w:p>
        </w:tc>
        <w:tc>
          <w:tcPr>
            <w:tcW w:w="2410" w:type="dxa"/>
            <w:tcBorders>
              <w:top w:val="nil"/>
              <w:left w:val="nil"/>
              <w:bottom w:val="single" w:sz="4" w:space="0" w:color="auto"/>
              <w:right w:val="single" w:sz="4" w:space="0" w:color="auto"/>
            </w:tcBorders>
            <w:vAlign w:val="center"/>
            <w:hideMark/>
          </w:tcPr>
          <w:p w14:paraId="5F4E2920"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39</w:t>
            </w:r>
          </w:p>
        </w:tc>
        <w:tc>
          <w:tcPr>
            <w:tcW w:w="2126" w:type="dxa"/>
            <w:tcBorders>
              <w:top w:val="nil"/>
              <w:left w:val="nil"/>
              <w:bottom w:val="single" w:sz="4" w:space="0" w:color="auto"/>
              <w:right w:val="single" w:sz="4" w:space="0" w:color="auto"/>
            </w:tcBorders>
            <w:vAlign w:val="center"/>
            <w:hideMark/>
          </w:tcPr>
          <w:p w14:paraId="548C8E0F"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39</w:t>
            </w:r>
          </w:p>
        </w:tc>
      </w:tr>
      <w:tr w:rsidR="00772544" w:rsidRPr="00C87BAE" w14:paraId="75C44547" w14:textId="77777777" w:rsidTr="00772544">
        <w:trPr>
          <w:trHeight w:val="450"/>
        </w:trPr>
        <w:tc>
          <w:tcPr>
            <w:tcW w:w="2425" w:type="dxa"/>
            <w:vMerge/>
            <w:tcBorders>
              <w:top w:val="nil"/>
              <w:left w:val="single" w:sz="4" w:space="0" w:color="auto"/>
              <w:bottom w:val="single" w:sz="4" w:space="0" w:color="000000"/>
              <w:right w:val="single" w:sz="4" w:space="0" w:color="auto"/>
            </w:tcBorders>
            <w:vAlign w:val="center"/>
            <w:hideMark/>
          </w:tcPr>
          <w:p w14:paraId="4963FA0F"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1B7CF1A9"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More than 10 years</w:t>
            </w:r>
          </w:p>
        </w:tc>
        <w:tc>
          <w:tcPr>
            <w:tcW w:w="2410" w:type="dxa"/>
            <w:tcBorders>
              <w:top w:val="nil"/>
              <w:left w:val="nil"/>
              <w:bottom w:val="single" w:sz="4" w:space="0" w:color="auto"/>
              <w:right w:val="single" w:sz="4" w:space="0" w:color="auto"/>
            </w:tcBorders>
            <w:vAlign w:val="center"/>
            <w:hideMark/>
          </w:tcPr>
          <w:p w14:paraId="234F9C90"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30</w:t>
            </w:r>
          </w:p>
        </w:tc>
        <w:tc>
          <w:tcPr>
            <w:tcW w:w="2126" w:type="dxa"/>
            <w:tcBorders>
              <w:top w:val="nil"/>
              <w:left w:val="nil"/>
              <w:bottom w:val="single" w:sz="4" w:space="0" w:color="auto"/>
              <w:right w:val="single" w:sz="4" w:space="0" w:color="auto"/>
            </w:tcBorders>
            <w:vAlign w:val="center"/>
            <w:hideMark/>
          </w:tcPr>
          <w:p w14:paraId="403614AF"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30</w:t>
            </w:r>
          </w:p>
        </w:tc>
      </w:tr>
    </w:tbl>
    <w:p w14:paraId="05A2AE7B" w14:textId="77777777" w:rsidR="00772544" w:rsidRPr="00C87BAE" w:rsidRDefault="00772544" w:rsidP="00772544">
      <w:pPr>
        <w:spacing w:after="0" w:line="360" w:lineRule="auto"/>
        <w:ind w:right="403"/>
        <w:outlineLvl w:val="2"/>
        <w:rPr>
          <w:rFonts w:ascii="Times New Roman" w:eastAsia="Times New Roman" w:hAnsi="Times New Roman" w:cs="Times New Roman"/>
          <w:b/>
          <w:bCs/>
          <w:sz w:val="24"/>
          <w:szCs w:val="24"/>
          <w:lang w:eastAsia="en-IN"/>
        </w:rPr>
      </w:pPr>
    </w:p>
    <w:p w14:paraId="4D0C578F" w14:textId="77777777" w:rsidR="00772544" w:rsidRPr="00C87BAE" w:rsidRDefault="00772544" w:rsidP="00772544">
      <w:pPr>
        <w:spacing w:after="0" w:line="360" w:lineRule="auto"/>
        <w:outlineLvl w:val="2"/>
        <w:rPr>
          <w:rFonts w:ascii="Times New Roman" w:eastAsia="Times New Roman" w:hAnsi="Times New Roman" w:cs="Times New Roman"/>
          <w:b/>
          <w:bCs/>
          <w:sz w:val="24"/>
          <w:szCs w:val="24"/>
          <w:lang w:eastAsia="en-IN"/>
        </w:rPr>
      </w:pPr>
    </w:p>
    <w:p w14:paraId="6D87EF99" w14:textId="77777777" w:rsidR="00772544" w:rsidRPr="00C87BAE" w:rsidRDefault="00772544" w:rsidP="00772544">
      <w:pPr>
        <w:spacing w:after="0" w:line="360" w:lineRule="auto"/>
        <w:rPr>
          <w:rFonts w:ascii="Times New Roman" w:eastAsia="Times New Roman" w:hAnsi="Times New Roman" w:cs="Times New Roman"/>
          <w:sz w:val="24"/>
          <w:szCs w:val="24"/>
          <w:lang w:eastAsia="en-IN"/>
        </w:rPr>
      </w:pPr>
    </w:p>
    <w:p w14:paraId="12FFBAF1" w14:textId="77777777" w:rsidR="00772544" w:rsidRPr="00C87BAE" w:rsidRDefault="00772544" w:rsidP="00772544">
      <w:pPr>
        <w:spacing w:after="0" w:line="360" w:lineRule="auto"/>
        <w:rPr>
          <w:rFonts w:ascii="Times New Roman" w:eastAsia="Times New Roman" w:hAnsi="Times New Roman" w:cs="Times New Roman"/>
          <w:sz w:val="24"/>
          <w:szCs w:val="24"/>
          <w:lang w:eastAsia="en-IN"/>
        </w:rPr>
      </w:pPr>
    </w:p>
    <w:p w14:paraId="77B37ADA" w14:textId="77777777" w:rsidR="00046C55" w:rsidRPr="00C87BAE" w:rsidRDefault="00046C55" w:rsidP="00772544">
      <w:pPr>
        <w:spacing w:after="0" w:line="360" w:lineRule="auto"/>
        <w:outlineLvl w:val="1"/>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Level of Parenting Stress</w:t>
      </w:r>
    </w:p>
    <w:p w14:paraId="3B7CEC17" w14:textId="77777777" w:rsidR="00046C55" w:rsidRPr="00C87BAE" w:rsidRDefault="00046C55" w:rsidP="00772544">
      <w:pPr>
        <w:spacing w:after="0" w:line="360" w:lineRule="auto"/>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Table 2. Distribution of Staff Nurses According to Level of Parenting Stress (N = 100)</w:t>
      </w:r>
    </w:p>
    <w:tbl>
      <w:tblPr>
        <w:tblW w:w="9371" w:type="dxa"/>
        <w:tblInd w:w="93" w:type="dxa"/>
        <w:tblLook w:val="04A0" w:firstRow="1" w:lastRow="0" w:firstColumn="1" w:lastColumn="0" w:noHBand="0" w:noVBand="1"/>
      </w:tblPr>
      <w:tblGrid>
        <w:gridCol w:w="3276"/>
        <w:gridCol w:w="3118"/>
        <w:gridCol w:w="2977"/>
      </w:tblGrid>
      <w:tr w:rsidR="00772544" w:rsidRPr="00C87BAE" w14:paraId="6FF0E2BB" w14:textId="77777777" w:rsidTr="00772544">
        <w:trPr>
          <w:trHeight w:val="450"/>
        </w:trPr>
        <w:tc>
          <w:tcPr>
            <w:tcW w:w="3276" w:type="dxa"/>
            <w:tcBorders>
              <w:top w:val="single" w:sz="4" w:space="0" w:color="auto"/>
              <w:left w:val="single" w:sz="4" w:space="0" w:color="auto"/>
              <w:bottom w:val="single" w:sz="4" w:space="0" w:color="auto"/>
              <w:right w:val="single" w:sz="4" w:space="0" w:color="auto"/>
            </w:tcBorders>
            <w:vAlign w:val="center"/>
            <w:hideMark/>
          </w:tcPr>
          <w:p w14:paraId="427A019A"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Level of Parenting Stress</w:t>
            </w:r>
          </w:p>
        </w:tc>
        <w:tc>
          <w:tcPr>
            <w:tcW w:w="3118" w:type="dxa"/>
            <w:tcBorders>
              <w:top w:val="single" w:sz="4" w:space="0" w:color="auto"/>
              <w:left w:val="nil"/>
              <w:bottom w:val="single" w:sz="4" w:space="0" w:color="auto"/>
              <w:right w:val="single" w:sz="4" w:space="0" w:color="auto"/>
            </w:tcBorders>
            <w:vAlign w:val="center"/>
            <w:hideMark/>
          </w:tcPr>
          <w:p w14:paraId="5D9C4337"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Frequency (f)</w:t>
            </w:r>
          </w:p>
        </w:tc>
        <w:tc>
          <w:tcPr>
            <w:tcW w:w="2977" w:type="dxa"/>
            <w:tcBorders>
              <w:top w:val="single" w:sz="4" w:space="0" w:color="auto"/>
              <w:left w:val="nil"/>
              <w:bottom w:val="single" w:sz="4" w:space="0" w:color="auto"/>
              <w:right w:val="single" w:sz="4" w:space="0" w:color="auto"/>
            </w:tcBorders>
            <w:vAlign w:val="center"/>
            <w:hideMark/>
          </w:tcPr>
          <w:p w14:paraId="4ECB7FC1"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Percentage (%)</w:t>
            </w:r>
          </w:p>
        </w:tc>
      </w:tr>
      <w:tr w:rsidR="00772544" w:rsidRPr="00C87BAE" w14:paraId="325D402B" w14:textId="77777777" w:rsidTr="00772544">
        <w:trPr>
          <w:trHeight w:val="450"/>
        </w:trPr>
        <w:tc>
          <w:tcPr>
            <w:tcW w:w="3276" w:type="dxa"/>
            <w:tcBorders>
              <w:top w:val="nil"/>
              <w:left w:val="single" w:sz="4" w:space="0" w:color="auto"/>
              <w:bottom w:val="single" w:sz="4" w:space="0" w:color="auto"/>
              <w:right w:val="single" w:sz="4" w:space="0" w:color="auto"/>
            </w:tcBorders>
            <w:vAlign w:val="center"/>
            <w:hideMark/>
          </w:tcPr>
          <w:p w14:paraId="0737150D"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Low</w:t>
            </w:r>
          </w:p>
        </w:tc>
        <w:tc>
          <w:tcPr>
            <w:tcW w:w="3118" w:type="dxa"/>
            <w:tcBorders>
              <w:top w:val="nil"/>
              <w:left w:val="nil"/>
              <w:bottom w:val="single" w:sz="4" w:space="0" w:color="auto"/>
              <w:right w:val="single" w:sz="4" w:space="0" w:color="auto"/>
            </w:tcBorders>
            <w:vAlign w:val="center"/>
            <w:hideMark/>
          </w:tcPr>
          <w:p w14:paraId="672F439A"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18</w:t>
            </w:r>
          </w:p>
        </w:tc>
        <w:tc>
          <w:tcPr>
            <w:tcW w:w="2977" w:type="dxa"/>
            <w:tcBorders>
              <w:top w:val="nil"/>
              <w:left w:val="nil"/>
              <w:bottom w:val="single" w:sz="4" w:space="0" w:color="auto"/>
              <w:right w:val="single" w:sz="4" w:space="0" w:color="auto"/>
            </w:tcBorders>
            <w:vAlign w:val="center"/>
            <w:hideMark/>
          </w:tcPr>
          <w:p w14:paraId="1B414769"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18</w:t>
            </w:r>
          </w:p>
        </w:tc>
      </w:tr>
      <w:tr w:rsidR="00772544" w:rsidRPr="00C87BAE" w14:paraId="36E564F6" w14:textId="77777777" w:rsidTr="00772544">
        <w:trPr>
          <w:trHeight w:val="450"/>
        </w:trPr>
        <w:tc>
          <w:tcPr>
            <w:tcW w:w="3276" w:type="dxa"/>
            <w:tcBorders>
              <w:top w:val="nil"/>
              <w:left w:val="single" w:sz="4" w:space="0" w:color="auto"/>
              <w:bottom w:val="single" w:sz="4" w:space="0" w:color="auto"/>
              <w:right w:val="single" w:sz="4" w:space="0" w:color="auto"/>
            </w:tcBorders>
            <w:vAlign w:val="center"/>
            <w:hideMark/>
          </w:tcPr>
          <w:p w14:paraId="3E736DDD"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Moderate</w:t>
            </w:r>
          </w:p>
        </w:tc>
        <w:tc>
          <w:tcPr>
            <w:tcW w:w="3118" w:type="dxa"/>
            <w:tcBorders>
              <w:top w:val="nil"/>
              <w:left w:val="nil"/>
              <w:bottom w:val="single" w:sz="4" w:space="0" w:color="auto"/>
              <w:right w:val="single" w:sz="4" w:space="0" w:color="auto"/>
            </w:tcBorders>
            <w:vAlign w:val="center"/>
            <w:hideMark/>
          </w:tcPr>
          <w:p w14:paraId="6D4A929F"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64</w:t>
            </w:r>
          </w:p>
        </w:tc>
        <w:tc>
          <w:tcPr>
            <w:tcW w:w="2977" w:type="dxa"/>
            <w:tcBorders>
              <w:top w:val="nil"/>
              <w:left w:val="nil"/>
              <w:bottom w:val="single" w:sz="4" w:space="0" w:color="auto"/>
              <w:right w:val="single" w:sz="4" w:space="0" w:color="auto"/>
            </w:tcBorders>
            <w:vAlign w:val="center"/>
            <w:hideMark/>
          </w:tcPr>
          <w:p w14:paraId="60E7C7B5"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64</w:t>
            </w:r>
          </w:p>
        </w:tc>
      </w:tr>
      <w:tr w:rsidR="00772544" w:rsidRPr="00C87BAE" w14:paraId="7E85E632" w14:textId="77777777" w:rsidTr="00772544">
        <w:trPr>
          <w:trHeight w:val="450"/>
        </w:trPr>
        <w:tc>
          <w:tcPr>
            <w:tcW w:w="3276" w:type="dxa"/>
            <w:tcBorders>
              <w:top w:val="nil"/>
              <w:left w:val="single" w:sz="4" w:space="0" w:color="auto"/>
              <w:bottom w:val="single" w:sz="4" w:space="0" w:color="auto"/>
              <w:right w:val="single" w:sz="4" w:space="0" w:color="auto"/>
            </w:tcBorders>
            <w:vAlign w:val="center"/>
            <w:hideMark/>
          </w:tcPr>
          <w:p w14:paraId="195F1506"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High</w:t>
            </w:r>
          </w:p>
        </w:tc>
        <w:tc>
          <w:tcPr>
            <w:tcW w:w="3118" w:type="dxa"/>
            <w:tcBorders>
              <w:top w:val="nil"/>
              <w:left w:val="nil"/>
              <w:bottom w:val="single" w:sz="4" w:space="0" w:color="auto"/>
              <w:right w:val="single" w:sz="4" w:space="0" w:color="auto"/>
            </w:tcBorders>
            <w:vAlign w:val="center"/>
            <w:hideMark/>
          </w:tcPr>
          <w:p w14:paraId="6FB650FB"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18</w:t>
            </w:r>
          </w:p>
        </w:tc>
        <w:tc>
          <w:tcPr>
            <w:tcW w:w="2977" w:type="dxa"/>
            <w:tcBorders>
              <w:top w:val="nil"/>
              <w:left w:val="nil"/>
              <w:bottom w:val="single" w:sz="4" w:space="0" w:color="auto"/>
              <w:right w:val="single" w:sz="4" w:space="0" w:color="auto"/>
            </w:tcBorders>
            <w:vAlign w:val="center"/>
            <w:hideMark/>
          </w:tcPr>
          <w:p w14:paraId="404DAA2A"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18</w:t>
            </w:r>
          </w:p>
        </w:tc>
      </w:tr>
      <w:tr w:rsidR="00772544" w:rsidRPr="00C87BAE" w14:paraId="2046A456" w14:textId="77777777" w:rsidTr="00772544">
        <w:trPr>
          <w:trHeight w:val="450"/>
        </w:trPr>
        <w:tc>
          <w:tcPr>
            <w:tcW w:w="3276" w:type="dxa"/>
            <w:tcBorders>
              <w:top w:val="nil"/>
              <w:left w:val="single" w:sz="4" w:space="0" w:color="auto"/>
              <w:bottom w:val="single" w:sz="4" w:space="0" w:color="auto"/>
              <w:right w:val="single" w:sz="4" w:space="0" w:color="auto"/>
            </w:tcBorders>
            <w:vAlign w:val="center"/>
            <w:hideMark/>
          </w:tcPr>
          <w:p w14:paraId="71DCFD4E"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Total</w:t>
            </w:r>
          </w:p>
        </w:tc>
        <w:tc>
          <w:tcPr>
            <w:tcW w:w="3118" w:type="dxa"/>
            <w:tcBorders>
              <w:top w:val="nil"/>
              <w:left w:val="nil"/>
              <w:bottom w:val="single" w:sz="4" w:space="0" w:color="auto"/>
              <w:right w:val="single" w:sz="4" w:space="0" w:color="auto"/>
            </w:tcBorders>
            <w:vAlign w:val="center"/>
            <w:hideMark/>
          </w:tcPr>
          <w:p w14:paraId="45EE7DF7"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100</w:t>
            </w:r>
          </w:p>
        </w:tc>
        <w:tc>
          <w:tcPr>
            <w:tcW w:w="2977" w:type="dxa"/>
            <w:tcBorders>
              <w:top w:val="nil"/>
              <w:left w:val="nil"/>
              <w:bottom w:val="single" w:sz="4" w:space="0" w:color="auto"/>
              <w:right w:val="single" w:sz="4" w:space="0" w:color="auto"/>
            </w:tcBorders>
            <w:vAlign w:val="center"/>
            <w:hideMark/>
          </w:tcPr>
          <w:p w14:paraId="69634478"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100</w:t>
            </w:r>
          </w:p>
        </w:tc>
      </w:tr>
    </w:tbl>
    <w:p w14:paraId="511B2A91" w14:textId="77777777" w:rsidR="00772544" w:rsidRPr="00C87BAE" w:rsidRDefault="00772544" w:rsidP="00772544">
      <w:pPr>
        <w:spacing w:after="0" w:line="360" w:lineRule="auto"/>
        <w:rPr>
          <w:rFonts w:ascii="Times New Roman" w:eastAsia="Times New Roman" w:hAnsi="Times New Roman" w:cs="Times New Roman"/>
          <w:sz w:val="24"/>
          <w:szCs w:val="24"/>
          <w:lang w:eastAsia="en-IN"/>
        </w:rPr>
      </w:pPr>
    </w:p>
    <w:p w14:paraId="1A3CE6C7" w14:textId="77777777" w:rsidR="00772544" w:rsidRPr="00C87BAE" w:rsidRDefault="00772544" w:rsidP="00772544">
      <w:pPr>
        <w:spacing w:after="0" w:line="360" w:lineRule="auto"/>
        <w:rPr>
          <w:rFonts w:ascii="Times New Roman" w:eastAsia="Times New Roman" w:hAnsi="Times New Roman" w:cs="Times New Roman"/>
          <w:sz w:val="24"/>
          <w:szCs w:val="24"/>
          <w:lang w:eastAsia="en-IN"/>
        </w:rPr>
      </w:pPr>
      <w:r w:rsidRPr="00C87BAE">
        <w:rPr>
          <w:noProof/>
          <w:lang w:eastAsia="en-IN"/>
        </w:rPr>
        <w:lastRenderedPageBreak/>
        <w:drawing>
          <wp:inline distT="0" distB="0" distL="0" distR="0" wp14:anchorId="610D0FE1" wp14:editId="4D271DC1">
            <wp:extent cx="5876925" cy="27432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35E034E" w14:textId="77777777" w:rsidR="00144033" w:rsidRDefault="00144033" w:rsidP="00D717A2">
      <w:pPr>
        <w:spacing w:after="0" w:line="360" w:lineRule="auto"/>
        <w:jc w:val="both"/>
        <w:rPr>
          <w:rFonts w:ascii="Times New Roman" w:eastAsia="Times New Roman" w:hAnsi="Times New Roman" w:cs="Times New Roman"/>
          <w:sz w:val="24"/>
          <w:szCs w:val="24"/>
          <w:lang w:eastAsia="en-IN"/>
        </w:rPr>
      </w:pPr>
      <w:r w:rsidRPr="00144033">
        <w:rPr>
          <w:rFonts w:ascii="Times New Roman" w:eastAsia="Times New Roman" w:hAnsi="Times New Roman" w:cs="Times New Roman"/>
          <w:sz w:val="24"/>
          <w:szCs w:val="24"/>
          <w:lang w:eastAsia="en-IN"/>
        </w:rPr>
        <w:t xml:space="preserve">Fig </w:t>
      </w:r>
      <w:proofErr w:type="gramStart"/>
      <w:r w:rsidRPr="00144033">
        <w:rPr>
          <w:rFonts w:ascii="Times New Roman" w:eastAsia="Times New Roman" w:hAnsi="Times New Roman" w:cs="Times New Roman"/>
          <w:sz w:val="24"/>
          <w:szCs w:val="24"/>
          <w:lang w:eastAsia="en-IN"/>
        </w:rPr>
        <w:t>1 :</w:t>
      </w:r>
      <w:proofErr w:type="gramEnd"/>
      <w:r w:rsidRPr="00144033">
        <w:rPr>
          <w:rFonts w:ascii="Times New Roman" w:eastAsia="Times New Roman" w:hAnsi="Times New Roman" w:cs="Times New Roman"/>
          <w:sz w:val="24"/>
          <w:szCs w:val="24"/>
          <w:lang w:eastAsia="en-IN"/>
        </w:rPr>
        <w:t xml:space="preserve"> Bar graph showing Level of Parenting Stress</w:t>
      </w:r>
    </w:p>
    <w:p w14:paraId="2D6E1B90" w14:textId="4EC8AB3C" w:rsidR="00046C55" w:rsidRPr="00C87BAE" w:rsidRDefault="00046C55" w:rsidP="00D717A2">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 xml:space="preserve">The findings showed that </w:t>
      </w:r>
      <w:r w:rsidRPr="00C87BAE">
        <w:rPr>
          <w:rFonts w:ascii="Times New Roman" w:eastAsia="Times New Roman" w:hAnsi="Times New Roman" w:cs="Times New Roman"/>
          <w:b/>
          <w:bCs/>
          <w:sz w:val="24"/>
          <w:szCs w:val="24"/>
          <w:lang w:eastAsia="en-IN"/>
        </w:rPr>
        <w:t>64% of staff nurses experienced moderate parenting stress</w:t>
      </w:r>
      <w:r w:rsidRPr="00C87BAE">
        <w:rPr>
          <w:rFonts w:ascii="Times New Roman" w:eastAsia="Times New Roman" w:hAnsi="Times New Roman" w:cs="Times New Roman"/>
          <w:sz w:val="24"/>
          <w:szCs w:val="24"/>
          <w:lang w:eastAsia="en-IN"/>
        </w:rPr>
        <w:t xml:space="preserve">, while 18% experienced low stress and 18% experienced high stress. The mean parenting stress score was </w:t>
      </w:r>
      <w:r w:rsidRPr="00C87BAE">
        <w:rPr>
          <w:rFonts w:ascii="Times New Roman" w:eastAsia="Times New Roman" w:hAnsi="Times New Roman" w:cs="Times New Roman"/>
          <w:b/>
          <w:bCs/>
          <w:sz w:val="24"/>
          <w:szCs w:val="24"/>
          <w:lang w:eastAsia="en-IN"/>
        </w:rPr>
        <w:t>56.82 ± 11.34</w:t>
      </w:r>
      <w:r w:rsidRPr="00C87BAE">
        <w:rPr>
          <w:rFonts w:ascii="Times New Roman" w:eastAsia="Times New Roman" w:hAnsi="Times New Roman" w:cs="Times New Roman"/>
          <w:sz w:val="24"/>
          <w:szCs w:val="24"/>
          <w:lang w:eastAsia="en-IN"/>
        </w:rPr>
        <w:t>.</w:t>
      </w:r>
    </w:p>
    <w:p w14:paraId="742430C9"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The concentration of participants in the moderate-stress category indicates that parenting-related strain was not confined to a small high-risk subgroup, although the study’s category cutoffs should not be assumed to be directly equivalent to those used in other Parental Stress Scale studies (Berry &amp; Jones, 1995; Kalrao et al., 2023).</w:t>
      </w:r>
    </w:p>
    <w:p w14:paraId="2B70882E" w14:textId="77777777" w:rsidR="00046C55" w:rsidRPr="00C87BAE" w:rsidRDefault="00046C55" w:rsidP="00772544">
      <w:pPr>
        <w:spacing w:after="0" w:line="360" w:lineRule="auto"/>
        <w:outlineLvl w:val="1"/>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Psychological Health Status</w:t>
      </w:r>
    </w:p>
    <w:p w14:paraId="17251B9D" w14:textId="77777777" w:rsidR="00046C55" w:rsidRPr="00C87BAE" w:rsidRDefault="00046C55" w:rsidP="00772544">
      <w:pPr>
        <w:spacing w:after="0" w:line="360" w:lineRule="auto"/>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Table 3. Distribution of Staff Nurses According to Psychological Health Status (N = 100)</w:t>
      </w:r>
    </w:p>
    <w:tbl>
      <w:tblPr>
        <w:tblW w:w="9371" w:type="dxa"/>
        <w:tblInd w:w="93" w:type="dxa"/>
        <w:tblLook w:val="04A0" w:firstRow="1" w:lastRow="0" w:firstColumn="1" w:lastColumn="0" w:noHBand="0" w:noVBand="1"/>
      </w:tblPr>
      <w:tblGrid>
        <w:gridCol w:w="3701"/>
        <w:gridCol w:w="2835"/>
        <w:gridCol w:w="2835"/>
      </w:tblGrid>
      <w:tr w:rsidR="00D717A2" w:rsidRPr="00C87BAE" w14:paraId="0090AEF1" w14:textId="77777777" w:rsidTr="00D717A2">
        <w:trPr>
          <w:trHeight w:val="450"/>
        </w:trPr>
        <w:tc>
          <w:tcPr>
            <w:tcW w:w="3701" w:type="dxa"/>
            <w:tcBorders>
              <w:top w:val="single" w:sz="4" w:space="0" w:color="auto"/>
              <w:left w:val="single" w:sz="4" w:space="0" w:color="auto"/>
              <w:bottom w:val="single" w:sz="4" w:space="0" w:color="auto"/>
              <w:right w:val="single" w:sz="4" w:space="0" w:color="auto"/>
            </w:tcBorders>
            <w:vAlign w:val="center"/>
            <w:hideMark/>
          </w:tcPr>
          <w:p w14:paraId="05A113C8"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Psychological Health Status</w:t>
            </w:r>
          </w:p>
        </w:tc>
        <w:tc>
          <w:tcPr>
            <w:tcW w:w="2835" w:type="dxa"/>
            <w:tcBorders>
              <w:top w:val="single" w:sz="4" w:space="0" w:color="auto"/>
              <w:left w:val="nil"/>
              <w:bottom w:val="single" w:sz="4" w:space="0" w:color="auto"/>
              <w:right w:val="single" w:sz="4" w:space="0" w:color="auto"/>
            </w:tcBorders>
            <w:vAlign w:val="center"/>
            <w:hideMark/>
          </w:tcPr>
          <w:p w14:paraId="0F80868C"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Frequency (f)</w:t>
            </w:r>
          </w:p>
        </w:tc>
        <w:tc>
          <w:tcPr>
            <w:tcW w:w="2835" w:type="dxa"/>
            <w:tcBorders>
              <w:top w:val="single" w:sz="4" w:space="0" w:color="auto"/>
              <w:left w:val="nil"/>
              <w:bottom w:val="single" w:sz="4" w:space="0" w:color="auto"/>
              <w:right w:val="single" w:sz="4" w:space="0" w:color="auto"/>
            </w:tcBorders>
            <w:vAlign w:val="center"/>
            <w:hideMark/>
          </w:tcPr>
          <w:p w14:paraId="50B666C0"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Percentage (%)</w:t>
            </w:r>
          </w:p>
        </w:tc>
      </w:tr>
      <w:tr w:rsidR="00D717A2" w:rsidRPr="00C87BAE" w14:paraId="6BB0B8D4" w14:textId="77777777" w:rsidTr="00D717A2">
        <w:trPr>
          <w:trHeight w:val="450"/>
        </w:trPr>
        <w:tc>
          <w:tcPr>
            <w:tcW w:w="3701" w:type="dxa"/>
            <w:tcBorders>
              <w:top w:val="nil"/>
              <w:left w:val="single" w:sz="4" w:space="0" w:color="auto"/>
              <w:bottom w:val="single" w:sz="4" w:space="0" w:color="auto"/>
              <w:right w:val="single" w:sz="4" w:space="0" w:color="auto"/>
            </w:tcBorders>
            <w:vAlign w:val="center"/>
            <w:hideMark/>
          </w:tcPr>
          <w:p w14:paraId="49940933"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Good psychological health</w:t>
            </w:r>
          </w:p>
        </w:tc>
        <w:tc>
          <w:tcPr>
            <w:tcW w:w="2835" w:type="dxa"/>
            <w:tcBorders>
              <w:top w:val="nil"/>
              <w:left w:val="nil"/>
              <w:bottom w:val="single" w:sz="4" w:space="0" w:color="auto"/>
              <w:right w:val="single" w:sz="4" w:space="0" w:color="auto"/>
            </w:tcBorders>
            <w:vAlign w:val="center"/>
            <w:hideMark/>
          </w:tcPr>
          <w:p w14:paraId="4F31C577"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21</w:t>
            </w:r>
          </w:p>
        </w:tc>
        <w:tc>
          <w:tcPr>
            <w:tcW w:w="2835" w:type="dxa"/>
            <w:tcBorders>
              <w:top w:val="nil"/>
              <w:left w:val="nil"/>
              <w:bottom w:val="single" w:sz="4" w:space="0" w:color="auto"/>
              <w:right w:val="single" w:sz="4" w:space="0" w:color="auto"/>
            </w:tcBorders>
            <w:vAlign w:val="center"/>
            <w:hideMark/>
          </w:tcPr>
          <w:p w14:paraId="437146AA"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21</w:t>
            </w:r>
          </w:p>
        </w:tc>
      </w:tr>
      <w:tr w:rsidR="00D717A2" w:rsidRPr="00C87BAE" w14:paraId="67EDC732" w14:textId="77777777" w:rsidTr="00D717A2">
        <w:trPr>
          <w:trHeight w:val="450"/>
        </w:trPr>
        <w:tc>
          <w:tcPr>
            <w:tcW w:w="3701" w:type="dxa"/>
            <w:tcBorders>
              <w:top w:val="nil"/>
              <w:left w:val="single" w:sz="4" w:space="0" w:color="auto"/>
              <w:bottom w:val="single" w:sz="4" w:space="0" w:color="auto"/>
              <w:right w:val="single" w:sz="4" w:space="0" w:color="auto"/>
            </w:tcBorders>
            <w:vAlign w:val="center"/>
            <w:hideMark/>
          </w:tcPr>
          <w:p w14:paraId="75AF8B62"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Mild psychological distress</w:t>
            </w:r>
          </w:p>
        </w:tc>
        <w:tc>
          <w:tcPr>
            <w:tcW w:w="2835" w:type="dxa"/>
            <w:tcBorders>
              <w:top w:val="nil"/>
              <w:left w:val="nil"/>
              <w:bottom w:val="single" w:sz="4" w:space="0" w:color="auto"/>
              <w:right w:val="single" w:sz="4" w:space="0" w:color="auto"/>
            </w:tcBorders>
            <w:vAlign w:val="center"/>
            <w:hideMark/>
          </w:tcPr>
          <w:p w14:paraId="6A831DDE"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47</w:t>
            </w:r>
          </w:p>
        </w:tc>
        <w:tc>
          <w:tcPr>
            <w:tcW w:w="2835" w:type="dxa"/>
            <w:tcBorders>
              <w:top w:val="nil"/>
              <w:left w:val="nil"/>
              <w:bottom w:val="single" w:sz="4" w:space="0" w:color="auto"/>
              <w:right w:val="single" w:sz="4" w:space="0" w:color="auto"/>
            </w:tcBorders>
            <w:vAlign w:val="center"/>
            <w:hideMark/>
          </w:tcPr>
          <w:p w14:paraId="431DC3CF"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47</w:t>
            </w:r>
          </w:p>
        </w:tc>
      </w:tr>
      <w:tr w:rsidR="00D717A2" w:rsidRPr="00C87BAE" w14:paraId="41C49A5D" w14:textId="77777777" w:rsidTr="00D717A2">
        <w:trPr>
          <w:trHeight w:val="450"/>
        </w:trPr>
        <w:tc>
          <w:tcPr>
            <w:tcW w:w="3701" w:type="dxa"/>
            <w:tcBorders>
              <w:top w:val="nil"/>
              <w:left w:val="single" w:sz="4" w:space="0" w:color="auto"/>
              <w:bottom w:val="single" w:sz="4" w:space="0" w:color="auto"/>
              <w:right w:val="single" w:sz="4" w:space="0" w:color="auto"/>
            </w:tcBorders>
            <w:vAlign w:val="center"/>
            <w:hideMark/>
          </w:tcPr>
          <w:p w14:paraId="27FFB1B1"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Moderate psychological distress</w:t>
            </w:r>
          </w:p>
        </w:tc>
        <w:tc>
          <w:tcPr>
            <w:tcW w:w="2835" w:type="dxa"/>
            <w:tcBorders>
              <w:top w:val="nil"/>
              <w:left w:val="nil"/>
              <w:bottom w:val="single" w:sz="4" w:space="0" w:color="auto"/>
              <w:right w:val="single" w:sz="4" w:space="0" w:color="auto"/>
            </w:tcBorders>
            <w:vAlign w:val="center"/>
            <w:hideMark/>
          </w:tcPr>
          <w:p w14:paraId="175095B1"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25</w:t>
            </w:r>
          </w:p>
        </w:tc>
        <w:tc>
          <w:tcPr>
            <w:tcW w:w="2835" w:type="dxa"/>
            <w:tcBorders>
              <w:top w:val="nil"/>
              <w:left w:val="nil"/>
              <w:bottom w:val="single" w:sz="4" w:space="0" w:color="auto"/>
              <w:right w:val="single" w:sz="4" w:space="0" w:color="auto"/>
            </w:tcBorders>
            <w:vAlign w:val="center"/>
            <w:hideMark/>
          </w:tcPr>
          <w:p w14:paraId="098B583C"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25</w:t>
            </w:r>
          </w:p>
        </w:tc>
      </w:tr>
      <w:tr w:rsidR="00D717A2" w:rsidRPr="00C87BAE" w14:paraId="26B6406B" w14:textId="77777777" w:rsidTr="00D717A2">
        <w:trPr>
          <w:trHeight w:val="450"/>
        </w:trPr>
        <w:tc>
          <w:tcPr>
            <w:tcW w:w="3701" w:type="dxa"/>
            <w:tcBorders>
              <w:top w:val="nil"/>
              <w:left w:val="single" w:sz="4" w:space="0" w:color="auto"/>
              <w:bottom w:val="single" w:sz="4" w:space="0" w:color="auto"/>
              <w:right w:val="single" w:sz="4" w:space="0" w:color="auto"/>
            </w:tcBorders>
            <w:vAlign w:val="center"/>
            <w:hideMark/>
          </w:tcPr>
          <w:p w14:paraId="2E62ADD7"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Severe psychological distress</w:t>
            </w:r>
          </w:p>
        </w:tc>
        <w:tc>
          <w:tcPr>
            <w:tcW w:w="2835" w:type="dxa"/>
            <w:tcBorders>
              <w:top w:val="nil"/>
              <w:left w:val="nil"/>
              <w:bottom w:val="single" w:sz="4" w:space="0" w:color="auto"/>
              <w:right w:val="single" w:sz="4" w:space="0" w:color="auto"/>
            </w:tcBorders>
            <w:vAlign w:val="center"/>
            <w:hideMark/>
          </w:tcPr>
          <w:p w14:paraId="1AB3D298"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7</w:t>
            </w:r>
          </w:p>
        </w:tc>
        <w:tc>
          <w:tcPr>
            <w:tcW w:w="2835" w:type="dxa"/>
            <w:tcBorders>
              <w:top w:val="nil"/>
              <w:left w:val="nil"/>
              <w:bottom w:val="single" w:sz="4" w:space="0" w:color="auto"/>
              <w:right w:val="single" w:sz="4" w:space="0" w:color="auto"/>
            </w:tcBorders>
            <w:vAlign w:val="center"/>
            <w:hideMark/>
          </w:tcPr>
          <w:p w14:paraId="7FA2E19D"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7</w:t>
            </w:r>
          </w:p>
        </w:tc>
      </w:tr>
      <w:tr w:rsidR="00D717A2" w:rsidRPr="00C87BAE" w14:paraId="1CABA7C2" w14:textId="77777777" w:rsidTr="00D717A2">
        <w:trPr>
          <w:trHeight w:val="465"/>
        </w:trPr>
        <w:tc>
          <w:tcPr>
            <w:tcW w:w="3701" w:type="dxa"/>
            <w:tcBorders>
              <w:top w:val="nil"/>
              <w:left w:val="single" w:sz="4" w:space="0" w:color="auto"/>
              <w:bottom w:val="single" w:sz="4" w:space="0" w:color="auto"/>
              <w:right w:val="single" w:sz="4" w:space="0" w:color="auto"/>
            </w:tcBorders>
            <w:vAlign w:val="center"/>
            <w:hideMark/>
          </w:tcPr>
          <w:p w14:paraId="38D2106E"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Total</w:t>
            </w:r>
          </w:p>
        </w:tc>
        <w:tc>
          <w:tcPr>
            <w:tcW w:w="2835" w:type="dxa"/>
            <w:tcBorders>
              <w:top w:val="nil"/>
              <w:left w:val="nil"/>
              <w:bottom w:val="single" w:sz="4" w:space="0" w:color="auto"/>
              <w:right w:val="single" w:sz="4" w:space="0" w:color="auto"/>
            </w:tcBorders>
            <w:vAlign w:val="center"/>
            <w:hideMark/>
          </w:tcPr>
          <w:p w14:paraId="6DCD1158"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100</w:t>
            </w:r>
          </w:p>
        </w:tc>
        <w:tc>
          <w:tcPr>
            <w:tcW w:w="2835" w:type="dxa"/>
            <w:tcBorders>
              <w:top w:val="nil"/>
              <w:left w:val="nil"/>
              <w:bottom w:val="single" w:sz="4" w:space="0" w:color="auto"/>
              <w:right w:val="single" w:sz="4" w:space="0" w:color="auto"/>
            </w:tcBorders>
            <w:vAlign w:val="center"/>
            <w:hideMark/>
          </w:tcPr>
          <w:p w14:paraId="6F1F3E73"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100</w:t>
            </w:r>
          </w:p>
        </w:tc>
      </w:tr>
    </w:tbl>
    <w:p w14:paraId="004F7933" w14:textId="77777777" w:rsidR="00D717A2" w:rsidRPr="00C87BAE" w:rsidRDefault="00D717A2" w:rsidP="00D717A2">
      <w:pPr>
        <w:spacing w:after="0" w:line="360" w:lineRule="auto"/>
        <w:outlineLvl w:val="2"/>
        <w:rPr>
          <w:rFonts w:ascii="Times New Roman" w:eastAsia="Times New Roman" w:hAnsi="Times New Roman" w:cs="Times New Roman"/>
          <w:b/>
          <w:bCs/>
          <w:sz w:val="24"/>
          <w:szCs w:val="24"/>
          <w:lang w:eastAsia="en-IN"/>
        </w:rPr>
      </w:pPr>
      <w:r w:rsidRPr="00C87BAE">
        <w:rPr>
          <w:noProof/>
          <w:lang w:eastAsia="en-IN"/>
        </w:rPr>
        <w:lastRenderedPageBreak/>
        <w:drawing>
          <wp:inline distT="0" distB="0" distL="0" distR="0" wp14:anchorId="70AD47FB" wp14:editId="42AF6457">
            <wp:extent cx="5819775" cy="2743200"/>
            <wp:effectExtent l="0" t="0" r="9525"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8CA7160" w14:textId="1BF49370" w:rsidR="00144033" w:rsidRDefault="00144033" w:rsidP="00D717A2">
      <w:pPr>
        <w:spacing w:after="0" w:line="360" w:lineRule="auto"/>
        <w:jc w:val="both"/>
        <w:rPr>
          <w:rFonts w:ascii="Times New Roman" w:eastAsia="Times New Roman" w:hAnsi="Times New Roman" w:cs="Times New Roman"/>
          <w:sz w:val="24"/>
          <w:szCs w:val="24"/>
          <w:lang w:eastAsia="en-IN"/>
        </w:rPr>
      </w:pPr>
      <w:r w:rsidRPr="00144033">
        <w:rPr>
          <w:rFonts w:ascii="Times New Roman" w:eastAsia="Times New Roman" w:hAnsi="Times New Roman" w:cs="Times New Roman"/>
          <w:sz w:val="24"/>
          <w:szCs w:val="24"/>
          <w:lang w:eastAsia="en-IN"/>
        </w:rPr>
        <w:t xml:space="preserve">Fig </w:t>
      </w:r>
      <w:proofErr w:type="gramStart"/>
      <w:r w:rsidRPr="00144033">
        <w:rPr>
          <w:rFonts w:ascii="Times New Roman" w:eastAsia="Times New Roman" w:hAnsi="Times New Roman" w:cs="Times New Roman"/>
          <w:sz w:val="24"/>
          <w:szCs w:val="24"/>
          <w:lang w:eastAsia="en-IN"/>
        </w:rPr>
        <w:t>2 :</w:t>
      </w:r>
      <w:proofErr w:type="gramEnd"/>
      <w:r w:rsidRPr="00144033">
        <w:rPr>
          <w:rFonts w:ascii="Times New Roman" w:eastAsia="Times New Roman" w:hAnsi="Times New Roman" w:cs="Times New Roman"/>
          <w:sz w:val="24"/>
          <w:szCs w:val="24"/>
          <w:lang w:eastAsia="en-IN"/>
        </w:rPr>
        <w:t xml:space="preserve"> Bar graph showing Psychological Health Status</w:t>
      </w:r>
    </w:p>
    <w:p w14:paraId="03E94417" w14:textId="48B16708" w:rsidR="00046C55" w:rsidRPr="00C87BAE" w:rsidRDefault="00046C55" w:rsidP="00D717A2">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 xml:space="preserve">The majority of staff nurses experienced </w:t>
      </w:r>
      <w:r w:rsidRPr="00C87BAE">
        <w:rPr>
          <w:rFonts w:ascii="Times New Roman" w:eastAsia="Times New Roman" w:hAnsi="Times New Roman" w:cs="Times New Roman"/>
          <w:b/>
          <w:bCs/>
          <w:sz w:val="24"/>
          <w:szCs w:val="24"/>
          <w:lang w:eastAsia="en-IN"/>
        </w:rPr>
        <w:t>mild psychological distress (47%)</w:t>
      </w:r>
      <w:r w:rsidRPr="00C87BAE">
        <w:rPr>
          <w:rFonts w:ascii="Times New Roman" w:eastAsia="Times New Roman" w:hAnsi="Times New Roman" w:cs="Times New Roman"/>
          <w:sz w:val="24"/>
          <w:szCs w:val="24"/>
          <w:lang w:eastAsia="en-IN"/>
        </w:rPr>
        <w:t xml:space="preserve">, followed by moderate distress (25%) and severe distress (7%). Only 21% had good psychological health. The mean GHQ-28 score was </w:t>
      </w:r>
      <w:r w:rsidRPr="00C87BAE">
        <w:rPr>
          <w:rFonts w:ascii="Times New Roman" w:eastAsia="Times New Roman" w:hAnsi="Times New Roman" w:cs="Times New Roman"/>
          <w:b/>
          <w:bCs/>
          <w:sz w:val="24"/>
          <w:szCs w:val="24"/>
          <w:lang w:eastAsia="en-IN"/>
        </w:rPr>
        <w:t>12.76 ± 4.95</w:t>
      </w:r>
      <w:r w:rsidRPr="00C87BAE">
        <w:rPr>
          <w:rFonts w:ascii="Times New Roman" w:eastAsia="Times New Roman" w:hAnsi="Times New Roman" w:cs="Times New Roman"/>
          <w:sz w:val="24"/>
          <w:szCs w:val="24"/>
          <w:lang w:eastAsia="en-IN"/>
        </w:rPr>
        <w:t>.</w:t>
      </w:r>
    </w:p>
    <w:p w14:paraId="26E5E06E"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Because the GHQ-28 is a screening instrument rather than a diagnostic interview, the distress categories should be interpreted as indicators of probable psychological morbidity rather than clinical diagnoses (Goldberg &amp; Hillier, 1979).</w:t>
      </w:r>
    </w:p>
    <w:p w14:paraId="5BDF950A" w14:textId="77777777" w:rsidR="00046C55" w:rsidRPr="00C87BAE" w:rsidRDefault="00046C55" w:rsidP="00772544">
      <w:pPr>
        <w:spacing w:after="0" w:line="360" w:lineRule="auto"/>
        <w:outlineLvl w:val="1"/>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Relationship Between Parenting Stress and Psychological Health</w:t>
      </w:r>
    </w:p>
    <w:p w14:paraId="2B6599AE" w14:textId="77777777" w:rsidR="00046C55" w:rsidRPr="00C87BAE" w:rsidRDefault="00046C55" w:rsidP="00772544">
      <w:pPr>
        <w:spacing w:after="0" w:line="360" w:lineRule="auto"/>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Table 4. Correlation Between Parenting Stress and Psychological Health (N = 100)</w:t>
      </w:r>
    </w:p>
    <w:tbl>
      <w:tblPr>
        <w:tblW w:w="9420" w:type="dxa"/>
        <w:tblInd w:w="93" w:type="dxa"/>
        <w:tblLook w:val="04A0" w:firstRow="1" w:lastRow="0" w:firstColumn="1" w:lastColumn="0" w:noHBand="0" w:noVBand="1"/>
      </w:tblPr>
      <w:tblGrid>
        <w:gridCol w:w="2500"/>
        <w:gridCol w:w="2500"/>
        <w:gridCol w:w="1880"/>
        <w:gridCol w:w="2540"/>
      </w:tblGrid>
      <w:tr w:rsidR="00D717A2" w:rsidRPr="00C87BAE" w14:paraId="3CD5EBB6" w14:textId="77777777" w:rsidTr="00D717A2">
        <w:trPr>
          <w:trHeight w:val="515"/>
        </w:trPr>
        <w:tc>
          <w:tcPr>
            <w:tcW w:w="2500" w:type="dxa"/>
            <w:tcBorders>
              <w:top w:val="single" w:sz="4" w:space="0" w:color="auto"/>
              <w:left w:val="single" w:sz="4" w:space="0" w:color="auto"/>
              <w:bottom w:val="single" w:sz="4" w:space="0" w:color="auto"/>
              <w:right w:val="single" w:sz="4" w:space="0" w:color="auto"/>
            </w:tcBorders>
            <w:vAlign w:val="center"/>
            <w:hideMark/>
          </w:tcPr>
          <w:p w14:paraId="73C57FB9" w14:textId="77777777" w:rsidR="00D717A2" w:rsidRPr="00C87BAE" w:rsidRDefault="00D717A2" w:rsidP="00D717A2">
            <w:pPr>
              <w:spacing w:after="0" w:line="240" w:lineRule="auto"/>
              <w:jc w:val="center"/>
              <w:rPr>
                <w:rFonts w:ascii="Times New Roman" w:eastAsia="Times New Roman" w:hAnsi="Times New Roman" w:cs="Times New Roman"/>
                <w:b/>
                <w:color w:val="000000"/>
                <w:sz w:val="24"/>
                <w:szCs w:val="24"/>
                <w:lang w:eastAsia="en-IN"/>
              </w:rPr>
            </w:pPr>
            <w:r w:rsidRPr="00C87BAE">
              <w:rPr>
                <w:rFonts w:ascii="Times New Roman" w:eastAsia="Times New Roman" w:hAnsi="Times New Roman" w:cs="Times New Roman"/>
                <w:b/>
                <w:color w:val="000000"/>
                <w:sz w:val="24"/>
                <w:szCs w:val="24"/>
                <w:lang w:eastAsia="en-IN"/>
              </w:rPr>
              <w:t>Variables</w:t>
            </w:r>
          </w:p>
        </w:tc>
        <w:tc>
          <w:tcPr>
            <w:tcW w:w="2500" w:type="dxa"/>
            <w:tcBorders>
              <w:top w:val="single" w:sz="4" w:space="0" w:color="auto"/>
              <w:left w:val="nil"/>
              <w:bottom w:val="single" w:sz="4" w:space="0" w:color="auto"/>
              <w:right w:val="single" w:sz="4" w:space="0" w:color="auto"/>
            </w:tcBorders>
            <w:vAlign w:val="center"/>
            <w:hideMark/>
          </w:tcPr>
          <w:p w14:paraId="7AC1E266" w14:textId="77777777" w:rsidR="00D717A2" w:rsidRPr="00C87BAE" w:rsidRDefault="00D717A2" w:rsidP="00D717A2">
            <w:pPr>
              <w:spacing w:after="0" w:line="240" w:lineRule="auto"/>
              <w:jc w:val="center"/>
              <w:rPr>
                <w:rFonts w:ascii="Times New Roman" w:eastAsia="Times New Roman" w:hAnsi="Times New Roman" w:cs="Times New Roman"/>
                <w:b/>
                <w:color w:val="000000"/>
                <w:sz w:val="24"/>
                <w:szCs w:val="24"/>
                <w:lang w:eastAsia="en-IN"/>
              </w:rPr>
            </w:pPr>
            <w:r w:rsidRPr="00C87BAE">
              <w:rPr>
                <w:rFonts w:ascii="Times New Roman" w:eastAsia="Times New Roman" w:hAnsi="Times New Roman" w:cs="Times New Roman"/>
                <w:b/>
                <w:color w:val="000000"/>
                <w:sz w:val="24"/>
                <w:szCs w:val="24"/>
                <w:lang w:eastAsia="en-IN"/>
              </w:rPr>
              <w:t>Pearson's r</w:t>
            </w:r>
          </w:p>
        </w:tc>
        <w:tc>
          <w:tcPr>
            <w:tcW w:w="1880" w:type="dxa"/>
            <w:tcBorders>
              <w:top w:val="single" w:sz="4" w:space="0" w:color="auto"/>
              <w:left w:val="nil"/>
              <w:bottom w:val="single" w:sz="4" w:space="0" w:color="auto"/>
              <w:right w:val="single" w:sz="4" w:space="0" w:color="auto"/>
            </w:tcBorders>
            <w:vAlign w:val="center"/>
            <w:hideMark/>
          </w:tcPr>
          <w:p w14:paraId="7B176F8B" w14:textId="77777777" w:rsidR="00D717A2" w:rsidRPr="00C87BAE" w:rsidRDefault="00D717A2" w:rsidP="00D717A2">
            <w:pPr>
              <w:spacing w:after="0" w:line="240" w:lineRule="auto"/>
              <w:jc w:val="center"/>
              <w:rPr>
                <w:rFonts w:ascii="Times New Roman" w:eastAsia="Times New Roman" w:hAnsi="Times New Roman" w:cs="Times New Roman"/>
                <w:b/>
                <w:color w:val="000000"/>
                <w:sz w:val="24"/>
                <w:szCs w:val="24"/>
                <w:lang w:eastAsia="en-IN"/>
              </w:rPr>
            </w:pPr>
            <w:r w:rsidRPr="00C87BAE">
              <w:rPr>
                <w:rFonts w:ascii="Times New Roman" w:eastAsia="Times New Roman" w:hAnsi="Times New Roman" w:cs="Times New Roman"/>
                <w:b/>
                <w:color w:val="000000"/>
                <w:sz w:val="24"/>
                <w:szCs w:val="24"/>
                <w:lang w:eastAsia="en-IN"/>
              </w:rPr>
              <w:t>p-value</w:t>
            </w:r>
          </w:p>
        </w:tc>
        <w:tc>
          <w:tcPr>
            <w:tcW w:w="2540" w:type="dxa"/>
            <w:tcBorders>
              <w:top w:val="single" w:sz="4" w:space="0" w:color="auto"/>
              <w:left w:val="nil"/>
              <w:bottom w:val="single" w:sz="4" w:space="0" w:color="auto"/>
              <w:right w:val="single" w:sz="4" w:space="0" w:color="auto"/>
            </w:tcBorders>
            <w:vAlign w:val="center"/>
            <w:hideMark/>
          </w:tcPr>
          <w:p w14:paraId="4D1F1783" w14:textId="77777777" w:rsidR="00D717A2" w:rsidRPr="00C87BAE" w:rsidRDefault="00D717A2" w:rsidP="00D717A2">
            <w:pPr>
              <w:spacing w:after="0" w:line="240" w:lineRule="auto"/>
              <w:jc w:val="center"/>
              <w:rPr>
                <w:rFonts w:ascii="Times New Roman" w:eastAsia="Times New Roman" w:hAnsi="Times New Roman" w:cs="Times New Roman"/>
                <w:b/>
                <w:color w:val="000000"/>
                <w:sz w:val="24"/>
                <w:szCs w:val="24"/>
                <w:lang w:eastAsia="en-IN"/>
              </w:rPr>
            </w:pPr>
            <w:r w:rsidRPr="00C87BAE">
              <w:rPr>
                <w:rFonts w:ascii="Times New Roman" w:eastAsia="Times New Roman" w:hAnsi="Times New Roman" w:cs="Times New Roman"/>
                <w:b/>
                <w:color w:val="000000"/>
                <w:sz w:val="24"/>
                <w:szCs w:val="24"/>
                <w:lang w:eastAsia="en-IN"/>
              </w:rPr>
              <w:t>Interpretation</w:t>
            </w:r>
          </w:p>
        </w:tc>
      </w:tr>
      <w:tr w:rsidR="00D717A2" w:rsidRPr="00C87BAE" w14:paraId="254BC408" w14:textId="77777777" w:rsidTr="00D717A2">
        <w:trPr>
          <w:trHeight w:val="864"/>
        </w:trPr>
        <w:tc>
          <w:tcPr>
            <w:tcW w:w="2500" w:type="dxa"/>
            <w:tcBorders>
              <w:top w:val="nil"/>
              <w:left w:val="single" w:sz="4" w:space="0" w:color="auto"/>
              <w:bottom w:val="single" w:sz="4" w:space="0" w:color="auto"/>
              <w:right w:val="single" w:sz="4" w:space="0" w:color="auto"/>
            </w:tcBorders>
            <w:vAlign w:val="center"/>
            <w:hideMark/>
          </w:tcPr>
          <w:p w14:paraId="75C066E7" w14:textId="77777777" w:rsidR="00D717A2" w:rsidRPr="00C87BAE" w:rsidRDefault="00D717A2" w:rsidP="00D717A2">
            <w:pPr>
              <w:spacing w:after="0" w:line="240" w:lineRule="auto"/>
              <w:jc w:val="center"/>
              <w:rPr>
                <w:rFonts w:ascii="Times New Roman" w:eastAsia="Times New Roman" w:hAnsi="Times New Roman" w:cs="Times New Roman"/>
                <w:b/>
                <w:color w:val="000000"/>
                <w:sz w:val="24"/>
                <w:szCs w:val="24"/>
                <w:lang w:eastAsia="en-IN"/>
              </w:rPr>
            </w:pPr>
            <w:r w:rsidRPr="00C87BAE">
              <w:rPr>
                <w:rFonts w:ascii="Times New Roman" w:eastAsia="Times New Roman" w:hAnsi="Times New Roman" w:cs="Times New Roman"/>
                <w:b/>
                <w:color w:val="000000"/>
                <w:sz w:val="24"/>
                <w:szCs w:val="24"/>
                <w:lang w:eastAsia="en-IN"/>
              </w:rPr>
              <w:t>Parenting stress and psychological distress</w:t>
            </w:r>
          </w:p>
        </w:tc>
        <w:tc>
          <w:tcPr>
            <w:tcW w:w="2500" w:type="dxa"/>
            <w:tcBorders>
              <w:top w:val="nil"/>
              <w:left w:val="nil"/>
              <w:bottom w:val="single" w:sz="4" w:space="0" w:color="auto"/>
              <w:right w:val="single" w:sz="4" w:space="0" w:color="auto"/>
            </w:tcBorders>
            <w:vAlign w:val="center"/>
            <w:hideMark/>
          </w:tcPr>
          <w:p w14:paraId="71389830"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0.68</w:t>
            </w:r>
          </w:p>
        </w:tc>
        <w:tc>
          <w:tcPr>
            <w:tcW w:w="1880" w:type="dxa"/>
            <w:tcBorders>
              <w:top w:val="nil"/>
              <w:left w:val="nil"/>
              <w:bottom w:val="single" w:sz="4" w:space="0" w:color="auto"/>
              <w:right w:val="single" w:sz="4" w:space="0" w:color="auto"/>
            </w:tcBorders>
            <w:vAlign w:val="center"/>
            <w:hideMark/>
          </w:tcPr>
          <w:p w14:paraId="23335569"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&lt;0.05</w:t>
            </w:r>
          </w:p>
        </w:tc>
        <w:tc>
          <w:tcPr>
            <w:tcW w:w="2540" w:type="dxa"/>
            <w:tcBorders>
              <w:top w:val="nil"/>
              <w:left w:val="nil"/>
              <w:bottom w:val="single" w:sz="4" w:space="0" w:color="auto"/>
              <w:right w:val="single" w:sz="4" w:space="0" w:color="auto"/>
            </w:tcBorders>
            <w:vAlign w:val="center"/>
            <w:hideMark/>
          </w:tcPr>
          <w:p w14:paraId="03606D3F"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Significant positive correlation</w:t>
            </w:r>
          </w:p>
        </w:tc>
      </w:tr>
    </w:tbl>
    <w:p w14:paraId="66AC3EF2" w14:textId="77777777" w:rsidR="00046C55" w:rsidRPr="00C87BAE" w:rsidRDefault="00046C55" w:rsidP="00D717A2">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The findings demonstrated a statistically significant positive correlation between parenting stress and GHQ-28 score (</w:t>
      </w:r>
      <w:r w:rsidRPr="00C87BAE">
        <w:rPr>
          <w:rFonts w:ascii="Times New Roman" w:eastAsia="Times New Roman" w:hAnsi="Times New Roman" w:cs="Times New Roman"/>
          <w:b/>
          <w:bCs/>
          <w:sz w:val="24"/>
          <w:szCs w:val="24"/>
          <w:lang w:eastAsia="en-IN"/>
        </w:rPr>
        <w:t>r = 0.68, p &lt; 0.05</w:t>
      </w:r>
      <w:r w:rsidRPr="00C87BAE">
        <w:rPr>
          <w:rFonts w:ascii="Times New Roman" w:eastAsia="Times New Roman" w:hAnsi="Times New Roman" w:cs="Times New Roman"/>
          <w:sz w:val="24"/>
          <w:szCs w:val="24"/>
          <w:lang w:eastAsia="en-IN"/>
        </w:rPr>
        <w:t>). Since higher GHQ-28 scores indicate greater psychological distress, increased parenting stress was associated with poorer psychological wellbeing.</w:t>
      </w:r>
    </w:p>
    <w:p w14:paraId="78F7B429"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The magnitude and direction of the observed correlation are consistent with nursing studies linking work-family conflict or related role strain with psychological distress, but the cross-sectional design does not determine whether parenting stress precedes distress, distress amplifies perceived parenting stress, or both processes operate concurrently (Labrague, 2024; Mohammadi et al., 2026).</w:t>
      </w:r>
    </w:p>
    <w:p w14:paraId="51C77876" w14:textId="77777777" w:rsidR="00046C55" w:rsidRPr="00C87BAE" w:rsidRDefault="00056585" w:rsidP="00772544">
      <w:pPr>
        <w:spacing w:after="0" w:line="360" w:lineRule="auto"/>
        <w:outlineLvl w:val="1"/>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Association B</w:t>
      </w:r>
      <w:r w:rsidR="00046C55" w:rsidRPr="00C87BAE">
        <w:rPr>
          <w:rFonts w:ascii="Times New Roman" w:eastAsia="Times New Roman" w:hAnsi="Times New Roman" w:cs="Times New Roman"/>
          <w:b/>
          <w:bCs/>
          <w:sz w:val="24"/>
          <w:szCs w:val="24"/>
          <w:lang w:eastAsia="en-IN"/>
        </w:rPr>
        <w:t>etween Parenting Stress and Selected Demographic Variables</w:t>
      </w:r>
    </w:p>
    <w:p w14:paraId="6C653289" w14:textId="77777777" w:rsidR="00046C55" w:rsidRPr="00C87BAE" w:rsidRDefault="00046C55" w:rsidP="00772544">
      <w:pPr>
        <w:spacing w:after="0" w:line="360" w:lineRule="auto"/>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Table 5. Association Between Parenting Stress and Selected Demographic Variables</w:t>
      </w:r>
    </w:p>
    <w:tbl>
      <w:tblPr>
        <w:tblW w:w="9214" w:type="dxa"/>
        <w:tblInd w:w="250" w:type="dxa"/>
        <w:tblLook w:val="04A0" w:firstRow="1" w:lastRow="0" w:firstColumn="1" w:lastColumn="0" w:noHBand="0" w:noVBand="1"/>
      </w:tblPr>
      <w:tblGrid>
        <w:gridCol w:w="4253"/>
        <w:gridCol w:w="4961"/>
      </w:tblGrid>
      <w:tr w:rsidR="00D717A2" w:rsidRPr="00C87BAE" w14:paraId="77D5D764" w14:textId="77777777" w:rsidTr="00D717A2">
        <w:trPr>
          <w:trHeight w:val="443"/>
        </w:trPr>
        <w:tc>
          <w:tcPr>
            <w:tcW w:w="4253" w:type="dxa"/>
            <w:tcBorders>
              <w:top w:val="single" w:sz="4" w:space="0" w:color="auto"/>
              <w:left w:val="single" w:sz="4" w:space="0" w:color="auto"/>
              <w:bottom w:val="single" w:sz="4" w:space="0" w:color="auto"/>
              <w:right w:val="single" w:sz="4" w:space="0" w:color="auto"/>
            </w:tcBorders>
            <w:vAlign w:val="center"/>
            <w:hideMark/>
          </w:tcPr>
          <w:p w14:paraId="0150B2A6"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Variable</w:t>
            </w:r>
          </w:p>
        </w:tc>
        <w:tc>
          <w:tcPr>
            <w:tcW w:w="4961" w:type="dxa"/>
            <w:tcBorders>
              <w:top w:val="single" w:sz="4" w:space="0" w:color="auto"/>
              <w:left w:val="nil"/>
              <w:bottom w:val="single" w:sz="4" w:space="0" w:color="auto"/>
              <w:right w:val="single" w:sz="4" w:space="0" w:color="auto"/>
            </w:tcBorders>
            <w:vAlign w:val="center"/>
            <w:hideMark/>
          </w:tcPr>
          <w:p w14:paraId="0FE24DF8"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Association</w:t>
            </w:r>
          </w:p>
        </w:tc>
      </w:tr>
      <w:tr w:rsidR="00D717A2" w:rsidRPr="00C87BAE" w14:paraId="32D6BCB5" w14:textId="77777777" w:rsidTr="00D717A2">
        <w:trPr>
          <w:trHeight w:val="495"/>
        </w:trPr>
        <w:tc>
          <w:tcPr>
            <w:tcW w:w="4253" w:type="dxa"/>
            <w:tcBorders>
              <w:top w:val="nil"/>
              <w:left w:val="single" w:sz="4" w:space="0" w:color="auto"/>
              <w:bottom w:val="single" w:sz="4" w:space="0" w:color="auto"/>
              <w:right w:val="single" w:sz="4" w:space="0" w:color="auto"/>
            </w:tcBorders>
            <w:vAlign w:val="center"/>
            <w:hideMark/>
          </w:tcPr>
          <w:p w14:paraId="61B51ACA"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Age</w:t>
            </w:r>
          </w:p>
        </w:tc>
        <w:tc>
          <w:tcPr>
            <w:tcW w:w="4961" w:type="dxa"/>
            <w:tcBorders>
              <w:top w:val="nil"/>
              <w:left w:val="nil"/>
              <w:bottom w:val="single" w:sz="4" w:space="0" w:color="auto"/>
              <w:right w:val="single" w:sz="4" w:space="0" w:color="auto"/>
            </w:tcBorders>
            <w:vAlign w:val="center"/>
            <w:hideMark/>
          </w:tcPr>
          <w:p w14:paraId="7BD19890"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Significant</w:t>
            </w:r>
          </w:p>
        </w:tc>
      </w:tr>
      <w:tr w:rsidR="00D717A2" w:rsidRPr="00C87BAE" w14:paraId="2D0C3F8C" w14:textId="77777777" w:rsidTr="00D717A2">
        <w:trPr>
          <w:trHeight w:val="495"/>
        </w:trPr>
        <w:tc>
          <w:tcPr>
            <w:tcW w:w="4253" w:type="dxa"/>
            <w:tcBorders>
              <w:top w:val="nil"/>
              <w:left w:val="single" w:sz="4" w:space="0" w:color="auto"/>
              <w:bottom w:val="single" w:sz="4" w:space="0" w:color="auto"/>
              <w:right w:val="single" w:sz="4" w:space="0" w:color="auto"/>
            </w:tcBorders>
            <w:vAlign w:val="center"/>
            <w:hideMark/>
          </w:tcPr>
          <w:p w14:paraId="731230E9"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Gender</w:t>
            </w:r>
          </w:p>
        </w:tc>
        <w:tc>
          <w:tcPr>
            <w:tcW w:w="4961" w:type="dxa"/>
            <w:tcBorders>
              <w:top w:val="nil"/>
              <w:left w:val="nil"/>
              <w:bottom w:val="single" w:sz="4" w:space="0" w:color="auto"/>
              <w:right w:val="single" w:sz="4" w:space="0" w:color="auto"/>
            </w:tcBorders>
            <w:vAlign w:val="center"/>
            <w:hideMark/>
          </w:tcPr>
          <w:p w14:paraId="1BEB4D96"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Not significant</w:t>
            </w:r>
          </w:p>
        </w:tc>
      </w:tr>
      <w:tr w:rsidR="00D717A2" w:rsidRPr="00C87BAE" w14:paraId="2E0A80F4" w14:textId="77777777" w:rsidTr="00D717A2">
        <w:trPr>
          <w:trHeight w:val="495"/>
        </w:trPr>
        <w:tc>
          <w:tcPr>
            <w:tcW w:w="4253" w:type="dxa"/>
            <w:tcBorders>
              <w:top w:val="nil"/>
              <w:left w:val="single" w:sz="4" w:space="0" w:color="auto"/>
              <w:bottom w:val="single" w:sz="4" w:space="0" w:color="auto"/>
              <w:right w:val="single" w:sz="4" w:space="0" w:color="auto"/>
            </w:tcBorders>
            <w:vAlign w:val="center"/>
            <w:hideMark/>
          </w:tcPr>
          <w:p w14:paraId="49EE9F59"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lastRenderedPageBreak/>
              <w:t>Number of children</w:t>
            </w:r>
          </w:p>
        </w:tc>
        <w:tc>
          <w:tcPr>
            <w:tcW w:w="4961" w:type="dxa"/>
            <w:tcBorders>
              <w:top w:val="nil"/>
              <w:left w:val="nil"/>
              <w:bottom w:val="single" w:sz="4" w:space="0" w:color="auto"/>
              <w:right w:val="single" w:sz="4" w:space="0" w:color="auto"/>
            </w:tcBorders>
            <w:vAlign w:val="center"/>
            <w:hideMark/>
          </w:tcPr>
          <w:p w14:paraId="6263E9BA"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Significant</w:t>
            </w:r>
          </w:p>
        </w:tc>
      </w:tr>
      <w:tr w:rsidR="00D717A2" w:rsidRPr="00C87BAE" w14:paraId="031A8921" w14:textId="77777777" w:rsidTr="00D717A2">
        <w:trPr>
          <w:trHeight w:val="495"/>
        </w:trPr>
        <w:tc>
          <w:tcPr>
            <w:tcW w:w="4253" w:type="dxa"/>
            <w:tcBorders>
              <w:top w:val="nil"/>
              <w:left w:val="single" w:sz="4" w:space="0" w:color="auto"/>
              <w:bottom w:val="single" w:sz="4" w:space="0" w:color="auto"/>
              <w:right w:val="single" w:sz="4" w:space="0" w:color="auto"/>
            </w:tcBorders>
            <w:vAlign w:val="center"/>
            <w:hideMark/>
          </w:tcPr>
          <w:p w14:paraId="6401D832"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Type of family</w:t>
            </w:r>
          </w:p>
        </w:tc>
        <w:tc>
          <w:tcPr>
            <w:tcW w:w="4961" w:type="dxa"/>
            <w:tcBorders>
              <w:top w:val="nil"/>
              <w:left w:val="nil"/>
              <w:bottom w:val="single" w:sz="4" w:space="0" w:color="auto"/>
              <w:right w:val="single" w:sz="4" w:space="0" w:color="auto"/>
            </w:tcBorders>
            <w:vAlign w:val="center"/>
            <w:hideMark/>
          </w:tcPr>
          <w:p w14:paraId="35CFE1E9"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Significant</w:t>
            </w:r>
          </w:p>
        </w:tc>
      </w:tr>
      <w:tr w:rsidR="00D717A2" w:rsidRPr="00C87BAE" w14:paraId="7476AEB4" w14:textId="77777777" w:rsidTr="00D717A2">
        <w:trPr>
          <w:trHeight w:val="495"/>
        </w:trPr>
        <w:tc>
          <w:tcPr>
            <w:tcW w:w="4253" w:type="dxa"/>
            <w:tcBorders>
              <w:top w:val="nil"/>
              <w:left w:val="single" w:sz="4" w:space="0" w:color="auto"/>
              <w:bottom w:val="single" w:sz="4" w:space="0" w:color="auto"/>
              <w:right w:val="single" w:sz="4" w:space="0" w:color="auto"/>
            </w:tcBorders>
            <w:vAlign w:val="center"/>
            <w:hideMark/>
          </w:tcPr>
          <w:p w14:paraId="2C0B7687"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Department/area of work</w:t>
            </w:r>
          </w:p>
        </w:tc>
        <w:tc>
          <w:tcPr>
            <w:tcW w:w="4961" w:type="dxa"/>
            <w:tcBorders>
              <w:top w:val="nil"/>
              <w:left w:val="nil"/>
              <w:bottom w:val="single" w:sz="4" w:space="0" w:color="auto"/>
              <w:right w:val="single" w:sz="4" w:space="0" w:color="auto"/>
            </w:tcBorders>
            <w:vAlign w:val="center"/>
            <w:hideMark/>
          </w:tcPr>
          <w:p w14:paraId="4ECEF415"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Not significant</w:t>
            </w:r>
          </w:p>
        </w:tc>
      </w:tr>
      <w:tr w:rsidR="00D717A2" w:rsidRPr="00C87BAE" w14:paraId="16D32B5D" w14:textId="77777777" w:rsidTr="00D717A2">
        <w:trPr>
          <w:trHeight w:val="495"/>
        </w:trPr>
        <w:tc>
          <w:tcPr>
            <w:tcW w:w="4253" w:type="dxa"/>
            <w:tcBorders>
              <w:top w:val="nil"/>
              <w:left w:val="single" w:sz="4" w:space="0" w:color="auto"/>
              <w:bottom w:val="single" w:sz="4" w:space="0" w:color="auto"/>
              <w:right w:val="single" w:sz="4" w:space="0" w:color="auto"/>
            </w:tcBorders>
            <w:vAlign w:val="center"/>
            <w:hideMark/>
          </w:tcPr>
          <w:p w14:paraId="081930DF"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Years of experience</w:t>
            </w:r>
          </w:p>
        </w:tc>
        <w:tc>
          <w:tcPr>
            <w:tcW w:w="4961" w:type="dxa"/>
            <w:tcBorders>
              <w:top w:val="nil"/>
              <w:left w:val="nil"/>
              <w:bottom w:val="single" w:sz="4" w:space="0" w:color="auto"/>
              <w:right w:val="single" w:sz="4" w:space="0" w:color="auto"/>
            </w:tcBorders>
            <w:vAlign w:val="center"/>
            <w:hideMark/>
          </w:tcPr>
          <w:p w14:paraId="497489B1"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Not significant</w:t>
            </w:r>
          </w:p>
        </w:tc>
      </w:tr>
      <w:tr w:rsidR="00D717A2" w:rsidRPr="00C87BAE" w14:paraId="1BBB1623" w14:textId="77777777" w:rsidTr="00D717A2">
        <w:trPr>
          <w:trHeight w:val="495"/>
        </w:trPr>
        <w:tc>
          <w:tcPr>
            <w:tcW w:w="4253" w:type="dxa"/>
            <w:tcBorders>
              <w:top w:val="nil"/>
              <w:left w:val="single" w:sz="4" w:space="0" w:color="auto"/>
              <w:bottom w:val="single" w:sz="4" w:space="0" w:color="auto"/>
              <w:right w:val="single" w:sz="4" w:space="0" w:color="auto"/>
            </w:tcBorders>
            <w:vAlign w:val="center"/>
            <w:hideMark/>
          </w:tcPr>
          <w:p w14:paraId="3E333D04"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4"/>
                <w:szCs w:val="24"/>
                <w:lang w:eastAsia="en-IN"/>
              </w:rPr>
              <w:t>Duty pattern</w:t>
            </w:r>
          </w:p>
        </w:tc>
        <w:tc>
          <w:tcPr>
            <w:tcW w:w="4961" w:type="dxa"/>
            <w:tcBorders>
              <w:top w:val="nil"/>
              <w:left w:val="nil"/>
              <w:bottom w:val="single" w:sz="4" w:space="0" w:color="auto"/>
              <w:right w:val="single" w:sz="4" w:space="0" w:color="auto"/>
            </w:tcBorders>
            <w:vAlign w:val="center"/>
            <w:hideMark/>
          </w:tcPr>
          <w:p w14:paraId="4EB89F10"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4"/>
                <w:szCs w:val="24"/>
                <w:lang w:eastAsia="en-IN"/>
              </w:rPr>
              <w:t>Significant</w:t>
            </w:r>
          </w:p>
        </w:tc>
      </w:tr>
    </w:tbl>
    <w:p w14:paraId="734CF0B6" w14:textId="77777777" w:rsidR="00D717A2" w:rsidRPr="00C87BAE" w:rsidRDefault="00D717A2" w:rsidP="00772544">
      <w:pPr>
        <w:spacing w:after="0" w:line="360" w:lineRule="auto"/>
        <w:outlineLvl w:val="2"/>
        <w:rPr>
          <w:rFonts w:ascii="Times New Roman" w:eastAsia="Times New Roman" w:hAnsi="Times New Roman" w:cs="Times New Roman"/>
          <w:b/>
          <w:bCs/>
          <w:sz w:val="24"/>
          <w:szCs w:val="24"/>
          <w:lang w:eastAsia="en-IN"/>
        </w:rPr>
      </w:pPr>
    </w:p>
    <w:p w14:paraId="69BB7891" w14:textId="77777777" w:rsidR="00D717A2" w:rsidRPr="00C87BAE" w:rsidRDefault="00D717A2" w:rsidP="00772544">
      <w:pPr>
        <w:spacing w:after="0" w:line="360" w:lineRule="auto"/>
        <w:rPr>
          <w:rFonts w:ascii="Times New Roman" w:eastAsia="Times New Roman" w:hAnsi="Times New Roman" w:cs="Times New Roman"/>
          <w:sz w:val="24"/>
          <w:szCs w:val="24"/>
          <w:lang w:eastAsia="en-IN"/>
        </w:rPr>
      </w:pPr>
    </w:p>
    <w:p w14:paraId="580D35A8" w14:textId="77777777" w:rsidR="00046C55" w:rsidRPr="00C87BAE" w:rsidRDefault="00046C55" w:rsidP="0005658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 xml:space="preserve">Parenting stress was significantly associated with </w:t>
      </w:r>
      <w:r w:rsidRPr="00C87BAE">
        <w:rPr>
          <w:rFonts w:ascii="Times New Roman" w:eastAsia="Times New Roman" w:hAnsi="Times New Roman" w:cs="Times New Roman"/>
          <w:b/>
          <w:bCs/>
          <w:sz w:val="24"/>
          <w:szCs w:val="24"/>
          <w:lang w:eastAsia="en-IN"/>
        </w:rPr>
        <w:t>age, number of children, type of family, and duty pattern</w:t>
      </w:r>
      <w:r w:rsidRPr="00C87BAE">
        <w:rPr>
          <w:rFonts w:ascii="Times New Roman" w:eastAsia="Times New Roman" w:hAnsi="Times New Roman" w:cs="Times New Roman"/>
          <w:sz w:val="24"/>
          <w:szCs w:val="24"/>
          <w:lang w:eastAsia="en-IN"/>
        </w:rPr>
        <w:t>. No significant association was found with gender, department of work, or years of professional experience.</w:t>
      </w:r>
    </w:p>
    <w:p w14:paraId="0DD045DA"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The association with duty pattern is compatible with evidence that shift configuration can shape work-family conflict among nurses, while age has also emerged as a predictor in prior nursing samples (Labrague et al., 2021; Sarvarian et al., 2026).</w:t>
      </w:r>
    </w:p>
    <w:p w14:paraId="0A146B2E" w14:textId="77777777" w:rsidR="00046C55" w:rsidRPr="00C87BAE" w:rsidRDefault="00046C55" w:rsidP="00056585">
      <w:pPr>
        <w:spacing w:after="0" w:line="360" w:lineRule="auto"/>
        <w:jc w:val="both"/>
        <w:outlineLvl w:val="1"/>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Association Between Psychological Health and Selected Demographic Variables</w:t>
      </w:r>
    </w:p>
    <w:p w14:paraId="4C6072EA" w14:textId="77777777" w:rsidR="00046C55" w:rsidRPr="00C87BAE" w:rsidRDefault="00046C55" w:rsidP="00056585">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 xml:space="preserve">Psychological health was significantly associated with </w:t>
      </w:r>
      <w:r w:rsidRPr="00C87BAE">
        <w:rPr>
          <w:rFonts w:ascii="Times New Roman" w:eastAsia="Times New Roman" w:hAnsi="Times New Roman" w:cs="Times New Roman"/>
          <w:b/>
          <w:bCs/>
          <w:sz w:val="24"/>
          <w:szCs w:val="24"/>
          <w:lang w:eastAsia="en-IN"/>
        </w:rPr>
        <w:t>age, number of children, type of family, and duty pattern</w:t>
      </w:r>
      <w:r w:rsidRPr="00C87BAE">
        <w:rPr>
          <w:rFonts w:ascii="Times New Roman" w:eastAsia="Times New Roman" w:hAnsi="Times New Roman" w:cs="Times New Roman"/>
          <w:sz w:val="24"/>
          <w:szCs w:val="24"/>
          <w:lang w:eastAsia="en-IN"/>
        </w:rPr>
        <w:t>, whereas gender, department of work, and years of professional experience did not demonstrate significant associations.</w:t>
      </w:r>
    </w:p>
    <w:p w14:paraId="2B25657C" w14:textId="77777777" w:rsidR="00741C76" w:rsidRPr="00C87BAE" w:rsidRDefault="00F87A37">
      <w:pPr>
        <w:spacing w:after="0" w:line="360" w:lineRule="auto"/>
        <w:jc w:val="both"/>
        <w:rPr>
          <w:rFonts w:ascii="Times New Roman" w:eastAsia="Times New Roman" w:hAnsi="Times New Roman" w:cs="Times New Roman"/>
          <w:sz w:val="24"/>
          <w:szCs w:val="24"/>
          <w:lang w:eastAsia="en-IN"/>
        </w:rPr>
      </w:pPr>
      <w:r w:rsidRPr="00C87BAE">
        <w:rPr>
          <w:rFonts w:ascii="Times New Roman" w:hAnsi="Times New Roman"/>
          <w:sz w:val="24"/>
        </w:rPr>
        <w:t>The parallel demographic pattern for psychological health suggests that family and scheduling contexts may be relevant to both constructs; however, because the analyses are unadjusted associations, residual confounding by unmeasured factors such as workload, sleep quality, childcare availability, or partner support cannot be excluded (Li et al., 2024; Zheng et al., 2025).</w:t>
      </w:r>
    </w:p>
    <w:p w14:paraId="54B2FDCB" w14:textId="77777777" w:rsidR="00046C55" w:rsidRPr="00C87BAE" w:rsidRDefault="00046C55" w:rsidP="00056585">
      <w:pPr>
        <w:spacing w:after="0" w:line="360" w:lineRule="auto"/>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Discussion</w:t>
      </w:r>
    </w:p>
    <w:p w14:paraId="71BF33FA" w14:textId="77777777" w:rsidR="00056585" w:rsidRPr="00C87BAE" w:rsidRDefault="00056585" w:rsidP="00056585">
      <w:pPr>
        <w:spacing w:after="0" w:line="360" w:lineRule="auto"/>
        <w:jc w:val="both"/>
        <w:outlineLvl w:val="0"/>
        <w:rPr>
          <w:rFonts w:ascii="Times New Roman" w:hAnsi="Times New Roman" w:cs="Times New Roman"/>
          <w:sz w:val="24"/>
        </w:rPr>
      </w:pPr>
      <w:r w:rsidRPr="00C87BAE">
        <w:rPr>
          <w:rFonts w:ascii="Times New Roman" w:hAnsi="Times New Roman" w:cs="Times New Roman"/>
          <w:sz w:val="24"/>
        </w:rPr>
        <w:t xml:space="preserve">The present study found that </w:t>
      </w:r>
      <w:r w:rsidRPr="00C87BAE">
        <w:rPr>
          <w:rStyle w:val="Strong"/>
          <w:rFonts w:ascii="Times New Roman" w:hAnsi="Times New Roman" w:cs="Times New Roman"/>
          <w:sz w:val="24"/>
        </w:rPr>
        <w:t>64% of staff nurses experienced moderate parenting stress</w:t>
      </w:r>
      <w:r w:rsidRPr="00C87BAE">
        <w:rPr>
          <w:rFonts w:ascii="Times New Roman" w:hAnsi="Times New Roman" w:cs="Times New Roman"/>
          <w:sz w:val="24"/>
        </w:rPr>
        <w:t>, while a considerable proportion experienced psychological distress. A significant positive correlation was found between parenting stress and psychological distress (</w:t>
      </w:r>
      <w:r w:rsidRPr="00C87BAE">
        <w:rPr>
          <w:rStyle w:val="Strong"/>
          <w:rFonts w:ascii="Times New Roman" w:hAnsi="Times New Roman" w:cs="Times New Roman"/>
          <w:sz w:val="24"/>
        </w:rPr>
        <w:t>r = 0.68, p &lt; 0.05</w:t>
      </w:r>
      <w:r w:rsidRPr="00C87BAE">
        <w:rPr>
          <w:rFonts w:ascii="Times New Roman" w:hAnsi="Times New Roman" w:cs="Times New Roman"/>
          <w:sz w:val="24"/>
        </w:rPr>
        <w:t>), indicating that higher parenting stress was associated with poorer psychological wellbeing. Parenting stress was significantly associated with age, number of children, type of family, and duty pattern. These findings highlight the importance of family support and suitable work schedules for staff nurses with parenting responsibilities.</w:t>
      </w:r>
    </w:p>
    <w:p w14:paraId="4F39F8DA" w14:textId="77777777" w:rsidR="00741C76" w:rsidRPr="00C87BAE" w:rsidRDefault="00F87A37">
      <w:pPr>
        <w:spacing w:after="0" w:line="360" w:lineRule="auto"/>
        <w:jc w:val="both"/>
        <w:outlineLvl w:val="0"/>
        <w:rPr>
          <w:rFonts w:ascii="Times New Roman" w:hAnsi="Times New Roman" w:cs="Times New Roman"/>
          <w:sz w:val="24"/>
        </w:rPr>
      </w:pPr>
      <w:r w:rsidRPr="00C87BAE">
        <w:rPr>
          <w:rFonts w:ascii="Times New Roman" w:hAnsi="Times New Roman"/>
          <w:sz w:val="24"/>
        </w:rPr>
        <w:t xml:space="preserve">The finding that 64% of staff nurses experienced moderate parenting stress and 18% experienced high parenting stress indicates a substantial burden in this parent-nurse sample. A two-center Indian study of 662 healthcare-worker parents reported severe parenting stress in 23% during the post-second-wave COVID-19 period (Kalrao et al., 2023). Direct numerical comparison should be cautious because that study included multiple healthcare occupations and used a context-specific </w:t>
      </w:r>
      <w:r w:rsidRPr="00C87BAE">
        <w:rPr>
          <w:rFonts w:ascii="Times New Roman" w:hAnsi="Times New Roman"/>
          <w:sz w:val="24"/>
        </w:rPr>
        <w:lastRenderedPageBreak/>
        <w:t>severe-stress threshold, whereas the present study categorized low, moderate, and high stress in staff nurses.</w:t>
      </w:r>
    </w:p>
    <w:p w14:paraId="7E0CA6EC" w14:textId="77777777" w:rsidR="00741C76" w:rsidRPr="00C87BAE" w:rsidRDefault="00F87A37">
      <w:pPr>
        <w:spacing w:after="0" w:line="360" w:lineRule="auto"/>
        <w:jc w:val="both"/>
        <w:outlineLvl w:val="0"/>
        <w:rPr>
          <w:rFonts w:ascii="Times New Roman" w:hAnsi="Times New Roman" w:cs="Times New Roman"/>
          <w:sz w:val="24"/>
        </w:rPr>
      </w:pPr>
      <w:r w:rsidRPr="00C87BAE">
        <w:rPr>
          <w:rFonts w:ascii="Times New Roman" w:hAnsi="Times New Roman"/>
          <w:sz w:val="24"/>
        </w:rPr>
        <w:t>The association of parenting stress with duty pattern is plausible in light of qualitative evidence from Korean nurses working rotating shifts, who described disruption of family routines and persistent conflict between nursing and child-rearing roles (Yoo &amp; Shim, 2022). Recent nurse studies also show that greater night-shift exposure is associated with poorer mental health and that shift-related sleep disturbance can mediate the association between work-family conflict and burnout (Li et al., 2024; Zheng et al., 2025). These findings support scheduling and recovery time as relevant organizational contexts, but they do not establish that duty pattern caused the stress observed here.</w:t>
      </w:r>
    </w:p>
    <w:p w14:paraId="466CA2DF" w14:textId="77777777" w:rsidR="00741C76" w:rsidRPr="00C87BAE" w:rsidRDefault="00F87A37">
      <w:pPr>
        <w:spacing w:after="0" w:line="360" w:lineRule="auto"/>
        <w:jc w:val="both"/>
        <w:outlineLvl w:val="0"/>
        <w:rPr>
          <w:rFonts w:ascii="Times New Roman" w:hAnsi="Times New Roman" w:cs="Times New Roman"/>
          <w:sz w:val="24"/>
        </w:rPr>
      </w:pPr>
      <w:r w:rsidRPr="00C87BAE">
        <w:rPr>
          <w:rFonts w:ascii="Times New Roman" w:hAnsi="Times New Roman"/>
          <w:sz w:val="24"/>
        </w:rPr>
        <w:t>The positive correlation between parenting stress and psychological distress is consistent with broader work-family evidence in nursing. Work-family conflict has been associated with higher psychological distress among nurse managers and staff nurses in recent cross-sectional studies (Labrague, 2024; Mohammadi et al., 2026). Because parenting stress is not identical to work-family conflict, this convergence should be interpreted as support for a broader role-strain relationship rather than evidence that the constructs are interchangeable.</w:t>
      </w:r>
    </w:p>
    <w:p w14:paraId="50B117A8" w14:textId="77777777" w:rsidR="00741C76" w:rsidRPr="00C87BAE" w:rsidRDefault="00F87A37">
      <w:pPr>
        <w:spacing w:after="0" w:line="360" w:lineRule="auto"/>
        <w:jc w:val="both"/>
        <w:outlineLvl w:val="0"/>
        <w:rPr>
          <w:rFonts w:ascii="Times New Roman" w:hAnsi="Times New Roman" w:cs="Times New Roman"/>
          <w:sz w:val="24"/>
        </w:rPr>
      </w:pPr>
      <w:r w:rsidRPr="00C87BAE">
        <w:rPr>
          <w:rFonts w:ascii="Times New Roman" w:hAnsi="Times New Roman"/>
          <w:sz w:val="24"/>
        </w:rPr>
        <w:t>Age, number of children, family type, and duty pattern were significant for both outcomes. Prior work identified age and work-setting characteristics as predictors of work-family conflict (Labrague et al., 2021), and a 2026 study of Iranian nurses found work-shift type among the determinants of work-family conflict (Sarvarian et al., 2026). In Indian healthcare-worker parents, family structure and occupational exposure were also associated with severe parenting stress (Kalrao et al., 2023). However, the current study reports significance without effect sizes or direction for these demographic associations, so it is not possible to determine which subgroups had higher or lower stress from the reported results alone.</w:t>
      </w:r>
    </w:p>
    <w:p w14:paraId="34E56F49" w14:textId="77777777" w:rsidR="00741C76" w:rsidRPr="00C87BAE" w:rsidRDefault="00F87A37">
      <w:pPr>
        <w:spacing w:after="0" w:line="360" w:lineRule="auto"/>
        <w:jc w:val="both"/>
        <w:outlineLvl w:val="0"/>
        <w:rPr>
          <w:rFonts w:ascii="Times New Roman" w:hAnsi="Times New Roman" w:cs="Times New Roman"/>
          <w:sz w:val="24"/>
        </w:rPr>
      </w:pPr>
      <w:r w:rsidRPr="00C87BAE">
        <w:rPr>
          <w:rFonts w:ascii="Times New Roman" w:hAnsi="Times New Roman"/>
          <w:sz w:val="24"/>
        </w:rPr>
        <w:t>The absence of significant associations with gender, department, or years of experience may indicate that parenting and psychological strain in this sample cut across several professional strata, although limited statistical power in a sample of 100 could also contribute to null findings. Family support and organizational flexibility remain reasonable targets for future evaluation because parent nurses may experience both conflict and enrichment between work and family domains (Kawakita &amp; Hosoda, 2024), and earlier nursing literature has linked supportive environments and resilience with better professional and psychological outcomes (Alonazi et al., 2023; Huang et al., 2023).</w:t>
      </w:r>
    </w:p>
    <w:p w14:paraId="60EB0288" w14:textId="77777777" w:rsidR="00741C76" w:rsidRPr="00C87BAE" w:rsidRDefault="00F87A37">
      <w:pPr>
        <w:spacing w:after="0" w:line="360" w:lineRule="auto"/>
        <w:jc w:val="both"/>
        <w:outlineLvl w:val="0"/>
        <w:rPr>
          <w:rFonts w:ascii="Times New Roman" w:hAnsi="Times New Roman" w:cs="Times New Roman"/>
          <w:sz w:val="24"/>
        </w:rPr>
      </w:pPr>
      <w:r w:rsidRPr="00C87BAE">
        <w:rPr>
          <w:rFonts w:ascii="Times New Roman" w:hAnsi="Times New Roman"/>
          <w:sz w:val="24"/>
        </w:rPr>
        <w:t xml:space="preserve">The observed pattern can also be interpreted through resource and adaptation perspectives: competing work and family demands may tax finite time, energy, sleep, and coping resources, while individual and environmental supports may influence adaptation to these demands (Lazarus &amp; Folkman, 1984; Roy &amp; Andrews, 1999). This interpretation is consistent with prior nursing studies linking work-family conflict with sleep disturbance, burnout, depressive symptoms, anxiety, and </w:t>
      </w:r>
      <w:r w:rsidRPr="00C87BAE">
        <w:rPr>
          <w:rFonts w:ascii="Times New Roman" w:hAnsi="Times New Roman"/>
          <w:sz w:val="24"/>
        </w:rPr>
        <w:lastRenderedPageBreak/>
        <w:t>psychological health (Han &amp; Kwak, 2022; Al-Hammouri &amp; Rababah, 2024; Yan et al., 2024; Zhao et al., 2023).</w:t>
      </w:r>
    </w:p>
    <w:p w14:paraId="32CD1265" w14:textId="77777777" w:rsidR="00741C76" w:rsidRPr="00C87BAE" w:rsidRDefault="00F87A37">
      <w:pPr>
        <w:spacing w:after="0" w:line="360" w:lineRule="auto"/>
        <w:jc w:val="both"/>
        <w:outlineLvl w:val="0"/>
        <w:rPr>
          <w:rFonts w:ascii="Times New Roman" w:hAnsi="Times New Roman" w:cs="Times New Roman"/>
          <w:sz w:val="24"/>
        </w:rPr>
      </w:pPr>
      <w:r w:rsidRPr="00C87BAE">
        <w:rPr>
          <w:rFonts w:ascii="Times New Roman" w:hAnsi="Times New Roman"/>
          <w:sz w:val="24"/>
        </w:rPr>
        <w:t>Given the descriptive-correlational, cross-sectional design, all reported relationships should be interpreted as associations rather than causal effects (Polit &amp; Beck, 2021). Self-report measurement can also introduce common-method variance, and the non-probability sample from selected hospitals limits generalizability. The moderate-to-strong correlation may therefore reflect both substantive overlap and shared measurement or contextual influences; longitudinal and multivariable studies would be needed to clarify temporal ordering and independent predictors.</w:t>
      </w:r>
    </w:p>
    <w:p w14:paraId="00477141" w14:textId="77777777" w:rsidR="00046C55" w:rsidRPr="00C87BAE" w:rsidRDefault="00046C55" w:rsidP="00056585">
      <w:pPr>
        <w:spacing w:after="0" w:line="360" w:lineRule="auto"/>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Conclusion</w:t>
      </w:r>
    </w:p>
    <w:p w14:paraId="4FD085CE" w14:textId="77777777" w:rsidR="00056585" w:rsidRPr="00C87BAE" w:rsidRDefault="00056585" w:rsidP="00056585">
      <w:pPr>
        <w:spacing w:after="0" w:line="360" w:lineRule="auto"/>
        <w:jc w:val="both"/>
        <w:outlineLvl w:val="0"/>
        <w:rPr>
          <w:rFonts w:ascii="Times New Roman" w:hAnsi="Times New Roman" w:cs="Times New Roman"/>
          <w:sz w:val="24"/>
        </w:rPr>
      </w:pPr>
      <w:r w:rsidRPr="00C87BAE">
        <w:rPr>
          <w:rFonts w:ascii="Times New Roman" w:hAnsi="Times New Roman" w:cs="Times New Roman"/>
          <w:sz w:val="24"/>
        </w:rPr>
        <w:t xml:space="preserve">The study concluded that </w:t>
      </w:r>
      <w:r w:rsidRPr="00C87BAE">
        <w:rPr>
          <w:rStyle w:val="Strong"/>
          <w:rFonts w:ascii="Times New Roman" w:hAnsi="Times New Roman" w:cs="Times New Roman"/>
          <w:b w:val="0"/>
          <w:sz w:val="24"/>
        </w:rPr>
        <w:t>moderate parenting stress and psychological distress were common among staff nurses</w:t>
      </w:r>
      <w:r w:rsidRPr="00C87BAE">
        <w:rPr>
          <w:rFonts w:ascii="Times New Roman" w:hAnsi="Times New Roman" w:cs="Times New Roman"/>
          <w:b/>
          <w:sz w:val="24"/>
        </w:rPr>
        <w:t>.</w:t>
      </w:r>
      <w:r w:rsidRPr="00C87BAE">
        <w:rPr>
          <w:rFonts w:ascii="Times New Roman" w:hAnsi="Times New Roman" w:cs="Times New Roman"/>
          <w:sz w:val="24"/>
        </w:rPr>
        <w:t xml:space="preserve"> Higher parenting stress was significantly associated with greater psychological distress. Counselling, stress-management programmes, family support, and family-friendly workplace policies may help reduce parenting stress and improve the psychological wellbeing of staff nurses.</w:t>
      </w:r>
    </w:p>
    <w:p w14:paraId="0DAA1CB6" w14:textId="77777777" w:rsidR="00046C55" w:rsidRPr="00C87BAE" w:rsidRDefault="00046C55" w:rsidP="00056585">
      <w:pPr>
        <w:spacing w:after="0" w:line="360" w:lineRule="auto"/>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Recommendations</w:t>
      </w:r>
    </w:p>
    <w:p w14:paraId="521C310E" w14:textId="77777777" w:rsidR="00046C55" w:rsidRPr="00C87BAE" w:rsidRDefault="00046C55" w:rsidP="00056585">
      <w:pPr>
        <w:numPr>
          <w:ilvl w:val="0"/>
          <w:numId w:val="2"/>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Similar studies should be conducted with larger sample sizes.</w:t>
      </w:r>
    </w:p>
    <w:p w14:paraId="1E92D61B" w14:textId="77777777" w:rsidR="00046C55" w:rsidRPr="00C87BAE" w:rsidRDefault="00046C55" w:rsidP="00056585">
      <w:pPr>
        <w:numPr>
          <w:ilvl w:val="0"/>
          <w:numId w:val="2"/>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Comparative studies may be conducted among government and private hospital staff nurses.</w:t>
      </w:r>
    </w:p>
    <w:p w14:paraId="022C927E" w14:textId="77777777" w:rsidR="00046C55" w:rsidRPr="00C87BAE" w:rsidRDefault="00046C55" w:rsidP="00056585">
      <w:pPr>
        <w:numPr>
          <w:ilvl w:val="0"/>
          <w:numId w:val="2"/>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Experimental studies should be conducted to evaluate the effectiveness of stress-management interventions.</w:t>
      </w:r>
    </w:p>
    <w:p w14:paraId="02FCA699" w14:textId="77777777" w:rsidR="00046C55" w:rsidRPr="00C87BAE" w:rsidRDefault="00046C55" w:rsidP="00056585">
      <w:pPr>
        <w:numPr>
          <w:ilvl w:val="0"/>
          <w:numId w:val="2"/>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Longitudinal studies may be undertaken to assess changes in parenting stress and psychological health over time.</w:t>
      </w:r>
    </w:p>
    <w:p w14:paraId="318FDF40" w14:textId="77777777" w:rsidR="00046C55" w:rsidRPr="00C87BAE" w:rsidRDefault="00046C55" w:rsidP="00056585">
      <w:pPr>
        <w:numPr>
          <w:ilvl w:val="0"/>
          <w:numId w:val="2"/>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Similar studies should be conducted in different geographical settings.</w:t>
      </w:r>
    </w:p>
    <w:p w14:paraId="77747667" w14:textId="77777777" w:rsidR="00046C55" w:rsidRPr="00C87BAE" w:rsidRDefault="00046C55" w:rsidP="00056585">
      <w:pPr>
        <w:numPr>
          <w:ilvl w:val="0"/>
          <w:numId w:val="2"/>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Counselling and psychological support services should be strengthened for staff nurses.</w:t>
      </w:r>
    </w:p>
    <w:p w14:paraId="49EF5603" w14:textId="77777777" w:rsidR="00046C55" w:rsidRPr="00C87BAE" w:rsidRDefault="00046C55" w:rsidP="00056585">
      <w:pPr>
        <w:numPr>
          <w:ilvl w:val="0"/>
          <w:numId w:val="2"/>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Hospital administrators should promote work-life balance initiatives and family-support programmes.</w:t>
      </w:r>
    </w:p>
    <w:p w14:paraId="7DC39005" w14:textId="77777777" w:rsidR="00046C55" w:rsidRPr="00C87BAE" w:rsidRDefault="00046C55" w:rsidP="00056585">
      <w:pPr>
        <w:numPr>
          <w:ilvl w:val="0"/>
          <w:numId w:val="2"/>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Qualitative studies may explore the experiences and coping strategies of staff nurses.</w:t>
      </w:r>
    </w:p>
    <w:p w14:paraId="52791556" w14:textId="77777777" w:rsidR="00046C55" w:rsidRPr="00C87BAE" w:rsidRDefault="00046C55" w:rsidP="00056585">
      <w:pPr>
        <w:numPr>
          <w:ilvl w:val="0"/>
          <w:numId w:val="2"/>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Interventional studies should evaluate parenting-support programmes.</w:t>
      </w:r>
    </w:p>
    <w:p w14:paraId="0A347876" w14:textId="77777777" w:rsidR="00046C55" w:rsidRPr="00C87BAE" w:rsidRDefault="00046C55" w:rsidP="00056585">
      <w:pPr>
        <w:numPr>
          <w:ilvl w:val="0"/>
          <w:numId w:val="2"/>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Comparative studies may be conducted among nurses working in different specialties such as ICU, medical, and surgical wards.</w:t>
      </w:r>
    </w:p>
    <w:p w14:paraId="19FDEFC8" w14:textId="77777777" w:rsidR="00F31382" w:rsidRPr="00C87BAE" w:rsidRDefault="00F31382" w:rsidP="00056585">
      <w:pPr>
        <w:spacing w:after="0" w:line="360" w:lineRule="auto"/>
        <w:jc w:val="center"/>
        <w:outlineLvl w:val="0"/>
        <w:rPr>
          <w:rFonts w:ascii="Times New Roman" w:eastAsia="Times New Roman" w:hAnsi="Times New Roman" w:cs="Times New Roman"/>
          <w:b/>
          <w:bCs/>
          <w:kern w:val="36"/>
          <w:sz w:val="28"/>
          <w:szCs w:val="24"/>
          <w:lang w:eastAsia="en-IN"/>
        </w:rPr>
      </w:pPr>
    </w:p>
    <w:p w14:paraId="3DE485E0" w14:textId="77777777" w:rsidR="00F31382" w:rsidRPr="00C87BAE" w:rsidRDefault="00F31382" w:rsidP="00056585">
      <w:pPr>
        <w:spacing w:after="0" w:line="360" w:lineRule="auto"/>
        <w:jc w:val="center"/>
        <w:outlineLvl w:val="0"/>
        <w:rPr>
          <w:rFonts w:ascii="Times New Roman" w:eastAsia="Times New Roman" w:hAnsi="Times New Roman" w:cs="Times New Roman"/>
          <w:b/>
          <w:bCs/>
          <w:kern w:val="36"/>
          <w:sz w:val="28"/>
          <w:szCs w:val="24"/>
          <w:lang w:eastAsia="en-IN"/>
        </w:rPr>
      </w:pPr>
    </w:p>
    <w:p w14:paraId="02F0C163" w14:textId="77777777" w:rsidR="00046C55" w:rsidRPr="00C87BAE" w:rsidRDefault="00046C55" w:rsidP="00056585">
      <w:pPr>
        <w:spacing w:after="0" w:line="360" w:lineRule="auto"/>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Limitations of the Study</w:t>
      </w:r>
    </w:p>
    <w:p w14:paraId="6937B2BA" w14:textId="77777777" w:rsidR="00046C55" w:rsidRPr="00C87BAE" w:rsidRDefault="00046C55" w:rsidP="00056585">
      <w:pPr>
        <w:numPr>
          <w:ilvl w:val="0"/>
          <w:numId w:val="3"/>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The study was limited to staff nurses working in selected hospitals of Sasaram, Bihar.</w:t>
      </w:r>
    </w:p>
    <w:p w14:paraId="18D07985" w14:textId="77777777" w:rsidR="00046C55" w:rsidRPr="00C87BAE" w:rsidRDefault="00046C55" w:rsidP="00056585">
      <w:pPr>
        <w:numPr>
          <w:ilvl w:val="0"/>
          <w:numId w:val="3"/>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The sample size was limited to 100 participants.</w:t>
      </w:r>
    </w:p>
    <w:p w14:paraId="10D295AC" w14:textId="77777777" w:rsidR="00046C55" w:rsidRPr="00C87BAE" w:rsidRDefault="00046C55" w:rsidP="00056585">
      <w:pPr>
        <w:numPr>
          <w:ilvl w:val="0"/>
          <w:numId w:val="3"/>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Only married staff nurses having children were included.</w:t>
      </w:r>
    </w:p>
    <w:p w14:paraId="79C49D5B" w14:textId="77777777" w:rsidR="00046C55" w:rsidRPr="00C87BAE" w:rsidRDefault="00046C55" w:rsidP="00056585">
      <w:pPr>
        <w:numPr>
          <w:ilvl w:val="0"/>
          <w:numId w:val="3"/>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The study used self-reported assessment tools, which may be subject to response bias.</w:t>
      </w:r>
    </w:p>
    <w:p w14:paraId="06D59CE8" w14:textId="77777777" w:rsidR="00046C55" w:rsidRPr="00C87BAE" w:rsidRDefault="00046C55" w:rsidP="00056585">
      <w:pPr>
        <w:numPr>
          <w:ilvl w:val="0"/>
          <w:numId w:val="3"/>
        </w:num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lastRenderedPageBreak/>
        <w:t>The cross-sectional design limits the ability to establish causal relationships.</w:t>
      </w:r>
    </w:p>
    <w:p w14:paraId="6BDD389F" w14:textId="77777777" w:rsidR="0077464A" w:rsidRDefault="0077464A" w:rsidP="00C87BAE">
      <w:pPr>
        <w:spacing w:after="0" w:line="240" w:lineRule="auto"/>
        <w:rPr>
          <w:rFonts w:ascii="Times New Roman" w:hAnsi="Times New Roman" w:cs="Times New Roman"/>
          <w:b/>
        </w:rPr>
      </w:pPr>
    </w:p>
    <w:p w14:paraId="4C9EB0F5" w14:textId="7C372D99" w:rsidR="00C87BAE" w:rsidRDefault="00C87BAE" w:rsidP="00C87BAE">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EF796DE" w14:textId="77777777" w:rsidR="00C87BAE" w:rsidRDefault="00C87BAE" w:rsidP="00C87BAE">
      <w:pPr>
        <w:spacing w:after="0" w:line="240" w:lineRule="auto"/>
        <w:rPr>
          <w:rFonts w:ascii="Times New Roman" w:hAnsi="Times New Roman" w:cs="Times New Roman"/>
          <w:b/>
        </w:rPr>
      </w:pPr>
    </w:p>
    <w:p w14:paraId="7B63CA1E" w14:textId="77777777" w:rsidR="00C87BAE" w:rsidRDefault="00C87BAE" w:rsidP="00C87BAE">
      <w:pPr>
        <w:spacing w:after="0" w:line="240" w:lineRule="auto"/>
        <w:rPr>
          <w:rFonts w:ascii="Times New Roman" w:hAnsi="Times New Roman" w:cs="Times New Roman"/>
          <w:b/>
        </w:rPr>
      </w:pPr>
    </w:p>
    <w:p w14:paraId="3E4DCA53" w14:textId="77777777" w:rsidR="00C87BAE" w:rsidRDefault="00C87BAE" w:rsidP="00C87BAE">
      <w:pPr>
        <w:spacing w:after="0" w:line="240" w:lineRule="auto"/>
        <w:rPr>
          <w:rFonts w:ascii="Times New Roman" w:hAnsi="Times New Roman" w:cs="Times New Roman"/>
          <w:b/>
        </w:rPr>
      </w:pPr>
    </w:p>
    <w:p w14:paraId="49579B82" w14:textId="77777777" w:rsidR="00C87BAE" w:rsidRPr="002D08AC" w:rsidRDefault="00C87BAE" w:rsidP="00C87BA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2601F54" w14:textId="77777777" w:rsidR="00C87BAE" w:rsidRPr="00C87BAE" w:rsidRDefault="00C87BAE" w:rsidP="00056585">
      <w:pPr>
        <w:spacing w:after="0" w:line="360" w:lineRule="auto"/>
        <w:jc w:val="both"/>
        <w:rPr>
          <w:rFonts w:ascii="Times New Roman" w:eastAsia="Times New Roman" w:hAnsi="Times New Roman" w:cs="Times New Roman"/>
          <w:sz w:val="24"/>
          <w:szCs w:val="24"/>
          <w:lang w:eastAsia="en-IN"/>
        </w:rPr>
      </w:pPr>
    </w:p>
    <w:p w14:paraId="3E978B20" w14:textId="77777777" w:rsidR="00046C55" w:rsidRPr="00C87BAE" w:rsidRDefault="00046C55" w:rsidP="00056585">
      <w:pPr>
        <w:spacing w:after="0" w:line="360" w:lineRule="auto"/>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References</w:t>
      </w:r>
    </w:p>
    <w:p w14:paraId="6AC8F54B" w14:textId="32010A05" w:rsidR="00F87A37" w:rsidRPr="00C87BAE" w:rsidRDefault="00F87A37" w:rsidP="00F87A37">
      <w:pPr>
        <w:spacing w:after="0" w:line="360" w:lineRule="auto"/>
        <w:jc w:val="both"/>
      </w:pPr>
      <w:r w:rsidRPr="00C87BAE">
        <w:rPr>
          <w:rFonts w:ascii="Times New Roman" w:hAnsi="Times New Roman"/>
          <w:sz w:val="24"/>
        </w:rPr>
        <w:t xml:space="preserve">Abidin, R. R. (2012). </w:t>
      </w:r>
      <w:r w:rsidRPr="00C87BAE">
        <w:rPr>
          <w:rFonts w:ascii="Times New Roman" w:hAnsi="Times New Roman"/>
          <w:i/>
          <w:sz w:val="24"/>
        </w:rPr>
        <w:t>Parenting stress index professional manual</w:t>
      </w:r>
      <w:r w:rsidRPr="00C87BAE">
        <w:rPr>
          <w:rFonts w:ascii="Times New Roman" w:hAnsi="Times New Roman"/>
          <w:sz w:val="24"/>
        </w:rPr>
        <w:t xml:space="preserve"> (4th ed.). Psychological Assessment Resources.</w:t>
      </w:r>
    </w:p>
    <w:p w14:paraId="09702CE0" w14:textId="77777777" w:rsidR="00F87A37" w:rsidRPr="00C87BAE" w:rsidRDefault="00F87A37">
      <w:pPr>
        <w:spacing w:after="0" w:line="360" w:lineRule="auto"/>
        <w:ind w:left="720" w:hanging="720"/>
      </w:pPr>
      <w:r w:rsidRPr="00C87BAE">
        <w:rPr>
          <w:rFonts w:ascii="Times New Roman" w:hAnsi="Times New Roman"/>
          <w:sz w:val="24"/>
        </w:rPr>
        <w:t xml:space="preserve">Afsar, B., &amp; Burcu, A. (2016). Stress as a mediator between work-family conflict and psychological health among the nursing staff: Moderating role of emotional intelligence. </w:t>
      </w:r>
      <w:r w:rsidRPr="00C87BAE">
        <w:rPr>
          <w:rFonts w:ascii="Times New Roman" w:hAnsi="Times New Roman"/>
          <w:i/>
          <w:sz w:val="24"/>
        </w:rPr>
        <w:t>Applied Nursing Research</w:t>
      </w:r>
      <w:r w:rsidRPr="00C87BAE">
        <w:rPr>
          <w:rFonts w:ascii="Times New Roman" w:hAnsi="Times New Roman"/>
          <w:sz w:val="24"/>
        </w:rPr>
        <w:t xml:space="preserve">, </w:t>
      </w:r>
      <w:r w:rsidRPr="00C87BAE">
        <w:rPr>
          <w:rFonts w:ascii="Times New Roman" w:hAnsi="Times New Roman"/>
          <w:i/>
          <w:sz w:val="24"/>
        </w:rPr>
        <w:t>30</w:t>
      </w:r>
      <w:r w:rsidRPr="00C87BAE">
        <w:rPr>
          <w:rFonts w:ascii="Times New Roman" w:hAnsi="Times New Roman"/>
          <w:sz w:val="24"/>
        </w:rPr>
        <w:t>, 268–275.</w:t>
      </w:r>
    </w:p>
    <w:p w14:paraId="67ED4DFE" w14:textId="77777777" w:rsidR="00F87A37" w:rsidRPr="00C87BAE" w:rsidRDefault="00F87A37">
      <w:pPr>
        <w:spacing w:after="0" w:line="360" w:lineRule="auto"/>
        <w:ind w:left="720" w:hanging="720"/>
      </w:pPr>
      <w:r w:rsidRPr="00C87BAE">
        <w:rPr>
          <w:rFonts w:ascii="Times New Roman" w:hAnsi="Times New Roman"/>
          <w:sz w:val="24"/>
        </w:rPr>
        <w:t>Al-</w:t>
      </w:r>
      <w:proofErr w:type="spellStart"/>
      <w:r w:rsidRPr="00C87BAE">
        <w:rPr>
          <w:rFonts w:ascii="Times New Roman" w:hAnsi="Times New Roman"/>
          <w:sz w:val="24"/>
        </w:rPr>
        <w:t>Hammouri</w:t>
      </w:r>
      <w:proofErr w:type="spellEnd"/>
      <w:r w:rsidRPr="00C87BAE">
        <w:rPr>
          <w:rFonts w:ascii="Times New Roman" w:hAnsi="Times New Roman"/>
          <w:sz w:val="24"/>
        </w:rPr>
        <w:t xml:space="preserve">, M. M., &amp; Rababah, J. A. (2024). Work-family conflict, family-work conflict, mindfulness and depressive symptoms among nurses. </w:t>
      </w:r>
      <w:r w:rsidRPr="00C87BAE">
        <w:rPr>
          <w:rFonts w:ascii="Times New Roman" w:hAnsi="Times New Roman"/>
          <w:i/>
          <w:sz w:val="24"/>
        </w:rPr>
        <w:t>Journal of Nursing Management</w:t>
      </w:r>
      <w:r w:rsidRPr="00C87BAE">
        <w:rPr>
          <w:rFonts w:ascii="Times New Roman" w:hAnsi="Times New Roman"/>
          <w:sz w:val="24"/>
        </w:rPr>
        <w:t xml:space="preserve">, </w:t>
      </w:r>
      <w:r w:rsidRPr="00C87BAE">
        <w:rPr>
          <w:rFonts w:ascii="Times New Roman" w:hAnsi="Times New Roman"/>
          <w:i/>
          <w:sz w:val="24"/>
        </w:rPr>
        <w:t>32</w:t>
      </w:r>
      <w:r w:rsidRPr="00C87BAE">
        <w:rPr>
          <w:rFonts w:ascii="Times New Roman" w:hAnsi="Times New Roman"/>
          <w:sz w:val="24"/>
        </w:rPr>
        <w:t>(1), 1–10.</w:t>
      </w:r>
    </w:p>
    <w:p w14:paraId="4D1CD72D" w14:textId="77777777" w:rsidR="00F87A37" w:rsidRPr="00C87BAE" w:rsidRDefault="00F87A37">
      <w:pPr>
        <w:spacing w:after="0" w:line="360" w:lineRule="auto"/>
        <w:ind w:left="720" w:hanging="720"/>
      </w:pPr>
      <w:proofErr w:type="spellStart"/>
      <w:r w:rsidRPr="00C87BAE">
        <w:rPr>
          <w:rFonts w:ascii="Times New Roman" w:hAnsi="Times New Roman"/>
          <w:sz w:val="24"/>
        </w:rPr>
        <w:t>Alonazi</w:t>
      </w:r>
      <w:proofErr w:type="spellEnd"/>
      <w:r w:rsidRPr="00C87BAE">
        <w:rPr>
          <w:rFonts w:ascii="Times New Roman" w:hAnsi="Times New Roman"/>
          <w:sz w:val="24"/>
        </w:rPr>
        <w:t xml:space="preserve">, W. B., Alotaibi, R. M., &amp; Vinluan, J. M. (2023). Psychological resilience and professional quality of life among mental health nurses. </w:t>
      </w:r>
      <w:r w:rsidRPr="00C87BAE">
        <w:rPr>
          <w:rFonts w:ascii="Times New Roman" w:hAnsi="Times New Roman"/>
          <w:i/>
          <w:sz w:val="24"/>
        </w:rPr>
        <w:t>BMC Nursing</w:t>
      </w:r>
      <w:r w:rsidRPr="00C87BAE">
        <w:rPr>
          <w:rFonts w:ascii="Times New Roman" w:hAnsi="Times New Roman"/>
          <w:sz w:val="24"/>
        </w:rPr>
        <w:t xml:space="preserve">, </w:t>
      </w:r>
      <w:r w:rsidRPr="00C87BAE">
        <w:rPr>
          <w:rFonts w:ascii="Times New Roman" w:hAnsi="Times New Roman"/>
          <w:i/>
          <w:sz w:val="24"/>
        </w:rPr>
        <w:t>22</w:t>
      </w:r>
      <w:r w:rsidRPr="00C87BAE">
        <w:rPr>
          <w:rFonts w:ascii="Times New Roman" w:hAnsi="Times New Roman"/>
          <w:sz w:val="24"/>
        </w:rPr>
        <w:t>, 1–10.</w:t>
      </w:r>
    </w:p>
    <w:p w14:paraId="19922511" w14:textId="77777777" w:rsidR="00F87A37" w:rsidRPr="00C87BAE" w:rsidRDefault="00F87A37">
      <w:pPr>
        <w:spacing w:after="0" w:line="360" w:lineRule="auto"/>
        <w:ind w:left="720" w:hanging="720"/>
      </w:pPr>
      <w:r w:rsidRPr="00C87BAE">
        <w:rPr>
          <w:rFonts w:ascii="Times New Roman" w:hAnsi="Times New Roman"/>
          <w:sz w:val="24"/>
        </w:rPr>
        <w:t xml:space="preserve">Azemi, Y., Khoshknab, M. F., &amp; Moghadam, Z. B. (2022). Work-related stress, self-efficacy and mental health among hospital nurses. </w:t>
      </w:r>
      <w:r w:rsidRPr="00C87BAE">
        <w:rPr>
          <w:rFonts w:ascii="Times New Roman" w:hAnsi="Times New Roman"/>
          <w:i/>
          <w:sz w:val="24"/>
        </w:rPr>
        <w:t>BMC Nursing</w:t>
      </w:r>
      <w:r w:rsidRPr="00C87BAE">
        <w:rPr>
          <w:rFonts w:ascii="Times New Roman" w:hAnsi="Times New Roman"/>
          <w:sz w:val="24"/>
        </w:rPr>
        <w:t xml:space="preserve">, </w:t>
      </w:r>
      <w:r w:rsidRPr="00C87BAE">
        <w:rPr>
          <w:rFonts w:ascii="Times New Roman" w:hAnsi="Times New Roman"/>
          <w:i/>
          <w:sz w:val="24"/>
        </w:rPr>
        <w:t>21</w:t>
      </w:r>
      <w:r w:rsidRPr="00C87BAE">
        <w:rPr>
          <w:rFonts w:ascii="Times New Roman" w:hAnsi="Times New Roman"/>
          <w:sz w:val="24"/>
        </w:rPr>
        <w:t>, 1–10.</w:t>
      </w:r>
    </w:p>
    <w:p w14:paraId="16A4CF4D" w14:textId="77777777" w:rsidR="00F87A37" w:rsidRPr="00C87BAE" w:rsidRDefault="00F87A37">
      <w:pPr>
        <w:spacing w:after="0" w:line="360" w:lineRule="auto"/>
        <w:ind w:left="720" w:hanging="720"/>
      </w:pPr>
      <w:r w:rsidRPr="00C87BAE">
        <w:rPr>
          <w:rFonts w:ascii="Times New Roman" w:hAnsi="Times New Roman"/>
          <w:sz w:val="24"/>
        </w:rPr>
        <w:t xml:space="preserve">Berry, J. O., &amp; Jones, W. H. (1995). The Parental Stress Scale: Initial psychometric evidence. </w:t>
      </w:r>
      <w:r w:rsidRPr="00C87BAE">
        <w:rPr>
          <w:rFonts w:ascii="Times New Roman" w:hAnsi="Times New Roman"/>
          <w:i/>
          <w:sz w:val="24"/>
        </w:rPr>
        <w:t>Journal of Social and Personal Relationships</w:t>
      </w:r>
      <w:r w:rsidRPr="00C87BAE">
        <w:rPr>
          <w:rFonts w:ascii="Times New Roman" w:hAnsi="Times New Roman"/>
          <w:sz w:val="24"/>
        </w:rPr>
        <w:t xml:space="preserve">, </w:t>
      </w:r>
      <w:r w:rsidRPr="00C87BAE">
        <w:rPr>
          <w:rFonts w:ascii="Times New Roman" w:hAnsi="Times New Roman"/>
          <w:i/>
          <w:sz w:val="24"/>
        </w:rPr>
        <w:t>12</w:t>
      </w:r>
      <w:r w:rsidRPr="00C87BAE">
        <w:rPr>
          <w:rFonts w:ascii="Times New Roman" w:hAnsi="Times New Roman"/>
          <w:sz w:val="24"/>
        </w:rPr>
        <w:t>(3), 463–472. https://doi.org/10.1177/0265407595123009</w:t>
      </w:r>
    </w:p>
    <w:p w14:paraId="71A6B846" w14:textId="77777777" w:rsidR="00F87A37" w:rsidRPr="00C87BAE" w:rsidRDefault="00F87A37">
      <w:pPr>
        <w:spacing w:after="0" w:line="360" w:lineRule="auto"/>
        <w:ind w:left="720" w:hanging="720"/>
      </w:pPr>
      <w:r w:rsidRPr="00C87BAE">
        <w:rPr>
          <w:rFonts w:ascii="Times New Roman" w:hAnsi="Times New Roman"/>
          <w:sz w:val="24"/>
        </w:rPr>
        <w:t xml:space="preserve">Chen, H., Liu, F., Pang, L., Liu, F., Fang, T., &amp; Wen, Y. (2022). Occupational stress, resilience and mental health among psychiatric nurses. </w:t>
      </w:r>
      <w:r w:rsidRPr="00C87BAE">
        <w:rPr>
          <w:rFonts w:ascii="Times New Roman" w:hAnsi="Times New Roman"/>
          <w:i/>
          <w:sz w:val="24"/>
        </w:rPr>
        <w:t>Frontiers in Psychiatry</w:t>
      </w:r>
      <w:r w:rsidRPr="00C87BAE">
        <w:rPr>
          <w:rFonts w:ascii="Times New Roman" w:hAnsi="Times New Roman"/>
          <w:sz w:val="24"/>
        </w:rPr>
        <w:t xml:space="preserve">, </w:t>
      </w:r>
      <w:r w:rsidRPr="00C87BAE">
        <w:rPr>
          <w:rFonts w:ascii="Times New Roman" w:hAnsi="Times New Roman"/>
          <w:i/>
          <w:sz w:val="24"/>
        </w:rPr>
        <w:t>13</w:t>
      </w:r>
      <w:r w:rsidRPr="00C87BAE">
        <w:rPr>
          <w:rFonts w:ascii="Times New Roman" w:hAnsi="Times New Roman"/>
          <w:sz w:val="24"/>
        </w:rPr>
        <w:t>, 1–10.</w:t>
      </w:r>
    </w:p>
    <w:p w14:paraId="0733CE09" w14:textId="77777777" w:rsidR="00F87A37" w:rsidRPr="00C87BAE" w:rsidRDefault="00F87A37">
      <w:pPr>
        <w:spacing w:after="0" w:line="360" w:lineRule="auto"/>
        <w:ind w:left="720" w:hanging="720"/>
      </w:pPr>
      <w:r w:rsidRPr="00C87BAE">
        <w:rPr>
          <w:rFonts w:ascii="Times New Roman" w:hAnsi="Times New Roman"/>
          <w:sz w:val="24"/>
        </w:rPr>
        <w:t xml:space="preserve">Dilmaghani, R. B., Armoon, B., &amp; Moghaddam, L. F. (2022). Work-family conflict and the professional quality of life and their sociodemographic characteristics among nurses: A cross-sectional study in Tehran, Iran. </w:t>
      </w:r>
      <w:r w:rsidRPr="00C87BAE">
        <w:rPr>
          <w:rFonts w:ascii="Times New Roman" w:hAnsi="Times New Roman"/>
          <w:i/>
          <w:sz w:val="24"/>
        </w:rPr>
        <w:t>BMC Nursing</w:t>
      </w:r>
      <w:r w:rsidRPr="00C87BAE">
        <w:rPr>
          <w:rFonts w:ascii="Times New Roman" w:hAnsi="Times New Roman"/>
          <w:sz w:val="24"/>
        </w:rPr>
        <w:t xml:space="preserve">, </w:t>
      </w:r>
      <w:r w:rsidRPr="00C87BAE">
        <w:rPr>
          <w:rFonts w:ascii="Times New Roman" w:hAnsi="Times New Roman"/>
          <w:i/>
          <w:sz w:val="24"/>
        </w:rPr>
        <w:t>21</w:t>
      </w:r>
      <w:r w:rsidRPr="00C87BAE">
        <w:rPr>
          <w:rFonts w:ascii="Times New Roman" w:hAnsi="Times New Roman"/>
          <w:sz w:val="24"/>
        </w:rPr>
        <w:t>, 289.</w:t>
      </w:r>
    </w:p>
    <w:p w14:paraId="1EA0619F" w14:textId="77777777" w:rsidR="00F87A37" w:rsidRPr="00C87BAE" w:rsidRDefault="00F87A37">
      <w:pPr>
        <w:spacing w:after="0" w:line="360" w:lineRule="auto"/>
        <w:ind w:left="720" w:hanging="720"/>
      </w:pPr>
      <w:r w:rsidRPr="00C87BAE">
        <w:rPr>
          <w:rFonts w:ascii="Times New Roman" w:hAnsi="Times New Roman"/>
          <w:sz w:val="24"/>
        </w:rPr>
        <w:t xml:space="preserve">Dyrbye, L. N., &amp; Shanafelt, T. D. (2016). A narrative review on burnout among healthcare professionals. </w:t>
      </w:r>
      <w:r w:rsidRPr="00C87BAE">
        <w:rPr>
          <w:rFonts w:ascii="Times New Roman" w:hAnsi="Times New Roman"/>
          <w:i/>
          <w:sz w:val="24"/>
        </w:rPr>
        <w:t>Mayo Clinic Proceedings</w:t>
      </w:r>
      <w:r w:rsidRPr="00C87BAE">
        <w:rPr>
          <w:rFonts w:ascii="Times New Roman" w:hAnsi="Times New Roman"/>
          <w:sz w:val="24"/>
        </w:rPr>
        <w:t xml:space="preserve">, </w:t>
      </w:r>
      <w:r w:rsidRPr="00C87BAE">
        <w:rPr>
          <w:rFonts w:ascii="Times New Roman" w:hAnsi="Times New Roman"/>
          <w:i/>
          <w:sz w:val="24"/>
        </w:rPr>
        <w:t>91</w:t>
      </w:r>
      <w:r w:rsidRPr="00C87BAE">
        <w:rPr>
          <w:rFonts w:ascii="Times New Roman" w:hAnsi="Times New Roman"/>
          <w:sz w:val="24"/>
        </w:rPr>
        <w:t>(11), 1600–1613.</w:t>
      </w:r>
    </w:p>
    <w:p w14:paraId="09CDC9DC" w14:textId="77777777" w:rsidR="00F87A37" w:rsidRPr="00C87BAE" w:rsidRDefault="00F87A37">
      <w:pPr>
        <w:spacing w:after="0" w:line="360" w:lineRule="auto"/>
        <w:ind w:left="720" w:hanging="720"/>
      </w:pPr>
      <w:r w:rsidRPr="00C87BAE">
        <w:rPr>
          <w:rFonts w:ascii="Times New Roman" w:hAnsi="Times New Roman"/>
          <w:sz w:val="24"/>
        </w:rPr>
        <w:t xml:space="preserve">Goldberg, D. P., &amp; Hillier, V. F. (1979). A scaled version of the General Health Questionnaire. </w:t>
      </w:r>
      <w:r w:rsidRPr="00C87BAE">
        <w:rPr>
          <w:rFonts w:ascii="Times New Roman" w:hAnsi="Times New Roman"/>
          <w:i/>
          <w:sz w:val="24"/>
        </w:rPr>
        <w:t>Psychological Medicine</w:t>
      </w:r>
      <w:r w:rsidRPr="00C87BAE">
        <w:rPr>
          <w:rFonts w:ascii="Times New Roman" w:hAnsi="Times New Roman"/>
          <w:sz w:val="24"/>
        </w:rPr>
        <w:t xml:space="preserve">, </w:t>
      </w:r>
      <w:r w:rsidRPr="00C87BAE">
        <w:rPr>
          <w:rFonts w:ascii="Times New Roman" w:hAnsi="Times New Roman"/>
          <w:i/>
          <w:sz w:val="24"/>
        </w:rPr>
        <w:t>9</w:t>
      </w:r>
      <w:r w:rsidRPr="00C87BAE">
        <w:rPr>
          <w:rFonts w:ascii="Times New Roman" w:hAnsi="Times New Roman"/>
          <w:sz w:val="24"/>
        </w:rPr>
        <w:t>(1), 139–145. https://doi.org/10.1017/S0033291700021644</w:t>
      </w:r>
    </w:p>
    <w:p w14:paraId="5B68AF91" w14:textId="77777777" w:rsidR="00F87A37" w:rsidRPr="00C87BAE" w:rsidRDefault="00F87A37">
      <w:pPr>
        <w:spacing w:after="0" w:line="360" w:lineRule="auto"/>
        <w:ind w:left="720" w:hanging="720"/>
      </w:pPr>
      <w:r w:rsidRPr="00C87BAE">
        <w:rPr>
          <w:rFonts w:ascii="Times New Roman" w:hAnsi="Times New Roman"/>
          <w:sz w:val="24"/>
        </w:rPr>
        <w:t xml:space="preserve">Gómez-Urquiza, J. L., De la Fuente, E. I., Albendín-García, L., Vargas-Pecino, C., Ortega-Campos, E. M., &amp; Cañadas-De la Fuente, G. A. (2017). Prevalence of burnout syndrome </w:t>
      </w:r>
      <w:r w:rsidRPr="00C87BAE">
        <w:rPr>
          <w:rFonts w:ascii="Times New Roman" w:hAnsi="Times New Roman"/>
          <w:sz w:val="24"/>
        </w:rPr>
        <w:lastRenderedPageBreak/>
        <w:t xml:space="preserve">in emergency nurses: A meta-analysis. </w:t>
      </w:r>
      <w:r w:rsidRPr="00C87BAE">
        <w:rPr>
          <w:rFonts w:ascii="Times New Roman" w:hAnsi="Times New Roman"/>
          <w:i/>
          <w:sz w:val="24"/>
        </w:rPr>
        <w:t>International Journal of Environmental Research and Public Health</w:t>
      </w:r>
      <w:r w:rsidRPr="00C87BAE">
        <w:rPr>
          <w:rFonts w:ascii="Times New Roman" w:hAnsi="Times New Roman"/>
          <w:sz w:val="24"/>
        </w:rPr>
        <w:t xml:space="preserve">, </w:t>
      </w:r>
      <w:r w:rsidRPr="00C87BAE">
        <w:rPr>
          <w:rFonts w:ascii="Times New Roman" w:hAnsi="Times New Roman"/>
          <w:i/>
          <w:sz w:val="24"/>
        </w:rPr>
        <w:t>14</w:t>
      </w:r>
      <w:r w:rsidRPr="00C87BAE">
        <w:rPr>
          <w:rFonts w:ascii="Times New Roman" w:hAnsi="Times New Roman"/>
          <w:sz w:val="24"/>
        </w:rPr>
        <w:t>(8), 1–11.</w:t>
      </w:r>
    </w:p>
    <w:p w14:paraId="3A85282D" w14:textId="77777777" w:rsidR="00F87A37" w:rsidRPr="00C87BAE" w:rsidRDefault="00F87A37">
      <w:pPr>
        <w:spacing w:after="0" w:line="360" w:lineRule="auto"/>
        <w:ind w:left="720" w:hanging="720"/>
      </w:pPr>
      <w:r w:rsidRPr="00C87BAE">
        <w:rPr>
          <w:rFonts w:ascii="Times New Roman" w:hAnsi="Times New Roman"/>
          <w:sz w:val="24"/>
        </w:rPr>
        <w:t xml:space="preserve">Gonnelli, C., &amp; Raffagnino, R. (2017). Work-family conflict in nursing: An integrative review of its antecedents and outcomes. </w:t>
      </w:r>
      <w:r w:rsidRPr="00C87BAE">
        <w:rPr>
          <w:rFonts w:ascii="Times New Roman" w:hAnsi="Times New Roman"/>
          <w:i/>
          <w:sz w:val="24"/>
        </w:rPr>
        <w:t>The IAFOR Journal of Psychology &amp; the Behavioral Sciences</w:t>
      </w:r>
      <w:r w:rsidRPr="00C87BAE">
        <w:rPr>
          <w:rFonts w:ascii="Times New Roman" w:hAnsi="Times New Roman"/>
          <w:sz w:val="24"/>
        </w:rPr>
        <w:t xml:space="preserve">, </w:t>
      </w:r>
      <w:r w:rsidRPr="00C87BAE">
        <w:rPr>
          <w:rFonts w:ascii="Times New Roman" w:hAnsi="Times New Roman"/>
          <w:i/>
          <w:sz w:val="24"/>
        </w:rPr>
        <w:t>3</w:t>
      </w:r>
      <w:r w:rsidRPr="00C87BAE">
        <w:rPr>
          <w:rFonts w:ascii="Times New Roman" w:hAnsi="Times New Roman"/>
          <w:sz w:val="24"/>
        </w:rPr>
        <w:t>(1), 49–66.</w:t>
      </w:r>
    </w:p>
    <w:p w14:paraId="6F220DC9" w14:textId="77777777" w:rsidR="00F87A37" w:rsidRPr="00C87BAE" w:rsidRDefault="00F87A37">
      <w:pPr>
        <w:spacing w:after="0" w:line="360" w:lineRule="auto"/>
        <w:ind w:left="720" w:hanging="720"/>
      </w:pPr>
      <w:r w:rsidRPr="00C87BAE">
        <w:rPr>
          <w:rFonts w:ascii="Times New Roman" w:hAnsi="Times New Roman"/>
          <w:sz w:val="24"/>
        </w:rPr>
        <w:t xml:space="preserve">Greenhaus, J. H., &amp; Beutell, N. J. (1985). Sources of conflict between work and family roles. </w:t>
      </w:r>
      <w:r w:rsidRPr="00C87BAE">
        <w:rPr>
          <w:rFonts w:ascii="Times New Roman" w:hAnsi="Times New Roman"/>
          <w:i/>
          <w:sz w:val="24"/>
        </w:rPr>
        <w:t>Academy of Management Review</w:t>
      </w:r>
      <w:r w:rsidRPr="00C87BAE">
        <w:rPr>
          <w:rFonts w:ascii="Times New Roman" w:hAnsi="Times New Roman"/>
          <w:sz w:val="24"/>
        </w:rPr>
        <w:t xml:space="preserve">, </w:t>
      </w:r>
      <w:r w:rsidRPr="00C87BAE">
        <w:rPr>
          <w:rFonts w:ascii="Times New Roman" w:hAnsi="Times New Roman"/>
          <w:i/>
          <w:sz w:val="24"/>
        </w:rPr>
        <w:t>10</w:t>
      </w:r>
      <w:r w:rsidRPr="00C87BAE">
        <w:rPr>
          <w:rFonts w:ascii="Times New Roman" w:hAnsi="Times New Roman"/>
          <w:sz w:val="24"/>
        </w:rPr>
        <w:t>(1), 76–88.</w:t>
      </w:r>
    </w:p>
    <w:p w14:paraId="7572F9B2" w14:textId="77777777" w:rsidR="00F87A37" w:rsidRPr="00C87BAE" w:rsidRDefault="00F87A37">
      <w:pPr>
        <w:spacing w:after="0" w:line="360" w:lineRule="auto"/>
        <w:ind w:left="720" w:hanging="720"/>
      </w:pPr>
      <w:r w:rsidRPr="00C87BAE">
        <w:rPr>
          <w:rFonts w:ascii="Times New Roman" w:hAnsi="Times New Roman"/>
          <w:sz w:val="24"/>
        </w:rPr>
        <w:t xml:space="preserve">Han, S., &amp; Kwak, Y. (2022). The effect of sleep disturbance on the association between work-family conflict and burnout in nurses: A cross-sectional study from South Korea. </w:t>
      </w:r>
      <w:r w:rsidRPr="00C87BAE">
        <w:rPr>
          <w:rFonts w:ascii="Times New Roman" w:hAnsi="Times New Roman"/>
          <w:i/>
          <w:sz w:val="24"/>
        </w:rPr>
        <w:t>BMC Nursing</w:t>
      </w:r>
      <w:r w:rsidRPr="00C87BAE">
        <w:rPr>
          <w:rFonts w:ascii="Times New Roman" w:hAnsi="Times New Roman"/>
          <w:sz w:val="24"/>
        </w:rPr>
        <w:t xml:space="preserve">, </w:t>
      </w:r>
      <w:r w:rsidRPr="00C87BAE">
        <w:rPr>
          <w:rFonts w:ascii="Times New Roman" w:hAnsi="Times New Roman"/>
          <w:i/>
          <w:sz w:val="24"/>
        </w:rPr>
        <w:t>21</w:t>
      </w:r>
      <w:r w:rsidRPr="00C87BAE">
        <w:rPr>
          <w:rFonts w:ascii="Times New Roman" w:hAnsi="Times New Roman"/>
          <w:sz w:val="24"/>
        </w:rPr>
        <w:t>, 375.</w:t>
      </w:r>
    </w:p>
    <w:p w14:paraId="3CD82C5C" w14:textId="77777777" w:rsidR="00F87A37" w:rsidRPr="00C87BAE" w:rsidRDefault="00F87A37">
      <w:pPr>
        <w:spacing w:after="0" w:line="360" w:lineRule="auto"/>
        <w:ind w:left="720" w:hanging="720"/>
      </w:pPr>
      <w:r w:rsidRPr="00C87BAE">
        <w:rPr>
          <w:rFonts w:ascii="Times New Roman" w:hAnsi="Times New Roman"/>
          <w:sz w:val="24"/>
        </w:rPr>
        <w:t xml:space="preserve">Häusler, N., Bopp, M., &amp; Hämmig, O. (2018). Effort-reward imbalance, work-privacy conflict and burnout among hospital employees. </w:t>
      </w:r>
      <w:r w:rsidRPr="00C87BAE">
        <w:rPr>
          <w:rFonts w:ascii="Times New Roman" w:hAnsi="Times New Roman"/>
          <w:i/>
          <w:sz w:val="24"/>
        </w:rPr>
        <w:t>BMC Health Services Research</w:t>
      </w:r>
      <w:r w:rsidRPr="00C87BAE">
        <w:rPr>
          <w:rFonts w:ascii="Times New Roman" w:hAnsi="Times New Roman"/>
          <w:sz w:val="24"/>
        </w:rPr>
        <w:t xml:space="preserve">, </w:t>
      </w:r>
      <w:r w:rsidRPr="00C87BAE">
        <w:rPr>
          <w:rFonts w:ascii="Times New Roman" w:hAnsi="Times New Roman"/>
          <w:i/>
          <w:sz w:val="24"/>
        </w:rPr>
        <w:t>18</w:t>
      </w:r>
      <w:r w:rsidRPr="00C87BAE">
        <w:rPr>
          <w:rFonts w:ascii="Times New Roman" w:hAnsi="Times New Roman"/>
          <w:sz w:val="24"/>
        </w:rPr>
        <w:t>, 310.</w:t>
      </w:r>
    </w:p>
    <w:p w14:paraId="16F963DF" w14:textId="77777777" w:rsidR="00F87A37" w:rsidRPr="00C87BAE" w:rsidRDefault="00F87A37">
      <w:pPr>
        <w:spacing w:after="0" w:line="360" w:lineRule="auto"/>
        <w:ind w:left="720" w:hanging="720"/>
      </w:pPr>
      <w:r w:rsidRPr="00C87BAE">
        <w:rPr>
          <w:rFonts w:ascii="Times New Roman" w:hAnsi="Times New Roman"/>
          <w:sz w:val="24"/>
        </w:rPr>
        <w:t xml:space="preserve">Huang, L., Huang, X., Wang, J., Zhang, F., Fei, Y., Tang, J., &amp; Wang, Y. (2023). Factors influencing parent-child relationships in Chinese nurses: A cross-sectional study. </w:t>
      </w:r>
      <w:r w:rsidRPr="00C87BAE">
        <w:rPr>
          <w:rFonts w:ascii="Times New Roman" w:hAnsi="Times New Roman"/>
          <w:i/>
          <w:sz w:val="24"/>
        </w:rPr>
        <w:t>BMC Nursing</w:t>
      </w:r>
      <w:r w:rsidRPr="00C87BAE">
        <w:rPr>
          <w:rFonts w:ascii="Times New Roman" w:hAnsi="Times New Roman"/>
          <w:sz w:val="24"/>
        </w:rPr>
        <w:t xml:space="preserve">, </w:t>
      </w:r>
      <w:r w:rsidRPr="00C87BAE">
        <w:rPr>
          <w:rFonts w:ascii="Times New Roman" w:hAnsi="Times New Roman"/>
          <w:i/>
          <w:sz w:val="24"/>
        </w:rPr>
        <w:t>22</w:t>
      </w:r>
      <w:r w:rsidRPr="00C87BAE">
        <w:rPr>
          <w:rFonts w:ascii="Times New Roman" w:hAnsi="Times New Roman"/>
          <w:sz w:val="24"/>
        </w:rPr>
        <w:t>, 261.</w:t>
      </w:r>
    </w:p>
    <w:p w14:paraId="5BB2661E" w14:textId="77777777" w:rsidR="00F87A37" w:rsidRPr="00C87BAE" w:rsidRDefault="00F87A37">
      <w:pPr>
        <w:spacing w:after="0" w:line="360" w:lineRule="auto"/>
        <w:ind w:left="720" w:hanging="720"/>
      </w:pPr>
      <w:r w:rsidRPr="00C87BAE">
        <w:rPr>
          <w:rFonts w:ascii="Times New Roman" w:hAnsi="Times New Roman"/>
          <w:sz w:val="24"/>
        </w:rPr>
        <w:t xml:space="preserve">Jung, Y., &amp; Sung, M. H. (2022). Do parenting stress, work-family conflict, and resilience affect retention intention in Korean nurses returning to work after parental leave?. </w:t>
      </w:r>
      <w:r w:rsidRPr="00C87BAE">
        <w:rPr>
          <w:rFonts w:ascii="Times New Roman" w:hAnsi="Times New Roman"/>
          <w:i/>
          <w:sz w:val="24"/>
        </w:rPr>
        <w:t>Child Health Nursing Research</w:t>
      </w:r>
      <w:r w:rsidRPr="00C87BAE">
        <w:rPr>
          <w:rFonts w:ascii="Times New Roman" w:hAnsi="Times New Roman"/>
          <w:sz w:val="24"/>
        </w:rPr>
        <w:t xml:space="preserve">, </w:t>
      </w:r>
      <w:r w:rsidRPr="00C87BAE">
        <w:rPr>
          <w:rFonts w:ascii="Times New Roman" w:hAnsi="Times New Roman"/>
          <w:i/>
          <w:sz w:val="24"/>
        </w:rPr>
        <w:t>28</w:t>
      </w:r>
      <w:r w:rsidRPr="00C87BAE">
        <w:rPr>
          <w:rFonts w:ascii="Times New Roman" w:hAnsi="Times New Roman"/>
          <w:sz w:val="24"/>
        </w:rPr>
        <w:t>(2), 101–110.</w:t>
      </w:r>
    </w:p>
    <w:p w14:paraId="6604854E" w14:textId="77777777" w:rsidR="00F87A37" w:rsidRPr="00C87BAE" w:rsidRDefault="00F87A37">
      <w:pPr>
        <w:spacing w:after="0" w:line="360" w:lineRule="auto"/>
        <w:ind w:left="720" w:hanging="720"/>
      </w:pPr>
      <w:proofErr w:type="spellStart"/>
      <w:r w:rsidRPr="00C87BAE">
        <w:rPr>
          <w:rFonts w:ascii="Times New Roman" w:hAnsi="Times New Roman"/>
          <w:sz w:val="24"/>
        </w:rPr>
        <w:t>Kalrao</w:t>
      </w:r>
      <w:proofErr w:type="spellEnd"/>
      <w:r w:rsidRPr="00C87BAE">
        <w:rPr>
          <w:rFonts w:ascii="Times New Roman" w:hAnsi="Times New Roman"/>
          <w:sz w:val="24"/>
        </w:rPr>
        <w:t xml:space="preserve">, V., Srivastava, L., &amp; Kumar, S. (2023). Parenting stress and associated factors in healthcare workers after the second wave of COVID-19 in India: A two-center cross-sectional study. </w:t>
      </w:r>
      <w:r w:rsidRPr="00C87BAE">
        <w:rPr>
          <w:rFonts w:ascii="Times New Roman" w:hAnsi="Times New Roman"/>
          <w:i/>
          <w:sz w:val="24"/>
        </w:rPr>
        <w:t>Frontiers in Psychiatry</w:t>
      </w:r>
      <w:r w:rsidRPr="00C87BAE">
        <w:rPr>
          <w:rFonts w:ascii="Times New Roman" w:hAnsi="Times New Roman"/>
          <w:sz w:val="24"/>
        </w:rPr>
        <w:t xml:space="preserve">, </w:t>
      </w:r>
      <w:r w:rsidRPr="00C87BAE">
        <w:rPr>
          <w:rFonts w:ascii="Times New Roman" w:hAnsi="Times New Roman"/>
          <w:i/>
          <w:sz w:val="24"/>
        </w:rPr>
        <w:t>14</w:t>
      </w:r>
      <w:r w:rsidRPr="00C87BAE">
        <w:rPr>
          <w:rFonts w:ascii="Times New Roman" w:hAnsi="Times New Roman"/>
          <w:sz w:val="24"/>
        </w:rPr>
        <w:t>, 1246540. https://doi.org/10.3389/fpsyt.2023.1246540</w:t>
      </w:r>
    </w:p>
    <w:p w14:paraId="567AFD91" w14:textId="77777777" w:rsidR="00F87A37" w:rsidRPr="00C87BAE" w:rsidRDefault="00F87A37">
      <w:pPr>
        <w:spacing w:after="0" w:line="360" w:lineRule="auto"/>
        <w:ind w:left="720" w:hanging="720"/>
      </w:pPr>
      <w:r w:rsidRPr="00C87BAE">
        <w:rPr>
          <w:rFonts w:ascii="Times New Roman" w:hAnsi="Times New Roman"/>
          <w:sz w:val="24"/>
        </w:rPr>
        <w:t xml:space="preserve">Kawakita, T., &amp; Hosoda, Y. (2024). Work-family enrichment among parent nurses: A cross-sectional scale development and validation study. </w:t>
      </w:r>
      <w:r w:rsidRPr="00C87BAE">
        <w:rPr>
          <w:rFonts w:ascii="Times New Roman" w:hAnsi="Times New Roman"/>
          <w:i/>
          <w:sz w:val="24"/>
        </w:rPr>
        <w:t>BMC Nursing</w:t>
      </w:r>
      <w:r w:rsidRPr="00C87BAE">
        <w:rPr>
          <w:rFonts w:ascii="Times New Roman" w:hAnsi="Times New Roman"/>
          <w:sz w:val="24"/>
        </w:rPr>
        <w:t xml:space="preserve">, </w:t>
      </w:r>
      <w:r w:rsidRPr="00C87BAE">
        <w:rPr>
          <w:rFonts w:ascii="Times New Roman" w:hAnsi="Times New Roman"/>
          <w:i/>
          <w:sz w:val="24"/>
        </w:rPr>
        <w:t>23</w:t>
      </w:r>
      <w:r w:rsidRPr="00C87BAE">
        <w:rPr>
          <w:rFonts w:ascii="Times New Roman" w:hAnsi="Times New Roman"/>
          <w:sz w:val="24"/>
        </w:rPr>
        <w:t>, 665. https://doi.org/10.1186/s12912-024-02338-5</w:t>
      </w:r>
    </w:p>
    <w:p w14:paraId="475E83A9" w14:textId="77777777" w:rsidR="00F87A37" w:rsidRPr="00C87BAE" w:rsidRDefault="00F87A37" w:rsidP="00F87A37">
      <w:pPr>
        <w:spacing w:after="0" w:line="360" w:lineRule="auto"/>
        <w:jc w:val="both"/>
        <w:rPr>
          <w:rFonts w:ascii="Times New Roman" w:eastAsia="Times New Roman" w:hAnsi="Times New Roman" w:cs="Times New Roman"/>
          <w:sz w:val="24"/>
          <w:szCs w:val="24"/>
          <w:lang w:eastAsia="en-IN"/>
        </w:rPr>
      </w:pPr>
      <w:proofErr w:type="spellStart"/>
      <w:r w:rsidRPr="00C87BAE">
        <w:rPr>
          <w:rFonts w:ascii="Times New Roman" w:eastAsia="Times New Roman" w:hAnsi="Times New Roman" w:cs="Times New Roman"/>
          <w:sz w:val="24"/>
          <w:szCs w:val="24"/>
          <w:lang w:eastAsia="en-IN"/>
        </w:rPr>
        <w:t>Labrague</w:t>
      </w:r>
      <w:proofErr w:type="spellEnd"/>
      <w:r w:rsidRPr="00C87BAE">
        <w:rPr>
          <w:rFonts w:ascii="Times New Roman" w:eastAsia="Times New Roman" w:hAnsi="Times New Roman" w:cs="Times New Roman"/>
          <w:sz w:val="24"/>
          <w:szCs w:val="24"/>
          <w:lang w:eastAsia="en-IN"/>
        </w:rPr>
        <w:t xml:space="preserve"> LJ, De Los Santos JAA. Fear of COVID-19, psychological distress, work satisfaction and turnover intention among frontline nurses. </w:t>
      </w:r>
      <w:r w:rsidRPr="00C87BAE">
        <w:rPr>
          <w:rFonts w:ascii="Times New Roman" w:eastAsia="Times New Roman" w:hAnsi="Times New Roman" w:cs="Times New Roman"/>
          <w:i/>
          <w:iCs/>
          <w:sz w:val="24"/>
          <w:szCs w:val="24"/>
          <w:lang w:eastAsia="en-IN"/>
        </w:rPr>
        <w:t>J Nurs Manag</w:t>
      </w:r>
      <w:r w:rsidRPr="00C87BAE">
        <w:rPr>
          <w:rFonts w:ascii="Times New Roman" w:eastAsia="Times New Roman" w:hAnsi="Times New Roman" w:cs="Times New Roman"/>
          <w:sz w:val="24"/>
          <w:szCs w:val="24"/>
          <w:lang w:eastAsia="en-IN"/>
        </w:rPr>
        <w:t>. 2021;29(3):395–403.</w:t>
      </w:r>
    </w:p>
    <w:p w14:paraId="0FEDB806" w14:textId="77777777" w:rsidR="00F87A37" w:rsidRPr="00C87BAE" w:rsidRDefault="00F87A37">
      <w:pPr>
        <w:spacing w:after="0" w:line="360" w:lineRule="auto"/>
        <w:ind w:left="720" w:hanging="720"/>
      </w:pPr>
      <w:proofErr w:type="spellStart"/>
      <w:r w:rsidRPr="00C87BAE">
        <w:rPr>
          <w:rFonts w:ascii="Times New Roman" w:hAnsi="Times New Roman"/>
          <w:sz w:val="24"/>
        </w:rPr>
        <w:t>Labrague</w:t>
      </w:r>
      <w:proofErr w:type="spellEnd"/>
      <w:r w:rsidRPr="00C87BAE">
        <w:rPr>
          <w:rFonts w:ascii="Times New Roman" w:hAnsi="Times New Roman"/>
          <w:sz w:val="24"/>
        </w:rPr>
        <w:t xml:space="preserve">, L. J. (2024). Psychological distress as a mediator between work-family conflict and nurse managers’ professional and organizational turnover intentions. </w:t>
      </w:r>
      <w:r w:rsidRPr="00C87BAE">
        <w:rPr>
          <w:rFonts w:ascii="Times New Roman" w:hAnsi="Times New Roman"/>
          <w:i/>
          <w:sz w:val="24"/>
        </w:rPr>
        <w:t>The Journal of Nursing Administration</w:t>
      </w:r>
      <w:r w:rsidRPr="00C87BAE">
        <w:rPr>
          <w:rFonts w:ascii="Times New Roman" w:hAnsi="Times New Roman"/>
          <w:sz w:val="24"/>
        </w:rPr>
        <w:t xml:space="preserve">, </w:t>
      </w:r>
      <w:r w:rsidRPr="00C87BAE">
        <w:rPr>
          <w:rFonts w:ascii="Times New Roman" w:hAnsi="Times New Roman"/>
          <w:i/>
          <w:sz w:val="24"/>
        </w:rPr>
        <w:t>54</w:t>
      </w:r>
      <w:r w:rsidRPr="00C87BAE">
        <w:rPr>
          <w:rFonts w:ascii="Times New Roman" w:hAnsi="Times New Roman"/>
          <w:sz w:val="24"/>
        </w:rPr>
        <w:t>(12), 683–688. https://doi.org/10.1097/NNA.0000000000001513</w:t>
      </w:r>
    </w:p>
    <w:p w14:paraId="3F527FCE" w14:textId="77777777" w:rsidR="00F87A37" w:rsidRPr="00C87BAE" w:rsidRDefault="00F87A37">
      <w:pPr>
        <w:spacing w:after="0" w:line="360" w:lineRule="auto"/>
        <w:ind w:left="720" w:hanging="720"/>
      </w:pPr>
      <w:proofErr w:type="spellStart"/>
      <w:r w:rsidRPr="00C87BAE">
        <w:rPr>
          <w:rFonts w:ascii="Times New Roman" w:hAnsi="Times New Roman"/>
          <w:sz w:val="24"/>
        </w:rPr>
        <w:t>Labrague</w:t>
      </w:r>
      <w:proofErr w:type="spellEnd"/>
      <w:r w:rsidRPr="00C87BAE">
        <w:rPr>
          <w:rFonts w:ascii="Times New Roman" w:hAnsi="Times New Roman"/>
          <w:sz w:val="24"/>
        </w:rPr>
        <w:t xml:space="preserve">, L. J., Ballad, C. A., &amp; Fronda, D. C. (2021). Predictors and outcomes of work-family conflict among nurses. </w:t>
      </w:r>
      <w:r w:rsidRPr="00C87BAE">
        <w:rPr>
          <w:rFonts w:ascii="Times New Roman" w:hAnsi="Times New Roman"/>
          <w:i/>
          <w:sz w:val="24"/>
        </w:rPr>
        <w:t>International Nursing Review</w:t>
      </w:r>
      <w:r w:rsidRPr="00C87BAE">
        <w:rPr>
          <w:rFonts w:ascii="Times New Roman" w:hAnsi="Times New Roman"/>
          <w:sz w:val="24"/>
        </w:rPr>
        <w:t xml:space="preserve">, </w:t>
      </w:r>
      <w:r w:rsidRPr="00C87BAE">
        <w:rPr>
          <w:rFonts w:ascii="Times New Roman" w:hAnsi="Times New Roman"/>
          <w:i/>
          <w:sz w:val="24"/>
        </w:rPr>
        <w:t>68</w:t>
      </w:r>
      <w:r w:rsidRPr="00C87BAE">
        <w:rPr>
          <w:rFonts w:ascii="Times New Roman" w:hAnsi="Times New Roman"/>
          <w:sz w:val="24"/>
        </w:rPr>
        <w:t>(3), 349–357. https://doi.org/10.1111/inr.12642</w:t>
      </w:r>
    </w:p>
    <w:p w14:paraId="587C8689" w14:textId="77777777" w:rsidR="00F87A37" w:rsidRPr="00C87BAE" w:rsidRDefault="00F87A37">
      <w:pPr>
        <w:spacing w:after="0" w:line="360" w:lineRule="auto"/>
        <w:ind w:left="720" w:hanging="720"/>
      </w:pPr>
      <w:r w:rsidRPr="00C87BAE">
        <w:rPr>
          <w:rFonts w:ascii="Times New Roman" w:hAnsi="Times New Roman"/>
          <w:sz w:val="24"/>
        </w:rPr>
        <w:t xml:space="preserve">Lazarus, R. S., &amp; Folkman, S. (1984). </w:t>
      </w:r>
      <w:r w:rsidRPr="00C87BAE">
        <w:rPr>
          <w:rFonts w:ascii="Times New Roman" w:hAnsi="Times New Roman"/>
          <w:i/>
          <w:sz w:val="24"/>
        </w:rPr>
        <w:t>Stress, appraisal, and coping</w:t>
      </w:r>
      <w:r w:rsidRPr="00C87BAE">
        <w:rPr>
          <w:rFonts w:ascii="Times New Roman" w:hAnsi="Times New Roman"/>
          <w:sz w:val="24"/>
        </w:rPr>
        <w:t>. Springer Publishing Company.</w:t>
      </w:r>
    </w:p>
    <w:p w14:paraId="3C4216CD" w14:textId="77777777" w:rsidR="00F87A37" w:rsidRPr="00C87BAE" w:rsidRDefault="00F87A37">
      <w:pPr>
        <w:spacing w:after="0" w:line="360" w:lineRule="auto"/>
        <w:ind w:left="720" w:hanging="720"/>
      </w:pPr>
      <w:r w:rsidRPr="00C87BAE">
        <w:rPr>
          <w:rFonts w:ascii="Times New Roman" w:hAnsi="Times New Roman"/>
          <w:sz w:val="24"/>
        </w:rPr>
        <w:lastRenderedPageBreak/>
        <w:t xml:space="preserve">Li, X., Han, J., &amp; Lin, H. (2024). The effects of psychological flexibility and night shifts on mental health and well-being in nurses. </w:t>
      </w:r>
      <w:r w:rsidRPr="00C87BAE">
        <w:rPr>
          <w:rFonts w:ascii="Times New Roman" w:hAnsi="Times New Roman"/>
          <w:i/>
          <w:sz w:val="24"/>
        </w:rPr>
        <w:t>PLOS ONE</w:t>
      </w:r>
      <w:r w:rsidRPr="00C87BAE">
        <w:rPr>
          <w:rFonts w:ascii="Times New Roman" w:hAnsi="Times New Roman"/>
          <w:sz w:val="24"/>
        </w:rPr>
        <w:t xml:space="preserve">, </w:t>
      </w:r>
      <w:r w:rsidRPr="00C87BAE">
        <w:rPr>
          <w:rFonts w:ascii="Times New Roman" w:hAnsi="Times New Roman"/>
          <w:i/>
          <w:sz w:val="24"/>
        </w:rPr>
        <w:t>19</w:t>
      </w:r>
      <w:r w:rsidRPr="00C87BAE">
        <w:rPr>
          <w:rFonts w:ascii="Times New Roman" w:hAnsi="Times New Roman"/>
          <w:sz w:val="24"/>
        </w:rPr>
        <w:t>(11), e0313634. https://doi.org/10.1371/journal.pone.0313634</w:t>
      </w:r>
    </w:p>
    <w:p w14:paraId="7704AFDC" w14:textId="77777777" w:rsidR="00F87A37" w:rsidRPr="00C87BAE" w:rsidRDefault="00F87A37">
      <w:pPr>
        <w:spacing w:after="0" w:line="360" w:lineRule="auto"/>
        <w:ind w:left="720" w:hanging="720"/>
      </w:pPr>
      <w:r w:rsidRPr="00C87BAE">
        <w:rPr>
          <w:rFonts w:ascii="Times New Roman" w:hAnsi="Times New Roman"/>
          <w:sz w:val="24"/>
        </w:rPr>
        <w:t xml:space="preserve">Maben, J., &amp; Bridges, J. (2020). COVID-19: Supporting nurses’ psychological and mental health. </w:t>
      </w:r>
      <w:r w:rsidRPr="00C87BAE">
        <w:rPr>
          <w:rFonts w:ascii="Times New Roman" w:hAnsi="Times New Roman"/>
          <w:i/>
          <w:sz w:val="24"/>
        </w:rPr>
        <w:t>Journal of Clinical Nursing</w:t>
      </w:r>
      <w:r w:rsidRPr="00C87BAE">
        <w:rPr>
          <w:rFonts w:ascii="Times New Roman" w:hAnsi="Times New Roman"/>
          <w:sz w:val="24"/>
        </w:rPr>
        <w:t xml:space="preserve">, </w:t>
      </w:r>
      <w:r w:rsidRPr="00C87BAE">
        <w:rPr>
          <w:rFonts w:ascii="Times New Roman" w:hAnsi="Times New Roman"/>
          <w:i/>
          <w:sz w:val="24"/>
        </w:rPr>
        <w:t>29</w:t>
      </w:r>
      <w:r w:rsidRPr="00C87BAE">
        <w:rPr>
          <w:rFonts w:ascii="Times New Roman" w:hAnsi="Times New Roman"/>
          <w:sz w:val="24"/>
        </w:rPr>
        <w:t>(15–16), 2742–2750.</w:t>
      </w:r>
    </w:p>
    <w:p w14:paraId="09DB7D1E" w14:textId="77777777" w:rsidR="00F87A37" w:rsidRPr="00C87BAE" w:rsidRDefault="00F87A37">
      <w:pPr>
        <w:spacing w:after="0" w:line="360" w:lineRule="auto"/>
        <w:ind w:left="720" w:hanging="720"/>
      </w:pPr>
      <w:r w:rsidRPr="00C87BAE">
        <w:rPr>
          <w:rFonts w:ascii="Times New Roman" w:hAnsi="Times New Roman"/>
          <w:sz w:val="24"/>
        </w:rPr>
        <w:t xml:space="preserve">Mohammadi, F., Zarei, G., &amp; Farahani, H. (2026). Passive-avoidant leadership and psychological distress among Iranian nurses: The mediating role of work-to-family conflict. </w:t>
      </w:r>
      <w:r w:rsidRPr="00C87BAE">
        <w:rPr>
          <w:rFonts w:ascii="Times New Roman" w:hAnsi="Times New Roman"/>
          <w:i/>
          <w:sz w:val="24"/>
        </w:rPr>
        <w:t>BMC Health Services Research</w:t>
      </w:r>
      <w:r w:rsidRPr="00C87BAE">
        <w:rPr>
          <w:rFonts w:ascii="Times New Roman" w:hAnsi="Times New Roman"/>
          <w:sz w:val="24"/>
        </w:rPr>
        <w:t xml:space="preserve">, </w:t>
      </w:r>
      <w:r w:rsidRPr="00C87BAE">
        <w:rPr>
          <w:rFonts w:ascii="Times New Roman" w:hAnsi="Times New Roman"/>
          <w:i/>
          <w:sz w:val="24"/>
        </w:rPr>
        <w:t>26</w:t>
      </w:r>
      <w:r w:rsidRPr="00C87BAE">
        <w:rPr>
          <w:rFonts w:ascii="Times New Roman" w:hAnsi="Times New Roman"/>
          <w:sz w:val="24"/>
        </w:rPr>
        <w:t>, 997. https://doi.org/10.1186/s12913-026-14757-y</w:t>
      </w:r>
    </w:p>
    <w:p w14:paraId="085C0F73" w14:textId="77777777" w:rsidR="00F87A37" w:rsidRPr="00C87BAE" w:rsidRDefault="00F87A37">
      <w:pPr>
        <w:spacing w:after="0" w:line="360" w:lineRule="auto"/>
        <w:ind w:left="720" w:hanging="720"/>
      </w:pPr>
      <w:r w:rsidRPr="00C87BAE">
        <w:rPr>
          <w:rFonts w:ascii="Times New Roman" w:hAnsi="Times New Roman"/>
          <w:sz w:val="24"/>
        </w:rPr>
        <w:t xml:space="preserve">Pal, S. (2012). Work-family conflict among doctors and nurses in India. </w:t>
      </w:r>
      <w:r w:rsidRPr="00C87BAE">
        <w:rPr>
          <w:rFonts w:ascii="Times New Roman" w:hAnsi="Times New Roman"/>
          <w:i/>
          <w:sz w:val="24"/>
        </w:rPr>
        <w:t>Work</w:t>
      </w:r>
      <w:r w:rsidRPr="00C87BAE">
        <w:rPr>
          <w:rFonts w:ascii="Times New Roman" w:hAnsi="Times New Roman"/>
          <w:sz w:val="24"/>
        </w:rPr>
        <w:t xml:space="preserve">, </w:t>
      </w:r>
      <w:r w:rsidRPr="00C87BAE">
        <w:rPr>
          <w:rFonts w:ascii="Times New Roman" w:hAnsi="Times New Roman"/>
          <w:i/>
          <w:sz w:val="24"/>
        </w:rPr>
        <w:t>41</w:t>
      </w:r>
      <w:r w:rsidRPr="00C87BAE">
        <w:rPr>
          <w:rFonts w:ascii="Times New Roman" w:hAnsi="Times New Roman"/>
          <w:sz w:val="24"/>
        </w:rPr>
        <w:t>(Suppl. 1), 2762–2768.</w:t>
      </w:r>
    </w:p>
    <w:p w14:paraId="1E0D71D3" w14:textId="77777777" w:rsidR="00F87A37" w:rsidRPr="00C87BAE" w:rsidRDefault="00F87A37">
      <w:pPr>
        <w:spacing w:after="0" w:line="360" w:lineRule="auto"/>
        <w:ind w:left="720" w:hanging="720"/>
      </w:pPr>
      <w:r w:rsidRPr="00C87BAE">
        <w:rPr>
          <w:rFonts w:ascii="Times New Roman" w:hAnsi="Times New Roman"/>
          <w:sz w:val="24"/>
        </w:rPr>
        <w:t xml:space="preserve">Polit, D. F., &amp; Beck, C. T. (2021). </w:t>
      </w:r>
      <w:r w:rsidRPr="00C87BAE">
        <w:rPr>
          <w:rFonts w:ascii="Times New Roman" w:hAnsi="Times New Roman"/>
          <w:i/>
          <w:sz w:val="24"/>
        </w:rPr>
        <w:t>Nursing research: Generating and assessing evidence for nursing practice</w:t>
      </w:r>
      <w:r w:rsidRPr="00C87BAE">
        <w:rPr>
          <w:rFonts w:ascii="Times New Roman" w:hAnsi="Times New Roman"/>
          <w:sz w:val="24"/>
        </w:rPr>
        <w:t xml:space="preserve"> (11th ed.). Wolters Kluwer.</w:t>
      </w:r>
    </w:p>
    <w:p w14:paraId="04D46221" w14:textId="77777777" w:rsidR="00F87A37" w:rsidRPr="00C87BAE" w:rsidRDefault="00F87A37" w:rsidP="00F87A37">
      <w:pPr>
        <w:spacing w:after="0" w:line="360" w:lineRule="auto"/>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 xml:space="preserve">Roy C, Andrews HA. </w:t>
      </w:r>
      <w:r w:rsidRPr="00C87BAE">
        <w:rPr>
          <w:rFonts w:ascii="Times New Roman" w:eastAsia="Times New Roman" w:hAnsi="Times New Roman" w:cs="Times New Roman"/>
          <w:i/>
          <w:iCs/>
          <w:sz w:val="24"/>
          <w:szCs w:val="24"/>
          <w:lang w:eastAsia="en-IN"/>
        </w:rPr>
        <w:t>The Roy adaptation model</w:t>
      </w:r>
      <w:r w:rsidRPr="00C87BAE">
        <w:rPr>
          <w:rFonts w:ascii="Times New Roman" w:eastAsia="Times New Roman" w:hAnsi="Times New Roman" w:cs="Times New Roman"/>
          <w:sz w:val="24"/>
          <w:szCs w:val="24"/>
          <w:lang w:eastAsia="en-IN"/>
        </w:rPr>
        <w:t>. 2nd ed. Stamford, CT: Appleton &amp; Lange; 1999.</w:t>
      </w:r>
    </w:p>
    <w:p w14:paraId="446E2669" w14:textId="77777777" w:rsidR="00F87A37" w:rsidRPr="00C87BAE" w:rsidRDefault="00F87A37">
      <w:pPr>
        <w:spacing w:after="0" w:line="360" w:lineRule="auto"/>
        <w:ind w:left="720" w:hanging="720"/>
      </w:pPr>
      <w:r w:rsidRPr="00C87BAE">
        <w:rPr>
          <w:rFonts w:ascii="Times New Roman" w:hAnsi="Times New Roman"/>
          <w:sz w:val="24"/>
        </w:rPr>
        <w:t xml:space="preserve">Roy, C. (1976). </w:t>
      </w:r>
      <w:r w:rsidRPr="00C87BAE">
        <w:rPr>
          <w:rFonts w:ascii="Times New Roman" w:hAnsi="Times New Roman"/>
          <w:i/>
          <w:sz w:val="24"/>
        </w:rPr>
        <w:t>Introduction to nursing: An adaptation model</w:t>
      </w:r>
      <w:r w:rsidRPr="00C87BAE">
        <w:rPr>
          <w:rFonts w:ascii="Times New Roman" w:hAnsi="Times New Roman"/>
          <w:sz w:val="24"/>
        </w:rPr>
        <w:t>. Prentice Hall.</w:t>
      </w:r>
    </w:p>
    <w:p w14:paraId="50C4675B" w14:textId="77777777" w:rsidR="00F87A37" w:rsidRPr="00C87BAE" w:rsidRDefault="00F87A37">
      <w:pPr>
        <w:spacing w:after="0" w:line="360" w:lineRule="auto"/>
        <w:ind w:left="720" w:hanging="720"/>
      </w:pPr>
      <w:r w:rsidRPr="00C87BAE">
        <w:rPr>
          <w:rFonts w:ascii="Times New Roman" w:hAnsi="Times New Roman"/>
          <w:sz w:val="24"/>
        </w:rPr>
        <w:t xml:space="preserve">Roy, C., &amp; Andrews, H. A. (1999). </w:t>
      </w:r>
      <w:r w:rsidRPr="00C87BAE">
        <w:rPr>
          <w:rFonts w:ascii="Times New Roman" w:hAnsi="Times New Roman"/>
          <w:i/>
          <w:sz w:val="24"/>
        </w:rPr>
        <w:t>The Roy adaptation model</w:t>
      </w:r>
      <w:r w:rsidRPr="00C87BAE">
        <w:rPr>
          <w:rFonts w:ascii="Times New Roman" w:hAnsi="Times New Roman"/>
          <w:sz w:val="24"/>
        </w:rPr>
        <w:t xml:space="preserve"> (2nd ed.). Appleton &amp; Lange.</w:t>
      </w:r>
    </w:p>
    <w:p w14:paraId="19BDE667" w14:textId="77777777" w:rsidR="00F87A37" w:rsidRPr="00C87BAE" w:rsidRDefault="00F87A37">
      <w:pPr>
        <w:spacing w:after="0" w:line="360" w:lineRule="auto"/>
        <w:ind w:left="720" w:hanging="720"/>
      </w:pPr>
      <w:proofErr w:type="spellStart"/>
      <w:r w:rsidRPr="00C87BAE">
        <w:rPr>
          <w:rFonts w:ascii="Times New Roman" w:hAnsi="Times New Roman"/>
          <w:sz w:val="24"/>
        </w:rPr>
        <w:t>Sarvarian</w:t>
      </w:r>
      <w:proofErr w:type="spellEnd"/>
      <w:r w:rsidRPr="00C87BAE">
        <w:rPr>
          <w:rFonts w:ascii="Times New Roman" w:hAnsi="Times New Roman"/>
          <w:sz w:val="24"/>
        </w:rPr>
        <w:t xml:space="preserve">, A., Tagharrobi, Z., Sharifi, K., Sooki, Z., &amp; Zare, M. (2026). Exploring work-family conflict and its determinants among nurses: A cross-sectional study in Iran. </w:t>
      </w:r>
      <w:r w:rsidRPr="00C87BAE">
        <w:rPr>
          <w:rFonts w:ascii="Times New Roman" w:hAnsi="Times New Roman"/>
          <w:i/>
          <w:sz w:val="24"/>
        </w:rPr>
        <w:t>Work</w:t>
      </w:r>
      <w:r w:rsidRPr="00C87BAE">
        <w:rPr>
          <w:rFonts w:ascii="Times New Roman" w:hAnsi="Times New Roman"/>
          <w:sz w:val="24"/>
        </w:rPr>
        <w:t xml:space="preserve">, </w:t>
      </w:r>
      <w:r w:rsidRPr="00C87BAE">
        <w:rPr>
          <w:rFonts w:ascii="Times New Roman" w:hAnsi="Times New Roman"/>
          <w:i/>
          <w:sz w:val="24"/>
        </w:rPr>
        <w:t>84</w:t>
      </w:r>
      <w:r w:rsidRPr="00C87BAE">
        <w:rPr>
          <w:rFonts w:ascii="Times New Roman" w:hAnsi="Times New Roman"/>
          <w:sz w:val="24"/>
        </w:rPr>
        <w:t>(3), 657–672. https://doi.org/10.1177/10519815251411291</w:t>
      </w:r>
    </w:p>
    <w:p w14:paraId="253E28A6" w14:textId="77777777" w:rsidR="00F87A37" w:rsidRPr="00C87BAE" w:rsidRDefault="00F87A37">
      <w:pPr>
        <w:spacing w:after="0" w:line="360" w:lineRule="auto"/>
        <w:ind w:left="720" w:hanging="720"/>
      </w:pPr>
      <w:r w:rsidRPr="00C87BAE">
        <w:rPr>
          <w:rFonts w:ascii="Times New Roman" w:hAnsi="Times New Roman"/>
          <w:sz w:val="24"/>
        </w:rPr>
        <w:t xml:space="preserve">Vallone, F., &amp; Zurlo, M. C. (2024). Stress, interpersonal and inter-role conflicts, and psychological health conditions among nurses: Vicious and virtuous circles within and beyond the wards. </w:t>
      </w:r>
      <w:r w:rsidRPr="00C87BAE">
        <w:rPr>
          <w:rFonts w:ascii="Times New Roman" w:hAnsi="Times New Roman"/>
          <w:i/>
          <w:sz w:val="24"/>
        </w:rPr>
        <w:t>BMC Psychology</w:t>
      </w:r>
      <w:r w:rsidRPr="00C87BAE">
        <w:rPr>
          <w:rFonts w:ascii="Times New Roman" w:hAnsi="Times New Roman"/>
          <w:sz w:val="24"/>
        </w:rPr>
        <w:t xml:space="preserve">, </w:t>
      </w:r>
      <w:r w:rsidRPr="00C87BAE">
        <w:rPr>
          <w:rFonts w:ascii="Times New Roman" w:hAnsi="Times New Roman"/>
          <w:i/>
          <w:sz w:val="24"/>
        </w:rPr>
        <w:t>12</w:t>
      </w:r>
      <w:r w:rsidRPr="00C87BAE">
        <w:rPr>
          <w:rFonts w:ascii="Times New Roman" w:hAnsi="Times New Roman"/>
          <w:sz w:val="24"/>
        </w:rPr>
        <w:t>, 197.</w:t>
      </w:r>
    </w:p>
    <w:p w14:paraId="07DB5818" w14:textId="77777777" w:rsidR="00F87A37" w:rsidRPr="00C87BAE" w:rsidRDefault="00F87A37">
      <w:pPr>
        <w:spacing w:after="0" w:line="360" w:lineRule="auto"/>
        <w:ind w:left="720" w:hanging="720"/>
      </w:pPr>
      <w:r w:rsidRPr="00C87BAE">
        <w:rPr>
          <w:rFonts w:ascii="Times New Roman" w:hAnsi="Times New Roman"/>
          <w:sz w:val="24"/>
        </w:rPr>
        <w:t xml:space="preserve">Yan, J., Lian, Y., &amp; He, Y. (2024). Mental health from a work-family perspective among registered nurses in China. </w:t>
      </w:r>
      <w:r w:rsidRPr="00C87BAE">
        <w:rPr>
          <w:rFonts w:ascii="Times New Roman" w:hAnsi="Times New Roman"/>
          <w:i/>
          <w:sz w:val="24"/>
        </w:rPr>
        <w:t>Frontiers in Psychology</w:t>
      </w:r>
      <w:r w:rsidRPr="00C87BAE">
        <w:rPr>
          <w:rFonts w:ascii="Times New Roman" w:hAnsi="Times New Roman"/>
          <w:sz w:val="24"/>
        </w:rPr>
        <w:t xml:space="preserve">, </w:t>
      </w:r>
      <w:r w:rsidRPr="00C87BAE">
        <w:rPr>
          <w:rFonts w:ascii="Times New Roman" w:hAnsi="Times New Roman"/>
          <w:i/>
          <w:sz w:val="24"/>
        </w:rPr>
        <w:t>15</w:t>
      </w:r>
      <w:r w:rsidRPr="00C87BAE">
        <w:rPr>
          <w:rFonts w:ascii="Times New Roman" w:hAnsi="Times New Roman"/>
          <w:sz w:val="24"/>
        </w:rPr>
        <w:t>, 1–12.</w:t>
      </w:r>
    </w:p>
    <w:p w14:paraId="20A88A9F" w14:textId="77777777" w:rsidR="00F87A37" w:rsidRPr="00C87BAE" w:rsidRDefault="00F87A37">
      <w:pPr>
        <w:spacing w:after="0" w:line="360" w:lineRule="auto"/>
        <w:ind w:left="720" w:hanging="720"/>
      </w:pPr>
      <w:r w:rsidRPr="00C87BAE">
        <w:rPr>
          <w:rFonts w:ascii="Times New Roman" w:hAnsi="Times New Roman"/>
          <w:sz w:val="24"/>
        </w:rPr>
        <w:t xml:space="preserve">Yildirim, D., &amp; Aycan, Z. (2008). Nurses’ work demands and work-family conflict: A questionnaire survey. </w:t>
      </w:r>
      <w:r w:rsidRPr="00C87BAE">
        <w:rPr>
          <w:rFonts w:ascii="Times New Roman" w:hAnsi="Times New Roman"/>
          <w:i/>
          <w:sz w:val="24"/>
        </w:rPr>
        <w:t>Nursing Ethics</w:t>
      </w:r>
      <w:r w:rsidRPr="00C87BAE">
        <w:rPr>
          <w:rFonts w:ascii="Times New Roman" w:hAnsi="Times New Roman"/>
          <w:sz w:val="24"/>
        </w:rPr>
        <w:t xml:space="preserve">, </w:t>
      </w:r>
      <w:r w:rsidRPr="00C87BAE">
        <w:rPr>
          <w:rFonts w:ascii="Times New Roman" w:hAnsi="Times New Roman"/>
          <w:i/>
          <w:sz w:val="24"/>
        </w:rPr>
        <w:t>15</w:t>
      </w:r>
      <w:r w:rsidRPr="00C87BAE">
        <w:rPr>
          <w:rFonts w:ascii="Times New Roman" w:hAnsi="Times New Roman"/>
          <w:sz w:val="24"/>
        </w:rPr>
        <w:t>(1), 136–149.</w:t>
      </w:r>
    </w:p>
    <w:p w14:paraId="7CDAAACF" w14:textId="77777777" w:rsidR="00F87A37" w:rsidRPr="00C87BAE" w:rsidRDefault="00F87A37">
      <w:pPr>
        <w:spacing w:after="0" w:line="360" w:lineRule="auto"/>
        <w:ind w:left="720" w:hanging="720"/>
      </w:pPr>
      <w:r w:rsidRPr="00C87BAE">
        <w:rPr>
          <w:rFonts w:ascii="Times New Roman" w:hAnsi="Times New Roman"/>
          <w:sz w:val="24"/>
        </w:rPr>
        <w:t xml:space="preserve">Yoo, H. J., &amp; Shim, J. L. (2022). Child-rearing experiences of female nurses working three shifts in South Korea: A qualitative study. </w:t>
      </w:r>
      <w:r w:rsidRPr="00C87BAE">
        <w:rPr>
          <w:rFonts w:ascii="Times New Roman" w:hAnsi="Times New Roman"/>
          <w:i/>
          <w:sz w:val="24"/>
        </w:rPr>
        <w:t>International Nursing Review</w:t>
      </w:r>
      <w:r w:rsidRPr="00C87BAE">
        <w:rPr>
          <w:rFonts w:ascii="Times New Roman" w:hAnsi="Times New Roman"/>
          <w:sz w:val="24"/>
        </w:rPr>
        <w:t xml:space="preserve">, </w:t>
      </w:r>
      <w:r w:rsidRPr="00C87BAE">
        <w:rPr>
          <w:rFonts w:ascii="Times New Roman" w:hAnsi="Times New Roman"/>
          <w:i/>
          <w:sz w:val="24"/>
        </w:rPr>
        <w:t>69</w:t>
      </w:r>
      <w:r w:rsidRPr="00C87BAE">
        <w:rPr>
          <w:rFonts w:ascii="Times New Roman" w:hAnsi="Times New Roman"/>
          <w:sz w:val="24"/>
        </w:rPr>
        <w:t>(3), 318–329. https://doi.org/10.1111/inr.12757</w:t>
      </w:r>
    </w:p>
    <w:p w14:paraId="4DBF268C" w14:textId="77777777" w:rsidR="00F87A37" w:rsidRPr="00C87BAE" w:rsidRDefault="00F87A37">
      <w:pPr>
        <w:spacing w:after="0" w:line="360" w:lineRule="auto"/>
        <w:ind w:left="720" w:hanging="720"/>
      </w:pPr>
      <w:r w:rsidRPr="00C87BAE">
        <w:rPr>
          <w:rFonts w:ascii="Times New Roman" w:hAnsi="Times New Roman"/>
          <w:sz w:val="24"/>
        </w:rPr>
        <w:t xml:space="preserve">Zhao, X., Liu, Y., &amp; Wang, H. (2023). Work-family conflict and anxiety among nurses in maternal and child health institutions. </w:t>
      </w:r>
      <w:r w:rsidRPr="00C87BAE">
        <w:rPr>
          <w:rFonts w:ascii="Times New Roman" w:hAnsi="Times New Roman"/>
          <w:i/>
          <w:sz w:val="24"/>
        </w:rPr>
        <w:t>Frontiers in Public Health</w:t>
      </w:r>
      <w:r w:rsidRPr="00C87BAE">
        <w:rPr>
          <w:rFonts w:ascii="Times New Roman" w:hAnsi="Times New Roman"/>
          <w:sz w:val="24"/>
        </w:rPr>
        <w:t xml:space="preserve">, </w:t>
      </w:r>
      <w:r w:rsidRPr="00C87BAE">
        <w:rPr>
          <w:rFonts w:ascii="Times New Roman" w:hAnsi="Times New Roman"/>
          <w:i/>
          <w:sz w:val="24"/>
        </w:rPr>
        <w:t>11</w:t>
      </w:r>
      <w:r w:rsidRPr="00C87BAE">
        <w:rPr>
          <w:rFonts w:ascii="Times New Roman" w:hAnsi="Times New Roman"/>
          <w:sz w:val="24"/>
        </w:rPr>
        <w:t>, 1–9.</w:t>
      </w:r>
    </w:p>
    <w:p w14:paraId="3936A5FF" w14:textId="77777777" w:rsidR="00F87A37" w:rsidRDefault="00F87A37">
      <w:pPr>
        <w:spacing w:after="0" w:line="360" w:lineRule="auto"/>
        <w:ind w:left="720" w:hanging="720"/>
      </w:pPr>
      <w:r w:rsidRPr="00C87BAE">
        <w:rPr>
          <w:rFonts w:ascii="Times New Roman" w:hAnsi="Times New Roman"/>
          <w:sz w:val="24"/>
        </w:rPr>
        <w:t xml:space="preserve">Zheng, D., Chen, Y., Cao, J., Li, H., Chu, W., &amp; Yan, C. (2025). Sleep disorders mediate the relationship between work family conflict and burnout in shift nurses. </w:t>
      </w:r>
      <w:r w:rsidRPr="00C87BAE">
        <w:rPr>
          <w:rFonts w:ascii="Times New Roman" w:hAnsi="Times New Roman"/>
          <w:i/>
          <w:sz w:val="24"/>
        </w:rPr>
        <w:t>Scientific Reports</w:t>
      </w:r>
      <w:r w:rsidRPr="00C87BAE">
        <w:rPr>
          <w:rFonts w:ascii="Times New Roman" w:hAnsi="Times New Roman"/>
          <w:sz w:val="24"/>
        </w:rPr>
        <w:t xml:space="preserve">, </w:t>
      </w:r>
      <w:r w:rsidRPr="00C87BAE">
        <w:rPr>
          <w:rFonts w:ascii="Times New Roman" w:hAnsi="Times New Roman"/>
          <w:i/>
          <w:sz w:val="24"/>
        </w:rPr>
        <w:t>15</w:t>
      </w:r>
      <w:r w:rsidRPr="00C87BAE">
        <w:rPr>
          <w:rFonts w:ascii="Times New Roman" w:hAnsi="Times New Roman"/>
          <w:sz w:val="24"/>
        </w:rPr>
        <w:t>, 41708. https://doi.org/10.1038/s41598-025-25658-1</w:t>
      </w:r>
    </w:p>
    <w:sectPr w:rsidR="00F87A37" w:rsidSect="00772544">
      <w:headerReference w:type="even" r:id="rId9"/>
      <w:headerReference w:type="default" r:id="rId10"/>
      <w:footerReference w:type="even" r:id="rId11"/>
      <w:footerReference w:type="default" r:id="rId12"/>
      <w:headerReference w:type="first" r:id="rId13"/>
      <w:footerReference w:type="first" r:id="rId14"/>
      <w:pgSz w:w="11906" w:h="16838"/>
      <w:pgMar w:top="567" w:right="991"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EA49A" w14:textId="77777777" w:rsidR="00846E76" w:rsidRDefault="00846E76" w:rsidP="0077464A">
      <w:pPr>
        <w:spacing w:after="0" w:line="240" w:lineRule="auto"/>
      </w:pPr>
      <w:r>
        <w:separator/>
      </w:r>
    </w:p>
  </w:endnote>
  <w:endnote w:type="continuationSeparator" w:id="0">
    <w:p w14:paraId="3B885777" w14:textId="77777777" w:rsidR="00846E76" w:rsidRDefault="00846E76" w:rsidP="00774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78A4E" w14:textId="77777777" w:rsidR="0077464A" w:rsidRDefault="007746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FD89" w14:textId="77777777" w:rsidR="0077464A" w:rsidRDefault="007746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AC2F" w14:textId="77777777" w:rsidR="0077464A" w:rsidRDefault="00774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DB265" w14:textId="77777777" w:rsidR="00846E76" w:rsidRDefault="00846E76" w:rsidP="0077464A">
      <w:pPr>
        <w:spacing w:after="0" w:line="240" w:lineRule="auto"/>
      </w:pPr>
      <w:r>
        <w:separator/>
      </w:r>
    </w:p>
  </w:footnote>
  <w:footnote w:type="continuationSeparator" w:id="0">
    <w:p w14:paraId="3613D952" w14:textId="77777777" w:rsidR="00846E76" w:rsidRDefault="00846E76" w:rsidP="007746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E044" w14:textId="2BFDAF94" w:rsidR="0077464A" w:rsidRDefault="0077464A">
    <w:pPr>
      <w:pStyle w:val="Header"/>
    </w:pPr>
    <w:r>
      <w:rPr>
        <w:noProof/>
      </w:rPr>
      <w:pict w14:anchorId="6B836D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56782" o:spid="_x0000_s1026" type="#_x0000_t136" style="position:absolute;margin-left:0;margin-top:0;width:562.4pt;height:105.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BBB4F" w14:textId="4F0C930F" w:rsidR="0077464A" w:rsidRDefault="0077464A">
    <w:pPr>
      <w:pStyle w:val="Header"/>
    </w:pPr>
    <w:r>
      <w:rPr>
        <w:noProof/>
      </w:rPr>
      <w:pict w14:anchorId="4B8F2F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56783" o:spid="_x0000_s1027" type="#_x0000_t136" style="position:absolute;margin-left:0;margin-top:0;width:562.4pt;height:105.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2D730" w14:textId="2EFC3722" w:rsidR="0077464A" w:rsidRDefault="0077464A">
    <w:pPr>
      <w:pStyle w:val="Header"/>
    </w:pPr>
    <w:r>
      <w:rPr>
        <w:noProof/>
      </w:rPr>
      <w:pict w14:anchorId="100871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56781" o:spid="_x0000_s1025" type="#_x0000_t136" style="position:absolute;margin-left:0;margin-top:0;width:562.4pt;height:105.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5EEF"/>
    <w:multiLevelType w:val="multilevel"/>
    <w:tmpl w:val="6F4AC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F45581"/>
    <w:multiLevelType w:val="multilevel"/>
    <w:tmpl w:val="EB220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3F09EA"/>
    <w:multiLevelType w:val="multilevel"/>
    <w:tmpl w:val="08446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A0666E"/>
    <w:multiLevelType w:val="multilevel"/>
    <w:tmpl w:val="B8009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3499257">
    <w:abstractNumId w:val="3"/>
  </w:num>
  <w:num w:numId="2" w16cid:durableId="1701080988">
    <w:abstractNumId w:val="0"/>
  </w:num>
  <w:num w:numId="3" w16cid:durableId="2118524724">
    <w:abstractNumId w:val="1"/>
  </w:num>
  <w:num w:numId="4" w16cid:durableId="15883406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C55"/>
    <w:rsid w:val="00046C55"/>
    <w:rsid w:val="0005216A"/>
    <w:rsid w:val="00056585"/>
    <w:rsid w:val="00070CD0"/>
    <w:rsid w:val="00144033"/>
    <w:rsid w:val="0015147D"/>
    <w:rsid w:val="0021158E"/>
    <w:rsid w:val="00391729"/>
    <w:rsid w:val="0045214D"/>
    <w:rsid w:val="00452687"/>
    <w:rsid w:val="004F278C"/>
    <w:rsid w:val="005F305B"/>
    <w:rsid w:val="0067124C"/>
    <w:rsid w:val="006A6CF5"/>
    <w:rsid w:val="00741C76"/>
    <w:rsid w:val="00772544"/>
    <w:rsid w:val="0077464A"/>
    <w:rsid w:val="0079485A"/>
    <w:rsid w:val="007D7E29"/>
    <w:rsid w:val="007E2571"/>
    <w:rsid w:val="00846E76"/>
    <w:rsid w:val="0089209F"/>
    <w:rsid w:val="009A412E"/>
    <w:rsid w:val="00B63C1C"/>
    <w:rsid w:val="00C87BAE"/>
    <w:rsid w:val="00CA32A2"/>
    <w:rsid w:val="00CD6C27"/>
    <w:rsid w:val="00D44B83"/>
    <w:rsid w:val="00D717A2"/>
    <w:rsid w:val="00F31382"/>
    <w:rsid w:val="00F87A37"/>
    <w:rsid w:val="00FD0F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66670"/>
  <w15:docId w15:val="{80A339FF-EBB3-4346-99B5-05B58B18D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46C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046C55"/>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046C5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C55"/>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046C55"/>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046C55"/>
    <w:rPr>
      <w:rFonts w:ascii="Times New Roman" w:eastAsia="Times New Roman" w:hAnsi="Times New Roman" w:cs="Times New Roman"/>
      <w:b/>
      <w:bCs/>
      <w:sz w:val="27"/>
      <w:szCs w:val="27"/>
      <w:lang w:eastAsia="en-IN"/>
    </w:rPr>
  </w:style>
  <w:style w:type="paragraph" w:customStyle="1" w:styleId="isselectedend">
    <w:name w:val="isselectedend"/>
    <w:basedOn w:val="Normal"/>
    <w:rsid w:val="00046C5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046C55"/>
    <w:rPr>
      <w:b/>
      <w:bCs/>
    </w:rPr>
  </w:style>
  <w:style w:type="character" w:styleId="Emphasis">
    <w:name w:val="Emphasis"/>
    <w:basedOn w:val="DefaultParagraphFont"/>
    <w:uiPriority w:val="20"/>
    <w:qFormat/>
    <w:rsid w:val="00046C55"/>
    <w:rPr>
      <w:i/>
      <w:iCs/>
    </w:rPr>
  </w:style>
  <w:style w:type="paragraph" w:styleId="BalloonText">
    <w:name w:val="Balloon Text"/>
    <w:basedOn w:val="Normal"/>
    <w:link w:val="BalloonTextChar"/>
    <w:uiPriority w:val="99"/>
    <w:semiHidden/>
    <w:unhideWhenUsed/>
    <w:rsid w:val="00772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544"/>
    <w:rPr>
      <w:rFonts w:ascii="Tahoma" w:hAnsi="Tahoma" w:cs="Tahoma"/>
      <w:sz w:val="16"/>
      <w:szCs w:val="16"/>
    </w:rPr>
  </w:style>
  <w:style w:type="character" w:styleId="Hyperlink">
    <w:name w:val="Hyperlink"/>
    <w:basedOn w:val="DefaultParagraphFont"/>
    <w:uiPriority w:val="99"/>
    <w:unhideWhenUsed/>
    <w:rsid w:val="00070CD0"/>
    <w:rPr>
      <w:color w:val="0000FF" w:themeColor="hyperlink"/>
      <w:u w:val="single"/>
    </w:rPr>
  </w:style>
  <w:style w:type="character" w:styleId="UnresolvedMention">
    <w:name w:val="Unresolved Mention"/>
    <w:basedOn w:val="DefaultParagraphFont"/>
    <w:uiPriority w:val="99"/>
    <w:semiHidden/>
    <w:unhideWhenUsed/>
    <w:rsid w:val="00070CD0"/>
    <w:rPr>
      <w:color w:val="605E5C"/>
      <w:shd w:val="clear" w:color="auto" w:fill="E1DFDD"/>
    </w:rPr>
  </w:style>
  <w:style w:type="paragraph" w:styleId="ListParagraph">
    <w:name w:val="List Paragraph"/>
    <w:basedOn w:val="Normal"/>
    <w:uiPriority w:val="34"/>
    <w:qFormat/>
    <w:rsid w:val="00CD6C27"/>
    <w:pPr>
      <w:ind w:left="720"/>
      <w:contextualSpacing/>
    </w:pPr>
  </w:style>
  <w:style w:type="paragraph" w:styleId="Header">
    <w:name w:val="header"/>
    <w:basedOn w:val="Normal"/>
    <w:link w:val="HeaderChar"/>
    <w:uiPriority w:val="99"/>
    <w:unhideWhenUsed/>
    <w:rsid w:val="007746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464A"/>
  </w:style>
  <w:style w:type="paragraph" w:styleId="Footer">
    <w:name w:val="footer"/>
    <w:basedOn w:val="Normal"/>
    <w:link w:val="FooterChar"/>
    <w:uiPriority w:val="99"/>
    <w:unhideWhenUsed/>
    <w:rsid w:val="007746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4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5393">
      <w:bodyDiv w:val="1"/>
      <w:marLeft w:val="0"/>
      <w:marRight w:val="0"/>
      <w:marTop w:val="0"/>
      <w:marBottom w:val="0"/>
      <w:divBdr>
        <w:top w:val="none" w:sz="0" w:space="0" w:color="auto"/>
        <w:left w:val="none" w:sz="0" w:space="0" w:color="auto"/>
        <w:bottom w:val="none" w:sz="0" w:space="0" w:color="auto"/>
        <w:right w:val="none" w:sz="0" w:space="0" w:color="auto"/>
      </w:divBdr>
    </w:div>
    <w:div w:id="540242147">
      <w:bodyDiv w:val="1"/>
      <w:marLeft w:val="0"/>
      <w:marRight w:val="0"/>
      <w:marTop w:val="0"/>
      <w:marBottom w:val="0"/>
      <w:divBdr>
        <w:top w:val="none" w:sz="0" w:space="0" w:color="auto"/>
        <w:left w:val="none" w:sz="0" w:space="0" w:color="auto"/>
        <w:bottom w:val="none" w:sz="0" w:space="0" w:color="auto"/>
        <w:right w:val="none" w:sz="0" w:space="0" w:color="auto"/>
      </w:divBdr>
    </w:div>
    <w:div w:id="1161233090">
      <w:bodyDiv w:val="1"/>
      <w:marLeft w:val="0"/>
      <w:marRight w:val="0"/>
      <w:marTop w:val="0"/>
      <w:marBottom w:val="0"/>
      <w:divBdr>
        <w:top w:val="none" w:sz="0" w:space="0" w:color="auto"/>
        <w:left w:val="none" w:sz="0" w:space="0" w:color="auto"/>
        <w:bottom w:val="none" w:sz="0" w:space="0" w:color="auto"/>
        <w:right w:val="none" w:sz="0" w:space="0" w:color="auto"/>
      </w:divBdr>
    </w:div>
    <w:div w:id="1545561200">
      <w:bodyDiv w:val="1"/>
      <w:marLeft w:val="0"/>
      <w:marRight w:val="0"/>
      <w:marTop w:val="0"/>
      <w:marBottom w:val="0"/>
      <w:divBdr>
        <w:top w:val="none" w:sz="0" w:space="0" w:color="auto"/>
        <w:left w:val="none" w:sz="0" w:space="0" w:color="auto"/>
        <w:bottom w:val="none" w:sz="0" w:space="0" w:color="auto"/>
        <w:right w:val="none" w:sz="0" w:space="0" w:color="auto"/>
      </w:divBdr>
    </w:div>
    <w:div w:id="1564487369">
      <w:bodyDiv w:val="1"/>
      <w:marLeft w:val="0"/>
      <w:marRight w:val="0"/>
      <w:marTop w:val="0"/>
      <w:marBottom w:val="0"/>
      <w:divBdr>
        <w:top w:val="none" w:sz="0" w:space="0" w:color="auto"/>
        <w:left w:val="none" w:sz="0" w:space="0" w:color="auto"/>
        <w:bottom w:val="none" w:sz="0" w:space="0" w:color="auto"/>
        <w:right w:val="none" w:sz="0" w:space="0" w:color="auto"/>
      </w:divBdr>
    </w:div>
    <w:div w:id="1846171636">
      <w:bodyDiv w:val="1"/>
      <w:marLeft w:val="0"/>
      <w:marRight w:val="0"/>
      <w:marTop w:val="0"/>
      <w:marBottom w:val="0"/>
      <w:divBdr>
        <w:top w:val="none" w:sz="0" w:space="0" w:color="auto"/>
        <w:left w:val="none" w:sz="0" w:space="0" w:color="auto"/>
        <w:bottom w:val="none" w:sz="0" w:space="0" w:color="auto"/>
        <w:right w:val="none" w:sz="0" w:space="0" w:color="auto"/>
      </w:divBdr>
      <w:divsChild>
        <w:div w:id="1927692939">
          <w:marLeft w:val="0"/>
          <w:marRight w:val="0"/>
          <w:marTop w:val="0"/>
          <w:marBottom w:val="0"/>
          <w:divBdr>
            <w:top w:val="none" w:sz="0" w:space="0" w:color="auto"/>
            <w:left w:val="none" w:sz="0" w:space="0" w:color="auto"/>
            <w:bottom w:val="none" w:sz="0" w:space="0" w:color="auto"/>
            <w:right w:val="none" w:sz="0" w:space="0" w:color="auto"/>
          </w:divBdr>
        </w:div>
      </w:divsChild>
    </w:div>
    <w:div w:id="201079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IN"/>
              <a:t>Level of Parenting Stress (N = 100)</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Sheet1!$J$10</c:f>
              <c:strCache>
                <c:ptCount val="1"/>
                <c:pt idx="0">
                  <c:v>Frequency (f)</c:v>
                </c:pt>
              </c:strCache>
            </c:strRef>
          </c:tx>
          <c:invertIfNegative val="0"/>
          <c:cat>
            <c:strRef>
              <c:f>Sheet1!$I$11:$I$13</c:f>
              <c:strCache>
                <c:ptCount val="3"/>
                <c:pt idx="0">
                  <c:v>Low</c:v>
                </c:pt>
                <c:pt idx="1">
                  <c:v>Moderate</c:v>
                </c:pt>
                <c:pt idx="2">
                  <c:v>High</c:v>
                </c:pt>
              </c:strCache>
            </c:strRef>
          </c:cat>
          <c:val>
            <c:numRef>
              <c:f>Sheet1!$J$11:$J$13</c:f>
              <c:numCache>
                <c:formatCode>General</c:formatCode>
                <c:ptCount val="3"/>
                <c:pt idx="0">
                  <c:v>18</c:v>
                </c:pt>
                <c:pt idx="1">
                  <c:v>64</c:v>
                </c:pt>
                <c:pt idx="2">
                  <c:v>18</c:v>
                </c:pt>
              </c:numCache>
            </c:numRef>
          </c:val>
          <c:extLst>
            <c:ext xmlns:c16="http://schemas.microsoft.com/office/drawing/2014/chart" uri="{C3380CC4-5D6E-409C-BE32-E72D297353CC}">
              <c16:uniqueId val="{00000000-BFB2-4EA7-9446-F459BD8FEF87}"/>
            </c:ext>
          </c:extLst>
        </c:ser>
        <c:ser>
          <c:idx val="1"/>
          <c:order val="1"/>
          <c:tx>
            <c:strRef>
              <c:f>Sheet1!$K$10</c:f>
              <c:strCache>
                <c:ptCount val="1"/>
                <c:pt idx="0">
                  <c:v>Percentage (%)</c:v>
                </c:pt>
              </c:strCache>
            </c:strRef>
          </c:tx>
          <c:invertIfNegative val="0"/>
          <c:cat>
            <c:strRef>
              <c:f>Sheet1!$I$11:$I$13</c:f>
              <c:strCache>
                <c:ptCount val="3"/>
                <c:pt idx="0">
                  <c:v>Low</c:v>
                </c:pt>
                <c:pt idx="1">
                  <c:v>Moderate</c:v>
                </c:pt>
                <c:pt idx="2">
                  <c:v>High</c:v>
                </c:pt>
              </c:strCache>
            </c:strRef>
          </c:cat>
          <c:val>
            <c:numRef>
              <c:f>Sheet1!$K$11:$K$13</c:f>
              <c:numCache>
                <c:formatCode>General</c:formatCode>
                <c:ptCount val="3"/>
                <c:pt idx="0">
                  <c:v>18</c:v>
                </c:pt>
                <c:pt idx="1">
                  <c:v>64</c:v>
                </c:pt>
                <c:pt idx="2">
                  <c:v>18</c:v>
                </c:pt>
              </c:numCache>
            </c:numRef>
          </c:val>
          <c:extLst>
            <c:ext xmlns:c16="http://schemas.microsoft.com/office/drawing/2014/chart" uri="{C3380CC4-5D6E-409C-BE32-E72D297353CC}">
              <c16:uniqueId val="{00000001-BFB2-4EA7-9446-F459BD8FEF87}"/>
            </c:ext>
          </c:extLst>
        </c:ser>
        <c:dLbls>
          <c:showLegendKey val="0"/>
          <c:showVal val="0"/>
          <c:showCatName val="0"/>
          <c:showSerName val="0"/>
          <c:showPercent val="0"/>
          <c:showBubbleSize val="0"/>
        </c:dLbls>
        <c:gapWidth val="170"/>
        <c:shape val="cylinder"/>
        <c:axId val="286746496"/>
        <c:axId val="280711168"/>
        <c:axId val="0"/>
      </c:bar3DChart>
      <c:catAx>
        <c:axId val="286746496"/>
        <c:scaling>
          <c:orientation val="minMax"/>
        </c:scaling>
        <c:delete val="0"/>
        <c:axPos val="b"/>
        <c:numFmt formatCode="General" sourceLinked="0"/>
        <c:majorTickMark val="none"/>
        <c:minorTickMark val="none"/>
        <c:tickLblPos val="nextTo"/>
        <c:crossAx val="280711168"/>
        <c:crosses val="autoZero"/>
        <c:auto val="1"/>
        <c:lblAlgn val="ctr"/>
        <c:lblOffset val="100"/>
        <c:noMultiLvlLbl val="0"/>
      </c:catAx>
      <c:valAx>
        <c:axId val="280711168"/>
        <c:scaling>
          <c:orientation val="minMax"/>
        </c:scaling>
        <c:delete val="0"/>
        <c:axPos val="l"/>
        <c:majorGridlines/>
        <c:numFmt formatCode="General" sourceLinked="1"/>
        <c:majorTickMark val="none"/>
        <c:minorTickMark val="none"/>
        <c:tickLblPos val="nextTo"/>
        <c:crossAx val="286746496"/>
        <c:crosses val="autoZero"/>
        <c:crossBetween val="between"/>
      </c:valAx>
      <c:dTable>
        <c:showHorzBorder val="1"/>
        <c:showVertBorder val="1"/>
        <c:showOutline val="1"/>
        <c:showKeys val="1"/>
      </c:dTable>
      <c:spPr>
        <a:pattFill prst="pct25">
          <a:fgClr>
            <a:schemeClr val="accent1"/>
          </a:fgClr>
          <a:bgClr>
            <a:schemeClr val="bg1"/>
          </a:bgClr>
        </a:pattFill>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IN" sz="1800" b="1">
                <a:effectLst/>
              </a:rPr>
              <a:t>Psychological Health Status (N = 100)</a:t>
            </a:r>
            <a:endParaRPr lang="en-IN" sz="1800">
              <a:effectLst/>
            </a:endParaRP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IN"/>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Sheet1!$J$15</c:f>
              <c:strCache>
                <c:ptCount val="1"/>
                <c:pt idx="0">
                  <c:v>Frequency (f)</c:v>
                </c:pt>
              </c:strCache>
            </c:strRef>
          </c:tx>
          <c:invertIfNegative val="0"/>
          <c:cat>
            <c:strRef>
              <c:f>Sheet1!$I$16:$I$19</c:f>
              <c:strCache>
                <c:ptCount val="4"/>
                <c:pt idx="0">
                  <c:v>Good psychological health</c:v>
                </c:pt>
                <c:pt idx="1">
                  <c:v>Mild psychological distress</c:v>
                </c:pt>
                <c:pt idx="2">
                  <c:v>Moderate psychological distress</c:v>
                </c:pt>
                <c:pt idx="3">
                  <c:v>Severe psychological distress</c:v>
                </c:pt>
              </c:strCache>
            </c:strRef>
          </c:cat>
          <c:val>
            <c:numRef>
              <c:f>Sheet1!$J$16:$J$19</c:f>
              <c:numCache>
                <c:formatCode>General</c:formatCode>
                <c:ptCount val="4"/>
                <c:pt idx="0">
                  <c:v>21</c:v>
                </c:pt>
                <c:pt idx="1">
                  <c:v>47</c:v>
                </c:pt>
                <c:pt idx="2">
                  <c:v>25</c:v>
                </c:pt>
                <c:pt idx="3">
                  <c:v>7</c:v>
                </c:pt>
              </c:numCache>
            </c:numRef>
          </c:val>
          <c:extLst>
            <c:ext xmlns:c16="http://schemas.microsoft.com/office/drawing/2014/chart" uri="{C3380CC4-5D6E-409C-BE32-E72D297353CC}">
              <c16:uniqueId val="{00000000-F5A0-4CC7-BC15-771D3F4A8FA4}"/>
            </c:ext>
          </c:extLst>
        </c:ser>
        <c:ser>
          <c:idx val="1"/>
          <c:order val="1"/>
          <c:tx>
            <c:strRef>
              <c:f>Sheet1!$K$15</c:f>
              <c:strCache>
                <c:ptCount val="1"/>
                <c:pt idx="0">
                  <c:v>Percentage (%)</c:v>
                </c:pt>
              </c:strCache>
            </c:strRef>
          </c:tx>
          <c:invertIfNegative val="0"/>
          <c:cat>
            <c:strRef>
              <c:f>Sheet1!$I$16:$I$19</c:f>
              <c:strCache>
                <c:ptCount val="4"/>
                <c:pt idx="0">
                  <c:v>Good psychological health</c:v>
                </c:pt>
                <c:pt idx="1">
                  <c:v>Mild psychological distress</c:v>
                </c:pt>
                <c:pt idx="2">
                  <c:v>Moderate psychological distress</c:v>
                </c:pt>
                <c:pt idx="3">
                  <c:v>Severe psychological distress</c:v>
                </c:pt>
              </c:strCache>
            </c:strRef>
          </c:cat>
          <c:val>
            <c:numRef>
              <c:f>Sheet1!$K$16:$K$19</c:f>
              <c:numCache>
                <c:formatCode>General</c:formatCode>
                <c:ptCount val="4"/>
                <c:pt idx="0">
                  <c:v>21</c:v>
                </c:pt>
                <c:pt idx="1">
                  <c:v>47</c:v>
                </c:pt>
                <c:pt idx="2">
                  <c:v>25</c:v>
                </c:pt>
                <c:pt idx="3">
                  <c:v>7</c:v>
                </c:pt>
              </c:numCache>
            </c:numRef>
          </c:val>
          <c:extLst>
            <c:ext xmlns:c16="http://schemas.microsoft.com/office/drawing/2014/chart" uri="{C3380CC4-5D6E-409C-BE32-E72D297353CC}">
              <c16:uniqueId val="{00000001-F5A0-4CC7-BC15-771D3F4A8FA4}"/>
            </c:ext>
          </c:extLst>
        </c:ser>
        <c:dLbls>
          <c:showLegendKey val="0"/>
          <c:showVal val="0"/>
          <c:showCatName val="0"/>
          <c:showSerName val="0"/>
          <c:showPercent val="0"/>
          <c:showBubbleSize val="0"/>
        </c:dLbls>
        <c:gapWidth val="150"/>
        <c:shape val="cylinder"/>
        <c:axId val="280733952"/>
        <c:axId val="280743936"/>
        <c:axId val="0"/>
      </c:bar3DChart>
      <c:catAx>
        <c:axId val="280733952"/>
        <c:scaling>
          <c:orientation val="minMax"/>
        </c:scaling>
        <c:delete val="0"/>
        <c:axPos val="b"/>
        <c:numFmt formatCode="General" sourceLinked="0"/>
        <c:majorTickMark val="none"/>
        <c:minorTickMark val="none"/>
        <c:tickLblPos val="nextTo"/>
        <c:crossAx val="280743936"/>
        <c:crosses val="autoZero"/>
        <c:auto val="1"/>
        <c:lblAlgn val="ctr"/>
        <c:lblOffset val="100"/>
        <c:noMultiLvlLbl val="0"/>
      </c:catAx>
      <c:valAx>
        <c:axId val="280743936"/>
        <c:scaling>
          <c:orientation val="minMax"/>
        </c:scaling>
        <c:delete val="0"/>
        <c:axPos val="l"/>
        <c:majorGridlines/>
        <c:numFmt formatCode="General" sourceLinked="1"/>
        <c:majorTickMark val="none"/>
        <c:minorTickMark val="none"/>
        <c:tickLblPos val="nextTo"/>
        <c:crossAx val="280733952"/>
        <c:crosses val="autoZero"/>
        <c:crossBetween val="between"/>
      </c:valAx>
      <c:dTable>
        <c:showHorzBorder val="1"/>
        <c:showVertBorder val="1"/>
        <c:showOutline val="1"/>
        <c:showKeys val="1"/>
      </c:dTable>
    </c:plotArea>
    <c:plotVisOnly val="1"/>
    <c:dispBlanksAs val="gap"/>
    <c:showDLblsOverMax val="0"/>
  </c:chart>
  <c:spPr>
    <a:pattFill prst="pct25">
      <a:fgClr>
        <a:schemeClr val="accent1"/>
      </a:fgClr>
      <a:bgClr>
        <a:schemeClr val="bg1"/>
      </a:bgClr>
    </a:pattFill>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14</Pages>
  <Words>4679</Words>
  <Characters>26672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vc</dc:creator>
  <cp:lastModifiedBy>SDI 1166</cp:lastModifiedBy>
  <cp:revision>9</cp:revision>
  <cp:lastPrinted>2026-08-09T20:02:00Z</cp:lastPrinted>
  <dcterms:created xsi:type="dcterms:W3CDTF">2026-08-10T04:36:00Z</dcterms:created>
  <dcterms:modified xsi:type="dcterms:W3CDTF">2026-08-22T08:47:00Z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ded85f6c-f712-4390-b8bb-7e77d8aefa7f</vt:lpwstr>
  </property>
</Properties>
</file>