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5B586" w14:textId="77777777" w:rsidR="004A4D5F" w:rsidRPr="006D641C" w:rsidRDefault="004A4D5F" w:rsidP="004A4D5F">
      <w:pPr>
        <w:pStyle w:val="Author"/>
        <w:spacing w:line="240" w:lineRule="auto"/>
        <w:outlineLvl w:val="0"/>
        <w:rPr>
          <w:rFonts w:ascii="Arial" w:hAnsi="Arial" w:cs="Arial"/>
          <w:bCs/>
          <w:i/>
          <w:iCs/>
          <w:kern w:val="28"/>
          <w:sz w:val="36"/>
          <w:u w:val="single"/>
        </w:rPr>
      </w:pPr>
      <w:r w:rsidRPr="006D641C">
        <w:rPr>
          <w:rFonts w:ascii="Arial" w:hAnsi="Arial" w:cs="Arial"/>
          <w:bCs/>
          <w:i/>
          <w:iCs/>
          <w:kern w:val="28"/>
          <w:sz w:val="36"/>
          <w:u w:val="single"/>
        </w:rPr>
        <w:t xml:space="preserve">Original Research </w:t>
      </w:r>
      <w:r>
        <w:rPr>
          <w:rFonts w:ascii="Arial" w:hAnsi="Arial" w:cs="Arial"/>
          <w:bCs/>
          <w:i/>
          <w:iCs/>
          <w:kern w:val="28"/>
          <w:sz w:val="36"/>
          <w:u w:val="single"/>
        </w:rPr>
        <w:t>Article</w:t>
      </w:r>
    </w:p>
    <w:p w14:paraId="5ACCBB94" w14:textId="77777777" w:rsidR="00A549DA" w:rsidRDefault="00000000">
      <w:pPr>
        <w:pStyle w:val="Heading1"/>
        <w:widowControl/>
        <w:spacing w:after="120" w:line="276" w:lineRule="auto"/>
        <w:jc w:val="center"/>
        <w:rPr>
          <w:rStyle w:val="Strong"/>
          <w:rFonts w:ascii="Times New Roman Regular" w:hAnsi="Times New Roman Regular" w:cs="Times New Roman Regular" w:hint="default"/>
          <w:b/>
        </w:rPr>
      </w:pPr>
      <w:r>
        <w:rPr>
          <w:rStyle w:val="Strong"/>
          <w:rFonts w:ascii="Times New Roman" w:eastAsia="Times New Roman" w:hAnsi="Times New Roman" w:cs="Times New Roman Regular" w:hint="default"/>
          <w:b/>
          <w:sz w:val="28"/>
        </w:rPr>
        <w:t>Performance Evaluation of Large Language Models in Machine Translation of Zhuang Medicine Texts and Human–AI Collaborative Translation Pathways</w:t>
      </w:r>
    </w:p>
    <w:p w14:paraId="238A3BE4" w14:textId="77777777" w:rsidR="00A549DA" w:rsidRDefault="00A549DA">
      <w:pPr>
        <w:spacing w:after="120" w:line="276" w:lineRule="auto"/>
      </w:pPr>
    </w:p>
    <w:p w14:paraId="3E348A51" w14:textId="77777777" w:rsidR="003B5AAB" w:rsidRDefault="003B5AAB">
      <w:pPr>
        <w:spacing w:after="120" w:line="276" w:lineRule="auto"/>
      </w:pPr>
    </w:p>
    <w:p w14:paraId="09286AD4" w14:textId="77777777" w:rsidR="00A549DA" w:rsidRDefault="00000000">
      <w:pPr>
        <w:pStyle w:val="NormalWeb"/>
        <w:widowControl/>
        <w:spacing w:after="120" w:line="276" w:lineRule="auto"/>
        <w:jc w:val="both"/>
        <w:rPr>
          <w:rFonts w:ascii="Times New Roman" w:eastAsia="Times New Roman" w:hAnsi="Times New Roman"/>
          <w:sz w:val="21"/>
        </w:rPr>
      </w:pPr>
      <w:r>
        <w:rPr>
          <w:rStyle w:val="Strong"/>
          <w:rFonts w:ascii="Times New Roman" w:eastAsia="Times New Roman" w:hAnsi="Times New Roman" w:cs="Times New Roman Regular"/>
          <w:sz w:val="21"/>
        </w:rPr>
        <w:t>Abstract:</w:t>
      </w:r>
      <w:r>
        <w:rPr>
          <w:rFonts w:ascii="Times New Roman" w:eastAsia="Times New Roman" w:hAnsi="Times New Roman" w:cs="Times New Roman Regular"/>
          <w:b/>
          <w:sz w:val="21"/>
        </w:rPr>
        <w:t xml:space="preserve"> </w:t>
      </w:r>
      <w:r>
        <w:rPr>
          <w:rFonts w:ascii="Times New Roman" w:eastAsia="Times New Roman" w:hAnsi="Times New Roman"/>
          <w:sz w:val="21"/>
        </w:rPr>
        <w:t>As an important branch of the traditional Chinese ethnic medicine system, Zhuang Medicine embodies the distinctive health philosophy and therapeutic wisdom of the Zhuang people. The quality of its translation directly affects the effectiveness of the international dissemination of ethnic medical knowledge and culture. In recent years, the deep integration of artificial intelligence technologies with medical translation has provided an efficient pathway for cross-lingual knowledge transfer. However, existing research has primarily focused on mainstream medical translation, while studies on the translation quality assessment and application suitability of machine translation for Zhuang Medicine texts remain limited. Using Practical Zhuang Medicine Techniques as the corpus, this study systematically compares the Chinese–English translation performance of five mainstream Large Language Models (LLMs), namely ChatGPT-5.2, Gemini 2.5 Pro, Claude Sonnet 4.5, DeepSeek-V3.2, and ERNIE 5.0. Translation quality is evaluated using COMET (</w:t>
      </w:r>
      <w:proofErr w:type="spellStart"/>
      <w:r>
        <w:rPr>
          <w:rFonts w:ascii="Times New Roman" w:eastAsia="Times New Roman" w:hAnsi="Times New Roman"/>
          <w:sz w:val="21"/>
        </w:rPr>
        <w:t>Crosslingual</w:t>
      </w:r>
      <w:proofErr w:type="spellEnd"/>
      <w:r>
        <w:rPr>
          <w:rFonts w:ascii="Times New Roman" w:eastAsia="Times New Roman" w:hAnsi="Times New Roman"/>
          <w:sz w:val="21"/>
        </w:rPr>
        <w:t xml:space="preserve"> Optimized Metric for Evaluation of Translation). The findings aim to provide empirical evidence regarding the effectiveness of artificial intelligence in Zhuang Medicine translation and, based on these results, to explore a Human–AI Collaborative Translation pathway tailored to the linguistic and domain-specific characteristics of Zhuang Medicine texts.</w:t>
      </w:r>
    </w:p>
    <w:p w14:paraId="6E97080D" w14:textId="77777777" w:rsidR="00A549DA" w:rsidRDefault="00000000">
      <w:pPr>
        <w:pStyle w:val="NormalWeb"/>
        <w:widowControl/>
        <w:spacing w:after="120" w:line="276" w:lineRule="auto"/>
        <w:jc w:val="both"/>
        <w:rPr>
          <w:rFonts w:ascii="Times New Roman Regular" w:hAnsi="Times New Roman Regular" w:cs="Times New Roman Regular"/>
        </w:rPr>
      </w:pPr>
      <w:r>
        <w:rPr>
          <w:rStyle w:val="Strong"/>
          <w:rFonts w:ascii="Times New Roman" w:eastAsia="Times New Roman" w:hAnsi="Times New Roman" w:cs="Times New Roman Regular"/>
          <w:sz w:val="21"/>
        </w:rPr>
        <w:t>Keywords:</w:t>
      </w:r>
      <w:r>
        <w:rPr>
          <w:rFonts w:ascii="Times New Roman" w:eastAsia="Times New Roman" w:hAnsi="Times New Roman" w:cs="Times New Roman Regular"/>
          <w:b/>
          <w:sz w:val="21"/>
        </w:rPr>
        <w:t xml:space="preserve"> Machine Translation (MT); Translation Quality Assessment (TQA); Zhuang Medicine Texts; </w:t>
      </w:r>
      <w:r>
        <w:rPr>
          <w:rStyle w:val="Emphasis"/>
          <w:rFonts w:ascii="Times New Roman" w:eastAsia="Times New Roman" w:hAnsi="Times New Roman" w:cs="Times New Roman Regular"/>
          <w:b/>
          <w:sz w:val="21"/>
        </w:rPr>
        <w:t>Practical Zhuang Medicine Techniques</w:t>
      </w:r>
    </w:p>
    <w:p w14:paraId="331CCE0A" w14:textId="77777777" w:rsidR="00A549DA" w:rsidRDefault="00000000">
      <w:pPr>
        <w:widowControl/>
        <w:kinsoku w:val="0"/>
        <w:autoSpaceDE w:val="0"/>
        <w:autoSpaceDN w:val="0"/>
        <w:adjustRightInd w:val="0"/>
        <w:snapToGrid w:val="0"/>
        <w:spacing w:before="41" w:after="120" w:line="276" w:lineRule="auto"/>
        <w:ind w:left="26"/>
        <w:jc w:val="left"/>
        <w:textAlignment w:val="baseline"/>
        <w:outlineLvl w:val="1"/>
        <w:rPr>
          <w:rFonts w:ascii="Trebuchet MS" w:eastAsia="Trebuchet MS" w:hAnsi="Trebuchet MS" w:cs="Trebuchet MS"/>
          <w:b/>
          <w:bCs/>
          <w:snapToGrid w:val="0"/>
          <w:color w:val="000000"/>
          <w:spacing w:val="2"/>
          <w:kern w:val="0"/>
          <w:sz w:val="22"/>
          <w:szCs w:val="22"/>
          <w:lang w:eastAsia="en-US"/>
        </w:rPr>
      </w:pPr>
      <w:r>
        <w:rPr>
          <w:rFonts w:ascii="Times New Roman" w:eastAsia="Times New Roman" w:hAnsi="Times New Roman" w:cs="Trebuchet MS"/>
          <w:b/>
          <w:bCs/>
          <w:snapToGrid w:val="0"/>
          <w:color w:val="000000"/>
          <w:spacing w:val="2"/>
          <w:kern w:val="0"/>
          <w:szCs w:val="22"/>
          <w:lang w:eastAsia="en-US"/>
        </w:rPr>
        <w:t>1. Introduction</w:t>
      </w:r>
    </w:p>
    <w:p w14:paraId="73191E16" w14:textId="77777777" w:rsidR="00A549DA" w:rsidRDefault="00000000">
      <w:pPr>
        <w:pStyle w:val="NormalWeb"/>
        <w:widowControl/>
        <w:spacing w:after="120" w:line="276" w:lineRule="auto"/>
        <w:ind w:firstLineChars="200" w:firstLine="420"/>
        <w:jc w:val="both"/>
        <w:rPr>
          <w:rFonts w:ascii="Times New Roman Regular" w:hAnsi="Times New Roman Regular" w:cs="Times New Roman Regular"/>
        </w:rPr>
      </w:pPr>
      <w:r>
        <w:rPr>
          <w:rFonts w:ascii="Times New Roman" w:eastAsia="Times New Roman" w:hAnsi="Times New Roman"/>
          <w:sz w:val="21"/>
        </w:rPr>
        <w:t xml:space="preserve">As an important branch of China's ethnic medicine system, </w:t>
      </w:r>
      <w:r>
        <w:rPr>
          <w:rStyle w:val="Strong"/>
          <w:rFonts w:ascii="Times New Roman" w:eastAsia="Times New Roman" w:hAnsi="Times New Roman"/>
          <w:b w:val="0"/>
          <w:sz w:val="21"/>
        </w:rPr>
        <w:t>Z</w:t>
      </w:r>
      <w:r>
        <w:rPr>
          <w:rStyle w:val="Strong"/>
          <w:rFonts w:ascii="Times New Roman" w:eastAsia="Times New Roman" w:hAnsi="Times New Roman"/>
          <w:b w:val="0"/>
          <w:bCs/>
          <w:sz w:val="21"/>
        </w:rPr>
        <w:t>huang Medicine</w:t>
      </w:r>
      <w:r>
        <w:rPr>
          <w:rFonts w:ascii="Times New Roman" w:eastAsia="Times New Roman" w:hAnsi="Times New Roman"/>
          <w:bCs/>
          <w:sz w:val="21"/>
        </w:rPr>
        <w:t xml:space="preserve"> embodies the distinctive therapeutic practices and health wisdom developed by the Zhuang people over generations. With the implementation of the </w:t>
      </w:r>
      <w:r>
        <w:rPr>
          <w:rStyle w:val="Strong"/>
          <w:rFonts w:ascii="Times New Roman" w:eastAsia="Times New Roman" w:hAnsi="Times New Roman"/>
          <w:b w:val="0"/>
          <w:bCs/>
          <w:sz w:val="21"/>
        </w:rPr>
        <w:t>Belt and Road Initiative</w:t>
      </w:r>
      <w:r>
        <w:rPr>
          <w:rFonts w:ascii="Times New Roman" w:eastAsia="Times New Roman" w:hAnsi="Times New Roman"/>
          <w:bCs/>
          <w:sz w:val="21"/>
        </w:rPr>
        <w:t xml:space="preserve"> and China's </w:t>
      </w:r>
      <w:r>
        <w:rPr>
          <w:rStyle w:val="Strong"/>
          <w:rFonts w:ascii="Times New Roman" w:eastAsia="Times New Roman" w:hAnsi="Times New Roman"/>
          <w:b w:val="0"/>
          <w:bCs/>
          <w:sz w:val="21"/>
        </w:rPr>
        <w:t>Going Global</w:t>
      </w:r>
      <w:r>
        <w:rPr>
          <w:rFonts w:ascii="Times New Roman" w:eastAsia="Times New Roman" w:hAnsi="Times New Roman"/>
          <w:bCs/>
          <w:sz w:val="21"/>
        </w:rPr>
        <w:t xml:space="preserve"> strategy, the international dissemination of Zhuang Medicine has entered a new stage characterized by both unprecedented opportunities and emerging challenges. High-quality English translation </w:t>
      </w:r>
      <w:r>
        <w:rPr>
          <w:rFonts w:ascii="Times New Roman" w:eastAsia="Times New Roman" w:hAnsi="Times New Roman" w:cs="Times New Roman Regular"/>
          <w:sz w:val="21"/>
        </w:rPr>
        <w:t>plays an indispensable role in facilitating the global dissemination of Zhuang Medicine, promoting international academic exchange, and enhancing cross-cultural understanding and recognition.</w:t>
      </w:r>
    </w:p>
    <w:p w14:paraId="25A424A2" w14:textId="77777777" w:rsidR="00A549DA" w:rsidRDefault="00000000">
      <w:pPr>
        <w:spacing w:after="120" w:line="276" w:lineRule="auto"/>
        <w:rPr>
          <w:rFonts w:ascii="Times New Roman" w:hAnsi="Times New Roman" w:cs="Times New Roman"/>
          <w:sz w:val="24"/>
        </w:rPr>
      </w:pPr>
      <w:r>
        <w:rPr>
          <w:rFonts w:ascii="Times New Roman" w:eastAsia="Times New Roman" w:hAnsi="Times New Roman" w:cs="Times New Roman"/>
        </w:rPr>
        <w:lastRenderedPageBreak/>
        <w:t xml:space="preserve">In recent years, machine translation (MT) technologies driven by </w:t>
      </w:r>
      <w:r>
        <w:rPr>
          <w:rStyle w:val="Strong"/>
          <w:rFonts w:ascii="Times New Roman" w:eastAsia="Times New Roman" w:hAnsi="Times New Roman" w:cs="Times New Roman"/>
          <w:b w:val="0"/>
        </w:rPr>
        <w:t>Large Language Models (LLMs)</w:t>
      </w:r>
      <w:r>
        <w:rPr>
          <w:rFonts w:ascii="Times New Roman" w:eastAsia="Times New Roman" w:hAnsi="Times New Roman" w:cs="Times New Roman"/>
        </w:rPr>
        <w:t xml:space="preserve"> have been increasingly adopted in mainstream medical and scientific translation, providing new technological approaches for the cross-lingual dissemination of specialized knowledge. Nevertheless, existing studies on Zhuang Medicine and other ethnic medical systems have predominantly focused on the English translation of terminology, while relatively little attention has been paid to the Translation Quality Assessment (TQA) of machine-translated Zhuang Medicine texts and the </w:t>
      </w:r>
      <w:r>
        <w:rPr>
          <w:rFonts w:ascii="Times New Roman" w:eastAsia="Times New Roman" w:hAnsi="Times New Roman" w:cs="Times New Roman Regular"/>
        </w:rPr>
        <w:t xml:space="preserve">suitability of LLMs for this highly specialized domain. Consequently, a </w:t>
      </w:r>
      <w:r>
        <w:rPr>
          <w:rFonts w:ascii="Times New Roman" w:eastAsia="Times New Roman" w:hAnsi="Times New Roman" w:cs="Times New Roman"/>
        </w:rPr>
        <w:t>systematic and objective evaluation of the performance of different LLMs in Chinese–English translation of Zhuang Medicine texts is needed to better understand both the capabilities and limitations of artificial intelligence in ethnic medical language services and to identify directions for further optimization.</w:t>
      </w:r>
    </w:p>
    <w:p w14:paraId="251E3165" w14:textId="77777777" w:rsidR="00A549DA" w:rsidRDefault="00000000">
      <w:pPr>
        <w:spacing w:after="120" w:line="276" w:lineRule="auto"/>
        <w:ind w:firstLineChars="200" w:firstLine="420"/>
        <w:rPr>
          <w:rFonts w:ascii="Times New Roman Regular" w:hAnsi="Times New Roman Regular" w:cs="Times New Roman Regular"/>
          <w:sz w:val="24"/>
        </w:rPr>
      </w:pPr>
      <w:r>
        <w:rPr>
          <w:rFonts w:ascii="Times New Roman" w:eastAsia="Times New Roman" w:hAnsi="Times New Roman" w:cs="Times New Roman"/>
        </w:rPr>
        <w:t xml:space="preserve">Against this background, the present study quantitatively evaluates the suitability of different </w:t>
      </w:r>
      <w:r>
        <w:rPr>
          <w:rFonts w:ascii="Times New Roman" w:eastAsia="Times New Roman" w:hAnsi="Times New Roman" w:cs="Times New Roman Regular"/>
        </w:rPr>
        <w:t>LLMs for the machine translation of Zhuang Medicine texts. Specifically, it seeks to address the following research questions:</w:t>
      </w:r>
    </w:p>
    <w:p w14:paraId="1259C1AB" w14:textId="77777777" w:rsidR="00A549DA" w:rsidRDefault="00000000">
      <w:pPr>
        <w:numPr>
          <w:ilvl w:val="0"/>
          <w:numId w:val="1"/>
        </w:numPr>
        <w:spacing w:after="120" w:line="276" w:lineRule="auto"/>
        <w:ind w:firstLineChars="200" w:firstLine="420"/>
        <w:rPr>
          <w:rFonts w:ascii="Times New Roman Regular" w:hAnsi="Times New Roman Regular" w:cs="Times New Roman Regular"/>
          <w:sz w:val="24"/>
        </w:rPr>
      </w:pPr>
      <w:r>
        <w:rPr>
          <w:rFonts w:ascii="Times New Roman" w:eastAsia="Times New Roman" w:hAnsi="Times New Roman" w:cs="Times New Roman Regular"/>
        </w:rPr>
        <w:t>How accurately do Large Language Models (LLMs) translate Zhuang Medicine texts from Chinese into English?</w:t>
      </w:r>
    </w:p>
    <w:p w14:paraId="186765A9" w14:textId="77777777" w:rsidR="00A549DA" w:rsidRDefault="00000000">
      <w:pPr>
        <w:numPr>
          <w:ilvl w:val="0"/>
          <w:numId w:val="1"/>
        </w:numPr>
        <w:spacing w:after="120" w:line="276" w:lineRule="auto"/>
        <w:ind w:firstLineChars="200" w:firstLine="420"/>
        <w:rPr>
          <w:rFonts w:ascii="Times New Roman Regular" w:hAnsi="Times New Roman Regular" w:cs="Times New Roman Regular"/>
          <w:sz w:val="24"/>
        </w:rPr>
      </w:pPr>
      <w:r>
        <w:rPr>
          <w:rFonts w:ascii="Times New Roman" w:eastAsia="Times New Roman" w:hAnsi="Times New Roman" w:cs="Times New Roman Regular"/>
        </w:rPr>
        <w:t>Are there statistically significant differences in translation quality among different LLMs when translating Zhuang Medicine texts?</w:t>
      </w:r>
    </w:p>
    <w:p w14:paraId="51B3C222" w14:textId="77777777" w:rsidR="00A549DA" w:rsidRDefault="00000000">
      <w:pPr>
        <w:numPr>
          <w:ilvl w:val="0"/>
          <w:numId w:val="1"/>
        </w:numPr>
        <w:spacing w:after="120" w:line="276" w:lineRule="auto"/>
        <w:ind w:firstLineChars="200" w:firstLine="420"/>
        <w:rPr>
          <w:rFonts w:ascii="Times New Roman Regular" w:hAnsi="Times New Roman Regular" w:cs="Times New Roman Regular"/>
          <w:sz w:val="24"/>
        </w:rPr>
      </w:pPr>
      <w:r>
        <w:rPr>
          <w:rFonts w:ascii="Times New Roman" w:eastAsia="Times New Roman" w:hAnsi="Times New Roman" w:cs="Times New Roman Regular"/>
        </w:rPr>
        <w:t>Based on the findings, how can a Human–AI Collaborative Translation pathway be developed for Zhuang Medicine texts?</w:t>
      </w:r>
    </w:p>
    <w:p w14:paraId="782B85F6" w14:textId="77777777" w:rsidR="00A549DA" w:rsidRDefault="00000000">
      <w:pPr>
        <w:pStyle w:val="Heading1"/>
        <w:spacing w:after="120" w:line="276" w:lineRule="auto"/>
        <w:rPr>
          <w:rFonts w:ascii="Trebuchet MS" w:eastAsia="Trebuchet MS" w:hAnsi="Trebuchet MS" w:cs="Trebuchet MS" w:hint="default"/>
          <w:snapToGrid w:val="0"/>
          <w:color w:val="000000"/>
          <w:spacing w:val="2"/>
          <w:kern w:val="0"/>
          <w:sz w:val="22"/>
          <w:szCs w:val="22"/>
          <w:lang w:eastAsia="en-US"/>
        </w:rPr>
      </w:pPr>
      <w:r>
        <w:rPr>
          <w:rFonts w:ascii="Times New Roman" w:eastAsia="Times New Roman" w:hAnsi="Times New Roman" w:cs="Trebuchet MS" w:hint="default"/>
          <w:snapToGrid w:val="0"/>
          <w:color w:val="000000"/>
          <w:spacing w:val="2"/>
          <w:kern w:val="0"/>
          <w:sz w:val="21"/>
          <w:szCs w:val="22"/>
          <w:lang w:eastAsia="en-US"/>
        </w:rPr>
        <w:t>2. Literature Review</w:t>
      </w:r>
    </w:p>
    <w:p w14:paraId="38BF38FC" w14:textId="77777777" w:rsidR="00A549DA" w:rsidRDefault="00000000">
      <w:pPr>
        <w:spacing w:after="120" w:line="276" w:lineRule="auto"/>
        <w:ind w:firstLineChars="200" w:firstLine="420"/>
        <w:rPr>
          <w:rFonts w:ascii="Times New Roman Regular" w:hAnsi="Times New Roman Regular" w:cs="Times New Roman Regular"/>
          <w:sz w:val="24"/>
        </w:rPr>
      </w:pPr>
      <w:r>
        <w:rPr>
          <w:rFonts w:ascii="Times New Roman" w:eastAsia="Times New Roman" w:hAnsi="Times New Roman" w:cs="Times New Roman Regular"/>
        </w:rPr>
        <w:t>Machine Translation Quality Assessment (TQA) is an interdisciplinary field at the intersection of natural language processing and translation studies, and its development has closely paralleled advances in machine translation (MT) technology. Early approaches to MT evaluation relied primarily on human assessment. Human evaluators typically rated and ranked translations according to criteria such as adequacy and fluency (Jia et al., 2022), while some studies employed</w:t>
      </w:r>
      <w:r>
        <w:rPr>
          <w:rFonts w:ascii="Times New Roman" w:eastAsia="Times New Roman" w:hAnsi="Times New Roman" w:cs="Times New Roman"/>
        </w:rPr>
        <w:t xml:space="preserve"> the </w:t>
      </w:r>
      <w:r>
        <w:rPr>
          <w:rStyle w:val="Strong"/>
          <w:rFonts w:ascii="Times New Roman" w:eastAsia="Times New Roman" w:hAnsi="Times New Roman" w:cs="Times New Roman"/>
          <w:b w:val="0"/>
        </w:rPr>
        <w:t>Multidimensional Quality Metrics (MQM)</w:t>
      </w:r>
      <w:r>
        <w:rPr>
          <w:rFonts w:ascii="Times New Roman" w:eastAsia="Times New Roman" w:hAnsi="Times New Roman" w:cs="Times New Roman"/>
        </w:rPr>
        <w:t xml:space="preserve"> framework to identify and quantify translation error types (Tian, 20</w:t>
      </w:r>
      <w:r>
        <w:rPr>
          <w:rFonts w:ascii="Times New Roman" w:eastAsia="Times New Roman" w:hAnsi="Times New Roman" w:cs="Times New Roman Regular"/>
        </w:rPr>
        <w:t>20). Han (2025) pointed out that although human evaluation enables translators or end users to make subjective judgments regarding translation quality, it is often constrained by low efficiency and high cost.</w:t>
      </w:r>
    </w:p>
    <w:p w14:paraId="1AF9F6E3" w14:textId="77777777" w:rsidR="00A549DA" w:rsidRDefault="00000000">
      <w:pPr>
        <w:spacing w:after="120" w:line="276" w:lineRule="auto"/>
        <w:ind w:firstLineChars="200" w:firstLine="420"/>
        <w:rPr>
          <w:rFonts w:ascii="Times New Roman Regular" w:hAnsi="Times New Roman Regular" w:cs="Times New Roman Regular"/>
          <w:sz w:val="24"/>
        </w:rPr>
      </w:pPr>
      <w:r>
        <w:rPr>
          <w:rFonts w:ascii="Times New Roman" w:eastAsia="Times New Roman" w:hAnsi="Times New Roman" w:cs="Times New Roman Regular"/>
        </w:rPr>
        <w:t xml:space="preserve">With the emergence of statistical machine translation (SMT) and neural machine translation (NMT), however, automatic evaluation methods have gradually become the dominant approach. Zheng et al. (2025) classified automatic evaluation metrics into two major categories. The first consists of reference-based string-matching metrics, such as BLEU, </w:t>
      </w:r>
      <w:proofErr w:type="spellStart"/>
      <w:r>
        <w:rPr>
          <w:rFonts w:ascii="Times New Roman" w:eastAsia="Times New Roman" w:hAnsi="Times New Roman" w:cs="Times New Roman Regular"/>
        </w:rPr>
        <w:t>ChrF</w:t>
      </w:r>
      <w:proofErr w:type="spellEnd"/>
      <w:r>
        <w:rPr>
          <w:rFonts w:ascii="Times New Roman" w:eastAsia="Times New Roman" w:hAnsi="Times New Roman" w:cs="Times New Roman Regular"/>
        </w:rPr>
        <w:t xml:space="preserve">++, TER, and METEOR, which automatically assess translation quality by measuring the similarity between machine-generated translations and human reference translations. The second category comprises neural evaluation metrics based on deep learning, including </w:t>
      </w:r>
      <w:r>
        <w:rPr>
          <w:rStyle w:val="Strong"/>
          <w:rFonts w:ascii="Times New Roman" w:eastAsia="Times New Roman" w:hAnsi="Times New Roman" w:cs="Times New Roman"/>
          <w:b w:val="0"/>
          <w:bCs/>
        </w:rPr>
        <w:t>BLURT</w:t>
      </w:r>
      <w:r>
        <w:rPr>
          <w:rFonts w:ascii="Times New Roman" w:eastAsia="Times New Roman" w:hAnsi="Times New Roman" w:cs="Times New Roman"/>
          <w:bCs/>
        </w:rPr>
        <w:t xml:space="preserve"> and </w:t>
      </w:r>
      <w:r>
        <w:rPr>
          <w:rStyle w:val="Strong"/>
          <w:rFonts w:ascii="Times New Roman" w:eastAsia="Times New Roman" w:hAnsi="Times New Roman" w:cs="Times New Roman"/>
          <w:b w:val="0"/>
          <w:bCs/>
        </w:rPr>
        <w:t>COMET (</w:t>
      </w:r>
      <w:proofErr w:type="spellStart"/>
      <w:r>
        <w:rPr>
          <w:rStyle w:val="Strong"/>
          <w:rFonts w:ascii="Times New Roman" w:eastAsia="Times New Roman" w:hAnsi="Times New Roman" w:cs="Times New Roman"/>
          <w:b w:val="0"/>
          <w:bCs/>
        </w:rPr>
        <w:t>Crosslingual</w:t>
      </w:r>
      <w:proofErr w:type="spellEnd"/>
      <w:r>
        <w:rPr>
          <w:rStyle w:val="Strong"/>
          <w:rFonts w:ascii="Times New Roman" w:eastAsia="Times New Roman" w:hAnsi="Times New Roman" w:cs="Times New Roman"/>
          <w:b w:val="0"/>
          <w:bCs/>
        </w:rPr>
        <w:t xml:space="preserve"> Optimized Metric for Evaluation of Translation)</w:t>
      </w:r>
      <w:r>
        <w:rPr>
          <w:rFonts w:ascii="Times New Roman" w:eastAsia="Times New Roman" w:hAnsi="Times New Roman" w:cs="Times New Roman"/>
          <w:bCs/>
        </w:rPr>
        <w:t xml:space="preserve">, which leverage </w:t>
      </w:r>
      <w:r>
        <w:rPr>
          <w:rFonts w:ascii="Times New Roman" w:eastAsia="Times New Roman" w:hAnsi="Times New Roman" w:cs="Times New Roman"/>
          <w:bCs/>
        </w:rPr>
        <w:lastRenderedPageBreak/>
        <w:t>pretrained language models to capture semantic information more effectively. In recent years, the rapid development of pretrained language models has ushered machine translation evaluatio</w:t>
      </w:r>
      <w:r>
        <w:rPr>
          <w:rFonts w:ascii="Times New Roman" w:eastAsia="Times New Roman" w:hAnsi="Times New Roman" w:cs="Times New Roman Regular"/>
        </w:rPr>
        <w:t>n into a new stage. Owing to their superior semantic understanding capabilities, neural evaluation methods have become increasingly important for assessing high-quality translations (Xiao &amp; Zhu, 2021). Meanwhile, multidimensional evaluation frameworks have attracted growing attention. Integrating automatic evaluation with human error annotation, such as the MQM framework, enables a more comprehensive and fine-grained analysis of translation errors and their distributions, demonstrating particular effectiveness in the evaluation of specialized texts. Using the MQM framework, Yang et al. (2025) conducted an empirical analysis of machine translation errors in specialized texts and confirmed its effectiveness for translation quality assessment in domain-specific contexts. Such multidimensional approaches not only improve the reliability of translation evaluation but also provide clearer guidance for translation quality improvement.</w:t>
      </w:r>
    </w:p>
    <w:p w14:paraId="0281260E" w14:textId="77777777" w:rsidR="00A549DA" w:rsidRDefault="00000000">
      <w:pPr>
        <w:spacing w:after="120" w:line="276" w:lineRule="auto"/>
        <w:ind w:firstLineChars="200" w:firstLine="420"/>
        <w:rPr>
          <w:rFonts w:ascii="Times New Roman Regular" w:hAnsi="Times New Roman Regular" w:cs="Times New Roman Regular"/>
          <w:sz w:val="24"/>
        </w:rPr>
      </w:pPr>
      <w:r>
        <w:rPr>
          <w:rFonts w:ascii="Times New Roman" w:eastAsia="Times New Roman" w:hAnsi="Times New Roman" w:cs="Times New Roman Regular"/>
        </w:rPr>
        <w:t>Current research on the translation of Zhuang Medicine has primarily focused on specialized terminology, including terminology related to acupuncture and moxibustion therapies (Tan et al., 2025; Cen et al., 2017), acupuncture point terminology (Meng et al., 2016), diagnostic terminology (Meng et al., 2017), and needling technique terminology (Cen et al., 2021). Existing studies have shown that Zhuang Medicine terminology presents substantial challenges in cross-lingual communication because of cultural specificity, polysemy, and a high degree of semantic abstraction, and that accurate terminology translation is essential for the international dissemination of Zhuang Medicine culture (Meng et al., 2018). Furthermore, researchers have emphasized the urgent need for standardized Zhuang Medicine terminology (Cen et al., 2016) and highlighted the role of translation technologies in improving terminology management (Meng et al., 2021). Although these studies provide valuable insights into terminology standardization and translation strategies, they remain largely confined to the lexical and terminological level and have not addressed the quality assessment of machine-translated Zhuang Medicine texts. Accordingly, the present study focuses on the translation of Zhuang Medicine texts and systematically evaluates the translation quality and application boundaries of Large Language Models (LLMs) in this specialized domain.</w:t>
      </w:r>
    </w:p>
    <w:p w14:paraId="2F9D946B" w14:textId="77777777" w:rsidR="00A549DA" w:rsidRDefault="00000000">
      <w:pPr>
        <w:pStyle w:val="Heading2"/>
        <w:widowControl/>
        <w:spacing w:after="120" w:line="276" w:lineRule="auto"/>
        <w:rPr>
          <w:rFonts w:ascii="Trebuchet MS" w:hAnsi="Trebuchet MS" w:cs="Trebuchet MS" w:hint="default"/>
          <w:snapToGrid w:val="0"/>
          <w:color w:val="000000"/>
          <w:spacing w:val="2"/>
          <w:sz w:val="22"/>
          <w:szCs w:val="22"/>
        </w:rPr>
      </w:pPr>
      <w:r>
        <w:rPr>
          <w:rFonts w:ascii="Times New Roman" w:eastAsia="Times New Roman" w:hAnsi="Times New Roman" w:cs="Trebuchet MS" w:hint="default"/>
          <w:snapToGrid w:val="0"/>
          <w:color w:val="000000"/>
          <w:spacing w:val="2"/>
          <w:sz w:val="21"/>
          <w:szCs w:val="22"/>
          <w:lang w:eastAsia="en-US"/>
        </w:rPr>
        <w:t xml:space="preserve">3. </w:t>
      </w:r>
      <w:r>
        <w:rPr>
          <w:rFonts w:ascii="Times New Roman" w:hAnsi="Times New Roman" w:cs="Trebuchet MS"/>
          <w:snapToGrid w:val="0"/>
          <w:color w:val="000000"/>
          <w:spacing w:val="2"/>
          <w:sz w:val="21"/>
          <w:szCs w:val="22"/>
        </w:rPr>
        <w:t>Methodology</w:t>
      </w:r>
    </w:p>
    <w:p w14:paraId="4B53A297" w14:textId="77777777" w:rsidR="00A549DA" w:rsidRDefault="00000000">
      <w:pPr>
        <w:pStyle w:val="Heading3"/>
        <w:widowControl/>
        <w:spacing w:after="120" w:line="276" w:lineRule="auto"/>
        <w:rPr>
          <w:rFonts w:ascii="Times New Roman Regular" w:hAnsi="Times New Roman Regular" w:cs="Times New Roman Regular" w:hint="default"/>
        </w:rPr>
      </w:pPr>
      <w:r>
        <w:rPr>
          <w:rFonts w:ascii="Times New Roman" w:eastAsia="Times New Roman" w:hAnsi="Times New Roman" w:cs="Times New Roman Regular" w:hint="default"/>
          <w:sz w:val="21"/>
        </w:rPr>
        <w:t>3.1 Research Corpus</w:t>
      </w:r>
    </w:p>
    <w:p w14:paraId="629163E7" w14:textId="77777777" w:rsidR="00A549DA" w:rsidRDefault="00000000">
      <w:pPr>
        <w:spacing w:after="120" w:line="276" w:lineRule="auto"/>
        <w:ind w:firstLineChars="200" w:firstLine="420"/>
        <w:rPr>
          <w:rFonts w:ascii="Times New Roman Regular" w:hAnsi="Times New Roman Regular" w:cs="Times New Roman Regular"/>
          <w:sz w:val="24"/>
        </w:rPr>
      </w:pPr>
      <w:r>
        <w:rPr>
          <w:rFonts w:ascii="Times New Roman" w:hAnsi="Times New Roman" w:cs="Times New Roman Regular"/>
        </w:rPr>
        <w:t>The corpus used in this study was derived from Practical Zhuang Medicine Techniques compiled by Huang Jiezhi (2017), an authoritative reference on Zhuang Medicine. The book systematically introduces distinctive Zhuang Medicine therapies, including medicated thread moxibustion and medicated bamboo cupping, covering fundamental theories, diagnostic and therapeutic protocols, and clinical applications.</w:t>
      </w:r>
    </w:p>
    <w:p w14:paraId="7EB28814" w14:textId="77777777" w:rsidR="00A549DA" w:rsidRDefault="00000000">
      <w:pPr>
        <w:spacing w:after="120" w:line="276" w:lineRule="auto"/>
        <w:ind w:firstLineChars="200" w:firstLine="420"/>
        <w:rPr>
          <w:rFonts w:ascii="Times New Roman Regular" w:hAnsi="Times New Roman Regular" w:cs="Times New Roman Regular"/>
          <w:sz w:val="24"/>
        </w:rPr>
      </w:pPr>
      <w:r>
        <w:rPr>
          <w:rFonts w:ascii="Times New Roman" w:hAnsi="Times New Roman" w:cs="Times New Roman Regular"/>
        </w:rPr>
        <w:t xml:space="preserve">A stratified purposive sampling strategy was adopted. Specifically, ten sentences were selected from each of the book's 24 chapters, resulting in a test dataset comprising 240 sentences. This sampling strategy ensured balanced representation across different therapeutic categories while maintaining the representativeness of the corpus. Furthermore, all source texts underwent rigorous data preprocessing, </w:t>
      </w:r>
      <w:r>
        <w:rPr>
          <w:rFonts w:ascii="Times New Roman" w:eastAsia="Times New Roman" w:hAnsi="Times New Roman" w:cs="Times New Roman Regular"/>
        </w:rPr>
        <w:t xml:space="preserve">including noise removal, format standardization, and text normalization, to ensure the reliability and </w:t>
      </w:r>
      <w:r>
        <w:rPr>
          <w:rFonts w:ascii="Times New Roman" w:eastAsia="Times New Roman" w:hAnsi="Times New Roman" w:cs="Times New Roman Regular"/>
        </w:rPr>
        <w:lastRenderedPageBreak/>
        <w:t>consistency of the evaluation dataset.</w:t>
      </w:r>
    </w:p>
    <w:p w14:paraId="221B6E70" w14:textId="77777777" w:rsidR="00A549DA" w:rsidRDefault="00000000">
      <w:pPr>
        <w:pStyle w:val="Heading3"/>
        <w:widowControl/>
        <w:spacing w:after="120" w:line="276" w:lineRule="auto"/>
        <w:rPr>
          <w:rFonts w:ascii="Times New Roman Regular" w:hAnsi="Times New Roman Regular" w:cs="Times New Roman Regular" w:hint="default"/>
        </w:rPr>
      </w:pPr>
      <w:r>
        <w:rPr>
          <w:rFonts w:ascii="Times New Roman" w:eastAsia="Times New Roman" w:hAnsi="Times New Roman" w:cs="Times New Roman Regular" w:hint="default"/>
          <w:sz w:val="21"/>
        </w:rPr>
        <w:t>3.2 Selection of Large Language Models</w:t>
      </w:r>
    </w:p>
    <w:p w14:paraId="11688C3E" w14:textId="77777777" w:rsidR="00A549DA" w:rsidRDefault="00000000">
      <w:pPr>
        <w:spacing w:after="120" w:line="276" w:lineRule="auto"/>
        <w:ind w:firstLineChars="200" w:firstLine="420"/>
        <w:rPr>
          <w:rFonts w:ascii="Times New Roman Regular" w:hAnsi="Times New Roman Regular" w:cs="Times New Roman Regular"/>
          <w:sz w:val="24"/>
        </w:rPr>
      </w:pPr>
      <w:r>
        <w:rPr>
          <w:rFonts w:ascii="Times New Roman" w:eastAsia="Times New Roman" w:hAnsi="Times New Roman" w:cs="Times New Roman Regular"/>
        </w:rPr>
        <w:t>Five representative ge</w:t>
      </w:r>
      <w:r>
        <w:rPr>
          <w:rFonts w:ascii="Times New Roman" w:hAnsi="Times New Roman" w:cs="Times New Roman Regular"/>
        </w:rPr>
        <w:t>neral-purpose Large Language Models (LLMs) were selected for evaluation: ChatGPT, Claude, Gemini, DeepSeek, and ERNIE.</w:t>
      </w:r>
      <w:r>
        <w:rPr>
          <w:rFonts w:ascii="Times New Roman" w:eastAsia="Times New Roman" w:hAnsi="Times New Roman" w:cs="Times New Roman Regular"/>
        </w:rPr>
        <w:t xml:space="preserve"> </w:t>
      </w:r>
      <w:r>
        <w:rPr>
          <w:rFonts w:ascii="Times New Roman" w:hAnsi="Times New Roman" w:cs="Times New Roman Regular"/>
        </w:rPr>
        <w:t>ChatGPT, developed by OpenAI and first released in November 2022, has demonstrated strong language understanding and text generation capabilities across a wide range of domains, particularly in highly specialized fields such as clinical medicine (Hendy et al., 2023). Accordingly, ChatGPT-5.2 was selected for this study.</w:t>
      </w:r>
      <w:r>
        <w:rPr>
          <w:rFonts w:ascii="Times New Roman" w:eastAsia="Times New Roman" w:hAnsi="Times New Roman" w:cs="Times New Roman Regular"/>
        </w:rPr>
        <w:t xml:space="preserve"> </w:t>
      </w:r>
      <w:r>
        <w:rPr>
          <w:rFonts w:ascii="Times New Roman" w:hAnsi="Times New Roman" w:cs="Times New Roman Regular"/>
        </w:rPr>
        <w:t>Claude, devel</w:t>
      </w:r>
      <w:r>
        <w:rPr>
          <w:rFonts w:ascii="Times New Roman" w:eastAsia="Times New Roman" w:hAnsi="Times New Roman" w:cs="Times New Roman Regular"/>
        </w:rPr>
        <w:t>oped b</w:t>
      </w:r>
      <w:r>
        <w:rPr>
          <w:rFonts w:ascii="Times New Roman" w:eastAsia="Times New Roman" w:hAnsi="Times New Roman" w:cs="Times New Roman"/>
        </w:rPr>
        <w:t xml:space="preserve">y </w:t>
      </w:r>
      <w:r>
        <w:rPr>
          <w:rStyle w:val="Strong"/>
          <w:rFonts w:ascii="Times New Roman" w:eastAsia="Times New Roman" w:hAnsi="Times New Roman" w:cs="Times New Roman"/>
          <w:b w:val="0"/>
        </w:rPr>
        <w:t>Anthropic</w:t>
      </w:r>
      <w:r>
        <w:rPr>
          <w:rFonts w:ascii="Times New Roman" w:eastAsia="Times New Roman" w:hAnsi="Times New Roman" w:cs="Times New Roman"/>
        </w:rPr>
        <w:t xml:space="preserve"> and introduced in 2022, has shown robust performance across various natural language processing tasks and has demonstrated particular strengths in low-resource machine translation (</w:t>
      </w:r>
      <w:proofErr w:type="spellStart"/>
      <w:r>
        <w:rPr>
          <w:rFonts w:ascii="Times New Roman" w:eastAsia="Times New Roman" w:hAnsi="Times New Roman" w:cs="Times New Roman"/>
        </w:rPr>
        <w:t>Ferrag</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Bentounsi</w:t>
      </w:r>
      <w:proofErr w:type="spellEnd"/>
      <w:r>
        <w:rPr>
          <w:rFonts w:ascii="Times New Roman" w:eastAsia="Times New Roman" w:hAnsi="Times New Roman" w:cs="Times New Roman"/>
        </w:rPr>
        <w:t xml:space="preserve">, 2024). Therefore, </w:t>
      </w:r>
      <w:r>
        <w:rPr>
          <w:rStyle w:val="Strong"/>
          <w:rFonts w:ascii="Times New Roman" w:eastAsia="Times New Roman" w:hAnsi="Times New Roman" w:cs="Times New Roman"/>
          <w:b w:val="0"/>
        </w:rPr>
        <w:t>Claude Sonnet 4.5</w:t>
      </w:r>
      <w:r>
        <w:rPr>
          <w:rFonts w:ascii="Times New Roman" w:eastAsia="Times New Roman" w:hAnsi="Times New Roman" w:cs="Times New Roman"/>
        </w:rPr>
        <w:t xml:space="preserve"> was </w:t>
      </w:r>
      <w:r>
        <w:rPr>
          <w:rFonts w:ascii="Times New Roman" w:eastAsia="Times New Roman" w:hAnsi="Times New Roman" w:cs="Times New Roman Regular"/>
        </w:rPr>
        <w:t>included in the evaluation. Gemini, developed by Google and officially released in late 2023, has achieved outstanding performance in complex semantic understanding and text generation tasks (</w:t>
      </w:r>
      <w:proofErr w:type="spellStart"/>
      <w:r>
        <w:rPr>
          <w:rFonts w:ascii="Times New Roman" w:eastAsia="Times New Roman" w:hAnsi="Times New Roman" w:cs="Times New Roman Regular"/>
        </w:rPr>
        <w:t>Ferrag</w:t>
      </w:r>
      <w:proofErr w:type="spellEnd"/>
      <w:r>
        <w:rPr>
          <w:rFonts w:ascii="Times New Roman" w:eastAsia="Times New Roman" w:hAnsi="Times New Roman" w:cs="Times New Roman Regular"/>
        </w:rPr>
        <w:t xml:space="preserve"> &amp; </w:t>
      </w:r>
      <w:proofErr w:type="spellStart"/>
      <w:r>
        <w:rPr>
          <w:rFonts w:ascii="Times New Roman" w:eastAsia="Times New Roman" w:hAnsi="Times New Roman" w:cs="Times New Roman Regular"/>
        </w:rPr>
        <w:t>Bentounsi</w:t>
      </w:r>
      <w:proofErr w:type="spellEnd"/>
      <w:r>
        <w:rPr>
          <w:rFonts w:ascii="Times New Roman" w:eastAsia="Times New Roman" w:hAnsi="Times New Roman" w:cs="Times New Roman Regular"/>
        </w:rPr>
        <w:t>, 2024). Consequently, Gemini 2.5 Pro was selected to evaluate its overall performance in medical translation. DeepSeek, developed by DeepSeek AI, introduced its V3.2 model in 2025. Built upon a Mixture of Experts (</w:t>
      </w:r>
      <w:proofErr w:type="spellStart"/>
      <w:r>
        <w:rPr>
          <w:rFonts w:ascii="Times New Roman" w:eastAsia="Times New Roman" w:hAnsi="Times New Roman" w:cs="Times New Roman Regular"/>
        </w:rPr>
        <w:t>MoE</w:t>
      </w:r>
      <w:proofErr w:type="spellEnd"/>
      <w:r>
        <w:rPr>
          <w:rFonts w:ascii="Times New Roman" w:eastAsia="Times New Roman" w:hAnsi="Times New Roman" w:cs="Times New Roman Regular"/>
        </w:rPr>
        <w:t>) architecture, the model dynamically activates task-relevant parameters, offering potential advantages in balancing computational efficiency and translation performance. Given its recent advances in Chinese–English language processing, DeepSeek-V3.2 was included in the comparative evaluation. ERNIE, developed by Baidu, has established a mature ecosystem for Chinese natural language processing. Its latest ERNIE 5.0 model demonstrates stable performance in Chinese semantic understanding and text generation and was therefore incorporated into the present study.</w:t>
      </w:r>
    </w:p>
    <w:p w14:paraId="72D8D9EC" w14:textId="77777777" w:rsidR="00A549DA" w:rsidRDefault="00000000">
      <w:pPr>
        <w:spacing w:after="120" w:line="276" w:lineRule="auto"/>
        <w:ind w:firstLineChars="200" w:firstLine="420"/>
        <w:rPr>
          <w:rFonts w:ascii="Times New Roman Regular" w:hAnsi="Times New Roman Regular" w:cs="Times New Roman Regular"/>
          <w:sz w:val="24"/>
        </w:rPr>
      </w:pPr>
      <w:r>
        <w:rPr>
          <w:rFonts w:ascii="Times New Roman" w:eastAsia="Times New Roman" w:hAnsi="Times New Roman" w:cs="Times New Roman Regular"/>
        </w:rPr>
        <w:t xml:space="preserve"> To ensure the comparability of outputs across models, all translation tasks were conducted using a unified few-shot prompting strategy. A small number of medical translation examples were embedded within the prompt to guide each model in completing the translation task. Compared with zero-shot prompting, few-shot prompting can improve terminology consistency and register control in domain-specific translation, thereby enabling LLMs to better exploit their translation capabilities (Bawden, 2023; Hendy et al., 2023). The prompt template is shown below:</w:t>
      </w:r>
    </w:p>
    <w:p w14:paraId="042D23CE" w14:textId="77777777" w:rsidR="00A549DA" w:rsidRDefault="00000000">
      <w:pPr>
        <w:spacing w:after="120" w:line="276" w:lineRule="auto"/>
        <w:ind w:firstLineChars="200" w:firstLine="420"/>
        <w:rPr>
          <w:rFonts w:ascii="Times New Roman Regular" w:hAnsi="Times New Roman Regular" w:cs="Times New Roman Regular"/>
          <w:sz w:val="24"/>
        </w:rPr>
      </w:pPr>
      <w:r>
        <w:rPr>
          <w:rFonts w:ascii="Times New Roman" w:hAnsi="Times New Roman" w:cs="Times New Roman Regular"/>
        </w:rPr>
        <w:t>You are a professional translator specializing in Zhuang Medicine texts. You have deep knowledge of ethnomedical theories, and are skilled in rendering culturally specific concepts into fluent, formal, and academically appropriate English. Your task is to translate Chinese medical sentences into accurate, fluent, and professional English.</w:t>
      </w:r>
    </w:p>
    <w:p w14:paraId="52C34D0F" w14:textId="77777777" w:rsidR="00A549DA" w:rsidRDefault="00000000">
      <w:pPr>
        <w:spacing w:after="120" w:line="276" w:lineRule="auto"/>
        <w:ind w:firstLineChars="200" w:firstLine="420"/>
        <w:rPr>
          <w:rFonts w:ascii="Times New Roman Regular" w:hAnsi="Times New Roman Regular" w:cs="Times New Roman Regular"/>
          <w:sz w:val="24"/>
        </w:rPr>
      </w:pPr>
      <w:r>
        <w:rPr>
          <w:rFonts w:ascii="Times New Roman" w:hAnsi="Times New Roman" w:cs="Times New Roman Regular"/>
        </w:rPr>
        <w:t>Translation Requirements:</w:t>
      </w:r>
    </w:p>
    <w:p w14:paraId="29700D45" w14:textId="77777777" w:rsidR="00A549DA" w:rsidRDefault="00000000">
      <w:pPr>
        <w:numPr>
          <w:ilvl w:val="0"/>
          <w:numId w:val="2"/>
        </w:numPr>
        <w:spacing w:after="120" w:line="276" w:lineRule="auto"/>
        <w:ind w:firstLineChars="200" w:firstLine="420"/>
        <w:rPr>
          <w:rFonts w:ascii="Times New Roman Regular" w:hAnsi="Times New Roman Regular" w:cs="Times New Roman Regular"/>
          <w:sz w:val="24"/>
        </w:rPr>
      </w:pPr>
      <w:r>
        <w:rPr>
          <w:rFonts w:ascii="Times New Roman" w:hAnsi="Times New Roman" w:cs="Times New Roman Regular"/>
        </w:rPr>
        <w:t>Keep translation faithful, clear, and precise;</w:t>
      </w:r>
    </w:p>
    <w:p w14:paraId="4AB9DB38" w14:textId="77777777" w:rsidR="00A549DA" w:rsidRDefault="00000000">
      <w:pPr>
        <w:numPr>
          <w:ilvl w:val="0"/>
          <w:numId w:val="2"/>
        </w:numPr>
        <w:spacing w:after="120" w:line="276" w:lineRule="auto"/>
        <w:ind w:firstLineChars="200" w:firstLine="420"/>
        <w:rPr>
          <w:rFonts w:ascii="Times New Roman Regular" w:hAnsi="Times New Roman Regular" w:cs="Times New Roman Regular"/>
          <w:sz w:val="24"/>
        </w:rPr>
      </w:pPr>
      <w:r>
        <w:rPr>
          <w:rFonts w:ascii="Times New Roman" w:hAnsi="Times New Roman" w:cs="Times New Roman Regular"/>
        </w:rPr>
        <w:t>Translate Zhuang Medicine texts accurately while preserving theoretical and cultural integrity;</w:t>
      </w:r>
    </w:p>
    <w:p w14:paraId="571BD44D" w14:textId="77777777" w:rsidR="00A549DA" w:rsidRDefault="00000000">
      <w:pPr>
        <w:numPr>
          <w:ilvl w:val="0"/>
          <w:numId w:val="2"/>
        </w:numPr>
        <w:spacing w:after="120" w:line="276" w:lineRule="auto"/>
        <w:ind w:firstLineChars="200" w:firstLine="420"/>
        <w:rPr>
          <w:rFonts w:ascii="Times New Roman Regular" w:hAnsi="Times New Roman Regular" w:cs="Times New Roman Regular"/>
          <w:sz w:val="24"/>
        </w:rPr>
      </w:pPr>
      <w:r>
        <w:rPr>
          <w:rFonts w:ascii="Times New Roman" w:hAnsi="Times New Roman" w:cs="Times New Roman Regular"/>
        </w:rPr>
        <w:t>Carefully handle Zhuang Medicine-specific concepts, adopting established English equivalents where available;</w:t>
      </w:r>
    </w:p>
    <w:p w14:paraId="61AC6975" w14:textId="77777777" w:rsidR="00A549DA" w:rsidRDefault="00000000">
      <w:pPr>
        <w:numPr>
          <w:ilvl w:val="0"/>
          <w:numId w:val="2"/>
        </w:numPr>
        <w:spacing w:after="120" w:line="276" w:lineRule="auto"/>
        <w:ind w:firstLineChars="200" w:firstLine="420"/>
        <w:rPr>
          <w:rFonts w:ascii="Times New Roman Regular" w:hAnsi="Times New Roman Regular" w:cs="Times New Roman Regular"/>
          <w:sz w:val="24"/>
        </w:rPr>
      </w:pPr>
      <w:r>
        <w:rPr>
          <w:rFonts w:ascii="Times New Roman" w:hAnsi="Times New Roman" w:cs="Times New Roman Regular"/>
        </w:rPr>
        <w:t xml:space="preserve">Preserve the theoretical independence and ethnomedical characteristics of Zhuang Medicine, and </w:t>
      </w:r>
      <w:r>
        <w:rPr>
          <w:rFonts w:ascii="Times New Roman" w:hAnsi="Times New Roman" w:cs="Times New Roman Regular"/>
        </w:rPr>
        <w:lastRenderedPageBreak/>
        <w:t>avoid mechanically equating its concepts with those of Traditional Chinese Medicine;</w:t>
      </w:r>
    </w:p>
    <w:p w14:paraId="2E56A564" w14:textId="77777777" w:rsidR="00A549DA" w:rsidRDefault="00000000">
      <w:pPr>
        <w:numPr>
          <w:ilvl w:val="0"/>
          <w:numId w:val="2"/>
        </w:numPr>
        <w:spacing w:after="120" w:line="276" w:lineRule="auto"/>
        <w:ind w:firstLineChars="200" w:firstLine="420"/>
        <w:rPr>
          <w:rFonts w:ascii="Times New Roman Regular" w:hAnsi="Times New Roman Regular" w:cs="Times New Roman Regular"/>
          <w:sz w:val="24"/>
        </w:rPr>
      </w:pPr>
      <w:r>
        <w:rPr>
          <w:rFonts w:ascii="Times New Roman" w:hAnsi="Times New Roman" w:cs="Times New Roman Regular"/>
        </w:rPr>
        <w:t xml:space="preserve"> Ensure consistency in terminology and tone throughout the text;</w:t>
      </w:r>
    </w:p>
    <w:p w14:paraId="4D13B8C8" w14:textId="77777777" w:rsidR="00A549DA" w:rsidRDefault="00000000">
      <w:pPr>
        <w:numPr>
          <w:ilvl w:val="0"/>
          <w:numId w:val="2"/>
        </w:numPr>
        <w:spacing w:after="120" w:line="276" w:lineRule="auto"/>
        <w:ind w:firstLineChars="200" w:firstLine="420"/>
        <w:rPr>
          <w:rFonts w:ascii="Times New Roman Regular" w:hAnsi="Times New Roman Regular" w:cs="Times New Roman Regular"/>
          <w:sz w:val="24"/>
        </w:rPr>
      </w:pPr>
      <w:r>
        <w:rPr>
          <w:rFonts w:ascii="Times New Roman" w:hAnsi="Times New Roman" w:cs="Times New Roman Regular"/>
        </w:rPr>
        <w:t xml:space="preserve"> Please strictly follow the terminology, phrasing, and academic style illustrated in the following translation examples.</w:t>
      </w:r>
    </w:p>
    <w:p w14:paraId="08A4A721" w14:textId="77777777" w:rsidR="00A549DA" w:rsidRDefault="00000000">
      <w:pPr>
        <w:spacing w:after="120" w:line="276" w:lineRule="auto"/>
        <w:ind w:firstLineChars="200" w:firstLine="420"/>
        <w:rPr>
          <w:rFonts w:ascii="Times New Roman Regular" w:hAnsi="Times New Roman Regular" w:cs="Times New Roman Regular"/>
          <w:sz w:val="24"/>
        </w:rPr>
      </w:pPr>
      <w:r>
        <w:rPr>
          <w:rFonts w:ascii="Times New Roman" w:hAnsi="Times New Roman" w:cs="Times New Roman Regular"/>
        </w:rPr>
        <w:t>Translation Examples:</w:t>
      </w:r>
    </w:p>
    <w:p w14:paraId="2FAC41A1" w14:textId="77777777" w:rsidR="00A549DA" w:rsidRDefault="00000000">
      <w:pPr>
        <w:spacing w:after="120" w:line="276" w:lineRule="auto"/>
        <w:ind w:firstLineChars="200" w:firstLine="420"/>
        <w:rPr>
          <w:rFonts w:ascii="Times New Roman Regular" w:hAnsi="Times New Roman Regular" w:cs="Times New Roman Regular"/>
          <w:sz w:val="24"/>
        </w:rPr>
      </w:pPr>
      <w:r>
        <w:rPr>
          <w:rFonts w:ascii="Times New Roman" w:hAnsi="Times New Roman" w:cs="Times New Roman Regular"/>
        </w:rPr>
        <w:t>Example 1</w:t>
      </w:r>
    </w:p>
    <w:p w14:paraId="7E5E9081" w14:textId="77777777" w:rsidR="00A549DA" w:rsidRDefault="00000000">
      <w:pPr>
        <w:spacing w:after="120" w:line="276" w:lineRule="auto"/>
        <w:ind w:firstLineChars="200" w:firstLine="420"/>
        <w:rPr>
          <w:rFonts w:ascii="Times New Roman Regular" w:hAnsi="Times New Roman Regular" w:cs="Times New Roman Regular"/>
          <w:sz w:val="24"/>
        </w:rPr>
      </w:pPr>
      <w:r>
        <w:rPr>
          <w:rFonts w:ascii="Times New Roman" w:hAnsi="Times New Roman" w:cs="Times New Roman Regular"/>
        </w:rPr>
        <w:t>Chinese:</w:t>
      </w:r>
      <w:r>
        <w:rPr>
          <w:rFonts w:ascii="Times New Roman" w:eastAsia="Times New Roman" w:hAnsi="Times New Roman" w:cs="Times New Roman Regular" w:hint="eastAsia"/>
        </w:rPr>
        <w:t xml:space="preserve"> </w:t>
      </w:r>
      <w:proofErr w:type="gramStart"/>
      <w:r>
        <w:rPr>
          <w:rFonts w:ascii="Times New Roman" w:hAnsi="Times New Roman" w:cs="Times New Roman Regular"/>
        </w:rPr>
        <w:t>壮医认为人体健康取决于</w:t>
      </w:r>
      <w:r>
        <w:rPr>
          <w:rFonts w:ascii="Times New Roman" w:hAnsi="Times New Roman" w:cs="Times New Roman Regular" w:hint="eastAsia"/>
        </w:rPr>
        <w:t>“</w:t>
      </w:r>
      <w:r>
        <w:rPr>
          <w:rFonts w:ascii="Times New Roman" w:hAnsi="Times New Roman" w:cs="Times New Roman Regular"/>
        </w:rPr>
        <w:t>阴阳平衡</w:t>
      </w:r>
      <w:r>
        <w:rPr>
          <w:rFonts w:ascii="Times New Roman" w:hAnsi="Times New Roman" w:cs="Times New Roman Regular" w:hint="eastAsia"/>
        </w:rPr>
        <w:t>”</w:t>
      </w:r>
      <w:r>
        <w:rPr>
          <w:rFonts w:ascii="Times New Roman" w:hAnsi="Times New Roman" w:cs="Times New Roman Regular"/>
        </w:rPr>
        <w:t>和</w:t>
      </w:r>
      <w:proofErr w:type="gramEnd"/>
      <w:r>
        <w:rPr>
          <w:rFonts w:ascii="Times New Roman" w:hAnsi="Times New Roman" w:cs="Times New Roman Regular" w:hint="eastAsia"/>
        </w:rPr>
        <w:t>“</w:t>
      </w:r>
      <w:proofErr w:type="gramStart"/>
      <w:r>
        <w:rPr>
          <w:rFonts w:ascii="Times New Roman" w:hAnsi="Times New Roman" w:cs="Times New Roman Regular"/>
        </w:rPr>
        <w:t>毒邪消长</w:t>
      </w:r>
      <w:r>
        <w:rPr>
          <w:rFonts w:ascii="Times New Roman" w:hAnsi="Times New Roman" w:cs="Times New Roman Regular" w:hint="eastAsia"/>
        </w:rPr>
        <w:t>”</w:t>
      </w:r>
      <w:r>
        <w:rPr>
          <w:rFonts w:ascii="Times New Roman" w:hAnsi="Times New Roman" w:cs="Times New Roman Regular"/>
        </w:rPr>
        <w:t>的动态协调</w:t>
      </w:r>
      <w:proofErr w:type="gramEnd"/>
      <w:r>
        <w:rPr>
          <w:rFonts w:ascii="Times New Roman" w:hAnsi="Times New Roman" w:cs="Times New Roman Regular"/>
        </w:rPr>
        <w:t>。</w:t>
      </w:r>
    </w:p>
    <w:p w14:paraId="0CDAAEF6" w14:textId="77777777" w:rsidR="00A549DA" w:rsidRDefault="00000000">
      <w:pPr>
        <w:spacing w:after="120" w:line="276" w:lineRule="auto"/>
        <w:ind w:firstLineChars="200" w:firstLine="420"/>
        <w:rPr>
          <w:rFonts w:ascii="Times New Roman Regular" w:hAnsi="Times New Roman Regular" w:cs="Times New Roman Regular"/>
          <w:sz w:val="24"/>
        </w:rPr>
      </w:pPr>
      <w:r>
        <w:rPr>
          <w:rFonts w:ascii="Times New Roman" w:hAnsi="Times New Roman" w:cs="Times New Roman Regular"/>
        </w:rPr>
        <w:t>English:</w:t>
      </w:r>
      <w:r>
        <w:rPr>
          <w:rFonts w:ascii="Times New Roman" w:eastAsia="Times New Roman" w:hAnsi="Times New Roman" w:cs="Times New Roman Regular" w:hint="eastAsia"/>
        </w:rPr>
        <w:t xml:space="preserve"> </w:t>
      </w:r>
      <w:r>
        <w:rPr>
          <w:rFonts w:ascii="Times New Roman" w:hAnsi="Times New Roman" w:cs="Times New Roman Regular"/>
        </w:rPr>
        <w:t xml:space="preserve">Zhuang </w:t>
      </w:r>
      <w:r>
        <w:rPr>
          <w:rFonts w:ascii="Times New Roman" w:eastAsia="Times New Roman" w:hAnsi="Times New Roman" w:cs="Times New Roman Regular"/>
        </w:rPr>
        <w:t>M</w:t>
      </w:r>
      <w:r>
        <w:rPr>
          <w:rFonts w:ascii="Times New Roman" w:hAnsi="Times New Roman" w:cs="Times New Roman Regular"/>
        </w:rPr>
        <w:t>edicine holds that human health depends on the dynamic balance of yin and yang as well as the rise and decline of pathogenic toxins.</w:t>
      </w:r>
    </w:p>
    <w:p w14:paraId="3C76BDDA" w14:textId="77777777" w:rsidR="00A549DA" w:rsidRDefault="00000000">
      <w:pPr>
        <w:spacing w:after="120" w:line="276" w:lineRule="auto"/>
        <w:ind w:firstLineChars="200" w:firstLine="420"/>
        <w:rPr>
          <w:rFonts w:ascii="Times New Roman Regular" w:hAnsi="Times New Roman Regular" w:cs="Times New Roman Regular"/>
          <w:sz w:val="24"/>
        </w:rPr>
      </w:pPr>
      <w:r>
        <w:rPr>
          <w:rFonts w:ascii="Times New Roman" w:hAnsi="Times New Roman" w:cs="Times New Roman Regular"/>
        </w:rPr>
        <w:t>Example 2</w:t>
      </w:r>
    </w:p>
    <w:p w14:paraId="325E2DA9" w14:textId="77777777" w:rsidR="00A549DA" w:rsidRDefault="00000000">
      <w:pPr>
        <w:spacing w:after="120" w:line="276" w:lineRule="auto"/>
        <w:ind w:firstLineChars="200" w:firstLine="420"/>
        <w:rPr>
          <w:rFonts w:ascii="Times New Roman Regular" w:hAnsi="Times New Roman Regular" w:cs="Times New Roman Regular"/>
          <w:sz w:val="24"/>
        </w:rPr>
      </w:pPr>
      <w:r>
        <w:rPr>
          <w:rFonts w:ascii="Times New Roman" w:hAnsi="Times New Roman" w:cs="Times New Roman Regular"/>
        </w:rPr>
        <w:t>Chinese:</w:t>
      </w:r>
      <w:r>
        <w:rPr>
          <w:rFonts w:ascii="Times New Roman" w:eastAsia="Times New Roman" w:hAnsi="Times New Roman" w:cs="Times New Roman Regular" w:hint="eastAsia"/>
        </w:rPr>
        <w:t xml:space="preserve"> </w:t>
      </w:r>
      <w:r>
        <w:rPr>
          <w:rFonts w:ascii="Times New Roman" w:hAnsi="Times New Roman" w:cs="Times New Roman Regular"/>
        </w:rPr>
        <w:t>壮医常通过望、问、触等方式综合判断疾病的性质与病位。</w:t>
      </w:r>
    </w:p>
    <w:p w14:paraId="620A8196" w14:textId="77777777" w:rsidR="00A549DA" w:rsidRDefault="00000000">
      <w:pPr>
        <w:spacing w:after="120" w:line="276" w:lineRule="auto"/>
        <w:ind w:firstLineChars="200" w:firstLine="420"/>
        <w:rPr>
          <w:rFonts w:ascii="Times New Roman Regular" w:hAnsi="Times New Roman Regular" w:cs="Times New Roman Regular"/>
          <w:sz w:val="24"/>
        </w:rPr>
      </w:pPr>
      <w:r>
        <w:rPr>
          <w:rFonts w:ascii="Times New Roman" w:hAnsi="Times New Roman" w:cs="Times New Roman Regular"/>
        </w:rPr>
        <w:t>English:</w:t>
      </w:r>
      <w:r>
        <w:rPr>
          <w:rFonts w:ascii="Times New Roman" w:eastAsia="Times New Roman" w:hAnsi="Times New Roman" w:cs="Times New Roman Regular" w:hint="eastAsia"/>
        </w:rPr>
        <w:t xml:space="preserve"> </w:t>
      </w:r>
      <w:r>
        <w:rPr>
          <w:rFonts w:ascii="Times New Roman" w:hAnsi="Times New Roman" w:cs="Times New Roman Regular"/>
        </w:rPr>
        <w:t>Zhuang physicians commonly diagnose diseases by integrating observation, inquiry, and palpation to determine the nature and location of illness.</w:t>
      </w:r>
    </w:p>
    <w:p w14:paraId="481A457D" w14:textId="77777777" w:rsidR="00A549DA" w:rsidRDefault="00000000">
      <w:pPr>
        <w:spacing w:after="120" w:line="276" w:lineRule="auto"/>
        <w:ind w:firstLineChars="200" w:firstLine="420"/>
        <w:rPr>
          <w:rFonts w:ascii="Times New Roman Regular" w:hAnsi="Times New Roman Regular" w:cs="Times New Roman Regular"/>
          <w:sz w:val="24"/>
        </w:rPr>
      </w:pPr>
      <w:r>
        <w:rPr>
          <w:rFonts w:ascii="Times New Roman" w:hAnsi="Times New Roman" w:cs="Times New Roman Regular"/>
        </w:rPr>
        <w:t>Example 3</w:t>
      </w:r>
    </w:p>
    <w:p w14:paraId="32E898C3" w14:textId="77777777" w:rsidR="00A549DA" w:rsidRDefault="00000000">
      <w:pPr>
        <w:spacing w:after="120" w:line="276" w:lineRule="auto"/>
        <w:ind w:firstLineChars="200" w:firstLine="420"/>
        <w:rPr>
          <w:rFonts w:ascii="Times New Roman Regular" w:hAnsi="Times New Roman Regular" w:cs="Times New Roman Regular"/>
          <w:sz w:val="24"/>
        </w:rPr>
      </w:pPr>
      <w:r>
        <w:rPr>
          <w:rFonts w:ascii="Times New Roman" w:hAnsi="Times New Roman" w:cs="Times New Roman Regular"/>
        </w:rPr>
        <w:t>Chinese:</w:t>
      </w:r>
      <w:r>
        <w:rPr>
          <w:rFonts w:ascii="Times New Roman" w:eastAsia="Times New Roman" w:hAnsi="Times New Roman" w:cs="Times New Roman Regular" w:hint="eastAsia"/>
        </w:rPr>
        <w:t xml:space="preserve"> </w:t>
      </w:r>
      <w:r>
        <w:rPr>
          <w:rFonts w:ascii="Times New Roman" w:hAnsi="Times New Roman" w:cs="Times New Roman Regular"/>
        </w:rPr>
        <w:t>壮医药是在长期生产生活实践中形成的民族传统医学体系。</w:t>
      </w:r>
    </w:p>
    <w:p w14:paraId="20394E34" w14:textId="77777777" w:rsidR="00A549DA" w:rsidRDefault="00000000">
      <w:pPr>
        <w:spacing w:after="120" w:line="276" w:lineRule="auto"/>
        <w:ind w:firstLineChars="200" w:firstLine="420"/>
        <w:rPr>
          <w:rFonts w:ascii="Times New Roman Regular" w:hAnsi="Times New Roman Regular" w:cs="Times New Roman Regular"/>
          <w:sz w:val="24"/>
        </w:rPr>
      </w:pPr>
      <w:r>
        <w:rPr>
          <w:rFonts w:ascii="Times New Roman" w:hAnsi="Times New Roman" w:cs="Times New Roman Regular"/>
        </w:rPr>
        <w:t>English:</w:t>
      </w:r>
      <w:r>
        <w:rPr>
          <w:rFonts w:ascii="Times New Roman" w:eastAsia="Times New Roman" w:hAnsi="Times New Roman" w:cs="Times New Roman Regular" w:hint="eastAsia"/>
        </w:rPr>
        <w:t xml:space="preserve"> </w:t>
      </w:r>
      <w:r>
        <w:rPr>
          <w:rFonts w:ascii="Times New Roman" w:hAnsi="Times New Roman" w:cs="Times New Roman Regular"/>
        </w:rPr>
        <w:t xml:space="preserve">Zhuang </w:t>
      </w:r>
      <w:r>
        <w:rPr>
          <w:rFonts w:ascii="Times New Roman" w:eastAsia="Times New Roman" w:hAnsi="Times New Roman" w:cs="Times New Roman Regular"/>
        </w:rPr>
        <w:t>M</w:t>
      </w:r>
      <w:r>
        <w:rPr>
          <w:rFonts w:ascii="Times New Roman" w:hAnsi="Times New Roman" w:cs="Times New Roman Regular"/>
        </w:rPr>
        <w:t>edicine is a traditional ethnic medical system developed through long-term productive and daily life practices.</w:t>
      </w:r>
    </w:p>
    <w:p w14:paraId="0A105A88" w14:textId="77777777" w:rsidR="00A549DA" w:rsidRDefault="00A549DA">
      <w:pPr>
        <w:spacing w:after="120" w:line="276" w:lineRule="auto"/>
        <w:ind w:firstLineChars="200" w:firstLine="480"/>
        <w:rPr>
          <w:rFonts w:ascii="Times New Roman Regular" w:hAnsi="Times New Roman Regular" w:cs="Times New Roman Regular"/>
          <w:sz w:val="24"/>
        </w:rPr>
      </w:pPr>
    </w:p>
    <w:p w14:paraId="306DD319" w14:textId="77777777" w:rsidR="00A549DA" w:rsidRDefault="00000000">
      <w:pPr>
        <w:spacing w:after="120" w:line="276" w:lineRule="auto"/>
        <w:ind w:firstLineChars="200" w:firstLine="420"/>
        <w:rPr>
          <w:rFonts w:ascii="Times New Roman Regular" w:hAnsi="Times New Roman Regular" w:cs="Times New Roman Regular"/>
          <w:sz w:val="24"/>
        </w:rPr>
      </w:pPr>
      <w:r>
        <w:rPr>
          <w:rFonts w:ascii="Times New Roman" w:hAnsi="Times New Roman" w:cs="Times New Roman Regular"/>
        </w:rPr>
        <w:t>All models received the identical prompt template, with only the source sentence to be translated varying across runs. This controlled prompting strategy was adopted to minimize the influence of prompt variation and ensure the comparability of translation outputs among different LLMs.</w:t>
      </w:r>
    </w:p>
    <w:p w14:paraId="004828B3" w14:textId="77777777" w:rsidR="00A549DA" w:rsidRDefault="00A549DA">
      <w:pPr>
        <w:spacing w:after="120" w:line="276" w:lineRule="auto"/>
        <w:rPr>
          <w:rFonts w:ascii="Times New Roman Regular" w:hAnsi="Times New Roman Regular" w:cs="Times New Roman Regular"/>
          <w:sz w:val="24"/>
        </w:rPr>
      </w:pPr>
    </w:p>
    <w:p w14:paraId="6B4DFA7F" w14:textId="77777777" w:rsidR="00A549DA" w:rsidRDefault="00000000">
      <w:pPr>
        <w:widowControl/>
        <w:spacing w:after="120" w:line="276" w:lineRule="auto"/>
        <w:jc w:val="left"/>
        <w:rPr>
          <w:rFonts w:ascii="Times New Roman Regular" w:hAnsi="Times New Roman Regular" w:cs="Times New Roman Regular"/>
          <w:sz w:val="24"/>
        </w:rPr>
      </w:pPr>
      <w:r>
        <w:rPr>
          <w:rFonts w:ascii="Times New Roman" w:eastAsia="Times New Roman" w:hAnsi="Times New Roman" w:cs="Times New Roman Regular"/>
          <w:b/>
          <w:bCs/>
          <w:kern w:val="0"/>
          <w:szCs w:val="27"/>
          <w:lang w:bidi="ar"/>
        </w:rPr>
        <w:t>3.3 COMET Automatic Evaluation Metric</w:t>
      </w:r>
    </w:p>
    <w:p w14:paraId="298FBF11" w14:textId="77777777" w:rsidR="00A549DA" w:rsidRDefault="00000000">
      <w:pPr>
        <w:spacing w:after="120" w:line="276" w:lineRule="auto"/>
        <w:ind w:firstLineChars="200" w:firstLine="420"/>
        <w:rPr>
          <w:rFonts w:ascii="Times New Roman Regular" w:hAnsi="Times New Roman Regular" w:cs="Times New Roman Regular"/>
          <w:sz w:val="24"/>
        </w:rPr>
      </w:pPr>
      <w:r>
        <w:rPr>
          <w:rFonts w:ascii="Times New Roman" w:hAnsi="Times New Roman" w:cs="Times New Roman Regular"/>
        </w:rPr>
        <w:t>This study employed COMET (</w:t>
      </w:r>
      <w:proofErr w:type="spellStart"/>
      <w:r>
        <w:rPr>
          <w:rFonts w:ascii="Times New Roman" w:hAnsi="Times New Roman" w:cs="Times New Roman Regular"/>
        </w:rPr>
        <w:t>Crosslingual</w:t>
      </w:r>
      <w:proofErr w:type="spellEnd"/>
      <w:r>
        <w:rPr>
          <w:rFonts w:ascii="Times New Roman" w:hAnsi="Times New Roman" w:cs="Times New Roman Regular"/>
        </w:rPr>
        <w:t xml:space="preserve"> Optimized Metric for Evaluation of Translation) as the automatic evaluation metric to assess the translation quality produced by different LLMs. COMET is a pretrained language model-based evaluation framework that estimates translation quality by modeling the semantic correspondence between the source text and its translation. Previous studies have shown that COMET exhibits a high degree of agreement with human judgments (Rei et al., 2020). Compared with conventional n-gram-based evaluation metrics, COMET provides a more comprehensive assessment of translation quality at the semantic level.</w:t>
      </w:r>
    </w:p>
    <w:p w14:paraId="0AA1CAD1" w14:textId="77777777" w:rsidR="00A549DA" w:rsidRDefault="00000000">
      <w:pPr>
        <w:spacing w:after="120" w:line="276" w:lineRule="auto"/>
        <w:ind w:firstLineChars="200" w:firstLine="420"/>
        <w:rPr>
          <w:rFonts w:ascii="Times New Roman Regular" w:hAnsi="Times New Roman Regular" w:cs="Times New Roman Regular"/>
          <w:sz w:val="24"/>
        </w:rPr>
      </w:pPr>
      <w:r>
        <w:rPr>
          <w:rFonts w:ascii="Times New Roman" w:hAnsi="Times New Roman" w:cs="Times New Roman Regular"/>
        </w:rPr>
        <w:t>Specifically, this study adopted the wmt21-comet-qe-da model of COMET [Reference]. This model follows the Quality Estimation (QE) paradigm and does not require human reference translations. It produces quality scores ranging from −1 to 1, with values closer to 1 indicating higher translation quality.</w:t>
      </w:r>
      <w:r>
        <w:rPr>
          <w:rFonts w:ascii="Times New Roman" w:eastAsia="Times New Roman" w:hAnsi="Times New Roman" w:cs="Times New Roman Regular"/>
        </w:rPr>
        <w:t xml:space="preserve"> </w:t>
      </w:r>
      <w:r>
        <w:rPr>
          <w:rFonts w:ascii="Times New Roman" w:hAnsi="Times New Roman" w:cs="Times New Roman Regular"/>
        </w:rPr>
        <w:lastRenderedPageBreak/>
        <w:t>The 240 source sentences and their corresponding translations generated by the five LLMs were organized into TXT files. Translation quality was then evaluated by invoking the wmt21-comet-qe-da model within the Spyder integrated development environment (IDE).</w:t>
      </w:r>
    </w:p>
    <w:p w14:paraId="7BEE6D05" w14:textId="77777777" w:rsidR="00A549DA" w:rsidRDefault="00000000">
      <w:pPr>
        <w:pStyle w:val="Heading2"/>
        <w:widowControl/>
        <w:spacing w:after="120" w:line="276" w:lineRule="auto"/>
        <w:rPr>
          <w:rFonts w:ascii="Trebuchet MS" w:eastAsia="Trebuchet MS" w:hAnsi="Trebuchet MS" w:cs="Trebuchet MS" w:hint="default"/>
          <w:snapToGrid w:val="0"/>
          <w:color w:val="000000"/>
          <w:spacing w:val="2"/>
          <w:sz w:val="22"/>
          <w:szCs w:val="22"/>
          <w:lang w:eastAsia="en-US"/>
        </w:rPr>
      </w:pPr>
      <w:r>
        <w:rPr>
          <w:rFonts w:ascii="Times New Roman" w:eastAsia="Times New Roman" w:hAnsi="Times New Roman" w:cs="Trebuchet MS" w:hint="default"/>
          <w:snapToGrid w:val="0"/>
          <w:color w:val="000000"/>
          <w:spacing w:val="2"/>
          <w:sz w:val="21"/>
          <w:szCs w:val="22"/>
          <w:lang w:eastAsia="en-US"/>
        </w:rPr>
        <w:t>4. Results and Discussion</w:t>
      </w:r>
    </w:p>
    <w:p w14:paraId="04D94265" w14:textId="77777777" w:rsidR="00A549DA" w:rsidRDefault="00000000">
      <w:pPr>
        <w:pStyle w:val="Heading3"/>
        <w:widowControl/>
        <w:spacing w:after="120" w:line="276" w:lineRule="auto"/>
        <w:rPr>
          <w:rFonts w:ascii="Times New Roman Regular" w:hAnsi="Times New Roman Regular" w:cs="Times New Roman Regular" w:hint="default"/>
        </w:rPr>
      </w:pPr>
      <w:r>
        <w:rPr>
          <w:rFonts w:ascii="Times New Roman" w:eastAsia="Times New Roman" w:hAnsi="Times New Roman" w:cs="Times New Roman Regular" w:hint="default"/>
          <w:sz w:val="21"/>
        </w:rPr>
        <w:t>4.1 Quantitative Analysis</w:t>
      </w:r>
    </w:p>
    <w:p w14:paraId="1DD4CD9F" w14:textId="77777777" w:rsidR="00A549DA" w:rsidRDefault="00000000">
      <w:pPr>
        <w:spacing w:after="120" w:line="276" w:lineRule="auto"/>
        <w:ind w:firstLineChars="200" w:firstLine="420"/>
        <w:rPr>
          <w:rFonts w:ascii="Times New Roman Regular" w:hAnsi="Times New Roman Regular" w:cs="Times New Roman Regular"/>
          <w:sz w:val="24"/>
        </w:rPr>
      </w:pPr>
      <w:r>
        <w:rPr>
          <w:rFonts w:ascii="Times New Roman" w:hAnsi="Times New Roman" w:cs="Times New Roman Regular"/>
        </w:rPr>
        <w:t>The COMET evaluation results reveal observable differences in the Chinese–English translation performance of the five Large Language Models (LLMs) on Zhuang Medicine texts (see Table 1). Among them, DeepSeek-V3.2 achieved the highest mean COMET score (0.0249), slightly outperforming Claude Sonnet 4.5 (0.0218) and Gemini 2.5 Pro (0.0215). In contrast, ERNIE 5.0 and ChatGPT-5.2 exhibited comparatively lower performance. However, all models showed considerable score dispersion, with standard deviations ranging from 0.0682 to 0.0732. Notably, these standard deviations were substantially larger than the differences in mean scores among the models, indicating considerable variation in translation quality across individual sentences. Therefore, the relatively small differences in mean COMET scores alone are insufficient to establish statistically meaningful differences in translation performance.</w:t>
      </w:r>
    </w:p>
    <w:p w14:paraId="07E117B2" w14:textId="77777777" w:rsidR="00A549DA" w:rsidRDefault="00A549DA">
      <w:pPr>
        <w:spacing w:after="120" w:line="276" w:lineRule="auto"/>
        <w:ind w:firstLineChars="200" w:firstLine="480"/>
        <w:rPr>
          <w:rFonts w:ascii="Times New Roman Regular" w:hAnsi="Times New Roman Regular" w:cs="Times New Roman Regular"/>
          <w:sz w:val="24"/>
        </w:rPr>
      </w:pPr>
    </w:p>
    <w:p w14:paraId="6156AD5A" w14:textId="77777777" w:rsidR="00A549DA" w:rsidRDefault="00000000">
      <w:pPr>
        <w:spacing w:after="120" w:line="276" w:lineRule="auto"/>
        <w:ind w:firstLineChars="200" w:firstLine="420"/>
        <w:rPr>
          <w:rFonts w:ascii="Times New Roman Regular" w:hAnsi="Times New Roman Regular" w:cs="Times New Roman Regular"/>
          <w:sz w:val="18"/>
          <w:szCs w:val="18"/>
        </w:rPr>
      </w:pPr>
      <w:r>
        <w:rPr>
          <w:rFonts w:ascii="Times New Roman" w:hAnsi="Times New Roman" w:cs="Times New Roman Regular"/>
          <w:szCs w:val="18"/>
        </w:rPr>
        <w:t xml:space="preserve">Table 1. Descriptive Statistics of COMET Evaluation Scores for the Five Large Language Models </w:t>
      </w:r>
    </w:p>
    <w:tbl>
      <w:tblPr>
        <w:tblStyle w:val="TableGrid"/>
        <w:tblW w:w="4892" w:type="pct"/>
        <w:jc w:val="center"/>
        <w:tblLook w:val="04A0" w:firstRow="1" w:lastRow="0" w:firstColumn="1" w:lastColumn="0" w:noHBand="0" w:noVBand="1"/>
      </w:tblPr>
      <w:tblGrid>
        <w:gridCol w:w="3517"/>
        <w:gridCol w:w="2581"/>
        <w:gridCol w:w="2944"/>
      </w:tblGrid>
      <w:tr w:rsidR="00A549DA" w14:paraId="1053C732" w14:textId="77777777">
        <w:trPr>
          <w:trHeight w:val="306"/>
          <w:jc w:val="center"/>
        </w:trPr>
        <w:tc>
          <w:tcPr>
            <w:tcW w:w="1944" w:type="pct"/>
            <w:tcBorders>
              <w:top w:val="single" w:sz="12" w:space="0" w:color="000000"/>
              <w:left w:val="nil"/>
              <w:bottom w:val="single" w:sz="4" w:space="0" w:color="000000"/>
              <w:right w:val="nil"/>
              <w:tl2br w:val="nil"/>
            </w:tcBorders>
          </w:tcPr>
          <w:p w14:paraId="55453D8C" w14:textId="77777777" w:rsidR="00A549DA" w:rsidRDefault="00000000">
            <w:pPr>
              <w:widowControl/>
              <w:jc w:val="left"/>
              <w:rPr>
                <w:rFonts w:ascii="Times New Roman" w:eastAsia="SimSun" w:hAnsi="Times New Roman" w:cs="Times New Roman"/>
                <w:color w:val="000000" w:themeColor="text1"/>
                <w:sz w:val="24"/>
              </w:rPr>
            </w:pPr>
            <w:r>
              <w:rPr>
                <w:rFonts w:ascii="Times New Roman" w:eastAsia="Times New Roman" w:hAnsi="Times New Roman" w:cs="Times New Roman"/>
                <w:kern w:val="0"/>
                <w:sz w:val="18"/>
                <w:lang w:bidi="ar"/>
              </w:rPr>
              <w:t>Large Language Model (LLM)</w:t>
            </w:r>
          </w:p>
        </w:tc>
        <w:tc>
          <w:tcPr>
            <w:tcW w:w="1427" w:type="pct"/>
            <w:tcBorders>
              <w:top w:val="single" w:sz="12" w:space="0" w:color="000000"/>
              <w:left w:val="nil"/>
              <w:bottom w:val="single" w:sz="4" w:space="0" w:color="000000"/>
              <w:right w:val="nil"/>
            </w:tcBorders>
          </w:tcPr>
          <w:p w14:paraId="5C56F442" w14:textId="77777777" w:rsidR="00A549DA" w:rsidRDefault="00000000">
            <w:pPr>
              <w:widowControl/>
              <w:jc w:val="left"/>
              <w:rPr>
                <w:rFonts w:ascii="Times New Roman" w:eastAsia="SimSun" w:hAnsi="Times New Roman" w:cs="Times New Roman"/>
                <w:color w:val="000000" w:themeColor="text1"/>
                <w:sz w:val="24"/>
              </w:rPr>
            </w:pPr>
            <w:r>
              <w:rPr>
                <w:rFonts w:ascii="Times New Roman" w:eastAsia="Times New Roman" w:hAnsi="Times New Roman" w:cs="Times New Roman"/>
                <w:kern w:val="0"/>
                <w:sz w:val="18"/>
                <w:lang w:bidi="ar"/>
              </w:rPr>
              <w:t>Mean COMET Score</w:t>
            </w:r>
          </w:p>
        </w:tc>
        <w:tc>
          <w:tcPr>
            <w:tcW w:w="1628" w:type="pct"/>
            <w:tcBorders>
              <w:top w:val="single" w:sz="12" w:space="0" w:color="000000"/>
              <w:left w:val="nil"/>
              <w:bottom w:val="single" w:sz="4" w:space="0" w:color="000000"/>
              <w:right w:val="nil"/>
            </w:tcBorders>
            <w:vAlign w:val="center"/>
          </w:tcPr>
          <w:p w14:paraId="0EE55DFF" w14:textId="77777777" w:rsidR="00A549DA" w:rsidRDefault="00000000">
            <w:pPr>
              <w:widowControl/>
              <w:jc w:val="left"/>
              <w:rPr>
                <w:rFonts w:ascii="Times New Roman" w:eastAsia="SimSun" w:hAnsi="Times New Roman" w:cs="Times New Roman"/>
                <w:color w:val="000000" w:themeColor="text1"/>
                <w:sz w:val="24"/>
              </w:rPr>
            </w:pPr>
            <w:r>
              <w:rPr>
                <w:rFonts w:ascii="Times New Roman" w:eastAsia="Times New Roman" w:hAnsi="Times New Roman" w:cs="Times New Roman"/>
                <w:kern w:val="0"/>
                <w:sz w:val="18"/>
                <w:lang w:bidi="ar"/>
              </w:rPr>
              <w:t>COMET Standard Deviation (SD)</w:t>
            </w:r>
          </w:p>
        </w:tc>
      </w:tr>
      <w:tr w:rsidR="00A549DA" w14:paraId="3C3E8B23" w14:textId="77777777">
        <w:trPr>
          <w:trHeight w:val="288"/>
          <w:jc w:val="center"/>
        </w:trPr>
        <w:tc>
          <w:tcPr>
            <w:tcW w:w="1944" w:type="pct"/>
            <w:tcBorders>
              <w:top w:val="single" w:sz="4" w:space="0" w:color="000000"/>
              <w:left w:val="nil"/>
              <w:bottom w:val="nil"/>
              <w:right w:val="nil"/>
            </w:tcBorders>
          </w:tcPr>
          <w:p w14:paraId="790D8E8B" w14:textId="77777777" w:rsidR="00A549DA" w:rsidRDefault="00000000">
            <w:pPr>
              <w:widowControl/>
              <w:jc w:val="center"/>
              <w:textAlignment w:val="top"/>
              <w:rPr>
                <w:rFonts w:ascii="Times New Roman Regular" w:eastAsia="SimSun" w:hAnsi="Times New Roman Regular" w:cs="Times New Roman Regular"/>
                <w:color w:val="000000" w:themeColor="text1"/>
                <w:sz w:val="24"/>
              </w:rPr>
            </w:pPr>
            <w:r>
              <w:rPr>
                <w:rFonts w:ascii="Times New Roman" w:eastAsia="Times New Roman" w:hAnsi="Times New Roman" w:cs="Times New Roman Regular"/>
                <w:color w:val="000000" w:themeColor="text1"/>
                <w:sz w:val="18"/>
              </w:rPr>
              <w:t>Deepseek-V3.2</w:t>
            </w:r>
          </w:p>
        </w:tc>
        <w:tc>
          <w:tcPr>
            <w:tcW w:w="1427" w:type="pct"/>
            <w:tcBorders>
              <w:top w:val="single" w:sz="4" w:space="0" w:color="000000"/>
              <w:left w:val="nil"/>
              <w:bottom w:val="nil"/>
              <w:right w:val="nil"/>
            </w:tcBorders>
          </w:tcPr>
          <w:p w14:paraId="18227258" w14:textId="77777777" w:rsidR="00A549DA" w:rsidRDefault="00000000">
            <w:pPr>
              <w:widowControl/>
              <w:jc w:val="center"/>
              <w:textAlignment w:val="top"/>
              <w:rPr>
                <w:rFonts w:ascii="Times New Roman Regular" w:eastAsia="SimSun" w:hAnsi="Times New Roman Regular" w:cs="Times New Roman Regular"/>
                <w:color w:val="000000" w:themeColor="text1"/>
                <w:sz w:val="24"/>
              </w:rPr>
            </w:pPr>
            <w:r>
              <w:rPr>
                <w:rFonts w:ascii="Times New Roman" w:eastAsia="Times New Roman" w:hAnsi="Times New Roman" w:cs="Times New Roman Regular"/>
                <w:color w:val="000000" w:themeColor="text1"/>
                <w:sz w:val="18"/>
              </w:rPr>
              <w:t>0.0249</w:t>
            </w:r>
          </w:p>
        </w:tc>
        <w:tc>
          <w:tcPr>
            <w:tcW w:w="1628" w:type="pct"/>
            <w:tcBorders>
              <w:top w:val="single" w:sz="4" w:space="0" w:color="000000"/>
              <w:left w:val="nil"/>
              <w:bottom w:val="nil"/>
              <w:right w:val="nil"/>
            </w:tcBorders>
            <w:vAlign w:val="center"/>
          </w:tcPr>
          <w:p w14:paraId="7C895994" w14:textId="77777777" w:rsidR="00A549DA" w:rsidRDefault="00000000">
            <w:pPr>
              <w:widowControl/>
              <w:jc w:val="center"/>
              <w:textAlignment w:val="center"/>
              <w:rPr>
                <w:rFonts w:ascii="Times New Roman Regular" w:eastAsia="SimSun" w:hAnsi="Times New Roman Regular" w:cs="Times New Roman Regular"/>
                <w:color w:val="000000" w:themeColor="text1"/>
                <w:sz w:val="22"/>
                <w:szCs w:val="22"/>
              </w:rPr>
            </w:pPr>
            <w:r>
              <w:rPr>
                <w:rFonts w:ascii="Times New Roman" w:eastAsia="Times New Roman" w:hAnsi="Times New Roman" w:cs="Times New Roman Regular"/>
                <w:color w:val="000000" w:themeColor="text1"/>
                <w:kern w:val="0"/>
                <w:sz w:val="18"/>
                <w:szCs w:val="22"/>
                <w:lang w:bidi="ar"/>
              </w:rPr>
              <w:t>0.069</w:t>
            </w:r>
          </w:p>
        </w:tc>
      </w:tr>
      <w:tr w:rsidR="00A549DA" w14:paraId="638AB663" w14:textId="77777777">
        <w:trPr>
          <w:trHeight w:val="361"/>
          <w:jc w:val="center"/>
        </w:trPr>
        <w:tc>
          <w:tcPr>
            <w:tcW w:w="1944" w:type="pct"/>
            <w:tcBorders>
              <w:top w:val="nil"/>
              <w:left w:val="nil"/>
              <w:bottom w:val="nil"/>
              <w:right w:val="nil"/>
            </w:tcBorders>
          </w:tcPr>
          <w:p w14:paraId="466C87AB" w14:textId="77777777" w:rsidR="00A549DA" w:rsidRDefault="00000000">
            <w:pPr>
              <w:widowControl/>
              <w:jc w:val="center"/>
              <w:textAlignment w:val="top"/>
              <w:rPr>
                <w:rFonts w:ascii="Times New Roman Regular" w:eastAsia="SimSun" w:hAnsi="Times New Roman Regular" w:cs="Times New Roman Regular"/>
                <w:color w:val="000000" w:themeColor="text1"/>
                <w:sz w:val="24"/>
              </w:rPr>
            </w:pPr>
            <w:r>
              <w:rPr>
                <w:rFonts w:ascii="Times New Roman" w:eastAsia="Times New Roman" w:hAnsi="Times New Roman" w:cs="Times New Roman Regular"/>
                <w:color w:val="000000" w:themeColor="text1"/>
                <w:sz w:val="18"/>
              </w:rPr>
              <w:t xml:space="preserve">Claude-Sonnet 4.5 </w:t>
            </w:r>
          </w:p>
        </w:tc>
        <w:tc>
          <w:tcPr>
            <w:tcW w:w="1427" w:type="pct"/>
            <w:tcBorders>
              <w:top w:val="nil"/>
              <w:left w:val="nil"/>
              <w:bottom w:val="nil"/>
              <w:right w:val="nil"/>
            </w:tcBorders>
          </w:tcPr>
          <w:p w14:paraId="4C9D8FAD" w14:textId="77777777" w:rsidR="00A549DA" w:rsidRDefault="00000000">
            <w:pPr>
              <w:widowControl/>
              <w:jc w:val="center"/>
              <w:textAlignment w:val="top"/>
              <w:rPr>
                <w:rFonts w:ascii="Times New Roman Regular" w:eastAsia="SimSun" w:hAnsi="Times New Roman Regular" w:cs="Times New Roman Regular"/>
                <w:color w:val="000000" w:themeColor="text1"/>
                <w:sz w:val="24"/>
              </w:rPr>
            </w:pPr>
            <w:r>
              <w:rPr>
                <w:rFonts w:ascii="Times New Roman" w:eastAsia="Times New Roman" w:hAnsi="Times New Roman" w:cs="Times New Roman Regular"/>
                <w:color w:val="000000" w:themeColor="text1"/>
                <w:sz w:val="18"/>
              </w:rPr>
              <w:t>0.0218</w:t>
            </w:r>
          </w:p>
        </w:tc>
        <w:tc>
          <w:tcPr>
            <w:tcW w:w="1628" w:type="pct"/>
            <w:tcBorders>
              <w:top w:val="nil"/>
              <w:left w:val="nil"/>
              <w:bottom w:val="nil"/>
              <w:right w:val="nil"/>
            </w:tcBorders>
            <w:vAlign w:val="center"/>
          </w:tcPr>
          <w:p w14:paraId="539DB08B" w14:textId="77777777" w:rsidR="00A549DA" w:rsidRDefault="00000000">
            <w:pPr>
              <w:widowControl/>
              <w:jc w:val="center"/>
              <w:textAlignment w:val="center"/>
              <w:rPr>
                <w:rFonts w:ascii="Times New Roman Regular" w:eastAsia="SimSun" w:hAnsi="Times New Roman Regular" w:cs="Times New Roman Regular"/>
                <w:color w:val="000000" w:themeColor="text1"/>
                <w:sz w:val="22"/>
                <w:szCs w:val="22"/>
              </w:rPr>
            </w:pPr>
            <w:r>
              <w:rPr>
                <w:rFonts w:ascii="Times New Roman" w:eastAsia="Times New Roman" w:hAnsi="Times New Roman" w:cs="Times New Roman Regular"/>
                <w:color w:val="000000" w:themeColor="text1"/>
                <w:kern w:val="0"/>
                <w:sz w:val="18"/>
                <w:szCs w:val="22"/>
                <w:lang w:bidi="ar"/>
              </w:rPr>
              <w:t>0.0702</w:t>
            </w:r>
          </w:p>
        </w:tc>
      </w:tr>
      <w:tr w:rsidR="00A549DA" w14:paraId="7FA23A6D" w14:textId="77777777">
        <w:trPr>
          <w:trHeight w:val="279"/>
          <w:jc w:val="center"/>
        </w:trPr>
        <w:tc>
          <w:tcPr>
            <w:tcW w:w="1944" w:type="pct"/>
            <w:tcBorders>
              <w:top w:val="nil"/>
              <w:left w:val="nil"/>
              <w:bottom w:val="nil"/>
              <w:right w:val="nil"/>
            </w:tcBorders>
          </w:tcPr>
          <w:p w14:paraId="5B83D166" w14:textId="77777777" w:rsidR="00A549DA" w:rsidRDefault="00000000">
            <w:pPr>
              <w:widowControl/>
              <w:jc w:val="center"/>
              <w:textAlignment w:val="top"/>
              <w:rPr>
                <w:rFonts w:ascii="Times New Roman Regular" w:eastAsia="SimSun" w:hAnsi="Times New Roman Regular" w:cs="Times New Roman Regular"/>
                <w:color w:val="000000" w:themeColor="text1"/>
                <w:sz w:val="24"/>
              </w:rPr>
            </w:pPr>
            <w:r>
              <w:rPr>
                <w:rFonts w:ascii="Times New Roman" w:eastAsia="Times New Roman" w:hAnsi="Times New Roman" w:cs="Times New Roman Regular"/>
                <w:color w:val="000000" w:themeColor="text1"/>
                <w:sz w:val="18"/>
              </w:rPr>
              <w:t xml:space="preserve">Gemini-2.5 Pro </w:t>
            </w:r>
          </w:p>
        </w:tc>
        <w:tc>
          <w:tcPr>
            <w:tcW w:w="1427" w:type="pct"/>
            <w:tcBorders>
              <w:top w:val="nil"/>
              <w:left w:val="nil"/>
              <w:bottom w:val="nil"/>
              <w:right w:val="nil"/>
            </w:tcBorders>
          </w:tcPr>
          <w:p w14:paraId="6B05234C" w14:textId="77777777" w:rsidR="00A549DA" w:rsidRDefault="00000000">
            <w:pPr>
              <w:widowControl/>
              <w:jc w:val="center"/>
              <w:textAlignment w:val="top"/>
              <w:rPr>
                <w:rFonts w:ascii="Times New Roman Regular" w:eastAsia="SimSun" w:hAnsi="Times New Roman Regular" w:cs="Times New Roman Regular"/>
                <w:color w:val="000000" w:themeColor="text1"/>
                <w:sz w:val="24"/>
              </w:rPr>
            </w:pPr>
            <w:r>
              <w:rPr>
                <w:rFonts w:ascii="Times New Roman" w:eastAsia="Times New Roman" w:hAnsi="Times New Roman" w:cs="Times New Roman Regular"/>
                <w:color w:val="000000" w:themeColor="text1"/>
                <w:sz w:val="18"/>
              </w:rPr>
              <w:t>0.0215</w:t>
            </w:r>
          </w:p>
        </w:tc>
        <w:tc>
          <w:tcPr>
            <w:tcW w:w="1628" w:type="pct"/>
            <w:tcBorders>
              <w:top w:val="nil"/>
              <w:left w:val="nil"/>
              <w:bottom w:val="nil"/>
              <w:right w:val="nil"/>
            </w:tcBorders>
            <w:vAlign w:val="center"/>
          </w:tcPr>
          <w:p w14:paraId="3F28145E" w14:textId="77777777" w:rsidR="00A549DA" w:rsidRDefault="00000000">
            <w:pPr>
              <w:widowControl/>
              <w:jc w:val="center"/>
              <w:textAlignment w:val="center"/>
              <w:rPr>
                <w:rFonts w:ascii="Times New Roman Regular" w:eastAsia="SimSun" w:hAnsi="Times New Roman Regular" w:cs="Times New Roman Regular"/>
                <w:color w:val="000000" w:themeColor="text1"/>
                <w:sz w:val="22"/>
                <w:szCs w:val="22"/>
              </w:rPr>
            </w:pPr>
            <w:r>
              <w:rPr>
                <w:rFonts w:ascii="Times New Roman" w:eastAsia="Times New Roman" w:hAnsi="Times New Roman" w:cs="Times New Roman Regular"/>
                <w:color w:val="000000" w:themeColor="text1"/>
                <w:kern w:val="0"/>
                <w:sz w:val="18"/>
                <w:szCs w:val="22"/>
                <w:lang w:bidi="ar"/>
              </w:rPr>
              <w:t>0.0683</w:t>
            </w:r>
          </w:p>
        </w:tc>
      </w:tr>
      <w:tr w:rsidR="00A549DA" w14:paraId="06D3E4FC" w14:textId="77777777">
        <w:trPr>
          <w:trHeight w:val="279"/>
          <w:jc w:val="center"/>
        </w:trPr>
        <w:tc>
          <w:tcPr>
            <w:tcW w:w="1944" w:type="pct"/>
            <w:tcBorders>
              <w:top w:val="nil"/>
              <w:left w:val="nil"/>
              <w:bottom w:val="nil"/>
              <w:right w:val="nil"/>
            </w:tcBorders>
          </w:tcPr>
          <w:p w14:paraId="0DA87777" w14:textId="77777777" w:rsidR="00A549DA" w:rsidRDefault="00000000">
            <w:pPr>
              <w:widowControl/>
              <w:jc w:val="center"/>
              <w:textAlignment w:val="top"/>
              <w:rPr>
                <w:rFonts w:ascii="Times New Roman Regular" w:eastAsia="SimSun" w:hAnsi="Times New Roman Regular" w:cs="Times New Roman Regular"/>
                <w:color w:val="000000" w:themeColor="text1"/>
                <w:sz w:val="24"/>
              </w:rPr>
            </w:pPr>
            <w:r>
              <w:rPr>
                <w:rFonts w:ascii="Times New Roman" w:eastAsia="Times New Roman" w:hAnsi="Times New Roman" w:cs="Times New Roman Regular"/>
                <w:color w:val="000000" w:themeColor="text1"/>
                <w:sz w:val="18"/>
              </w:rPr>
              <w:t>ERNIE 5.0</w:t>
            </w:r>
          </w:p>
        </w:tc>
        <w:tc>
          <w:tcPr>
            <w:tcW w:w="1427" w:type="pct"/>
            <w:tcBorders>
              <w:top w:val="nil"/>
              <w:left w:val="nil"/>
              <w:bottom w:val="nil"/>
              <w:right w:val="nil"/>
            </w:tcBorders>
          </w:tcPr>
          <w:p w14:paraId="12FBBA1E" w14:textId="77777777" w:rsidR="00A549DA" w:rsidRDefault="00000000">
            <w:pPr>
              <w:widowControl/>
              <w:jc w:val="center"/>
              <w:textAlignment w:val="top"/>
              <w:rPr>
                <w:rFonts w:ascii="Times New Roman Regular" w:eastAsia="SimSun" w:hAnsi="Times New Roman Regular" w:cs="Times New Roman Regular"/>
                <w:color w:val="000000" w:themeColor="text1"/>
                <w:sz w:val="24"/>
              </w:rPr>
            </w:pPr>
            <w:r>
              <w:rPr>
                <w:rFonts w:ascii="Times New Roman" w:eastAsia="Times New Roman" w:hAnsi="Times New Roman" w:cs="Times New Roman Regular"/>
                <w:color w:val="000000" w:themeColor="text1"/>
                <w:sz w:val="18"/>
              </w:rPr>
              <w:t>0.0185</w:t>
            </w:r>
          </w:p>
        </w:tc>
        <w:tc>
          <w:tcPr>
            <w:tcW w:w="1628" w:type="pct"/>
            <w:tcBorders>
              <w:top w:val="nil"/>
              <w:left w:val="nil"/>
              <w:bottom w:val="nil"/>
              <w:right w:val="nil"/>
            </w:tcBorders>
            <w:vAlign w:val="center"/>
          </w:tcPr>
          <w:p w14:paraId="5E1FD8FA" w14:textId="77777777" w:rsidR="00A549DA" w:rsidRDefault="00000000">
            <w:pPr>
              <w:widowControl/>
              <w:jc w:val="center"/>
              <w:textAlignment w:val="center"/>
              <w:rPr>
                <w:rFonts w:ascii="Times New Roman Regular" w:eastAsia="SimSun" w:hAnsi="Times New Roman Regular" w:cs="Times New Roman Regular"/>
                <w:color w:val="000000" w:themeColor="text1"/>
                <w:sz w:val="22"/>
                <w:szCs w:val="22"/>
              </w:rPr>
            </w:pPr>
            <w:r>
              <w:rPr>
                <w:rFonts w:ascii="Times New Roman" w:eastAsia="Times New Roman" w:hAnsi="Times New Roman" w:cs="Times New Roman Regular"/>
                <w:color w:val="000000" w:themeColor="text1"/>
                <w:kern w:val="0"/>
                <w:sz w:val="18"/>
                <w:szCs w:val="22"/>
                <w:lang w:bidi="ar"/>
              </w:rPr>
              <w:t>0.0682</w:t>
            </w:r>
          </w:p>
        </w:tc>
      </w:tr>
      <w:tr w:rsidR="00A549DA" w14:paraId="74152126" w14:textId="77777777">
        <w:trPr>
          <w:trHeight w:val="306"/>
          <w:jc w:val="center"/>
        </w:trPr>
        <w:tc>
          <w:tcPr>
            <w:tcW w:w="1944" w:type="pct"/>
            <w:tcBorders>
              <w:top w:val="nil"/>
              <w:left w:val="nil"/>
              <w:bottom w:val="single" w:sz="12" w:space="0" w:color="000000"/>
              <w:right w:val="nil"/>
            </w:tcBorders>
          </w:tcPr>
          <w:p w14:paraId="0A045C2F" w14:textId="77777777" w:rsidR="00A549DA" w:rsidRDefault="00000000">
            <w:pPr>
              <w:widowControl/>
              <w:jc w:val="center"/>
              <w:textAlignment w:val="top"/>
              <w:rPr>
                <w:rFonts w:ascii="Times New Roman Regular" w:eastAsia="SimSun" w:hAnsi="Times New Roman Regular" w:cs="Times New Roman Regular"/>
                <w:color w:val="000000" w:themeColor="text1"/>
                <w:sz w:val="24"/>
              </w:rPr>
            </w:pPr>
            <w:r>
              <w:rPr>
                <w:rFonts w:ascii="Times New Roman" w:eastAsia="Times New Roman" w:hAnsi="Times New Roman" w:cs="Times New Roman Regular"/>
                <w:color w:val="000000" w:themeColor="text1"/>
                <w:sz w:val="18"/>
              </w:rPr>
              <w:t xml:space="preserve">ChatGPT-5.2 </w:t>
            </w:r>
          </w:p>
        </w:tc>
        <w:tc>
          <w:tcPr>
            <w:tcW w:w="1427" w:type="pct"/>
            <w:tcBorders>
              <w:top w:val="nil"/>
              <w:left w:val="nil"/>
              <w:bottom w:val="single" w:sz="12" w:space="0" w:color="000000"/>
              <w:right w:val="nil"/>
            </w:tcBorders>
          </w:tcPr>
          <w:p w14:paraId="6451393C" w14:textId="77777777" w:rsidR="00A549DA" w:rsidRDefault="00000000">
            <w:pPr>
              <w:widowControl/>
              <w:jc w:val="center"/>
              <w:textAlignment w:val="top"/>
              <w:rPr>
                <w:rFonts w:ascii="Times New Roman Regular" w:eastAsia="SimSun" w:hAnsi="Times New Roman Regular" w:cs="Times New Roman Regular"/>
                <w:color w:val="000000" w:themeColor="text1"/>
                <w:sz w:val="24"/>
              </w:rPr>
            </w:pPr>
            <w:r>
              <w:rPr>
                <w:rFonts w:ascii="Times New Roman" w:eastAsia="Times New Roman" w:hAnsi="Times New Roman" w:cs="Times New Roman Regular"/>
                <w:color w:val="000000" w:themeColor="text1"/>
                <w:sz w:val="18"/>
              </w:rPr>
              <w:t>0.0168</w:t>
            </w:r>
          </w:p>
        </w:tc>
        <w:tc>
          <w:tcPr>
            <w:tcW w:w="1628" w:type="pct"/>
            <w:tcBorders>
              <w:top w:val="nil"/>
              <w:left w:val="nil"/>
              <w:bottom w:val="single" w:sz="12" w:space="0" w:color="000000"/>
              <w:right w:val="nil"/>
            </w:tcBorders>
            <w:vAlign w:val="center"/>
          </w:tcPr>
          <w:p w14:paraId="1B0D9B8D" w14:textId="77777777" w:rsidR="00A549DA" w:rsidRDefault="00000000">
            <w:pPr>
              <w:widowControl/>
              <w:jc w:val="center"/>
              <w:textAlignment w:val="center"/>
              <w:rPr>
                <w:rFonts w:ascii="Times New Roman Regular" w:eastAsia="SimSun" w:hAnsi="Times New Roman Regular" w:cs="Times New Roman Regular"/>
                <w:color w:val="000000" w:themeColor="text1"/>
                <w:sz w:val="22"/>
                <w:szCs w:val="22"/>
              </w:rPr>
            </w:pPr>
            <w:r>
              <w:rPr>
                <w:rFonts w:ascii="Times New Roman" w:eastAsia="Times New Roman" w:hAnsi="Times New Roman" w:cs="Times New Roman Regular"/>
                <w:color w:val="000000" w:themeColor="text1"/>
                <w:kern w:val="0"/>
                <w:sz w:val="18"/>
                <w:szCs w:val="22"/>
                <w:lang w:bidi="ar"/>
              </w:rPr>
              <w:t>0.0732</w:t>
            </w:r>
          </w:p>
        </w:tc>
      </w:tr>
    </w:tbl>
    <w:p w14:paraId="69A5A018" w14:textId="77777777" w:rsidR="00A549DA" w:rsidRDefault="00A549DA">
      <w:pPr>
        <w:spacing w:after="120" w:line="276" w:lineRule="auto"/>
        <w:ind w:firstLineChars="200" w:firstLine="420"/>
        <w:rPr>
          <w:rFonts w:ascii="Times New Roman Regular" w:hAnsi="Times New Roman Regular" w:cs="Times New Roman Regular"/>
        </w:rPr>
      </w:pPr>
    </w:p>
    <w:p w14:paraId="11FBAB23" w14:textId="77777777" w:rsidR="00A549DA" w:rsidRDefault="00000000">
      <w:pPr>
        <w:spacing w:after="120" w:line="276" w:lineRule="auto"/>
        <w:ind w:firstLineChars="200" w:firstLine="420"/>
        <w:rPr>
          <w:rFonts w:ascii="Times New Roman Regular" w:hAnsi="Times New Roman Regular" w:cs="Times New Roman Regular"/>
          <w:sz w:val="24"/>
        </w:rPr>
      </w:pPr>
      <w:r>
        <w:rPr>
          <w:rFonts w:ascii="Times New Roman" w:hAnsi="Times New Roman" w:cs="Times New Roman Regular"/>
        </w:rPr>
        <w:t>To eliminate the influence of random variation, further statistical analyses were conducted. Before selecting an appropriate significance test, the Shapiro–Wilk Test was performed to examine whether the COMET scores of each model satisfied the normality assumption required for parametric analyses. As shown in Table 2, the COMET scores of all models except Gemini 2.5 Pro (p = 0.322) significantly deviated from a normal distribution (p &lt; 0.05). Given the non-normal distribution of the data and the non-independent nature of the samples, the Friedman Test, a non-parametric alternative for repeated measures, was employed to compare translation quality across the five models. The results demonstrated a statistically significant overall difference in translation performance (p &lt; 0.05), indicating that at least one model performed significantly differently from the others.</w:t>
      </w:r>
    </w:p>
    <w:p w14:paraId="7EE11F33" w14:textId="77777777" w:rsidR="00A549DA" w:rsidRDefault="00A549DA">
      <w:pPr>
        <w:spacing w:after="120" w:line="276" w:lineRule="auto"/>
        <w:rPr>
          <w:rFonts w:ascii="Times New Roman Regular" w:hAnsi="Times New Roman Regular" w:cs="Times New Roman Regular"/>
        </w:rPr>
      </w:pPr>
    </w:p>
    <w:p w14:paraId="1D76DE4B" w14:textId="77777777" w:rsidR="00A549DA" w:rsidRDefault="00000000">
      <w:pPr>
        <w:spacing w:after="120" w:line="276" w:lineRule="auto"/>
        <w:jc w:val="center"/>
      </w:pPr>
      <w:r>
        <w:rPr>
          <w:rFonts w:ascii="Times New Roman" w:hAnsi="Times New Roman" w:cs="Times New Roman Regular"/>
        </w:rPr>
        <w:t>Table 2. Results of the Shapiro–Wilk Normality Test</w:t>
      </w:r>
    </w:p>
    <w:tbl>
      <w:tblPr>
        <w:tblStyle w:val="TableGrid"/>
        <w:tblW w:w="4998" w:type="pct"/>
        <w:jc w:val="center"/>
        <w:tblLook w:val="04A0" w:firstRow="1" w:lastRow="0" w:firstColumn="1" w:lastColumn="0" w:noHBand="0" w:noVBand="1"/>
      </w:tblPr>
      <w:tblGrid>
        <w:gridCol w:w="2309"/>
        <w:gridCol w:w="2308"/>
        <w:gridCol w:w="2064"/>
        <w:gridCol w:w="2557"/>
      </w:tblGrid>
      <w:tr w:rsidR="00A549DA" w14:paraId="450E48F4" w14:textId="77777777">
        <w:trPr>
          <w:jc w:val="center"/>
        </w:trPr>
        <w:tc>
          <w:tcPr>
            <w:tcW w:w="1249" w:type="pct"/>
            <w:tcBorders>
              <w:top w:val="single" w:sz="12" w:space="0" w:color="000000"/>
              <w:left w:val="nil"/>
              <w:bottom w:val="single" w:sz="4" w:space="0" w:color="000000"/>
              <w:right w:val="nil"/>
              <w:tl2br w:val="nil"/>
            </w:tcBorders>
            <w:shd w:val="clear" w:color="auto" w:fill="FFFFFF"/>
          </w:tcPr>
          <w:p w14:paraId="743A92F9"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kern w:val="0"/>
                <w:sz w:val="18"/>
                <w:szCs w:val="21"/>
                <w:lang w:bidi="ar"/>
              </w:rPr>
              <w:lastRenderedPageBreak/>
              <w:t>Large Language Model (LLM)</w:t>
            </w:r>
          </w:p>
          <w:p w14:paraId="06254F59" w14:textId="77777777" w:rsidR="00A549DA" w:rsidRDefault="00A549DA">
            <w:pPr>
              <w:widowControl/>
              <w:jc w:val="center"/>
              <w:textAlignment w:val="top"/>
              <w:rPr>
                <w:rFonts w:ascii="Times New Roman Regular" w:eastAsia="SimSun" w:hAnsi="Times New Roman Regular" w:cs="Times New Roman Regular"/>
                <w:color w:val="000000" w:themeColor="text1"/>
                <w:kern w:val="0"/>
                <w:szCs w:val="21"/>
                <w:lang w:bidi="ar"/>
              </w:rPr>
            </w:pPr>
          </w:p>
        </w:tc>
        <w:tc>
          <w:tcPr>
            <w:tcW w:w="1249" w:type="pct"/>
            <w:tcBorders>
              <w:top w:val="single" w:sz="12" w:space="0" w:color="000000"/>
              <w:left w:val="nil"/>
              <w:bottom w:val="single" w:sz="4" w:space="0" w:color="000000"/>
              <w:right w:val="nil"/>
            </w:tcBorders>
            <w:shd w:val="clear" w:color="auto" w:fill="FFFFFF"/>
          </w:tcPr>
          <w:p w14:paraId="6061CA98"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kern w:val="0"/>
                <w:sz w:val="18"/>
                <w:szCs w:val="21"/>
                <w:lang w:bidi="ar"/>
              </w:rPr>
              <w:t xml:space="preserve">Shapiro Statistic </w:t>
            </w:r>
          </w:p>
        </w:tc>
        <w:tc>
          <w:tcPr>
            <w:tcW w:w="1117" w:type="pct"/>
            <w:tcBorders>
              <w:top w:val="single" w:sz="12" w:space="0" w:color="000000"/>
              <w:left w:val="nil"/>
              <w:bottom w:val="single" w:sz="4" w:space="0" w:color="000000"/>
              <w:right w:val="nil"/>
            </w:tcBorders>
            <w:shd w:val="clear" w:color="auto" w:fill="FFFFFF"/>
          </w:tcPr>
          <w:p w14:paraId="22A60B14"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kern w:val="0"/>
                <w:sz w:val="18"/>
                <w:szCs w:val="21"/>
                <w:lang w:bidi="ar"/>
              </w:rPr>
              <w:t xml:space="preserve">p-value </w:t>
            </w:r>
          </w:p>
        </w:tc>
        <w:tc>
          <w:tcPr>
            <w:tcW w:w="1383" w:type="pct"/>
            <w:tcBorders>
              <w:top w:val="single" w:sz="12" w:space="0" w:color="000000"/>
              <w:left w:val="nil"/>
              <w:bottom w:val="single" w:sz="4" w:space="0" w:color="000000"/>
              <w:right w:val="nil"/>
            </w:tcBorders>
            <w:shd w:val="clear" w:color="auto" w:fill="FFFFFF"/>
          </w:tcPr>
          <w:p w14:paraId="5703BA48"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kern w:val="0"/>
                <w:sz w:val="18"/>
                <w:szCs w:val="21"/>
                <w:lang w:bidi="ar"/>
              </w:rPr>
              <w:t>Normal Distribution</w:t>
            </w:r>
          </w:p>
        </w:tc>
      </w:tr>
      <w:tr w:rsidR="00A549DA" w14:paraId="3A8D5569" w14:textId="77777777">
        <w:trPr>
          <w:jc w:val="center"/>
        </w:trPr>
        <w:tc>
          <w:tcPr>
            <w:tcW w:w="1249" w:type="pct"/>
            <w:tcBorders>
              <w:top w:val="single" w:sz="4" w:space="0" w:color="000000"/>
              <w:left w:val="nil"/>
              <w:bottom w:val="nil"/>
              <w:right w:val="nil"/>
            </w:tcBorders>
            <w:shd w:val="clear" w:color="auto" w:fill="FFFFFF"/>
          </w:tcPr>
          <w:p w14:paraId="50118897"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kern w:val="0"/>
                <w:sz w:val="18"/>
                <w:szCs w:val="21"/>
                <w:lang w:bidi="ar"/>
              </w:rPr>
              <w:t>ChatGPT-5.2</w:t>
            </w:r>
          </w:p>
        </w:tc>
        <w:tc>
          <w:tcPr>
            <w:tcW w:w="1249" w:type="pct"/>
            <w:tcBorders>
              <w:top w:val="single" w:sz="4" w:space="0" w:color="000000"/>
              <w:left w:val="nil"/>
              <w:bottom w:val="nil"/>
              <w:right w:val="nil"/>
            </w:tcBorders>
            <w:shd w:val="clear" w:color="auto" w:fill="FFFFFF"/>
          </w:tcPr>
          <w:p w14:paraId="4BB1DB6D"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kern w:val="0"/>
                <w:sz w:val="18"/>
                <w:szCs w:val="21"/>
                <w:lang w:bidi="ar"/>
              </w:rPr>
              <w:t>0.9873</w:t>
            </w:r>
          </w:p>
        </w:tc>
        <w:tc>
          <w:tcPr>
            <w:tcW w:w="1117" w:type="pct"/>
            <w:tcBorders>
              <w:top w:val="single" w:sz="4" w:space="0" w:color="000000"/>
              <w:left w:val="nil"/>
              <w:bottom w:val="nil"/>
              <w:right w:val="nil"/>
            </w:tcBorders>
            <w:shd w:val="clear" w:color="auto" w:fill="FFFFFF"/>
          </w:tcPr>
          <w:p w14:paraId="013BC4E2"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kern w:val="0"/>
                <w:sz w:val="18"/>
                <w:szCs w:val="21"/>
                <w:lang w:bidi="ar"/>
              </w:rPr>
              <w:t>0.0317</w:t>
            </w:r>
          </w:p>
        </w:tc>
        <w:tc>
          <w:tcPr>
            <w:tcW w:w="1383" w:type="pct"/>
            <w:tcBorders>
              <w:top w:val="single" w:sz="4" w:space="0" w:color="000000"/>
              <w:left w:val="nil"/>
              <w:bottom w:val="nil"/>
              <w:right w:val="nil"/>
            </w:tcBorders>
            <w:shd w:val="clear" w:color="auto" w:fill="FFFFFF"/>
          </w:tcPr>
          <w:p w14:paraId="6CFCD53C"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kern w:val="0"/>
                <w:sz w:val="18"/>
                <w:szCs w:val="21"/>
                <w:lang w:bidi="ar"/>
              </w:rPr>
              <w:t>No</w:t>
            </w:r>
          </w:p>
        </w:tc>
      </w:tr>
      <w:tr w:rsidR="00A549DA" w14:paraId="4644BA0C" w14:textId="77777777">
        <w:trPr>
          <w:jc w:val="center"/>
        </w:trPr>
        <w:tc>
          <w:tcPr>
            <w:tcW w:w="1249" w:type="pct"/>
            <w:tcBorders>
              <w:top w:val="nil"/>
              <w:left w:val="nil"/>
              <w:bottom w:val="nil"/>
              <w:right w:val="nil"/>
            </w:tcBorders>
            <w:shd w:val="clear" w:color="auto" w:fill="FFFFFF"/>
          </w:tcPr>
          <w:p w14:paraId="5B1270D7"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kern w:val="0"/>
                <w:sz w:val="18"/>
                <w:szCs w:val="21"/>
                <w:lang w:bidi="ar"/>
              </w:rPr>
              <w:t>Claude Sonnet 4.5</w:t>
            </w:r>
          </w:p>
        </w:tc>
        <w:tc>
          <w:tcPr>
            <w:tcW w:w="1249" w:type="pct"/>
            <w:tcBorders>
              <w:top w:val="nil"/>
              <w:left w:val="nil"/>
              <w:bottom w:val="nil"/>
              <w:right w:val="nil"/>
            </w:tcBorders>
            <w:shd w:val="clear" w:color="auto" w:fill="FFFFFF"/>
          </w:tcPr>
          <w:p w14:paraId="6D7FBDD2"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kern w:val="0"/>
                <w:sz w:val="18"/>
                <w:szCs w:val="21"/>
                <w:lang w:bidi="ar"/>
              </w:rPr>
              <w:t>0.9836</w:t>
            </w:r>
          </w:p>
        </w:tc>
        <w:tc>
          <w:tcPr>
            <w:tcW w:w="1117" w:type="pct"/>
            <w:tcBorders>
              <w:top w:val="nil"/>
              <w:left w:val="nil"/>
              <w:bottom w:val="nil"/>
              <w:right w:val="nil"/>
            </w:tcBorders>
            <w:shd w:val="clear" w:color="auto" w:fill="FFFFFF"/>
          </w:tcPr>
          <w:p w14:paraId="58A219B3"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kern w:val="0"/>
                <w:sz w:val="18"/>
                <w:szCs w:val="21"/>
                <w:lang w:bidi="ar"/>
              </w:rPr>
              <w:t>0.0072</w:t>
            </w:r>
          </w:p>
        </w:tc>
        <w:tc>
          <w:tcPr>
            <w:tcW w:w="1383" w:type="pct"/>
            <w:tcBorders>
              <w:top w:val="nil"/>
              <w:left w:val="nil"/>
              <w:bottom w:val="nil"/>
              <w:right w:val="nil"/>
            </w:tcBorders>
            <w:shd w:val="clear" w:color="auto" w:fill="FFFFFF"/>
          </w:tcPr>
          <w:p w14:paraId="5DC0BDF8"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kern w:val="0"/>
                <w:sz w:val="18"/>
                <w:szCs w:val="21"/>
                <w:lang w:bidi="ar"/>
              </w:rPr>
              <w:t>No</w:t>
            </w:r>
          </w:p>
        </w:tc>
      </w:tr>
      <w:tr w:rsidR="00A549DA" w14:paraId="11494EE6" w14:textId="77777777">
        <w:trPr>
          <w:trHeight w:val="90"/>
          <w:jc w:val="center"/>
        </w:trPr>
        <w:tc>
          <w:tcPr>
            <w:tcW w:w="1249" w:type="pct"/>
            <w:tcBorders>
              <w:top w:val="nil"/>
              <w:left w:val="nil"/>
              <w:bottom w:val="nil"/>
              <w:right w:val="nil"/>
            </w:tcBorders>
            <w:shd w:val="clear" w:color="auto" w:fill="FFFFFF"/>
          </w:tcPr>
          <w:p w14:paraId="55A227DD"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kern w:val="0"/>
                <w:sz w:val="18"/>
                <w:szCs w:val="21"/>
                <w:lang w:bidi="ar"/>
              </w:rPr>
              <w:t>Deepseek-V3.2</w:t>
            </w:r>
          </w:p>
        </w:tc>
        <w:tc>
          <w:tcPr>
            <w:tcW w:w="1249" w:type="pct"/>
            <w:tcBorders>
              <w:top w:val="nil"/>
              <w:left w:val="nil"/>
              <w:bottom w:val="nil"/>
              <w:right w:val="nil"/>
            </w:tcBorders>
            <w:shd w:val="clear" w:color="auto" w:fill="FFFFFF"/>
          </w:tcPr>
          <w:p w14:paraId="48E02A64"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kern w:val="0"/>
                <w:sz w:val="18"/>
                <w:szCs w:val="21"/>
                <w:lang w:bidi="ar"/>
              </w:rPr>
              <w:t>0.9857</w:t>
            </w:r>
          </w:p>
        </w:tc>
        <w:tc>
          <w:tcPr>
            <w:tcW w:w="1117" w:type="pct"/>
            <w:tcBorders>
              <w:top w:val="nil"/>
              <w:left w:val="nil"/>
              <w:bottom w:val="nil"/>
              <w:right w:val="nil"/>
            </w:tcBorders>
            <w:shd w:val="clear" w:color="auto" w:fill="FFFFFF"/>
          </w:tcPr>
          <w:p w14:paraId="5AC727C0"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kern w:val="0"/>
                <w:sz w:val="18"/>
                <w:szCs w:val="21"/>
                <w:lang w:bidi="ar"/>
              </w:rPr>
              <w:t>0.0164</w:t>
            </w:r>
          </w:p>
        </w:tc>
        <w:tc>
          <w:tcPr>
            <w:tcW w:w="1383" w:type="pct"/>
            <w:tcBorders>
              <w:top w:val="nil"/>
              <w:left w:val="nil"/>
              <w:bottom w:val="nil"/>
              <w:right w:val="nil"/>
            </w:tcBorders>
            <w:shd w:val="clear" w:color="auto" w:fill="FFFFFF"/>
          </w:tcPr>
          <w:p w14:paraId="254CE065"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kern w:val="0"/>
                <w:sz w:val="18"/>
                <w:szCs w:val="21"/>
                <w:lang w:bidi="ar"/>
              </w:rPr>
              <w:t>No</w:t>
            </w:r>
          </w:p>
        </w:tc>
      </w:tr>
      <w:tr w:rsidR="00A549DA" w14:paraId="31F6EDF1" w14:textId="77777777">
        <w:trPr>
          <w:trHeight w:val="90"/>
          <w:jc w:val="center"/>
        </w:trPr>
        <w:tc>
          <w:tcPr>
            <w:tcW w:w="1249" w:type="pct"/>
            <w:tcBorders>
              <w:top w:val="nil"/>
              <w:left w:val="nil"/>
              <w:bottom w:val="nil"/>
              <w:right w:val="nil"/>
            </w:tcBorders>
            <w:shd w:val="clear" w:color="auto" w:fill="FFFFFF"/>
          </w:tcPr>
          <w:p w14:paraId="4464769E"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kern w:val="0"/>
                <w:sz w:val="18"/>
                <w:szCs w:val="21"/>
                <w:lang w:bidi="ar"/>
              </w:rPr>
              <w:t>Gemini 2.5 Pro</w:t>
            </w:r>
          </w:p>
        </w:tc>
        <w:tc>
          <w:tcPr>
            <w:tcW w:w="1249" w:type="pct"/>
            <w:tcBorders>
              <w:top w:val="nil"/>
              <w:left w:val="nil"/>
              <w:bottom w:val="nil"/>
              <w:right w:val="nil"/>
            </w:tcBorders>
            <w:shd w:val="clear" w:color="auto" w:fill="FFFFFF"/>
          </w:tcPr>
          <w:p w14:paraId="5D27538E"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kern w:val="0"/>
                <w:sz w:val="18"/>
                <w:szCs w:val="21"/>
                <w:lang w:bidi="ar"/>
              </w:rPr>
              <w:t>0.993</w:t>
            </w:r>
          </w:p>
        </w:tc>
        <w:tc>
          <w:tcPr>
            <w:tcW w:w="1117" w:type="pct"/>
            <w:tcBorders>
              <w:top w:val="nil"/>
              <w:left w:val="nil"/>
              <w:bottom w:val="nil"/>
              <w:right w:val="nil"/>
            </w:tcBorders>
            <w:shd w:val="clear" w:color="auto" w:fill="FFFFFF"/>
          </w:tcPr>
          <w:p w14:paraId="48BD455A"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kern w:val="0"/>
                <w:sz w:val="18"/>
                <w:szCs w:val="21"/>
                <w:lang w:bidi="ar"/>
              </w:rPr>
              <w:t xml:space="preserve">0.3216  </w:t>
            </w:r>
          </w:p>
        </w:tc>
        <w:tc>
          <w:tcPr>
            <w:tcW w:w="1383" w:type="pct"/>
            <w:tcBorders>
              <w:top w:val="nil"/>
              <w:left w:val="nil"/>
              <w:bottom w:val="nil"/>
              <w:right w:val="nil"/>
            </w:tcBorders>
            <w:shd w:val="clear" w:color="auto" w:fill="FFFFFF"/>
          </w:tcPr>
          <w:p w14:paraId="201A7493"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kern w:val="0"/>
                <w:sz w:val="18"/>
                <w:szCs w:val="21"/>
                <w:lang w:bidi="ar"/>
              </w:rPr>
              <w:t>Yes</w:t>
            </w:r>
          </w:p>
        </w:tc>
      </w:tr>
      <w:tr w:rsidR="00A549DA" w14:paraId="60CE0F80" w14:textId="77777777">
        <w:trPr>
          <w:jc w:val="center"/>
        </w:trPr>
        <w:tc>
          <w:tcPr>
            <w:tcW w:w="1249" w:type="pct"/>
            <w:tcBorders>
              <w:top w:val="nil"/>
              <w:left w:val="nil"/>
              <w:bottom w:val="single" w:sz="12" w:space="0" w:color="000000"/>
              <w:right w:val="nil"/>
            </w:tcBorders>
            <w:shd w:val="clear" w:color="auto" w:fill="FFFFFF"/>
          </w:tcPr>
          <w:p w14:paraId="6912F56A"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sz w:val="18"/>
                <w:szCs w:val="21"/>
              </w:rPr>
              <w:t>ERNIE 5.0</w:t>
            </w:r>
          </w:p>
        </w:tc>
        <w:tc>
          <w:tcPr>
            <w:tcW w:w="1249" w:type="pct"/>
            <w:tcBorders>
              <w:top w:val="nil"/>
              <w:left w:val="nil"/>
              <w:bottom w:val="single" w:sz="12" w:space="0" w:color="000000"/>
              <w:right w:val="nil"/>
            </w:tcBorders>
            <w:shd w:val="clear" w:color="auto" w:fill="FFFFFF"/>
          </w:tcPr>
          <w:p w14:paraId="175DCC8F"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kern w:val="0"/>
                <w:sz w:val="18"/>
                <w:szCs w:val="21"/>
                <w:lang w:bidi="ar"/>
              </w:rPr>
              <w:t>0.9854</w:t>
            </w:r>
          </w:p>
        </w:tc>
        <w:tc>
          <w:tcPr>
            <w:tcW w:w="1117" w:type="pct"/>
            <w:tcBorders>
              <w:top w:val="nil"/>
              <w:left w:val="nil"/>
              <w:bottom w:val="single" w:sz="12" w:space="0" w:color="000000"/>
              <w:right w:val="nil"/>
            </w:tcBorders>
            <w:shd w:val="clear" w:color="auto" w:fill="FFFFFF"/>
          </w:tcPr>
          <w:p w14:paraId="047D56C1"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kern w:val="0"/>
                <w:sz w:val="18"/>
                <w:szCs w:val="21"/>
                <w:lang w:bidi="ar"/>
              </w:rPr>
              <w:t>0.0149</w:t>
            </w:r>
          </w:p>
        </w:tc>
        <w:tc>
          <w:tcPr>
            <w:tcW w:w="1383" w:type="pct"/>
            <w:tcBorders>
              <w:top w:val="nil"/>
              <w:left w:val="nil"/>
              <w:bottom w:val="single" w:sz="12" w:space="0" w:color="000000"/>
              <w:right w:val="nil"/>
            </w:tcBorders>
            <w:shd w:val="clear" w:color="auto" w:fill="FFFFFF"/>
          </w:tcPr>
          <w:p w14:paraId="5775E48E"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kern w:val="0"/>
                <w:sz w:val="18"/>
                <w:szCs w:val="21"/>
                <w:lang w:bidi="ar"/>
              </w:rPr>
              <w:t>No</w:t>
            </w:r>
          </w:p>
        </w:tc>
      </w:tr>
    </w:tbl>
    <w:p w14:paraId="5C357B43" w14:textId="77777777" w:rsidR="00A549DA" w:rsidRDefault="00A549DA">
      <w:pPr>
        <w:spacing w:after="120" w:line="276" w:lineRule="auto"/>
        <w:rPr>
          <w:rFonts w:ascii="Times New Roman Regular" w:hAnsi="Times New Roman Regular" w:cs="Times New Roman Regular"/>
        </w:rPr>
      </w:pPr>
    </w:p>
    <w:p w14:paraId="0AC6AA69" w14:textId="77777777" w:rsidR="00A549DA" w:rsidRDefault="00000000">
      <w:pPr>
        <w:spacing w:after="120" w:line="276" w:lineRule="auto"/>
        <w:ind w:firstLineChars="200" w:firstLine="420"/>
        <w:rPr>
          <w:rFonts w:ascii="Times New Roman Regular" w:hAnsi="Times New Roman Regular" w:cs="Times New Roman Regular"/>
          <w:sz w:val="24"/>
        </w:rPr>
      </w:pPr>
      <w:r>
        <w:rPr>
          <w:rFonts w:ascii="Times New Roman" w:hAnsi="Times New Roman" w:cs="Times New Roman Regular"/>
        </w:rPr>
        <w:t xml:space="preserve">To identify the specific sources of these differences, a </w:t>
      </w:r>
      <w:proofErr w:type="spellStart"/>
      <w:r>
        <w:rPr>
          <w:rFonts w:ascii="Times New Roman" w:hAnsi="Times New Roman" w:cs="Times New Roman Regular"/>
        </w:rPr>
        <w:t>Nemenyi</w:t>
      </w:r>
      <w:proofErr w:type="spellEnd"/>
      <w:r>
        <w:rPr>
          <w:rFonts w:ascii="Times New Roman" w:hAnsi="Times New Roman" w:cs="Times New Roman Regular"/>
        </w:rPr>
        <w:t xml:space="preserve"> Post-hoc Test was subsequently conducted. The results showed that statistically significant differences were concentrated in two pairwise comparisons. Specifically, ERNIE 5.0 performed significantly worse than DeepSeek-V3.2 (p = 0.0028) and Claude Sonnet 4.5 (p = 0.0409). In contrast, no statistically significant differences were observed among the remaining model pairs, including comparisons between DeepSeek-V3.2 and the other higher-performing models (p &gt; 0.05).</w:t>
      </w:r>
    </w:p>
    <w:p w14:paraId="0284354C" w14:textId="77777777" w:rsidR="00A549DA" w:rsidRDefault="00A549DA">
      <w:pPr>
        <w:widowControl/>
        <w:spacing w:after="120" w:line="276" w:lineRule="auto"/>
        <w:jc w:val="left"/>
        <w:rPr>
          <w:rFonts w:ascii="SimSun" w:eastAsia="SimSun" w:hAnsi="SimSun" w:cs="SimSun"/>
          <w:kern w:val="0"/>
          <w:sz w:val="24"/>
          <w:lang w:bidi="ar"/>
        </w:rPr>
      </w:pPr>
    </w:p>
    <w:p w14:paraId="24FD4C19" w14:textId="77777777" w:rsidR="00A549DA" w:rsidRDefault="00000000">
      <w:pPr>
        <w:widowControl/>
        <w:spacing w:after="120" w:line="276" w:lineRule="auto"/>
        <w:jc w:val="center"/>
        <w:rPr>
          <w:rFonts w:ascii="Times New Roman" w:hAnsi="Times New Roman" w:cs="Times New Roman"/>
          <w:color w:val="000000" w:themeColor="text1"/>
          <w:szCs w:val="21"/>
        </w:rPr>
      </w:pPr>
      <w:r>
        <w:rPr>
          <w:rFonts w:ascii="Times New Roman" w:eastAsia="Times New Roman" w:hAnsi="Times New Roman" w:cs="Times New Roman"/>
          <w:kern w:val="0"/>
          <w:szCs w:val="21"/>
          <w:lang w:bidi="ar"/>
        </w:rPr>
        <w:t xml:space="preserve">Table 3. Results of the </w:t>
      </w:r>
      <w:proofErr w:type="spellStart"/>
      <w:r>
        <w:rPr>
          <w:rFonts w:ascii="Times New Roman" w:eastAsia="Times New Roman" w:hAnsi="Times New Roman" w:cs="Times New Roman"/>
          <w:kern w:val="0"/>
          <w:szCs w:val="21"/>
          <w:lang w:bidi="ar"/>
        </w:rPr>
        <w:t>Nemenyi</w:t>
      </w:r>
      <w:proofErr w:type="spellEnd"/>
      <w:r>
        <w:rPr>
          <w:rFonts w:ascii="Times New Roman" w:eastAsia="Times New Roman" w:hAnsi="Times New Roman" w:cs="Times New Roman"/>
          <w:kern w:val="0"/>
          <w:szCs w:val="21"/>
          <w:lang w:bidi="ar"/>
        </w:rPr>
        <w:t xml:space="preserve"> Post-hoc Multiple Comparisons (Pairwise Comparisons)</w:t>
      </w:r>
    </w:p>
    <w:tbl>
      <w:tblPr>
        <w:tblStyle w:val="TableGrid"/>
        <w:tblW w:w="4902" w:type="pct"/>
        <w:jc w:val="center"/>
        <w:tblLayout w:type="fixed"/>
        <w:tblLook w:val="04A0" w:firstRow="1" w:lastRow="0" w:firstColumn="1" w:lastColumn="0" w:noHBand="0" w:noVBand="1"/>
      </w:tblPr>
      <w:tblGrid>
        <w:gridCol w:w="1969"/>
        <w:gridCol w:w="1574"/>
        <w:gridCol w:w="1591"/>
        <w:gridCol w:w="1283"/>
        <w:gridCol w:w="1033"/>
        <w:gridCol w:w="1611"/>
      </w:tblGrid>
      <w:tr w:rsidR="00A549DA" w14:paraId="0B70F3EC" w14:textId="77777777">
        <w:trPr>
          <w:trHeight w:val="625"/>
          <w:jc w:val="center"/>
        </w:trPr>
        <w:tc>
          <w:tcPr>
            <w:tcW w:w="1086" w:type="pct"/>
            <w:tcBorders>
              <w:top w:val="single" w:sz="12" w:space="0" w:color="000000"/>
              <w:left w:val="nil"/>
              <w:bottom w:val="single" w:sz="4" w:space="0" w:color="000000"/>
              <w:right w:val="nil"/>
              <w:tl2br w:val="nil"/>
            </w:tcBorders>
            <w:shd w:val="clear" w:color="auto" w:fill="FFFFFF"/>
          </w:tcPr>
          <w:p w14:paraId="245D2A5C"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kern w:val="0"/>
                <w:sz w:val="18"/>
                <w:szCs w:val="21"/>
                <w:lang w:bidi="ar"/>
              </w:rPr>
              <w:t>Large Language Model (LLM)</w:t>
            </w:r>
          </w:p>
          <w:p w14:paraId="252EDCA5" w14:textId="77777777" w:rsidR="00A549DA" w:rsidRDefault="00A549DA">
            <w:pPr>
              <w:widowControl/>
              <w:jc w:val="center"/>
              <w:textAlignment w:val="top"/>
              <w:rPr>
                <w:rFonts w:ascii="Times New Roman Regular" w:eastAsia="SimSun" w:hAnsi="Times New Roman Regular" w:cs="Times New Roman Regular"/>
                <w:color w:val="000000" w:themeColor="text1"/>
                <w:kern w:val="0"/>
                <w:szCs w:val="21"/>
                <w:lang w:bidi="ar"/>
              </w:rPr>
            </w:pPr>
          </w:p>
        </w:tc>
        <w:tc>
          <w:tcPr>
            <w:tcW w:w="868" w:type="pct"/>
            <w:tcBorders>
              <w:top w:val="single" w:sz="12" w:space="0" w:color="000000"/>
              <w:left w:val="nil"/>
              <w:bottom w:val="single" w:sz="4" w:space="0" w:color="000000"/>
              <w:right w:val="nil"/>
            </w:tcBorders>
            <w:shd w:val="clear" w:color="auto" w:fill="FFFFFF"/>
          </w:tcPr>
          <w:p w14:paraId="11D37BE3"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kern w:val="0"/>
                <w:sz w:val="18"/>
                <w:szCs w:val="21"/>
                <w:lang w:bidi="ar"/>
              </w:rPr>
              <w:t>ChatGPT-5.</w:t>
            </w:r>
            <w:r>
              <w:rPr>
                <w:rFonts w:ascii="Times New Roman" w:eastAsia="Times New Roman" w:hAnsi="Times New Roman" w:cs="Times New Roman Regular" w:hint="eastAsia"/>
                <w:color w:val="000000" w:themeColor="text1"/>
                <w:kern w:val="0"/>
                <w:sz w:val="18"/>
                <w:szCs w:val="21"/>
                <w:lang w:bidi="ar"/>
              </w:rPr>
              <w:t>2</w:t>
            </w:r>
          </w:p>
        </w:tc>
        <w:tc>
          <w:tcPr>
            <w:tcW w:w="877" w:type="pct"/>
            <w:tcBorders>
              <w:top w:val="single" w:sz="12" w:space="0" w:color="000000"/>
              <w:left w:val="nil"/>
              <w:bottom w:val="single" w:sz="4" w:space="0" w:color="000000"/>
              <w:right w:val="nil"/>
            </w:tcBorders>
            <w:shd w:val="clear" w:color="auto" w:fill="FFFFFF"/>
          </w:tcPr>
          <w:p w14:paraId="7944740D"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kern w:val="0"/>
                <w:sz w:val="18"/>
                <w:szCs w:val="21"/>
                <w:lang w:bidi="ar"/>
              </w:rPr>
              <w:t>Claude Sonnet 4.5</w:t>
            </w:r>
          </w:p>
        </w:tc>
        <w:tc>
          <w:tcPr>
            <w:tcW w:w="708" w:type="pct"/>
            <w:tcBorders>
              <w:top w:val="single" w:sz="12" w:space="0" w:color="000000"/>
              <w:left w:val="nil"/>
              <w:bottom w:val="single" w:sz="4" w:space="0" w:color="000000"/>
              <w:right w:val="nil"/>
            </w:tcBorders>
            <w:shd w:val="clear" w:color="auto" w:fill="FFFFFF"/>
          </w:tcPr>
          <w:p w14:paraId="52250697"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kern w:val="0"/>
                <w:sz w:val="18"/>
                <w:szCs w:val="21"/>
                <w:lang w:bidi="ar"/>
              </w:rPr>
              <w:t>Deepseek-V3.2</w:t>
            </w:r>
          </w:p>
        </w:tc>
        <w:tc>
          <w:tcPr>
            <w:tcW w:w="570" w:type="pct"/>
            <w:tcBorders>
              <w:top w:val="single" w:sz="12" w:space="0" w:color="000000"/>
              <w:left w:val="nil"/>
              <w:bottom w:val="single" w:sz="4" w:space="0" w:color="000000"/>
              <w:right w:val="nil"/>
            </w:tcBorders>
            <w:shd w:val="clear" w:color="auto" w:fill="FFFFFF"/>
          </w:tcPr>
          <w:p w14:paraId="717AB009"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kern w:val="0"/>
                <w:sz w:val="18"/>
                <w:szCs w:val="21"/>
                <w:lang w:bidi="ar"/>
              </w:rPr>
              <w:t>Gemini 2.5 Pro</w:t>
            </w:r>
          </w:p>
        </w:tc>
        <w:tc>
          <w:tcPr>
            <w:tcW w:w="888" w:type="pct"/>
            <w:tcBorders>
              <w:top w:val="single" w:sz="12" w:space="0" w:color="000000"/>
              <w:left w:val="nil"/>
              <w:bottom w:val="single" w:sz="4" w:space="0" w:color="000000"/>
              <w:right w:val="nil"/>
            </w:tcBorders>
            <w:shd w:val="clear" w:color="auto" w:fill="FFFFFF"/>
          </w:tcPr>
          <w:p w14:paraId="0AC039AA"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sz w:val="18"/>
                <w:szCs w:val="21"/>
              </w:rPr>
              <w:t>ERNIE 5.0</w:t>
            </w:r>
          </w:p>
        </w:tc>
      </w:tr>
      <w:tr w:rsidR="00A549DA" w14:paraId="0C76AA2F" w14:textId="77777777">
        <w:trPr>
          <w:trHeight w:val="317"/>
          <w:jc w:val="center"/>
        </w:trPr>
        <w:tc>
          <w:tcPr>
            <w:tcW w:w="1086" w:type="pct"/>
            <w:tcBorders>
              <w:top w:val="single" w:sz="4" w:space="0" w:color="000000"/>
              <w:left w:val="nil"/>
              <w:bottom w:val="nil"/>
              <w:right w:val="nil"/>
            </w:tcBorders>
            <w:shd w:val="clear" w:color="auto" w:fill="FFFFFF"/>
          </w:tcPr>
          <w:p w14:paraId="074A4AF4" w14:textId="77777777" w:rsidR="00A549DA" w:rsidRDefault="00000000">
            <w:pPr>
              <w:widowControl/>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kern w:val="0"/>
                <w:sz w:val="18"/>
                <w:szCs w:val="21"/>
                <w:lang w:bidi="ar"/>
              </w:rPr>
              <w:t>ChatGPT-5.2</w:t>
            </w:r>
          </w:p>
        </w:tc>
        <w:tc>
          <w:tcPr>
            <w:tcW w:w="868" w:type="pct"/>
            <w:tcBorders>
              <w:top w:val="single" w:sz="4" w:space="0" w:color="000000"/>
              <w:left w:val="nil"/>
              <w:bottom w:val="nil"/>
              <w:right w:val="nil"/>
            </w:tcBorders>
            <w:shd w:val="clear" w:color="auto" w:fill="FFFFFF"/>
          </w:tcPr>
          <w:p w14:paraId="482A182E"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kern w:val="0"/>
                <w:sz w:val="18"/>
                <w:szCs w:val="21"/>
                <w:lang w:bidi="ar"/>
              </w:rPr>
              <w:t>1.0000</w:t>
            </w:r>
          </w:p>
        </w:tc>
        <w:tc>
          <w:tcPr>
            <w:tcW w:w="877" w:type="pct"/>
            <w:tcBorders>
              <w:top w:val="single" w:sz="4" w:space="0" w:color="000000"/>
              <w:left w:val="nil"/>
              <w:bottom w:val="nil"/>
              <w:right w:val="nil"/>
            </w:tcBorders>
            <w:shd w:val="clear" w:color="auto" w:fill="FFFFFF"/>
          </w:tcPr>
          <w:p w14:paraId="11EE76A1"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sz w:val="18"/>
                <w:szCs w:val="21"/>
              </w:rPr>
              <w:t xml:space="preserve">0.5053 </w:t>
            </w:r>
          </w:p>
        </w:tc>
        <w:tc>
          <w:tcPr>
            <w:tcW w:w="708" w:type="pct"/>
            <w:tcBorders>
              <w:top w:val="single" w:sz="4" w:space="0" w:color="000000"/>
              <w:left w:val="nil"/>
              <w:bottom w:val="nil"/>
              <w:right w:val="nil"/>
            </w:tcBorders>
            <w:shd w:val="clear" w:color="auto" w:fill="FFFFFF"/>
          </w:tcPr>
          <w:p w14:paraId="0449B0C5"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sz w:val="18"/>
                <w:szCs w:val="21"/>
              </w:rPr>
              <w:t>0.1163</w:t>
            </w:r>
          </w:p>
        </w:tc>
        <w:tc>
          <w:tcPr>
            <w:tcW w:w="570" w:type="pct"/>
            <w:tcBorders>
              <w:top w:val="single" w:sz="4" w:space="0" w:color="000000"/>
              <w:left w:val="nil"/>
              <w:bottom w:val="nil"/>
              <w:right w:val="nil"/>
            </w:tcBorders>
            <w:shd w:val="clear" w:color="auto" w:fill="FFFFFF"/>
          </w:tcPr>
          <w:p w14:paraId="1A0F2479"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sz w:val="18"/>
                <w:szCs w:val="21"/>
              </w:rPr>
              <w:t xml:space="preserve">0.9944 </w:t>
            </w:r>
          </w:p>
        </w:tc>
        <w:tc>
          <w:tcPr>
            <w:tcW w:w="888" w:type="pct"/>
            <w:tcBorders>
              <w:top w:val="single" w:sz="4" w:space="0" w:color="000000"/>
              <w:left w:val="nil"/>
              <w:bottom w:val="nil"/>
              <w:right w:val="nil"/>
            </w:tcBorders>
            <w:shd w:val="clear" w:color="auto" w:fill="FFFFFF"/>
          </w:tcPr>
          <w:p w14:paraId="51F7048E"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sz w:val="18"/>
                <w:szCs w:val="21"/>
              </w:rPr>
              <w:t>0.7442</w:t>
            </w:r>
          </w:p>
        </w:tc>
      </w:tr>
      <w:tr w:rsidR="00A549DA" w14:paraId="5B3D2E0C" w14:textId="77777777">
        <w:trPr>
          <w:trHeight w:val="421"/>
          <w:jc w:val="center"/>
        </w:trPr>
        <w:tc>
          <w:tcPr>
            <w:tcW w:w="1086" w:type="pct"/>
            <w:tcBorders>
              <w:top w:val="nil"/>
              <w:left w:val="nil"/>
              <w:bottom w:val="nil"/>
              <w:right w:val="nil"/>
            </w:tcBorders>
            <w:shd w:val="clear" w:color="auto" w:fill="FFFFFF"/>
          </w:tcPr>
          <w:p w14:paraId="3F6B8472" w14:textId="77777777" w:rsidR="00A549DA" w:rsidRDefault="00000000">
            <w:pPr>
              <w:widowControl/>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kern w:val="0"/>
                <w:sz w:val="18"/>
                <w:szCs w:val="21"/>
                <w:lang w:bidi="ar"/>
              </w:rPr>
              <w:t>Claude Sonnet 4.5</w:t>
            </w:r>
          </w:p>
        </w:tc>
        <w:tc>
          <w:tcPr>
            <w:tcW w:w="868" w:type="pct"/>
            <w:tcBorders>
              <w:top w:val="nil"/>
              <w:left w:val="nil"/>
              <w:bottom w:val="nil"/>
              <w:right w:val="nil"/>
            </w:tcBorders>
            <w:shd w:val="clear" w:color="auto" w:fill="FFFFFF"/>
          </w:tcPr>
          <w:p w14:paraId="1AC4EC2C"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sz w:val="18"/>
                <w:szCs w:val="21"/>
              </w:rPr>
              <w:t>0.5053</w:t>
            </w:r>
          </w:p>
        </w:tc>
        <w:tc>
          <w:tcPr>
            <w:tcW w:w="877" w:type="pct"/>
            <w:tcBorders>
              <w:top w:val="nil"/>
              <w:left w:val="nil"/>
              <w:bottom w:val="nil"/>
              <w:right w:val="nil"/>
            </w:tcBorders>
            <w:shd w:val="clear" w:color="auto" w:fill="FFFFFF"/>
          </w:tcPr>
          <w:p w14:paraId="0FA516E6"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sz w:val="18"/>
                <w:szCs w:val="21"/>
              </w:rPr>
              <w:t xml:space="preserve">1.0000 </w:t>
            </w:r>
          </w:p>
        </w:tc>
        <w:tc>
          <w:tcPr>
            <w:tcW w:w="708" w:type="pct"/>
            <w:tcBorders>
              <w:top w:val="nil"/>
              <w:left w:val="nil"/>
              <w:bottom w:val="nil"/>
              <w:right w:val="nil"/>
            </w:tcBorders>
            <w:shd w:val="clear" w:color="auto" w:fill="FFFFFF"/>
          </w:tcPr>
          <w:p w14:paraId="4B6C30E6"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sz w:val="18"/>
                <w:szCs w:val="21"/>
              </w:rPr>
              <w:t>0.9282</w:t>
            </w:r>
          </w:p>
        </w:tc>
        <w:tc>
          <w:tcPr>
            <w:tcW w:w="570" w:type="pct"/>
            <w:tcBorders>
              <w:top w:val="nil"/>
              <w:left w:val="nil"/>
              <w:bottom w:val="nil"/>
              <w:right w:val="nil"/>
            </w:tcBorders>
            <w:shd w:val="clear" w:color="auto" w:fill="FFFFFF"/>
          </w:tcPr>
          <w:p w14:paraId="109CBC01"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sz w:val="18"/>
                <w:szCs w:val="21"/>
              </w:rPr>
              <w:t xml:space="preserve">0.7609 </w:t>
            </w:r>
          </w:p>
        </w:tc>
        <w:tc>
          <w:tcPr>
            <w:tcW w:w="888" w:type="pct"/>
            <w:tcBorders>
              <w:top w:val="nil"/>
              <w:left w:val="nil"/>
              <w:bottom w:val="nil"/>
              <w:right w:val="nil"/>
            </w:tcBorders>
            <w:shd w:val="clear" w:color="auto" w:fill="FFFFFF"/>
          </w:tcPr>
          <w:p w14:paraId="67E51AAC" w14:textId="77777777" w:rsidR="00A549DA" w:rsidRDefault="00000000">
            <w:pPr>
              <w:jc w:val="center"/>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sz w:val="18"/>
                <w:szCs w:val="21"/>
              </w:rPr>
              <w:t>0.0409</w:t>
            </w:r>
          </w:p>
        </w:tc>
      </w:tr>
      <w:tr w:rsidR="00A549DA" w14:paraId="1FC238C4" w14:textId="77777777">
        <w:trPr>
          <w:trHeight w:val="307"/>
          <w:jc w:val="center"/>
        </w:trPr>
        <w:tc>
          <w:tcPr>
            <w:tcW w:w="1086" w:type="pct"/>
            <w:tcBorders>
              <w:top w:val="nil"/>
              <w:left w:val="nil"/>
              <w:bottom w:val="nil"/>
              <w:right w:val="nil"/>
            </w:tcBorders>
            <w:shd w:val="clear" w:color="auto" w:fill="FFFFFF"/>
          </w:tcPr>
          <w:p w14:paraId="551C5BF9" w14:textId="77777777" w:rsidR="00A549DA" w:rsidRDefault="00000000">
            <w:pPr>
              <w:widowControl/>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kern w:val="0"/>
                <w:sz w:val="18"/>
                <w:szCs w:val="21"/>
                <w:lang w:bidi="ar"/>
              </w:rPr>
              <w:t>Deepseek-V3.2</w:t>
            </w:r>
          </w:p>
        </w:tc>
        <w:tc>
          <w:tcPr>
            <w:tcW w:w="868" w:type="pct"/>
            <w:tcBorders>
              <w:top w:val="nil"/>
              <w:left w:val="nil"/>
              <w:bottom w:val="nil"/>
              <w:right w:val="nil"/>
            </w:tcBorders>
            <w:shd w:val="clear" w:color="auto" w:fill="FFFFFF"/>
          </w:tcPr>
          <w:p w14:paraId="3C014296"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sz w:val="18"/>
                <w:szCs w:val="21"/>
              </w:rPr>
              <w:t>0.1163</w:t>
            </w:r>
          </w:p>
        </w:tc>
        <w:tc>
          <w:tcPr>
            <w:tcW w:w="877" w:type="pct"/>
            <w:tcBorders>
              <w:top w:val="nil"/>
              <w:left w:val="nil"/>
              <w:bottom w:val="nil"/>
              <w:right w:val="nil"/>
            </w:tcBorders>
            <w:shd w:val="clear" w:color="auto" w:fill="FFFFFF"/>
          </w:tcPr>
          <w:p w14:paraId="17645A3F"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sz w:val="18"/>
                <w:szCs w:val="21"/>
              </w:rPr>
              <w:t>0.9282</w:t>
            </w:r>
          </w:p>
        </w:tc>
        <w:tc>
          <w:tcPr>
            <w:tcW w:w="708" w:type="pct"/>
            <w:tcBorders>
              <w:top w:val="nil"/>
              <w:left w:val="nil"/>
              <w:bottom w:val="nil"/>
              <w:right w:val="nil"/>
            </w:tcBorders>
            <w:shd w:val="clear" w:color="auto" w:fill="FFFFFF"/>
          </w:tcPr>
          <w:p w14:paraId="7FE6EFFC"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sz w:val="18"/>
                <w:szCs w:val="21"/>
              </w:rPr>
              <w:t xml:space="preserve">1.0000 </w:t>
            </w:r>
          </w:p>
        </w:tc>
        <w:tc>
          <w:tcPr>
            <w:tcW w:w="570" w:type="pct"/>
            <w:tcBorders>
              <w:top w:val="nil"/>
              <w:left w:val="nil"/>
              <w:bottom w:val="nil"/>
              <w:right w:val="nil"/>
            </w:tcBorders>
            <w:shd w:val="clear" w:color="auto" w:fill="FFFFFF"/>
          </w:tcPr>
          <w:p w14:paraId="5991933A"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sz w:val="18"/>
                <w:szCs w:val="21"/>
              </w:rPr>
              <w:t>0.2699</w:t>
            </w:r>
          </w:p>
        </w:tc>
        <w:tc>
          <w:tcPr>
            <w:tcW w:w="888" w:type="pct"/>
            <w:tcBorders>
              <w:top w:val="nil"/>
              <w:left w:val="nil"/>
              <w:bottom w:val="nil"/>
              <w:right w:val="nil"/>
            </w:tcBorders>
            <w:shd w:val="clear" w:color="auto" w:fill="FFFFFF"/>
          </w:tcPr>
          <w:p w14:paraId="40C9FB80" w14:textId="77777777" w:rsidR="00A549DA" w:rsidRDefault="00000000">
            <w:pPr>
              <w:jc w:val="center"/>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sz w:val="18"/>
                <w:szCs w:val="21"/>
              </w:rPr>
              <w:t>0.0028</w:t>
            </w:r>
          </w:p>
        </w:tc>
      </w:tr>
      <w:tr w:rsidR="00A549DA" w14:paraId="109F4608" w14:textId="77777777">
        <w:trPr>
          <w:trHeight w:val="307"/>
          <w:jc w:val="center"/>
        </w:trPr>
        <w:tc>
          <w:tcPr>
            <w:tcW w:w="1086" w:type="pct"/>
            <w:tcBorders>
              <w:top w:val="nil"/>
              <w:left w:val="nil"/>
              <w:bottom w:val="nil"/>
              <w:right w:val="nil"/>
            </w:tcBorders>
            <w:shd w:val="clear" w:color="auto" w:fill="FFFFFF"/>
          </w:tcPr>
          <w:p w14:paraId="790873D1" w14:textId="77777777" w:rsidR="00A549DA" w:rsidRDefault="00000000">
            <w:pPr>
              <w:widowControl/>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kern w:val="0"/>
                <w:sz w:val="18"/>
                <w:szCs w:val="21"/>
                <w:lang w:bidi="ar"/>
              </w:rPr>
              <w:t>Gemini 2.5 Pro</w:t>
            </w:r>
          </w:p>
        </w:tc>
        <w:tc>
          <w:tcPr>
            <w:tcW w:w="868" w:type="pct"/>
            <w:tcBorders>
              <w:top w:val="nil"/>
              <w:left w:val="nil"/>
              <w:bottom w:val="nil"/>
              <w:right w:val="nil"/>
            </w:tcBorders>
            <w:shd w:val="clear" w:color="auto" w:fill="FFFFFF"/>
          </w:tcPr>
          <w:p w14:paraId="5450171B"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sz w:val="18"/>
                <w:szCs w:val="21"/>
              </w:rPr>
              <w:t>0.9944</w:t>
            </w:r>
          </w:p>
        </w:tc>
        <w:tc>
          <w:tcPr>
            <w:tcW w:w="877" w:type="pct"/>
            <w:tcBorders>
              <w:top w:val="nil"/>
              <w:left w:val="nil"/>
              <w:bottom w:val="nil"/>
              <w:right w:val="nil"/>
            </w:tcBorders>
            <w:shd w:val="clear" w:color="auto" w:fill="FFFFFF"/>
          </w:tcPr>
          <w:p w14:paraId="1F933C27"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sz w:val="18"/>
                <w:szCs w:val="21"/>
              </w:rPr>
              <w:t xml:space="preserve">0.7609  </w:t>
            </w:r>
          </w:p>
        </w:tc>
        <w:tc>
          <w:tcPr>
            <w:tcW w:w="708" w:type="pct"/>
            <w:tcBorders>
              <w:top w:val="nil"/>
              <w:left w:val="nil"/>
              <w:bottom w:val="nil"/>
              <w:right w:val="nil"/>
            </w:tcBorders>
            <w:shd w:val="clear" w:color="auto" w:fill="FFFFFF"/>
          </w:tcPr>
          <w:p w14:paraId="6E7779BC"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sz w:val="18"/>
                <w:szCs w:val="21"/>
              </w:rPr>
              <w:t>0.2699</w:t>
            </w:r>
          </w:p>
        </w:tc>
        <w:tc>
          <w:tcPr>
            <w:tcW w:w="570" w:type="pct"/>
            <w:tcBorders>
              <w:top w:val="nil"/>
              <w:left w:val="nil"/>
              <w:bottom w:val="nil"/>
              <w:right w:val="nil"/>
            </w:tcBorders>
            <w:shd w:val="clear" w:color="auto" w:fill="FFFFFF"/>
          </w:tcPr>
          <w:p w14:paraId="78860BC4" w14:textId="77777777" w:rsidR="00A549DA" w:rsidRDefault="00000000">
            <w:pPr>
              <w:widowControl/>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sz w:val="18"/>
                <w:szCs w:val="21"/>
              </w:rPr>
              <w:t xml:space="preserve">1.0000 </w:t>
            </w:r>
          </w:p>
        </w:tc>
        <w:tc>
          <w:tcPr>
            <w:tcW w:w="888" w:type="pct"/>
            <w:tcBorders>
              <w:top w:val="nil"/>
              <w:left w:val="nil"/>
              <w:bottom w:val="nil"/>
              <w:right w:val="nil"/>
            </w:tcBorders>
            <w:shd w:val="clear" w:color="auto" w:fill="FFFFFF"/>
          </w:tcPr>
          <w:p w14:paraId="497E62C0"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sz w:val="18"/>
                <w:szCs w:val="21"/>
              </w:rPr>
              <w:t>0.4866</w:t>
            </w:r>
          </w:p>
        </w:tc>
      </w:tr>
      <w:tr w:rsidR="00A549DA" w14:paraId="006FA108" w14:textId="77777777">
        <w:trPr>
          <w:trHeight w:val="405"/>
          <w:jc w:val="center"/>
        </w:trPr>
        <w:tc>
          <w:tcPr>
            <w:tcW w:w="1086" w:type="pct"/>
            <w:tcBorders>
              <w:top w:val="nil"/>
              <w:left w:val="nil"/>
              <w:bottom w:val="single" w:sz="12" w:space="0" w:color="000000"/>
              <w:right w:val="nil"/>
            </w:tcBorders>
            <w:shd w:val="clear" w:color="auto" w:fill="FFFFFF"/>
          </w:tcPr>
          <w:p w14:paraId="494E520F" w14:textId="77777777" w:rsidR="00A549DA" w:rsidRDefault="00000000">
            <w:pPr>
              <w:widowControl/>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sz w:val="18"/>
                <w:szCs w:val="21"/>
              </w:rPr>
              <w:t>ERNIE 5.0</w:t>
            </w:r>
          </w:p>
        </w:tc>
        <w:tc>
          <w:tcPr>
            <w:tcW w:w="868" w:type="pct"/>
            <w:tcBorders>
              <w:top w:val="nil"/>
              <w:left w:val="nil"/>
              <w:bottom w:val="single" w:sz="12" w:space="0" w:color="000000"/>
              <w:right w:val="nil"/>
            </w:tcBorders>
            <w:shd w:val="clear" w:color="auto" w:fill="FFFFFF"/>
          </w:tcPr>
          <w:p w14:paraId="5CAEE948"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sz w:val="18"/>
                <w:szCs w:val="21"/>
              </w:rPr>
              <w:t>0.7442</w:t>
            </w:r>
          </w:p>
        </w:tc>
        <w:tc>
          <w:tcPr>
            <w:tcW w:w="877" w:type="pct"/>
            <w:tcBorders>
              <w:top w:val="nil"/>
              <w:left w:val="nil"/>
              <w:bottom w:val="single" w:sz="12" w:space="0" w:color="000000"/>
              <w:right w:val="nil"/>
            </w:tcBorders>
            <w:shd w:val="clear" w:color="auto" w:fill="FFFFFF"/>
          </w:tcPr>
          <w:p w14:paraId="3D385536"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sz w:val="18"/>
                <w:szCs w:val="21"/>
              </w:rPr>
              <w:t>0.0409</w:t>
            </w:r>
          </w:p>
        </w:tc>
        <w:tc>
          <w:tcPr>
            <w:tcW w:w="708" w:type="pct"/>
            <w:tcBorders>
              <w:top w:val="nil"/>
              <w:left w:val="nil"/>
              <w:bottom w:val="single" w:sz="12" w:space="0" w:color="000000"/>
              <w:right w:val="nil"/>
            </w:tcBorders>
            <w:shd w:val="clear" w:color="auto" w:fill="FFFFFF"/>
          </w:tcPr>
          <w:p w14:paraId="3529BB3B"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sz w:val="18"/>
                <w:szCs w:val="21"/>
              </w:rPr>
              <w:t>0.0028</w:t>
            </w:r>
          </w:p>
        </w:tc>
        <w:tc>
          <w:tcPr>
            <w:tcW w:w="570" w:type="pct"/>
            <w:tcBorders>
              <w:top w:val="nil"/>
              <w:left w:val="nil"/>
              <w:bottom w:val="single" w:sz="12" w:space="0" w:color="000000"/>
              <w:right w:val="nil"/>
            </w:tcBorders>
            <w:shd w:val="clear" w:color="auto" w:fill="FFFFFF"/>
          </w:tcPr>
          <w:p w14:paraId="1D008C45" w14:textId="77777777" w:rsidR="00A549DA"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sz w:val="18"/>
                <w:szCs w:val="21"/>
              </w:rPr>
              <w:t>0.4866</w:t>
            </w:r>
          </w:p>
        </w:tc>
        <w:tc>
          <w:tcPr>
            <w:tcW w:w="888" w:type="pct"/>
            <w:tcBorders>
              <w:top w:val="nil"/>
              <w:left w:val="nil"/>
              <w:bottom w:val="single" w:sz="12" w:space="0" w:color="000000"/>
              <w:right w:val="nil"/>
            </w:tcBorders>
            <w:shd w:val="clear" w:color="auto" w:fill="FFFFFF"/>
          </w:tcPr>
          <w:p w14:paraId="3911F1A2" w14:textId="77777777" w:rsidR="00A549DA" w:rsidRDefault="00000000">
            <w:pPr>
              <w:jc w:val="center"/>
              <w:rPr>
                <w:rFonts w:ascii="Times New Roman Regular" w:eastAsia="SimSun" w:hAnsi="Times New Roman Regular" w:cs="Times New Roman Regular"/>
                <w:color w:val="000000" w:themeColor="text1"/>
                <w:kern w:val="0"/>
                <w:szCs w:val="21"/>
                <w:lang w:bidi="ar"/>
              </w:rPr>
            </w:pPr>
            <w:r>
              <w:rPr>
                <w:rFonts w:ascii="Times New Roman" w:eastAsia="Times New Roman" w:hAnsi="Times New Roman" w:cs="Times New Roman Regular"/>
                <w:color w:val="000000" w:themeColor="text1"/>
                <w:sz w:val="18"/>
                <w:szCs w:val="21"/>
              </w:rPr>
              <w:t>1.0000</w:t>
            </w:r>
          </w:p>
        </w:tc>
      </w:tr>
    </w:tbl>
    <w:p w14:paraId="558166D4" w14:textId="77777777" w:rsidR="00A549DA" w:rsidRDefault="00A549DA">
      <w:pPr>
        <w:spacing w:after="120" w:line="276" w:lineRule="auto"/>
        <w:rPr>
          <w:rFonts w:ascii="Times New Roman Regular" w:hAnsi="Times New Roman Regular" w:cs="Times New Roman Regular"/>
        </w:rPr>
      </w:pPr>
    </w:p>
    <w:p w14:paraId="6052B253" w14:textId="77777777" w:rsidR="00A549DA" w:rsidRDefault="00000000">
      <w:pPr>
        <w:spacing w:after="120" w:line="276" w:lineRule="auto"/>
        <w:ind w:firstLineChars="200" w:firstLine="420"/>
        <w:rPr>
          <w:rFonts w:ascii="Times New Roman Regular" w:hAnsi="Times New Roman Regular" w:cs="Times New Roman Regular"/>
          <w:sz w:val="24"/>
        </w:rPr>
      </w:pPr>
      <w:r>
        <w:rPr>
          <w:rFonts w:ascii="Times New Roman" w:hAnsi="Times New Roman" w:cs="Times New Roman Regular"/>
        </w:rPr>
        <w:t>Overall, although DeepSeek-V3.2 achieved the highest mean COMET score, its statistical advantage was confirmed only in comparison with ERNIE 5.0. To further elucidate the factors underlying these statistical differences and to examine how linguistic and cultural features affect model performance, the following section presents a qualitative analysis of representative high-scoring and low-scoring translation cases.</w:t>
      </w:r>
    </w:p>
    <w:p w14:paraId="5F900141" w14:textId="77777777" w:rsidR="00A549DA" w:rsidRDefault="00A549DA">
      <w:pPr>
        <w:spacing w:after="120" w:line="276" w:lineRule="auto"/>
        <w:rPr>
          <w:rFonts w:ascii="Times New Roman Regular" w:hAnsi="Times New Roman Regular" w:cs="Times New Roman Regular"/>
        </w:rPr>
      </w:pPr>
    </w:p>
    <w:p w14:paraId="328CF20E" w14:textId="77777777" w:rsidR="00A549DA" w:rsidRDefault="00000000">
      <w:pPr>
        <w:pStyle w:val="Heading2"/>
        <w:widowControl/>
        <w:spacing w:after="120" w:line="276" w:lineRule="auto"/>
        <w:rPr>
          <w:rFonts w:ascii="Times New Roman Regular" w:hAnsi="Times New Roman Regular" w:cs="Times New Roman Regular" w:hint="default"/>
          <w:sz w:val="27"/>
          <w:szCs w:val="27"/>
          <w:lang w:bidi="ar"/>
        </w:rPr>
      </w:pPr>
      <w:r>
        <w:rPr>
          <w:rFonts w:ascii="Times New Roman" w:eastAsia="Times New Roman" w:hAnsi="Times New Roman" w:cs="Times New Roman Regular" w:hint="default"/>
          <w:sz w:val="21"/>
          <w:szCs w:val="27"/>
          <w:lang w:bidi="ar"/>
        </w:rPr>
        <w:t>4.2 Qualitative Analysis</w:t>
      </w:r>
    </w:p>
    <w:p w14:paraId="642EDBF3" w14:textId="77777777" w:rsidR="00A549DA" w:rsidRDefault="00000000">
      <w:pPr>
        <w:spacing w:after="120" w:line="276" w:lineRule="auto"/>
        <w:ind w:firstLineChars="200" w:firstLine="420"/>
        <w:rPr>
          <w:rFonts w:ascii="Times New Roman Regular" w:hAnsi="Times New Roman Regular" w:cs="Times New Roman Regular"/>
          <w:sz w:val="24"/>
        </w:rPr>
      </w:pPr>
      <w:r>
        <w:rPr>
          <w:rFonts w:ascii="Times New Roman" w:hAnsi="Times New Roman" w:cs="Times New Roman Regular"/>
        </w:rPr>
        <w:t xml:space="preserve">To further investigate the differences in translation quality among the Large Language Models (LLMs) and explore the underlying factors influencing their performance, this study conducted a qualitative analysis based on representative translation cases. Specifically, the three highest-scoring and three </w:t>
      </w:r>
      <w:r>
        <w:rPr>
          <w:rFonts w:ascii="Times New Roman" w:hAnsi="Times New Roman" w:cs="Times New Roman Regular"/>
        </w:rPr>
        <w:lastRenderedPageBreak/>
        <w:t>lowest-scoring test sentences for each model were extracted according to their COMET scores, and a heatmap was generated to visualize the distribution patterns of these sentences across different models (Figure 1).</w:t>
      </w:r>
    </w:p>
    <w:p w14:paraId="74B8E373" w14:textId="77777777" w:rsidR="00A549DA" w:rsidRDefault="00000000">
      <w:pPr>
        <w:spacing w:after="120" w:line="276" w:lineRule="auto"/>
        <w:ind w:firstLineChars="200" w:firstLine="420"/>
        <w:rPr>
          <w:rFonts w:ascii="Times New Roman Regular" w:hAnsi="Times New Roman Regular" w:cs="Times New Roman Regular"/>
          <w:sz w:val="24"/>
        </w:rPr>
      </w:pPr>
      <w:r>
        <w:rPr>
          <w:rFonts w:ascii="Times New Roman" w:hAnsi="Times New Roman" w:cs="Times New Roman Regular"/>
        </w:rPr>
        <w:t>The heatmap analysis was combined with representative case studies to identify the textual characteristics associated with successful and challenging translation. Rather than focusing solely on model ranking, this analysis aimed to explain why certain Zhuang Medicine texts were translated more effectively than others and how different models responded to domain-specific translation challenges.</w:t>
      </w:r>
    </w:p>
    <w:p w14:paraId="73FA9B60" w14:textId="77777777" w:rsidR="00A549DA" w:rsidRDefault="00A549DA">
      <w:pPr>
        <w:widowControl/>
        <w:spacing w:after="120" w:line="276" w:lineRule="auto"/>
        <w:ind w:firstLineChars="200" w:firstLine="420"/>
        <w:jc w:val="left"/>
        <w:rPr>
          <w:rFonts w:ascii="Times New Roman Regular" w:hAnsi="Times New Roman Regular" w:cs="Times New Roman Regular"/>
        </w:rPr>
      </w:pPr>
    </w:p>
    <w:p w14:paraId="7027A197" w14:textId="77777777" w:rsidR="00A549DA" w:rsidRDefault="00000000">
      <w:pPr>
        <w:widowControl/>
        <w:spacing w:after="120" w:line="276" w:lineRule="auto"/>
        <w:jc w:val="left"/>
      </w:pPr>
      <w:r>
        <w:rPr>
          <w:noProof/>
        </w:rPr>
        <w:drawing>
          <wp:inline distT="0" distB="0" distL="114300" distR="114300" wp14:anchorId="54C9427C" wp14:editId="48086D62">
            <wp:extent cx="5536565" cy="4424680"/>
            <wp:effectExtent l="0" t="0" r="635" b="2032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8"/>
                    <a:stretch>
                      <a:fillRect/>
                    </a:stretch>
                  </pic:blipFill>
                  <pic:spPr>
                    <a:xfrm>
                      <a:off x="0" y="0"/>
                      <a:ext cx="5536565" cy="4424680"/>
                    </a:xfrm>
                    <a:prstGeom prst="rect">
                      <a:avLst/>
                    </a:prstGeom>
                    <a:noFill/>
                    <a:ln>
                      <a:noFill/>
                    </a:ln>
                  </pic:spPr>
                </pic:pic>
              </a:graphicData>
            </a:graphic>
          </wp:inline>
        </w:drawing>
      </w:r>
    </w:p>
    <w:p w14:paraId="3B6F1777" w14:textId="77777777" w:rsidR="00A549DA" w:rsidRDefault="00000000">
      <w:pPr>
        <w:widowControl/>
        <w:spacing w:after="120" w:line="276" w:lineRule="auto"/>
        <w:jc w:val="center"/>
        <w:rPr>
          <w:rFonts w:ascii="Times New Roman" w:hAnsi="Times New Roman" w:cs="Times New Roman"/>
          <w:sz w:val="18"/>
          <w:szCs w:val="18"/>
        </w:rPr>
      </w:pPr>
      <w:r>
        <w:rPr>
          <w:rFonts w:ascii="Times New Roman" w:eastAsia="Times New Roman" w:hAnsi="Times New Roman" w:cs="Times New Roman"/>
          <w:kern w:val="0"/>
          <w:sz w:val="18"/>
          <w:szCs w:val="18"/>
          <w:lang w:bidi="ar"/>
        </w:rPr>
        <w:t>Figure 1. Heatmap of the Three Highest-scoring and Three Lowest-scoring Test Sentences for the Five Large Language Models Based on COMET Scores</w:t>
      </w:r>
    </w:p>
    <w:p w14:paraId="2FE40294" w14:textId="77777777" w:rsidR="00A549DA" w:rsidRDefault="00A549DA">
      <w:pPr>
        <w:widowControl/>
        <w:spacing w:after="120" w:line="276" w:lineRule="auto"/>
        <w:jc w:val="left"/>
        <w:rPr>
          <w:rFonts w:ascii="Times New Roman" w:hAnsi="Times New Roman" w:cs="Times New Roman"/>
        </w:rPr>
      </w:pPr>
    </w:p>
    <w:p w14:paraId="5943B324" w14:textId="77777777" w:rsidR="00A549DA" w:rsidRDefault="00000000">
      <w:pPr>
        <w:widowControl/>
        <w:spacing w:after="120" w:line="276" w:lineRule="auto"/>
        <w:jc w:val="left"/>
        <w:rPr>
          <w:rFonts w:ascii="Times New Roman Bold" w:hAnsi="Times New Roman Bold" w:cs="Times New Roman Bold"/>
          <w:b/>
          <w:bCs/>
          <w:sz w:val="30"/>
          <w:szCs w:val="30"/>
        </w:rPr>
      </w:pPr>
      <w:r>
        <w:rPr>
          <w:rFonts w:ascii="Times New Roman Bold" w:eastAsia="Times New Roman" w:hAnsi="Times New Roman Bold" w:cs="Times New Roman Bold"/>
          <w:b/>
          <w:bCs/>
          <w:szCs w:val="30"/>
        </w:rPr>
        <w:t>4.2.1 Overall Characteristics of the Heatmap</w:t>
      </w:r>
    </w:p>
    <w:p w14:paraId="153C61F1" w14:textId="77777777" w:rsidR="00A549DA" w:rsidRDefault="00000000">
      <w:pPr>
        <w:spacing w:after="120" w:line="276" w:lineRule="auto"/>
        <w:ind w:firstLineChars="200" w:firstLine="420"/>
        <w:rPr>
          <w:rFonts w:ascii="Times New Roman Regular" w:hAnsi="Times New Roman Regular" w:cs="Times New Roman Regular"/>
        </w:rPr>
      </w:pPr>
      <w:r>
        <w:rPr>
          <w:rFonts w:ascii="Times New Roman" w:hAnsi="Times New Roman" w:cs="Times New Roman Regular"/>
        </w:rPr>
        <w:t xml:space="preserve">The overall distribution of the heatmap reveals clear clustering patterns among both high-scoring and low-scoring sentences rather than a random distribution. High-scoring sentences were mainly concentrated in Sentences 33, 74, and 116, with Sentence 74 appearing among the top-scoring cases across all five LLMs. In contrast, low-scoring sentences were primarily concentrated in Sentences 153, 194, 69, and 44. </w:t>
      </w:r>
      <w:r>
        <w:rPr>
          <w:rFonts w:ascii="Times New Roman" w:hAnsi="Times New Roman" w:cs="Times New Roman Regular"/>
        </w:rPr>
        <w:lastRenderedPageBreak/>
        <w:t>Notably, Sentence 153 appeared among the lowest-scoring translations generated by Claude Sonnet 4.5, DeepSeek-V3.2, Gemini 2.5 Pro, and ERNIE 5.0, whereas Sentence 194 appeared in the low-scoring group of both ChatGPT-5.2 and ERNIE 5.0.</w:t>
      </w:r>
    </w:p>
    <w:p w14:paraId="488629AD" w14:textId="77777777" w:rsidR="00A549DA" w:rsidRDefault="00000000">
      <w:pPr>
        <w:spacing w:after="120" w:line="276" w:lineRule="auto"/>
        <w:ind w:firstLineChars="200" w:firstLine="420"/>
        <w:rPr>
          <w:rFonts w:ascii="Times New Roman" w:eastAsia="Times New Roman" w:hAnsi="Times New Roman" w:cs="Times New Roman Regular"/>
        </w:rPr>
      </w:pPr>
      <w:r>
        <w:rPr>
          <w:rFonts w:ascii="Times New Roman" w:hAnsi="Times New Roman" w:cs="Times New Roman Regular"/>
        </w:rPr>
        <w:t>The cross-model consistency observed in the heatmap suggests that translation difficulty is influenced not only by differences in model capability but also, to a considerable extent, by the characteristics of the source texts. When different models encounter sentences with similar linguistic and conceptual features, they tend to exhibit similar translation patterns. Therefore, differences in average COMET scores alone cannot fully explain variations in translation performance. Instead, examining representative cases is necessary to identify the specific textual factors that contribute to successful or problematic translation.</w:t>
      </w:r>
      <w:r>
        <w:rPr>
          <w:rFonts w:ascii="Times New Roman" w:eastAsia="Times New Roman" w:hAnsi="Times New Roman" w:cs="Times New Roman Regular" w:hint="eastAsia"/>
        </w:rPr>
        <w:t xml:space="preserve"> </w:t>
      </w:r>
    </w:p>
    <w:p w14:paraId="5DF9A47E" w14:textId="77777777" w:rsidR="00A549DA" w:rsidRDefault="00A549DA">
      <w:pPr>
        <w:spacing w:after="120" w:line="276" w:lineRule="auto"/>
        <w:ind w:firstLineChars="200" w:firstLine="420"/>
        <w:rPr>
          <w:rFonts w:ascii="Times New Roman" w:eastAsia="Times New Roman" w:hAnsi="Times New Roman" w:cs="Times New Roman Regular"/>
        </w:rPr>
      </w:pPr>
    </w:p>
    <w:p w14:paraId="4D285D06" w14:textId="77777777" w:rsidR="00A549DA" w:rsidRDefault="00000000">
      <w:pPr>
        <w:widowControl/>
        <w:spacing w:after="120" w:line="276" w:lineRule="auto"/>
        <w:jc w:val="center"/>
        <w:rPr>
          <w:rFonts w:ascii="Times New Roman Regular" w:hAnsi="Times New Roman Regular" w:cs="Times New Roman Regular"/>
        </w:rPr>
      </w:pPr>
      <w:r>
        <w:rPr>
          <w:rFonts w:ascii="Times New Roman" w:eastAsia="Times New Roman" w:hAnsi="Times New Roman" w:cs="Times New Roman"/>
          <w:kern w:val="0"/>
          <w:lang w:bidi="ar"/>
        </w:rPr>
        <w:t>Table 4. Representative Source Sentences Selected for Qualitative Analysis</w:t>
      </w:r>
    </w:p>
    <w:tbl>
      <w:tblPr>
        <w:tblStyle w:val="TableGrid"/>
        <w:tblW w:w="0" w:type="auto"/>
        <w:jc w:val="center"/>
        <w:tblLook w:val="04A0" w:firstRow="1" w:lastRow="0" w:firstColumn="1" w:lastColumn="0" w:noHBand="0" w:noVBand="1"/>
      </w:tblPr>
      <w:tblGrid>
        <w:gridCol w:w="473"/>
        <w:gridCol w:w="726"/>
        <w:gridCol w:w="8043"/>
      </w:tblGrid>
      <w:tr w:rsidR="00A549DA" w14:paraId="0E48F178" w14:textId="77777777">
        <w:trPr>
          <w:jc w:val="center"/>
        </w:trPr>
        <w:tc>
          <w:tcPr>
            <w:tcW w:w="1424" w:type="dxa"/>
            <w:tcBorders>
              <w:top w:val="single" w:sz="12" w:space="0" w:color="000000"/>
              <w:left w:val="nil"/>
              <w:bottom w:val="single" w:sz="4" w:space="0" w:color="000000"/>
              <w:right w:val="nil"/>
              <w:tl2br w:val="nil"/>
            </w:tcBorders>
            <w:shd w:val="clear" w:color="auto" w:fill="FFFFFF"/>
          </w:tcPr>
          <w:p w14:paraId="2085948F" w14:textId="77777777" w:rsidR="00A549DA" w:rsidRDefault="00000000">
            <w:pPr>
              <w:widowControl/>
              <w:jc w:val="center"/>
              <w:rPr>
                <w:rFonts w:ascii="Times New Roman" w:hAnsi="Times New Roman" w:cs="Times New Roman"/>
                <w:color w:val="000000"/>
              </w:rPr>
            </w:pPr>
            <w:r>
              <w:rPr>
                <w:rFonts w:ascii="Times New Roman" w:eastAsia="Times New Roman" w:hAnsi="Times New Roman" w:cs="Times New Roman"/>
                <w:color w:val="000000"/>
                <w:kern w:val="0"/>
                <w:sz w:val="18"/>
                <w:szCs w:val="22"/>
                <w:shd w:val="clear" w:color="auto" w:fill="FFFFFF"/>
                <w:lang w:bidi="ar"/>
              </w:rPr>
              <w:t>Sentence ID</w:t>
            </w:r>
          </w:p>
          <w:p w14:paraId="3FA10293" w14:textId="77777777" w:rsidR="00A549DA" w:rsidRDefault="00A549DA">
            <w:pPr>
              <w:jc w:val="center"/>
              <w:rPr>
                <w:rFonts w:ascii="Times New Roman" w:hAnsi="Times New Roman" w:cs="Times New Roman"/>
                <w:color w:val="000000"/>
              </w:rPr>
            </w:pPr>
          </w:p>
        </w:tc>
        <w:tc>
          <w:tcPr>
            <w:tcW w:w="3464" w:type="dxa"/>
            <w:tcBorders>
              <w:top w:val="single" w:sz="12" w:space="0" w:color="000000"/>
              <w:left w:val="nil"/>
              <w:bottom w:val="single" w:sz="4" w:space="0" w:color="000000"/>
              <w:right w:val="nil"/>
            </w:tcBorders>
            <w:shd w:val="clear" w:color="auto" w:fill="FFFFFF"/>
          </w:tcPr>
          <w:p w14:paraId="1EEC85F7" w14:textId="77777777" w:rsidR="00A549DA" w:rsidRDefault="00000000">
            <w:pPr>
              <w:widowControl/>
              <w:jc w:val="center"/>
              <w:rPr>
                <w:rFonts w:ascii="Times New Roman Regular" w:hAnsi="Times New Roman Regular" w:cs="Times New Roman Regular"/>
                <w:color w:val="000000"/>
              </w:rPr>
            </w:pPr>
            <w:r>
              <w:rPr>
                <w:rFonts w:ascii="Times New Roman" w:eastAsia="Times New Roman" w:hAnsi="Times New Roman" w:cs="Times New Roman Regular"/>
                <w:color w:val="000000"/>
                <w:kern w:val="0"/>
                <w:sz w:val="18"/>
                <w:szCs w:val="22"/>
                <w:shd w:val="clear" w:color="auto" w:fill="FFFFFF"/>
                <w:lang w:bidi="ar"/>
              </w:rPr>
              <w:t>Topic/Context</w:t>
            </w:r>
          </w:p>
          <w:p w14:paraId="72DC0FEC" w14:textId="77777777" w:rsidR="00A549DA" w:rsidRDefault="00A549DA">
            <w:pPr>
              <w:jc w:val="center"/>
              <w:rPr>
                <w:rFonts w:ascii="Times New Roman Regular" w:hAnsi="Times New Roman Regular" w:cs="Times New Roman Regular"/>
                <w:color w:val="000000"/>
              </w:rPr>
            </w:pPr>
          </w:p>
        </w:tc>
        <w:tc>
          <w:tcPr>
            <w:tcW w:w="3634" w:type="dxa"/>
            <w:tcBorders>
              <w:top w:val="single" w:sz="12" w:space="0" w:color="000000"/>
              <w:left w:val="nil"/>
              <w:bottom w:val="single" w:sz="4" w:space="0" w:color="000000"/>
              <w:right w:val="nil"/>
            </w:tcBorders>
            <w:shd w:val="clear" w:color="auto" w:fill="FFFFFF"/>
          </w:tcPr>
          <w:p w14:paraId="7F5BBD9A" w14:textId="77777777" w:rsidR="00A549DA" w:rsidRDefault="00000000">
            <w:pPr>
              <w:widowControl/>
              <w:jc w:val="center"/>
              <w:rPr>
                <w:rFonts w:ascii="Times New Roman" w:hAnsi="Times New Roman" w:cs="Times New Roman"/>
                <w:color w:val="000000"/>
              </w:rPr>
            </w:pPr>
            <w:r>
              <w:rPr>
                <w:rFonts w:ascii="Times New Roman" w:eastAsia="Times New Roman" w:hAnsi="Times New Roman" w:cs="Times New Roman"/>
                <w:color w:val="000000"/>
                <w:kern w:val="0"/>
                <w:sz w:val="18"/>
                <w:szCs w:val="22"/>
                <w:shd w:val="clear" w:color="auto" w:fill="FFFFFF"/>
                <w:lang w:bidi="ar"/>
              </w:rPr>
              <w:t>Chinese Source Text</w:t>
            </w:r>
          </w:p>
          <w:p w14:paraId="7D85BA4C" w14:textId="77777777" w:rsidR="00A549DA" w:rsidRDefault="00A549DA">
            <w:pPr>
              <w:jc w:val="center"/>
              <w:rPr>
                <w:rFonts w:ascii="Times New Roman" w:hAnsi="Times New Roman" w:cs="Times New Roman"/>
                <w:color w:val="000000"/>
              </w:rPr>
            </w:pPr>
          </w:p>
        </w:tc>
      </w:tr>
      <w:tr w:rsidR="00A549DA" w14:paraId="2E41F55D" w14:textId="77777777">
        <w:trPr>
          <w:jc w:val="center"/>
        </w:trPr>
        <w:tc>
          <w:tcPr>
            <w:tcW w:w="1424" w:type="dxa"/>
            <w:tcBorders>
              <w:top w:val="single" w:sz="4" w:space="0" w:color="000000"/>
              <w:left w:val="nil"/>
              <w:bottom w:val="nil"/>
              <w:right w:val="nil"/>
            </w:tcBorders>
            <w:shd w:val="clear" w:color="auto" w:fill="FFFFFF"/>
          </w:tcPr>
          <w:p w14:paraId="1F6445D0" w14:textId="77777777" w:rsidR="00A549DA" w:rsidRDefault="00000000">
            <w:pPr>
              <w:jc w:val="center"/>
              <w:rPr>
                <w:rFonts w:ascii="Times New Roman Regular" w:hAnsi="Times New Roman Regular" w:cs="Times New Roman Regular"/>
                <w:color w:val="000000"/>
              </w:rPr>
            </w:pPr>
            <w:r>
              <w:rPr>
                <w:rFonts w:ascii="Times New Roman" w:eastAsia="Times New Roman" w:hAnsi="Times New Roman" w:cs="Times New Roman Regular" w:hint="eastAsia"/>
                <w:color w:val="000000"/>
                <w:sz w:val="18"/>
              </w:rPr>
              <w:t>33</w:t>
            </w:r>
          </w:p>
        </w:tc>
        <w:tc>
          <w:tcPr>
            <w:tcW w:w="3464" w:type="dxa"/>
            <w:tcBorders>
              <w:top w:val="single" w:sz="4" w:space="0" w:color="000000"/>
              <w:left w:val="nil"/>
              <w:bottom w:val="nil"/>
              <w:right w:val="nil"/>
            </w:tcBorders>
            <w:shd w:val="clear" w:color="auto" w:fill="FFFFFF"/>
          </w:tcPr>
          <w:p w14:paraId="64D6FF66" w14:textId="77777777" w:rsidR="00A549DA" w:rsidRDefault="00000000">
            <w:pPr>
              <w:widowControl/>
              <w:jc w:val="center"/>
              <w:rPr>
                <w:rFonts w:ascii="Times New Roman Regular" w:hAnsi="Times New Roman Regular" w:cs="Times New Roman Regular"/>
                <w:color w:val="000000"/>
              </w:rPr>
            </w:pPr>
            <w:r>
              <w:rPr>
                <w:rFonts w:ascii="Times New Roman" w:eastAsia="Times New Roman" w:hAnsi="Times New Roman" w:cs="Times New Roman Regular"/>
                <w:color w:val="000000"/>
                <w:kern w:val="0"/>
                <w:sz w:val="18"/>
                <w:szCs w:val="22"/>
                <w:shd w:val="clear" w:color="auto" w:fill="FFFFFF"/>
                <w:lang w:bidi="ar"/>
              </w:rPr>
              <w:t>Skin allergy management</w:t>
            </w:r>
          </w:p>
          <w:p w14:paraId="2710C6CB" w14:textId="77777777" w:rsidR="00A549DA" w:rsidRDefault="00A549DA">
            <w:pPr>
              <w:jc w:val="center"/>
              <w:rPr>
                <w:rFonts w:ascii="Times New Roman Regular" w:hAnsi="Times New Roman Regular" w:cs="Times New Roman Regular"/>
                <w:color w:val="000000"/>
              </w:rPr>
            </w:pPr>
          </w:p>
        </w:tc>
        <w:tc>
          <w:tcPr>
            <w:tcW w:w="3634" w:type="dxa"/>
            <w:tcBorders>
              <w:top w:val="single" w:sz="4" w:space="0" w:color="000000"/>
              <w:left w:val="nil"/>
              <w:bottom w:val="nil"/>
              <w:right w:val="nil"/>
            </w:tcBorders>
            <w:shd w:val="clear" w:color="auto" w:fill="FFFFFF"/>
          </w:tcPr>
          <w:p w14:paraId="49A73250" w14:textId="77777777" w:rsidR="00A549DA" w:rsidRDefault="00000000">
            <w:pPr>
              <w:widowControl/>
              <w:jc w:val="left"/>
              <w:rPr>
                <w:rFonts w:ascii="Times New Roman Regular" w:hAnsi="Times New Roman Regular" w:cs="Times New Roman Regular"/>
                <w:color w:val="000000"/>
              </w:rPr>
            </w:pPr>
            <w:proofErr w:type="spellStart"/>
            <w:r>
              <w:rPr>
                <w:rFonts w:ascii="Times New Roman" w:eastAsia="Times New Roman" w:hAnsi="Times New Roman" w:cs="Helvetica Neue"/>
                <w:color w:val="000000"/>
                <w:kern w:val="0"/>
                <w:sz w:val="18"/>
                <w:szCs w:val="22"/>
                <w:shd w:val="clear" w:color="auto" w:fill="FFFFFF"/>
                <w:lang w:bidi="ar"/>
              </w:rPr>
              <w:t>敷药局部皮肤有红肿、红疹或痛痒多为皮肤过敏现象，应该立即停止贴敷，症状严重者需进行抗过敏治疗</w:t>
            </w:r>
            <w:proofErr w:type="spellEnd"/>
            <w:r>
              <w:rPr>
                <w:rFonts w:ascii="Times New Roman" w:eastAsia="Times New Roman" w:hAnsi="Times New Roman" w:cs="Helvetica Neue"/>
                <w:color w:val="000000"/>
                <w:kern w:val="0"/>
                <w:sz w:val="18"/>
                <w:szCs w:val="22"/>
                <w:shd w:val="clear" w:color="auto" w:fill="FFFFFF"/>
                <w:lang w:bidi="ar"/>
              </w:rPr>
              <w:t>。</w:t>
            </w:r>
          </w:p>
        </w:tc>
      </w:tr>
      <w:tr w:rsidR="00A549DA" w14:paraId="5F9E2F44" w14:textId="77777777">
        <w:trPr>
          <w:jc w:val="center"/>
        </w:trPr>
        <w:tc>
          <w:tcPr>
            <w:tcW w:w="1424" w:type="dxa"/>
            <w:tcBorders>
              <w:top w:val="nil"/>
              <w:left w:val="nil"/>
              <w:bottom w:val="nil"/>
              <w:right w:val="nil"/>
            </w:tcBorders>
            <w:shd w:val="clear" w:color="auto" w:fill="FFFFFF"/>
          </w:tcPr>
          <w:p w14:paraId="336EC382" w14:textId="77777777" w:rsidR="00A549DA" w:rsidRDefault="00000000">
            <w:pPr>
              <w:jc w:val="center"/>
              <w:rPr>
                <w:rFonts w:ascii="Times New Roman Regular" w:hAnsi="Times New Roman Regular" w:cs="Times New Roman Regular"/>
                <w:color w:val="000000"/>
              </w:rPr>
            </w:pPr>
            <w:r>
              <w:rPr>
                <w:rFonts w:ascii="Times New Roman" w:eastAsia="Times New Roman" w:hAnsi="Times New Roman" w:cs="Times New Roman Regular" w:hint="eastAsia"/>
                <w:color w:val="000000"/>
                <w:sz w:val="18"/>
              </w:rPr>
              <w:t>74</w:t>
            </w:r>
          </w:p>
        </w:tc>
        <w:tc>
          <w:tcPr>
            <w:tcW w:w="3464" w:type="dxa"/>
            <w:tcBorders>
              <w:top w:val="nil"/>
              <w:left w:val="nil"/>
              <w:bottom w:val="nil"/>
              <w:right w:val="nil"/>
            </w:tcBorders>
            <w:shd w:val="clear" w:color="auto" w:fill="FFFFFF"/>
          </w:tcPr>
          <w:p w14:paraId="3B4F1A15" w14:textId="77777777" w:rsidR="00A549DA" w:rsidRDefault="00000000">
            <w:pPr>
              <w:widowControl/>
              <w:jc w:val="center"/>
              <w:rPr>
                <w:rFonts w:ascii="Times New Roman Regular" w:hAnsi="Times New Roman Regular" w:cs="Times New Roman Regular"/>
                <w:color w:val="000000"/>
              </w:rPr>
            </w:pPr>
            <w:r>
              <w:rPr>
                <w:rFonts w:ascii="Times New Roman" w:eastAsia="Times New Roman" w:hAnsi="Times New Roman" w:cs="Times New Roman Regular"/>
                <w:color w:val="000000"/>
                <w:kern w:val="0"/>
                <w:sz w:val="18"/>
                <w:szCs w:val="22"/>
                <w:shd w:val="clear" w:color="auto" w:fill="FFFFFF"/>
                <w:lang w:bidi="ar"/>
              </w:rPr>
              <w:t>Hot water therapy mechanism</w:t>
            </w:r>
          </w:p>
          <w:p w14:paraId="64A878E2" w14:textId="77777777" w:rsidR="00A549DA" w:rsidRDefault="00A549DA">
            <w:pPr>
              <w:jc w:val="center"/>
              <w:rPr>
                <w:rFonts w:ascii="Times New Roman Regular" w:hAnsi="Times New Roman Regular" w:cs="Times New Roman Regular"/>
                <w:color w:val="000000"/>
              </w:rPr>
            </w:pPr>
          </w:p>
        </w:tc>
        <w:tc>
          <w:tcPr>
            <w:tcW w:w="3634" w:type="dxa"/>
            <w:tcBorders>
              <w:top w:val="nil"/>
              <w:left w:val="nil"/>
              <w:bottom w:val="nil"/>
              <w:right w:val="nil"/>
            </w:tcBorders>
            <w:shd w:val="clear" w:color="auto" w:fill="FFFFFF"/>
          </w:tcPr>
          <w:p w14:paraId="2E326D77" w14:textId="77777777" w:rsidR="00A549DA" w:rsidRDefault="00000000">
            <w:pPr>
              <w:widowControl/>
              <w:jc w:val="left"/>
              <w:rPr>
                <w:rFonts w:ascii="Times New Roman Regular" w:hAnsi="Times New Roman Regular" w:cs="Times New Roman Regular"/>
                <w:color w:val="000000"/>
              </w:rPr>
            </w:pPr>
            <w:proofErr w:type="spellStart"/>
            <w:r>
              <w:rPr>
                <w:rFonts w:ascii="Times New Roman" w:eastAsia="Times New Roman" w:hAnsi="Times New Roman" w:cs="Helvetica Neue"/>
                <w:color w:val="000000"/>
                <w:kern w:val="0"/>
                <w:sz w:val="18"/>
                <w:szCs w:val="22"/>
                <w:shd w:val="clear" w:color="auto" w:fill="FFFFFF"/>
                <w:lang w:bidi="ar"/>
              </w:rPr>
              <w:t>热水能扩张血管，促进血液循环，能使药液通过皮肤吸收，作用于人体</w:t>
            </w:r>
            <w:proofErr w:type="spellEnd"/>
            <w:r>
              <w:rPr>
                <w:rFonts w:ascii="Times New Roman" w:eastAsia="Times New Roman" w:hAnsi="Times New Roman" w:cs="Helvetica Neue"/>
                <w:color w:val="000000"/>
                <w:kern w:val="0"/>
                <w:sz w:val="18"/>
                <w:szCs w:val="22"/>
                <w:shd w:val="clear" w:color="auto" w:fill="FFFFFF"/>
                <w:lang w:bidi="ar"/>
              </w:rPr>
              <w:t>。</w:t>
            </w:r>
          </w:p>
        </w:tc>
      </w:tr>
      <w:tr w:rsidR="00A549DA" w14:paraId="08D5EC42" w14:textId="77777777">
        <w:trPr>
          <w:jc w:val="center"/>
        </w:trPr>
        <w:tc>
          <w:tcPr>
            <w:tcW w:w="1424" w:type="dxa"/>
            <w:tcBorders>
              <w:top w:val="nil"/>
              <w:left w:val="nil"/>
              <w:bottom w:val="nil"/>
              <w:right w:val="nil"/>
            </w:tcBorders>
            <w:shd w:val="clear" w:color="auto" w:fill="FFFFFF"/>
          </w:tcPr>
          <w:p w14:paraId="52883704" w14:textId="77777777" w:rsidR="00A549DA" w:rsidRDefault="00000000">
            <w:pPr>
              <w:jc w:val="center"/>
              <w:rPr>
                <w:rFonts w:ascii="Times New Roman Regular" w:hAnsi="Times New Roman Regular" w:cs="Times New Roman Regular"/>
                <w:color w:val="000000"/>
              </w:rPr>
            </w:pPr>
            <w:r>
              <w:rPr>
                <w:rFonts w:ascii="Times New Roman" w:eastAsia="Times New Roman" w:hAnsi="Times New Roman" w:cs="Times New Roman Regular" w:hint="eastAsia"/>
                <w:color w:val="000000"/>
                <w:sz w:val="18"/>
              </w:rPr>
              <w:t>116</w:t>
            </w:r>
          </w:p>
        </w:tc>
        <w:tc>
          <w:tcPr>
            <w:tcW w:w="3464" w:type="dxa"/>
            <w:tcBorders>
              <w:top w:val="nil"/>
              <w:left w:val="nil"/>
              <w:bottom w:val="nil"/>
              <w:right w:val="nil"/>
            </w:tcBorders>
            <w:shd w:val="clear" w:color="auto" w:fill="FFFFFF"/>
          </w:tcPr>
          <w:p w14:paraId="4EB38332" w14:textId="77777777" w:rsidR="00A549DA" w:rsidRDefault="00000000">
            <w:pPr>
              <w:widowControl/>
              <w:jc w:val="center"/>
              <w:rPr>
                <w:rFonts w:ascii="Times New Roman Regular" w:hAnsi="Times New Roman Regular" w:cs="Times New Roman Regular"/>
                <w:color w:val="000000"/>
              </w:rPr>
            </w:pPr>
            <w:r>
              <w:rPr>
                <w:rFonts w:ascii="Times New Roman" w:eastAsia="Times New Roman" w:hAnsi="Times New Roman" w:cs="Times New Roman Regular"/>
                <w:color w:val="000000"/>
                <w:kern w:val="0"/>
                <w:sz w:val="18"/>
                <w:szCs w:val="22"/>
                <w:shd w:val="clear" w:color="auto" w:fill="FFFFFF"/>
                <w:lang w:bidi="ar"/>
              </w:rPr>
              <w:t>Age-based medication dosage</w:t>
            </w:r>
          </w:p>
        </w:tc>
        <w:tc>
          <w:tcPr>
            <w:tcW w:w="3634" w:type="dxa"/>
            <w:tcBorders>
              <w:top w:val="nil"/>
              <w:left w:val="nil"/>
              <w:bottom w:val="nil"/>
              <w:right w:val="nil"/>
            </w:tcBorders>
            <w:shd w:val="clear" w:color="auto" w:fill="FFFFFF"/>
          </w:tcPr>
          <w:p w14:paraId="57BD00D6" w14:textId="77777777" w:rsidR="00A549DA" w:rsidRDefault="00000000">
            <w:pPr>
              <w:widowControl/>
              <w:jc w:val="left"/>
              <w:rPr>
                <w:rFonts w:ascii="Times New Roman Regular" w:hAnsi="Times New Roman Regular" w:cs="Times New Roman Regular"/>
                <w:color w:val="000000"/>
              </w:rPr>
            </w:pPr>
            <w:r>
              <w:rPr>
                <w:rFonts w:ascii="Times New Roman" w:eastAsia="Times New Roman" w:hAnsi="Times New Roman" w:cs="Helvetica Neue"/>
                <w:color w:val="000000"/>
                <w:kern w:val="0"/>
                <w:sz w:val="18"/>
                <w:szCs w:val="22"/>
                <w:lang w:bidi="ar"/>
              </w:rPr>
              <w:t>给药剂量则应按年龄有所不同，1岁以内50毫升/次，1</w:t>
            </w:r>
            <w:r>
              <w:rPr>
                <w:rFonts w:ascii="Times New Roman" w:eastAsia="Times New Roman" w:hAnsi="Times New Roman" w:cs="Helvetica Neue"/>
                <w:color w:val="000000"/>
                <w:kern w:val="0"/>
                <w:sz w:val="18"/>
                <w:szCs w:val="22"/>
                <w:shd w:val="clear" w:color="auto" w:fill="FFFFFF"/>
                <w:lang w:bidi="ar"/>
              </w:rPr>
              <w:t>~</w:t>
            </w:r>
            <w:r>
              <w:rPr>
                <w:rFonts w:ascii="Times New Roman" w:eastAsia="Times New Roman" w:hAnsi="Times New Roman" w:cs="Helvetica Neue"/>
                <w:color w:val="000000"/>
                <w:kern w:val="0"/>
                <w:sz w:val="18"/>
                <w:szCs w:val="22"/>
                <w:lang w:bidi="ar"/>
              </w:rPr>
              <w:t>3岁100毫升/次，4</w:t>
            </w:r>
            <w:r>
              <w:rPr>
                <w:rFonts w:ascii="Times New Roman" w:eastAsia="Times New Roman" w:hAnsi="Times New Roman" w:cs="Helvetica Neue"/>
                <w:color w:val="000000"/>
                <w:kern w:val="0"/>
                <w:sz w:val="18"/>
                <w:szCs w:val="22"/>
                <w:shd w:val="clear" w:color="auto" w:fill="FFFFFF"/>
                <w:lang w:bidi="ar"/>
              </w:rPr>
              <w:t>~</w:t>
            </w:r>
            <w:r>
              <w:rPr>
                <w:rFonts w:ascii="Times New Roman" w:eastAsia="Times New Roman" w:hAnsi="Times New Roman" w:cs="Helvetica Neue"/>
                <w:color w:val="000000"/>
                <w:kern w:val="0"/>
                <w:sz w:val="18"/>
                <w:szCs w:val="22"/>
                <w:lang w:bidi="ar"/>
              </w:rPr>
              <w:t>6岁150毫升/次，每日1~2次。</w:t>
            </w:r>
          </w:p>
        </w:tc>
      </w:tr>
      <w:tr w:rsidR="00A549DA" w14:paraId="598A28A9" w14:textId="77777777">
        <w:trPr>
          <w:jc w:val="center"/>
        </w:trPr>
        <w:tc>
          <w:tcPr>
            <w:tcW w:w="1424" w:type="dxa"/>
            <w:tcBorders>
              <w:top w:val="nil"/>
              <w:left w:val="nil"/>
              <w:bottom w:val="nil"/>
              <w:right w:val="nil"/>
            </w:tcBorders>
            <w:shd w:val="clear" w:color="auto" w:fill="FFFFFF"/>
          </w:tcPr>
          <w:p w14:paraId="11D563A4" w14:textId="77777777" w:rsidR="00A549DA" w:rsidRDefault="00000000">
            <w:pPr>
              <w:jc w:val="center"/>
              <w:rPr>
                <w:rFonts w:ascii="Times New Roman Regular" w:hAnsi="Times New Roman Regular" w:cs="Times New Roman Regular"/>
                <w:color w:val="000000"/>
              </w:rPr>
            </w:pPr>
            <w:r>
              <w:rPr>
                <w:rFonts w:ascii="Times New Roman" w:eastAsia="Times New Roman" w:hAnsi="Times New Roman" w:cs="Times New Roman Regular" w:hint="eastAsia"/>
                <w:color w:val="000000"/>
                <w:sz w:val="18"/>
              </w:rPr>
              <w:t>153</w:t>
            </w:r>
          </w:p>
        </w:tc>
        <w:tc>
          <w:tcPr>
            <w:tcW w:w="3464" w:type="dxa"/>
            <w:tcBorders>
              <w:top w:val="nil"/>
              <w:left w:val="nil"/>
              <w:bottom w:val="nil"/>
              <w:right w:val="nil"/>
            </w:tcBorders>
            <w:shd w:val="clear" w:color="auto" w:fill="FFFFFF"/>
          </w:tcPr>
          <w:p w14:paraId="425C3EE1" w14:textId="77777777" w:rsidR="00A549DA" w:rsidRDefault="00000000">
            <w:pPr>
              <w:widowControl/>
              <w:jc w:val="center"/>
              <w:rPr>
                <w:rFonts w:ascii="Times New Roman Regular" w:hAnsi="Times New Roman Regular" w:cs="Times New Roman Regular"/>
                <w:color w:val="000000"/>
              </w:rPr>
            </w:pPr>
            <w:r>
              <w:rPr>
                <w:rFonts w:ascii="Times New Roman" w:eastAsia="Times New Roman" w:hAnsi="Times New Roman" w:cs="Times New Roman Regular"/>
                <w:color w:val="000000"/>
                <w:kern w:val="0"/>
                <w:sz w:val="18"/>
                <w:szCs w:val="22"/>
                <w:shd w:val="clear" w:color="auto" w:fill="FFFFFF"/>
                <w:lang w:bidi="ar"/>
              </w:rPr>
              <w:t>Fire Gong Therapy and syndrome differentiatio</w:t>
            </w:r>
            <w:r>
              <w:rPr>
                <w:rFonts w:ascii="Times New Roman" w:eastAsia="Times New Roman" w:hAnsi="Times New Roman" w:cs="Times New Roman Regular"/>
                <w:color w:val="000000"/>
                <w:kern w:val="0"/>
                <w:sz w:val="18"/>
                <w:szCs w:val="22"/>
                <w:shd w:val="clear" w:color="auto" w:fill="FFFFFF"/>
                <w:lang w:bidi="ar"/>
              </w:rPr>
              <w:lastRenderedPageBreak/>
              <w:t>n</w:t>
            </w:r>
          </w:p>
        </w:tc>
        <w:tc>
          <w:tcPr>
            <w:tcW w:w="3634" w:type="dxa"/>
            <w:tcBorders>
              <w:top w:val="nil"/>
              <w:left w:val="nil"/>
              <w:bottom w:val="nil"/>
              <w:right w:val="nil"/>
            </w:tcBorders>
            <w:shd w:val="clear" w:color="auto" w:fill="FFFFFF"/>
          </w:tcPr>
          <w:p w14:paraId="67E50F55" w14:textId="77777777" w:rsidR="00A549DA" w:rsidRDefault="00000000">
            <w:pPr>
              <w:widowControl/>
              <w:jc w:val="left"/>
              <w:rPr>
                <w:rFonts w:ascii="Times New Roman Regular" w:hAnsi="Times New Roman Regular" w:cs="Times New Roman Regular"/>
                <w:color w:val="000000"/>
              </w:rPr>
            </w:pPr>
            <w:r>
              <w:rPr>
                <w:rFonts w:ascii="Times New Roman" w:eastAsia="Times New Roman" w:hAnsi="Times New Roman" w:cs="Helvetica Neue"/>
                <w:color w:val="000000"/>
                <w:kern w:val="0"/>
                <w:sz w:val="18"/>
                <w:szCs w:val="22"/>
                <w:shd w:val="clear" w:color="auto" w:fill="FFFFFF"/>
                <w:lang w:bidi="ar"/>
              </w:rPr>
              <w:lastRenderedPageBreak/>
              <w:t>火功疗法常用取穴：寒毒、阴证多取背部穴位；热毒、阳证多取四肢穴位；下部病变，可选环跳、阳陵泉、太冲、足三里、三阴交等穴；预防保健，可选中脘、关元、足三里；一些全身性疾病，可选大椎、风门、身柱、肾俞、中脘、关元、足三里等。</w:t>
            </w:r>
          </w:p>
        </w:tc>
      </w:tr>
      <w:tr w:rsidR="00A549DA" w14:paraId="415404B5" w14:textId="77777777">
        <w:trPr>
          <w:jc w:val="center"/>
        </w:trPr>
        <w:tc>
          <w:tcPr>
            <w:tcW w:w="1424" w:type="dxa"/>
            <w:tcBorders>
              <w:top w:val="nil"/>
              <w:left w:val="nil"/>
              <w:bottom w:val="nil"/>
              <w:right w:val="nil"/>
            </w:tcBorders>
            <w:shd w:val="clear" w:color="auto" w:fill="FFFFFF"/>
          </w:tcPr>
          <w:p w14:paraId="2446D41B" w14:textId="77777777" w:rsidR="00A549DA" w:rsidRDefault="00000000">
            <w:pPr>
              <w:jc w:val="center"/>
              <w:rPr>
                <w:rFonts w:ascii="Times New Roman Regular" w:hAnsi="Times New Roman Regular" w:cs="Times New Roman Regular"/>
                <w:color w:val="000000"/>
              </w:rPr>
            </w:pPr>
            <w:r>
              <w:rPr>
                <w:rFonts w:ascii="Times New Roman" w:eastAsia="Times New Roman" w:hAnsi="Times New Roman" w:cs="Times New Roman Regular" w:hint="eastAsia"/>
                <w:color w:val="000000"/>
                <w:sz w:val="18"/>
              </w:rPr>
              <w:t>69</w:t>
            </w:r>
          </w:p>
        </w:tc>
        <w:tc>
          <w:tcPr>
            <w:tcW w:w="3464" w:type="dxa"/>
            <w:tcBorders>
              <w:top w:val="nil"/>
              <w:left w:val="nil"/>
              <w:bottom w:val="nil"/>
              <w:right w:val="nil"/>
            </w:tcBorders>
            <w:shd w:val="clear" w:color="auto" w:fill="FFFFFF"/>
          </w:tcPr>
          <w:p w14:paraId="4C43DB30" w14:textId="77777777" w:rsidR="00A549DA" w:rsidRDefault="00000000">
            <w:pPr>
              <w:widowControl/>
              <w:jc w:val="center"/>
              <w:rPr>
                <w:rFonts w:ascii="Times New Roman Regular" w:hAnsi="Times New Roman Regular" w:cs="Times New Roman Regular"/>
                <w:color w:val="000000"/>
              </w:rPr>
            </w:pPr>
            <w:proofErr w:type="spellStart"/>
            <w:r>
              <w:rPr>
                <w:rFonts w:ascii="Times New Roman" w:eastAsia="Times New Roman" w:hAnsi="Times New Roman" w:cs="Times New Roman Regular"/>
                <w:color w:val="000000"/>
                <w:kern w:val="0"/>
                <w:sz w:val="18"/>
                <w:szCs w:val="22"/>
                <w:shd w:val="clear" w:color="auto" w:fill="FFFFFF"/>
                <w:lang w:bidi="ar"/>
              </w:rPr>
              <w:t>Sifeng</w:t>
            </w:r>
            <w:proofErr w:type="spellEnd"/>
            <w:r>
              <w:rPr>
                <w:rFonts w:ascii="Times New Roman" w:eastAsia="Times New Roman" w:hAnsi="Times New Roman" w:cs="Times New Roman Regular"/>
                <w:color w:val="000000"/>
                <w:kern w:val="0"/>
                <w:sz w:val="18"/>
                <w:szCs w:val="22"/>
                <w:shd w:val="clear" w:color="auto" w:fill="FFFFFF"/>
                <w:lang w:bidi="ar"/>
              </w:rPr>
              <w:t xml:space="preserve"> acupoint and Sanjiao/</w:t>
            </w:r>
            <w:proofErr w:type="spellStart"/>
            <w:r>
              <w:rPr>
                <w:rFonts w:ascii="Times New Roman" w:eastAsia="Times New Roman" w:hAnsi="Times New Roman" w:cs="Times New Roman Regular"/>
                <w:color w:val="000000"/>
                <w:kern w:val="0"/>
                <w:sz w:val="18"/>
                <w:szCs w:val="22"/>
                <w:shd w:val="clear" w:color="auto" w:fill="FFFFFF"/>
                <w:lang w:bidi="ar"/>
              </w:rPr>
              <w:t>Mingmen</w:t>
            </w:r>
            <w:proofErr w:type="spellEnd"/>
            <w:r>
              <w:rPr>
                <w:rFonts w:ascii="Times New Roman" w:eastAsia="Times New Roman" w:hAnsi="Times New Roman" w:cs="Times New Roman Regular"/>
                <w:color w:val="000000"/>
                <w:kern w:val="0"/>
                <w:sz w:val="18"/>
                <w:szCs w:val="22"/>
                <w:shd w:val="clear" w:color="auto" w:fill="FFFFFF"/>
                <w:lang w:bidi="ar"/>
              </w:rPr>
              <w:t xml:space="preserve"> theory</w:t>
            </w:r>
          </w:p>
          <w:p w14:paraId="623C8FEF" w14:textId="77777777" w:rsidR="00A549DA" w:rsidRDefault="00A549DA">
            <w:pPr>
              <w:jc w:val="center"/>
              <w:rPr>
                <w:rFonts w:ascii="Times New Roman Regular" w:hAnsi="Times New Roman Regular" w:cs="Times New Roman Regular"/>
                <w:color w:val="000000"/>
              </w:rPr>
            </w:pPr>
          </w:p>
        </w:tc>
        <w:tc>
          <w:tcPr>
            <w:tcW w:w="3634" w:type="dxa"/>
            <w:tcBorders>
              <w:top w:val="nil"/>
              <w:left w:val="nil"/>
              <w:bottom w:val="nil"/>
              <w:right w:val="nil"/>
            </w:tcBorders>
            <w:shd w:val="clear" w:color="auto" w:fill="FFFFFF"/>
          </w:tcPr>
          <w:p w14:paraId="486AB950" w14:textId="77777777" w:rsidR="00A549DA" w:rsidRDefault="00000000">
            <w:pPr>
              <w:widowControl/>
              <w:jc w:val="left"/>
              <w:rPr>
                <w:rFonts w:ascii="Times New Roman Regular" w:hAnsi="Times New Roman Regular" w:cs="Times New Roman Regular"/>
                <w:color w:val="000000"/>
              </w:rPr>
            </w:pPr>
            <w:proofErr w:type="spellStart"/>
            <w:r>
              <w:rPr>
                <w:rFonts w:ascii="Times New Roman" w:eastAsia="Times New Roman" w:hAnsi="Times New Roman" w:cs="Helvetica Neue"/>
                <w:color w:val="000000"/>
                <w:kern w:val="0"/>
                <w:sz w:val="18"/>
                <w:szCs w:val="22"/>
                <w:shd w:val="clear" w:color="auto" w:fill="FFFFFF"/>
                <w:lang w:bidi="ar"/>
              </w:rPr>
              <w:t>四缝穴是治疗特效穴，四缝穴为经外奇穴，与三焦、命门、肝和小肠均有联系，针刺此穴可调整三焦、平肝泻心、燥湿驱虫、理脾和胃</w:t>
            </w:r>
            <w:proofErr w:type="spellEnd"/>
            <w:r>
              <w:rPr>
                <w:rFonts w:ascii="Times New Roman" w:eastAsia="Times New Roman" w:hAnsi="Times New Roman" w:cs="Helvetica Neue"/>
                <w:color w:val="000000"/>
                <w:kern w:val="0"/>
                <w:sz w:val="18"/>
                <w:szCs w:val="22"/>
                <w:shd w:val="clear" w:color="auto" w:fill="FFFFFF"/>
                <w:lang w:bidi="ar"/>
              </w:rPr>
              <w:t>。</w:t>
            </w:r>
          </w:p>
        </w:tc>
      </w:tr>
      <w:tr w:rsidR="00A549DA" w14:paraId="289186D8" w14:textId="77777777">
        <w:trPr>
          <w:jc w:val="center"/>
        </w:trPr>
        <w:tc>
          <w:tcPr>
            <w:tcW w:w="1424" w:type="dxa"/>
            <w:tcBorders>
              <w:top w:val="nil"/>
              <w:left w:val="nil"/>
              <w:bottom w:val="nil"/>
              <w:right w:val="nil"/>
            </w:tcBorders>
            <w:shd w:val="clear" w:color="auto" w:fill="FFFFFF"/>
          </w:tcPr>
          <w:p w14:paraId="4F457B01" w14:textId="77777777" w:rsidR="00A549DA" w:rsidRDefault="00000000">
            <w:pPr>
              <w:jc w:val="center"/>
              <w:rPr>
                <w:rFonts w:ascii="Times New Roman Regular" w:hAnsi="Times New Roman Regular" w:cs="Times New Roman Regular"/>
                <w:color w:val="000000"/>
              </w:rPr>
            </w:pPr>
            <w:r>
              <w:rPr>
                <w:rFonts w:ascii="Times New Roman" w:eastAsia="Times New Roman" w:hAnsi="Times New Roman" w:cs="Times New Roman Regular" w:hint="eastAsia"/>
                <w:color w:val="000000"/>
                <w:sz w:val="18"/>
              </w:rPr>
              <w:t>44</w:t>
            </w:r>
          </w:p>
        </w:tc>
        <w:tc>
          <w:tcPr>
            <w:tcW w:w="3464" w:type="dxa"/>
            <w:tcBorders>
              <w:top w:val="nil"/>
              <w:left w:val="nil"/>
              <w:bottom w:val="nil"/>
              <w:right w:val="nil"/>
            </w:tcBorders>
            <w:shd w:val="clear" w:color="auto" w:fill="FFFFFF"/>
          </w:tcPr>
          <w:p w14:paraId="378CBABE" w14:textId="77777777" w:rsidR="00A549DA" w:rsidRDefault="00000000">
            <w:pPr>
              <w:widowControl/>
              <w:jc w:val="center"/>
              <w:rPr>
                <w:rFonts w:ascii="Times New Roman Regular" w:hAnsi="Times New Roman Regular" w:cs="Times New Roman Regular"/>
                <w:color w:val="000000"/>
              </w:rPr>
            </w:pPr>
            <w:r>
              <w:rPr>
                <w:rFonts w:ascii="Times New Roman" w:eastAsia="Times New Roman" w:hAnsi="Times New Roman" w:cs="Times New Roman Regular"/>
                <w:color w:val="000000"/>
                <w:kern w:val="0"/>
                <w:sz w:val="18"/>
                <w:szCs w:val="22"/>
                <w:shd w:val="clear" w:color="auto" w:fill="FFFFFF"/>
                <w:lang w:bidi="ar"/>
              </w:rPr>
              <w:t>Therapeutic functions of bloodletting therapy</w:t>
            </w:r>
          </w:p>
          <w:p w14:paraId="2CE4DBA6" w14:textId="77777777" w:rsidR="00A549DA" w:rsidRDefault="00A549DA">
            <w:pPr>
              <w:tabs>
                <w:tab w:val="left" w:pos="796"/>
              </w:tabs>
              <w:jc w:val="center"/>
              <w:rPr>
                <w:rFonts w:ascii="Times New Roman Regular" w:hAnsi="Times New Roman Regular" w:cs="Times New Roman Regular"/>
                <w:color w:val="000000"/>
              </w:rPr>
            </w:pPr>
          </w:p>
        </w:tc>
        <w:tc>
          <w:tcPr>
            <w:tcW w:w="3634" w:type="dxa"/>
            <w:tcBorders>
              <w:top w:val="nil"/>
              <w:left w:val="nil"/>
              <w:bottom w:val="nil"/>
              <w:right w:val="nil"/>
            </w:tcBorders>
            <w:shd w:val="clear" w:color="auto" w:fill="FFFFFF"/>
          </w:tcPr>
          <w:p w14:paraId="62CB33DD" w14:textId="77777777" w:rsidR="00A549DA" w:rsidRDefault="00000000">
            <w:pPr>
              <w:widowControl/>
              <w:jc w:val="left"/>
              <w:rPr>
                <w:rFonts w:ascii="Times New Roman Regular" w:hAnsi="Times New Roman Regular" w:cs="Times New Roman Regular"/>
                <w:color w:val="000000"/>
              </w:rPr>
            </w:pPr>
            <w:r>
              <w:rPr>
                <w:rFonts w:ascii="Times New Roman" w:eastAsia="Times New Roman" w:hAnsi="Times New Roman" w:cs="Helvetica Neue"/>
                <w:color w:val="000000"/>
                <w:kern w:val="0"/>
                <w:sz w:val="18"/>
                <w:szCs w:val="22"/>
                <w:shd w:val="clear" w:color="auto" w:fill="FFFFFF"/>
                <w:lang w:bidi="ar"/>
              </w:rPr>
              <w:t>刺血疗法具有解表、泻热、解毒、止痛、镇静、消肿、急救开窍、化瘀消症等作用，可运用于外邪在表、热病、疖肿、丹毒、各种疼痛、跌打损伤、中暑、昏厥、积聚等。</w:t>
            </w:r>
          </w:p>
        </w:tc>
      </w:tr>
      <w:tr w:rsidR="00A549DA" w14:paraId="6E51F0DC" w14:textId="77777777">
        <w:trPr>
          <w:trHeight w:val="1689"/>
          <w:jc w:val="center"/>
        </w:trPr>
        <w:tc>
          <w:tcPr>
            <w:tcW w:w="1424" w:type="dxa"/>
            <w:tcBorders>
              <w:top w:val="nil"/>
              <w:left w:val="nil"/>
              <w:bottom w:val="single" w:sz="12" w:space="0" w:color="000000"/>
              <w:right w:val="nil"/>
            </w:tcBorders>
            <w:shd w:val="clear" w:color="auto" w:fill="FFFFFF"/>
          </w:tcPr>
          <w:p w14:paraId="71EED2F9" w14:textId="77777777" w:rsidR="00A549DA" w:rsidRDefault="00000000">
            <w:pPr>
              <w:jc w:val="center"/>
              <w:rPr>
                <w:rFonts w:ascii="Times New Roman Regular" w:hAnsi="Times New Roman Regular" w:cs="Times New Roman Regular"/>
                <w:color w:val="000000"/>
              </w:rPr>
            </w:pPr>
            <w:r>
              <w:rPr>
                <w:rFonts w:ascii="Times New Roman" w:eastAsia="Times New Roman" w:hAnsi="Times New Roman" w:cs="Times New Roman Regular" w:hint="eastAsia"/>
                <w:color w:val="000000"/>
                <w:sz w:val="18"/>
              </w:rPr>
              <w:t>220</w:t>
            </w:r>
          </w:p>
        </w:tc>
        <w:tc>
          <w:tcPr>
            <w:tcW w:w="3464" w:type="dxa"/>
            <w:tcBorders>
              <w:top w:val="nil"/>
              <w:left w:val="nil"/>
              <w:bottom w:val="single" w:sz="12" w:space="0" w:color="000000"/>
              <w:right w:val="nil"/>
            </w:tcBorders>
            <w:shd w:val="clear" w:color="auto" w:fill="FFFFFF"/>
          </w:tcPr>
          <w:p w14:paraId="722097BC" w14:textId="77777777" w:rsidR="00A549DA" w:rsidRDefault="00000000">
            <w:pPr>
              <w:widowControl/>
              <w:jc w:val="center"/>
              <w:rPr>
                <w:rFonts w:ascii="Times New Roman Regular" w:hAnsi="Times New Roman Regular" w:cs="Times New Roman Regular"/>
                <w:color w:val="000000"/>
              </w:rPr>
            </w:pPr>
            <w:r>
              <w:rPr>
                <w:rFonts w:ascii="Times New Roman" w:eastAsia="Times New Roman" w:hAnsi="Times New Roman" w:cs="Times New Roman Regular"/>
                <w:color w:val="000000"/>
                <w:kern w:val="0"/>
                <w:sz w:val="18"/>
                <w:szCs w:val="22"/>
                <w:shd w:val="clear" w:color="auto" w:fill="FFFFFF"/>
                <w:lang w:bidi="ar"/>
              </w:rPr>
              <w:t>Orthopedic manipulation procedure</w:t>
            </w:r>
          </w:p>
          <w:p w14:paraId="6769FC1C" w14:textId="77777777" w:rsidR="00A549DA" w:rsidRDefault="00A549DA">
            <w:pPr>
              <w:jc w:val="center"/>
              <w:rPr>
                <w:rFonts w:ascii="Times New Roman Regular" w:hAnsi="Times New Roman Regular" w:cs="Times New Roman Regular"/>
                <w:color w:val="000000"/>
              </w:rPr>
            </w:pPr>
          </w:p>
        </w:tc>
        <w:tc>
          <w:tcPr>
            <w:tcW w:w="3634" w:type="dxa"/>
            <w:tcBorders>
              <w:top w:val="nil"/>
              <w:left w:val="nil"/>
              <w:bottom w:val="single" w:sz="12" w:space="0" w:color="000000"/>
              <w:right w:val="nil"/>
            </w:tcBorders>
            <w:shd w:val="clear" w:color="auto" w:fill="FFFFFF"/>
          </w:tcPr>
          <w:p w14:paraId="67F99EE7" w14:textId="77777777" w:rsidR="00A549DA" w:rsidRDefault="00000000">
            <w:pPr>
              <w:widowControl/>
              <w:jc w:val="left"/>
              <w:rPr>
                <w:rFonts w:ascii="Times New Roman Regular" w:hAnsi="Times New Roman Regular" w:cs="Times New Roman Regular"/>
                <w:color w:val="000000"/>
              </w:rPr>
            </w:pPr>
            <w:r>
              <w:rPr>
                <w:rFonts w:ascii="Times New Roman" w:eastAsia="Times New Roman" w:hAnsi="Times New Roman" w:cs="Helvetica Neue"/>
                <w:color w:val="000000"/>
                <w:kern w:val="0"/>
                <w:sz w:val="18"/>
                <w:szCs w:val="22"/>
                <w:shd w:val="clear" w:color="auto" w:fill="FFFFFF"/>
                <w:lang w:bidi="ar"/>
              </w:rPr>
              <w:t>当右手中指感觉有落空时，右小腿膝关节保持这个角度不动，医者右肘放在患者右肩前侧，左肘放在患者臀部，双手协调同时往相反方向用力，此时，可听到复位声响，术毕。</w:t>
            </w:r>
          </w:p>
        </w:tc>
      </w:tr>
    </w:tbl>
    <w:p w14:paraId="58922C2B" w14:textId="77777777" w:rsidR="00A549DA" w:rsidRDefault="00A549DA">
      <w:pPr>
        <w:spacing w:after="120" w:line="276" w:lineRule="auto"/>
        <w:rPr>
          <w:rFonts w:ascii="Times New Roman Regular" w:hAnsi="Times New Roman Regular" w:cs="Times New Roman Regular"/>
          <w:sz w:val="30"/>
          <w:szCs w:val="30"/>
        </w:rPr>
      </w:pPr>
    </w:p>
    <w:p w14:paraId="7AB55E63" w14:textId="77777777" w:rsidR="00A549DA" w:rsidRDefault="00000000">
      <w:pPr>
        <w:spacing w:after="120" w:line="276" w:lineRule="auto"/>
        <w:rPr>
          <w:rFonts w:ascii="Times New Roman Bold" w:hAnsi="Times New Roman Bold" w:cs="Times New Roman Bold"/>
          <w:b/>
          <w:bCs/>
          <w:sz w:val="30"/>
          <w:szCs w:val="30"/>
        </w:rPr>
      </w:pPr>
      <w:r>
        <w:rPr>
          <w:rFonts w:ascii="Times New Roman Bold" w:hAnsi="Times New Roman Bold" w:cs="Times New Roman Bold"/>
          <w:b/>
          <w:bCs/>
          <w:szCs w:val="30"/>
        </w:rPr>
        <w:t>4.2.2 Common Characteristics of High-scoring Sentences</w:t>
      </w:r>
    </w:p>
    <w:p w14:paraId="1AF2E3F8" w14:textId="77777777" w:rsidR="00A549DA" w:rsidRDefault="00000000">
      <w:pPr>
        <w:spacing w:after="120" w:line="276" w:lineRule="auto"/>
        <w:ind w:firstLineChars="200" w:firstLine="420"/>
        <w:rPr>
          <w:rFonts w:ascii="Times New Roman Regular" w:hAnsi="Times New Roman Regular" w:cs="Times New Roman Regular"/>
        </w:rPr>
      </w:pPr>
      <w:r>
        <w:rPr>
          <w:rFonts w:ascii="Times New Roman" w:hAnsi="Times New Roman" w:cs="Times New Roman Regular"/>
        </w:rPr>
        <w:t>The heatmap and representative cases indicate that high-scoring sentences generally share three characteristics: relatively low cultural load, clear syntactic structures, and standardized medical terminology. Since these sentences mainly involve concepts that can be mapped onto widely shared medical knowledge frameworks, all five LLMs were able to generate translations with relatively high semantic completeness and coherence.</w:t>
      </w:r>
    </w:p>
    <w:p w14:paraId="73205910" w14:textId="77777777" w:rsidR="00A549DA" w:rsidRDefault="00000000">
      <w:pPr>
        <w:spacing w:after="120" w:line="276" w:lineRule="auto"/>
        <w:ind w:firstLineChars="200" w:firstLine="420"/>
        <w:rPr>
          <w:rFonts w:ascii="Times New Roman Regular" w:hAnsi="Times New Roman Regular" w:cs="Times New Roman Regular"/>
        </w:rPr>
      </w:pPr>
      <w:r>
        <w:rPr>
          <w:rFonts w:ascii="Times New Roman" w:hAnsi="Times New Roman" w:cs="Times New Roman Regular"/>
        </w:rPr>
        <w:t>First, the texts exhibit low cultural specificity and contain medical concepts with internationally established English equivalents. Sentence 33 describes the clinical manifestations and management principles of skin allergy, involving common medical concepts such as redness and swelling, rash, and skin allergy. These concepts have well-established English expressions in international medical discourse, enabling all models to perform accurate cross-lingual semantic mapping. For example, “</w:t>
      </w:r>
      <w:proofErr w:type="gramStart"/>
      <w:r>
        <w:rPr>
          <w:rFonts w:ascii="Times New Roman" w:hAnsi="Times New Roman" w:cs="Times New Roman Regular"/>
        </w:rPr>
        <w:t>红肿</w:t>
      </w:r>
      <w:r>
        <w:rPr>
          <w:rFonts w:ascii="Times New Roman" w:hAnsi="Times New Roman" w:cs="Times New Roman Regular"/>
        </w:rPr>
        <w:t>”was</w:t>
      </w:r>
      <w:proofErr w:type="gramEnd"/>
      <w:r>
        <w:rPr>
          <w:rFonts w:ascii="Times New Roman" w:hAnsi="Times New Roman" w:cs="Times New Roman Regular"/>
        </w:rPr>
        <w:t xml:space="preserve"> consistently translated as redness and swelling, “</w:t>
      </w:r>
      <w:r>
        <w:rPr>
          <w:rFonts w:ascii="Times New Roman" w:hAnsi="Times New Roman" w:cs="Times New Roman Regular"/>
        </w:rPr>
        <w:t>红疹</w:t>
      </w:r>
      <w:r>
        <w:rPr>
          <w:rFonts w:ascii="Times New Roman" w:hAnsi="Times New Roman" w:cs="Times New Roman Regular"/>
        </w:rPr>
        <w:t>” as rash, and “</w:t>
      </w:r>
      <w:r>
        <w:rPr>
          <w:rFonts w:ascii="Times New Roman" w:hAnsi="Times New Roman" w:cs="Times New Roman Regular"/>
        </w:rPr>
        <w:t>皮肤过敏</w:t>
      </w:r>
      <w:r>
        <w:rPr>
          <w:rFonts w:ascii="Times New Roman" w:hAnsi="Times New Roman" w:cs="Times New Roman Regular"/>
        </w:rPr>
        <w:t xml:space="preserve">” as either allergic reaction or cutaneous allergic reaction. Although Claude tended to adopt terminology that better conforms to the medical register, whereas ChatGPT and Gemini preferred more general medical expressions, all </w:t>
      </w:r>
      <w:r>
        <w:rPr>
          <w:rFonts w:ascii="Times New Roman" w:hAnsi="Times New Roman" w:cs="Times New Roman Regular"/>
        </w:rPr>
        <w:lastRenderedPageBreak/>
        <w:t>translations successfully conveyed the original meaning and therefore achieved relatively high COMET scores.</w:t>
      </w:r>
    </w:p>
    <w:p w14:paraId="3B05AEF4" w14:textId="77777777" w:rsidR="00A549DA" w:rsidRDefault="00000000">
      <w:pPr>
        <w:spacing w:after="120" w:line="276" w:lineRule="auto"/>
        <w:ind w:firstLineChars="200" w:firstLine="420"/>
        <w:rPr>
          <w:rFonts w:ascii="Times New Roman Regular" w:hAnsi="Times New Roman Regular" w:cs="Times New Roman Regular"/>
        </w:rPr>
      </w:pPr>
      <w:r>
        <w:rPr>
          <w:rFonts w:ascii="Times New Roman" w:hAnsi="Times New Roman" w:cs="Times New Roman Regular"/>
        </w:rPr>
        <w:t>Second, the source texts possess clear syntactic structures and explicit logical relationships. Sentence 74 follows a typical causal progression describing the therapeutic mechanism whereby hot water dilates blood vessels, promotes blood circulation, enhances drug absorption, and ultimately produces therapeutic effects. All five models preserved the original logical sequence, differing only in lexical choice. For example, ChatGPT translated “</w:t>
      </w:r>
      <w:r>
        <w:rPr>
          <w:rFonts w:ascii="Times New Roman" w:hAnsi="Times New Roman" w:cs="Times New Roman Regular"/>
        </w:rPr>
        <w:t>热水</w:t>
      </w:r>
      <w:r>
        <w:rPr>
          <w:rFonts w:ascii="Times New Roman" w:hAnsi="Times New Roman" w:cs="Times New Roman Regular"/>
        </w:rPr>
        <w:t>” as warm water, whereas the remaining models adopted hot water. Claude and DeepSeek preferred dilate blood vessels, while Gemini and ERNIE used expand blood vessels. Despite these stylistic differences, all translations maintained the completeness of information and logical coherence of the source text, resulting in consistently high COMET scores. These findings indicate that LLMs can reliably perform syntactic restructuring while preserving semantic coherence when translating texts with well-defined logical structures.</w:t>
      </w:r>
    </w:p>
    <w:p w14:paraId="64158F18" w14:textId="77777777" w:rsidR="00A549DA" w:rsidRDefault="00000000">
      <w:pPr>
        <w:spacing w:after="120" w:line="276" w:lineRule="auto"/>
        <w:ind w:firstLineChars="200" w:firstLine="420"/>
        <w:rPr>
          <w:rFonts w:ascii="Times New Roman Regular" w:hAnsi="Times New Roman Regular" w:cs="Times New Roman Regular"/>
        </w:rPr>
      </w:pPr>
      <w:r>
        <w:rPr>
          <w:rFonts w:ascii="Times New Roman" w:hAnsi="Times New Roman" w:cs="Times New Roman Regular"/>
        </w:rPr>
        <w:t>Third, the medical terminology is highly standardized and the information is presented in a structured manner. Sentence 116 mainly concerns medication dosages for different age groups. Expressions such as</w:t>
      </w:r>
      <w:r>
        <w:rPr>
          <w:rFonts w:ascii="Times New Roman" w:eastAsia="Times New Roman" w:hAnsi="Times New Roman" w:cs="Times New Roman Regular" w:hint="eastAsia"/>
        </w:rPr>
        <w:t xml:space="preserve"> </w:t>
      </w:r>
      <w:r>
        <w:rPr>
          <w:rFonts w:ascii="Times New Roman" w:eastAsia="Times New Roman" w:hAnsi="Times New Roman" w:cs="Times New Roman Regular"/>
        </w:rPr>
        <w:t>“</w:t>
      </w:r>
      <w:r>
        <w:rPr>
          <w:rFonts w:ascii="Times New Roman" w:hAnsi="Times New Roman" w:cs="Times New Roman Regular"/>
        </w:rPr>
        <w:t>milliliters</w:t>
      </w:r>
      <w:r>
        <w:rPr>
          <w:rFonts w:ascii="Times New Roman" w:eastAsia="Times New Roman" w:hAnsi="Times New Roman" w:cs="Times New Roman Regular"/>
        </w:rPr>
        <w:t>”,</w:t>
      </w:r>
      <w:r>
        <w:rPr>
          <w:rFonts w:ascii="Times New Roman" w:hAnsi="Times New Roman" w:cs="Times New Roman Regular"/>
        </w:rPr>
        <w:t xml:space="preserve"> </w:t>
      </w:r>
      <w:r>
        <w:rPr>
          <w:rFonts w:ascii="Times New Roman" w:eastAsia="Times New Roman" w:hAnsi="Times New Roman" w:cs="Times New Roman Regular"/>
        </w:rPr>
        <w:t>“</w:t>
      </w:r>
      <w:r>
        <w:rPr>
          <w:rFonts w:ascii="Times New Roman" w:hAnsi="Times New Roman" w:cs="Times New Roman Regular"/>
        </w:rPr>
        <w:t>daily</w:t>
      </w:r>
      <w:r>
        <w:rPr>
          <w:rFonts w:ascii="Times New Roman" w:eastAsia="Times New Roman" w:hAnsi="Times New Roman" w:cs="Times New Roman Regular"/>
        </w:rPr>
        <w:t>”,</w:t>
      </w:r>
      <w:r>
        <w:rPr>
          <w:rFonts w:ascii="Times New Roman" w:hAnsi="Times New Roman" w:cs="Times New Roman Regular"/>
        </w:rPr>
        <w:t xml:space="preserve"> and </w:t>
      </w:r>
      <w:r>
        <w:rPr>
          <w:rFonts w:ascii="Times New Roman" w:eastAsia="Times New Roman" w:hAnsi="Times New Roman" w:cs="Times New Roman Regular"/>
        </w:rPr>
        <w:t>“</w:t>
      </w:r>
      <w:r>
        <w:rPr>
          <w:rFonts w:ascii="Times New Roman" w:hAnsi="Times New Roman" w:cs="Times New Roman Regular"/>
        </w:rPr>
        <w:t>per dose</w:t>
      </w:r>
      <w:r>
        <w:rPr>
          <w:rFonts w:ascii="Times New Roman" w:eastAsia="Times New Roman" w:hAnsi="Times New Roman" w:cs="Times New Roman Regular"/>
        </w:rPr>
        <w:t xml:space="preserve">” </w:t>
      </w:r>
      <w:r>
        <w:rPr>
          <w:rFonts w:ascii="Times New Roman" w:hAnsi="Times New Roman" w:cs="Times New Roman Regular"/>
        </w:rPr>
        <w:t>correspond to internationally standardized medical terminology. All models accurately preserved the dosage information, differing only in stylistic choices such as mL versus ml, and per administration, per dose, or each time. These differences did not affect the accuracy of information transfer, leading to consistently high COMET scores across models.</w:t>
      </w:r>
    </w:p>
    <w:p w14:paraId="2A1F7E5C" w14:textId="77777777" w:rsidR="00A549DA" w:rsidRDefault="00000000">
      <w:pPr>
        <w:spacing w:after="120" w:line="276" w:lineRule="auto"/>
        <w:ind w:firstLineChars="200" w:firstLine="420"/>
        <w:rPr>
          <w:rFonts w:ascii="Times New Roman Regular" w:hAnsi="Times New Roman Regular" w:cs="Times New Roman Regular"/>
        </w:rPr>
      </w:pPr>
      <w:r>
        <w:rPr>
          <w:rFonts w:ascii="Times New Roman" w:hAnsi="Times New Roman" w:cs="Times New Roman Regular"/>
        </w:rPr>
        <w:t>Taken together, these representative cases demonstrate that performance differences among LLMs become minimal when semantic mapping relies primarily on standardized medical knowledge. COMET tends to reward translations that preserve semantic completeness, logical coherence, and accurate information transfer. Consequently, when the source text contains low cultural specificity and standardized terminology, all five models achieve similarly high evaluation scores.</w:t>
      </w:r>
    </w:p>
    <w:p w14:paraId="153F65D1" w14:textId="77777777" w:rsidR="00A549DA" w:rsidRDefault="00000000">
      <w:pPr>
        <w:spacing w:after="120" w:line="276" w:lineRule="auto"/>
        <w:rPr>
          <w:rFonts w:ascii="Times New Roman Bold" w:hAnsi="Times New Roman Bold" w:cs="Times New Roman Bold"/>
          <w:b/>
          <w:bCs/>
          <w:sz w:val="30"/>
          <w:szCs w:val="30"/>
        </w:rPr>
      </w:pPr>
      <w:r>
        <w:rPr>
          <w:rFonts w:ascii="Times New Roman Bold" w:hAnsi="Times New Roman Bold" w:cs="Times New Roman Bold"/>
          <w:b/>
          <w:bCs/>
          <w:szCs w:val="30"/>
        </w:rPr>
        <w:t>4.2.3 Common Characteristics of Low-scoring Sentences</w:t>
      </w:r>
    </w:p>
    <w:p w14:paraId="3C31C6F6" w14:textId="77777777" w:rsidR="00A549DA" w:rsidRDefault="00000000">
      <w:pPr>
        <w:spacing w:after="120" w:line="276" w:lineRule="auto"/>
        <w:ind w:firstLineChars="200" w:firstLine="420"/>
        <w:rPr>
          <w:rFonts w:ascii="Times New Roman Regular" w:hAnsi="Times New Roman Regular" w:cs="Times New Roman Regular"/>
        </w:rPr>
      </w:pPr>
      <w:r>
        <w:rPr>
          <w:rFonts w:ascii="Times New Roman" w:hAnsi="Times New Roman" w:cs="Times New Roman Regular"/>
        </w:rPr>
        <w:t>Compared with the high-scoring cases, the low-scoring sentences also exhibit strong consistency across models. Sentences 153, 69, 44, and 194 repeatedly appear among the lowest-scoring translations, suggesting that different LLMs encounter similar challenges when translating Zhuang Medicine texts. Representative case analysis indicates that these sentences share three common characteristics: the absence of standardized terminology, high cultural specificity, and high information density.</w:t>
      </w:r>
    </w:p>
    <w:p w14:paraId="5CAAA282" w14:textId="77777777" w:rsidR="00A549DA" w:rsidRDefault="00000000">
      <w:pPr>
        <w:spacing w:after="120" w:line="276" w:lineRule="auto"/>
        <w:ind w:firstLineChars="200" w:firstLine="420"/>
        <w:rPr>
          <w:rFonts w:ascii="Times New Roman Regular" w:hAnsi="Times New Roman Regular" w:cs="Times New Roman Regular"/>
        </w:rPr>
      </w:pPr>
      <w:r>
        <w:rPr>
          <w:rFonts w:ascii="Times New Roman" w:hAnsi="Times New Roman" w:cs="Times New Roman Regular"/>
        </w:rPr>
        <w:t xml:space="preserve">First, Zhuang Medicine terminology lacks standardized English equivalents. Sentence 153 involves several core concepts of Zhuang Medicine, including Fire Gong Therapy, cold toxin, Yin syndrome, and Yang syndrome. Owing to the absence of internationally standardized terminology, each model relied on </w:t>
      </w:r>
      <w:proofErr w:type="gramStart"/>
      <w:r>
        <w:rPr>
          <w:rFonts w:ascii="Times New Roman" w:hAnsi="Times New Roman" w:cs="Times New Roman Regular"/>
        </w:rPr>
        <w:t>its</w:t>
      </w:r>
      <w:proofErr w:type="gramEnd"/>
      <w:r>
        <w:rPr>
          <w:rFonts w:ascii="Times New Roman" w:hAnsi="Times New Roman" w:cs="Times New Roman Regular"/>
        </w:rPr>
        <w:t xml:space="preserve"> pretrained knowledge, resulting in multiple renderings of the same concept. For example, </w:t>
      </w:r>
      <w:r>
        <w:rPr>
          <w:rFonts w:ascii="Times New Roman" w:hAnsi="Times New Roman" w:cs="Times New Roman Regular" w:hint="eastAsia"/>
        </w:rPr>
        <w:t>“</w:t>
      </w:r>
      <w:r>
        <w:rPr>
          <w:rFonts w:ascii="Times New Roman" w:hAnsi="Times New Roman" w:cs="Times New Roman Regular"/>
        </w:rPr>
        <w:t>火功疗法</w:t>
      </w:r>
      <w:r>
        <w:rPr>
          <w:rFonts w:ascii="Times New Roman" w:hAnsi="Times New Roman" w:cs="Times New Roman Regular"/>
        </w:rPr>
        <w:t>” was translated as fire-work therapy, Fire Gong Therapy, Fire Work Therapy, and fire power therapy. Such inconsistency directly reduced terminological accuracy. Likewise, in Sentence 194, Medicinal herbs such a</w:t>
      </w:r>
      <w:r>
        <w:rPr>
          <w:rFonts w:ascii="Times New Roman" w:eastAsia="Times New Roman" w:hAnsi="Times New Roman" w:cs="Times New Roman Regular" w:hint="eastAsia"/>
        </w:rPr>
        <w:t>s</w:t>
      </w:r>
      <w:r>
        <w:rPr>
          <w:rFonts w:ascii="Times New Roman" w:eastAsia="Times New Roman" w:hAnsi="Times New Roman" w:cs="Times New Roman Regular"/>
        </w:rPr>
        <w:t xml:space="preserve"> “</w:t>
      </w:r>
      <w:r>
        <w:rPr>
          <w:rFonts w:ascii="Times New Roman" w:hAnsi="Times New Roman" w:cs="Times New Roman Regular"/>
        </w:rPr>
        <w:t>地肤子</w:t>
      </w:r>
      <w:r>
        <w:rPr>
          <w:rFonts w:ascii="Times New Roman" w:hAnsi="Times New Roman" w:cs="Times New Roman Regular"/>
        </w:rPr>
        <w:t>”</w:t>
      </w:r>
      <w:r>
        <w:rPr>
          <w:rFonts w:ascii="Times New Roman" w:eastAsia="Times New Roman" w:hAnsi="Times New Roman" w:cs="Times New Roman Regular"/>
        </w:rPr>
        <w:t>,</w:t>
      </w:r>
      <w:r>
        <w:rPr>
          <w:rFonts w:ascii="Times New Roman" w:hAnsi="Times New Roman" w:cs="Times New Roman Regular"/>
        </w:rPr>
        <w:t xml:space="preserve"> “</w:t>
      </w:r>
      <w:r>
        <w:rPr>
          <w:rFonts w:ascii="Times New Roman" w:hAnsi="Times New Roman" w:cs="Times New Roman Regular"/>
        </w:rPr>
        <w:t>蛇床子</w:t>
      </w:r>
      <w:r>
        <w:rPr>
          <w:rFonts w:ascii="Times New Roman" w:hAnsi="Times New Roman" w:cs="Times New Roman Regular"/>
        </w:rPr>
        <w:t>”, “</w:t>
      </w:r>
      <w:r>
        <w:rPr>
          <w:rFonts w:ascii="Times New Roman" w:hAnsi="Times New Roman" w:cs="Times New Roman Regular"/>
        </w:rPr>
        <w:t>白鲜皮</w:t>
      </w:r>
      <w:r>
        <w:rPr>
          <w:rFonts w:ascii="Times New Roman" w:hAnsi="Times New Roman" w:cs="Times New Roman Regular"/>
        </w:rPr>
        <w:t>”, and “</w:t>
      </w:r>
      <w:r>
        <w:rPr>
          <w:rFonts w:ascii="Times New Roman" w:hAnsi="Times New Roman" w:cs="Times New Roman Regular"/>
        </w:rPr>
        <w:t>苦参</w:t>
      </w:r>
      <w:r>
        <w:rPr>
          <w:rFonts w:ascii="Times New Roman" w:hAnsi="Times New Roman" w:cs="Times New Roman Regular"/>
        </w:rPr>
        <w:t xml:space="preserve">” were translated either through direct preservation of pinyin forms or through mapping to Latin botanical equivalents. This divergence reflects the current lack of </w:t>
      </w:r>
      <w:r>
        <w:rPr>
          <w:rFonts w:ascii="Times New Roman" w:hAnsi="Times New Roman" w:cs="Times New Roman Regular"/>
        </w:rPr>
        <w:lastRenderedPageBreak/>
        <w:t>standardized translation conventions for Zhuang medicinal herbs rather than the inherent superiority of one translation strategy over another.</w:t>
      </w:r>
    </w:p>
    <w:p w14:paraId="19293896" w14:textId="77777777" w:rsidR="00A549DA" w:rsidRDefault="00000000">
      <w:pPr>
        <w:spacing w:after="120" w:line="276" w:lineRule="auto"/>
        <w:ind w:firstLineChars="200" w:firstLine="420"/>
        <w:rPr>
          <w:rFonts w:ascii="Times New Roman Regular" w:hAnsi="Times New Roman Regular" w:cs="Times New Roman Regular"/>
        </w:rPr>
      </w:pPr>
      <w:r>
        <w:rPr>
          <w:rFonts w:ascii="Times New Roman" w:hAnsi="Times New Roman" w:cs="Times New Roman Regular"/>
        </w:rPr>
        <w:t>Second, the texts possess high cultural specificity, making the underlying medical theories difficult to convey accurately. The concepts of cold toxin and heat toxin in Sentence 153 represent fundamental elements of the Zhuang Medicine theoretical framework. In this context, “</w:t>
      </w:r>
      <w:r>
        <w:rPr>
          <w:rFonts w:ascii="Times New Roman" w:hAnsi="Times New Roman" w:cs="Times New Roman Regular"/>
        </w:rPr>
        <w:t>毒</w:t>
      </w:r>
      <w:r>
        <w:rPr>
          <w:rFonts w:ascii="Times New Roman" w:hAnsi="Times New Roman" w:cs="Times New Roman Regular"/>
        </w:rPr>
        <w:t xml:space="preserve">” refers broadly to pathogenic factors rather than toxic substances in the biomedical sense. Nevertheless, most models translated the concept simply as toxin, thereby achieving lexical equivalence while failing to convey its theoretical meaning. Similar problems were observed for concepts such as </w:t>
      </w:r>
      <w:proofErr w:type="spellStart"/>
      <w:r>
        <w:rPr>
          <w:rFonts w:ascii="Times New Roman" w:hAnsi="Times New Roman" w:cs="Times New Roman Regular"/>
        </w:rPr>
        <w:t>Sifeng</w:t>
      </w:r>
      <w:proofErr w:type="spellEnd"/>
      <w:r>
        <w:rPr>
          <w:rFonts w:ascii="Times New Roman" w:hAnsi="Times New Roman" w:cs="Times New Roman Regular"/>
        </w:rPr>
        <w:t xml:space="preserve">, Sanjiao, and </w:t>
      </w:r>
      <w:proofErr w:type="spellStart"/>
      <w:r>
        <w:rPr>
          <w:rFonts w:ascii="Times New Roman" w:hAnsi="Times New Roman" w:cs="Times New Roman Regular"/>
        </w:rPr>
        <w:t>Mingmen</w:t>
      </w:r>
      <w:proofErr w:type="spellEnd"/>
      <w:r>
        <w:rPr>
          <w:rFonts w:ascii="Times New Roman" w:hAnsi="Times New Roman" w:cs="Times New Roman Regular"/>
        </w:rPr>
        <w:t xml:space="preserve"> in Sentence 69. Claude generally adopted a strategy combining transliteration with explanatory annotation, whereas DeepSeek relied more heavily on transliteration and Gemini provided simplified explanations. Although these approaches differ, none fully captures the theoretical framework of Zhuang Medicine. These findings suggest that current general-purpose LLMs still face challenges in accurately representing the specialized conceptual systems embedded in ethnic medical knowledge.</w:t>
      </w:r>
    </w:p>
    <w:p w14:paraId="5D6C806C" w14:textId="77777777" w:rsidR="00A549DA" w:rsidRDefault="00000000">
      <w:pPr>
        <w:spacing w:after="120" w:line="276" w:lineRule="auto"/>
        <w:ind w:firstLineChars="200" w:firstLine="420"/>
        <w:rPr>
          <w:rFonts w:ascii="Times New Roman Regular" w:hAnsi="Times New Roman Regular" w:cs="Times New Roman Regular"/>
        </w:rPr>
      </w:pPr>
      <w:r>
        <w:rPr>
          <w:rFonts w:ascii="Times New Roman" w:hAnsi="Times New Roman" w:cs="Times New Roman Regular"/>
        </w:rPr>
        <w:t>Third, the texts contain high information density and complex syntactic structures, placing greater demands on the models' overall processing capabilities. Sentence 153 integrates syndrome differentiation, acupoint selection, treatment targets, and lesion locations within a single long sentence, requiring simultaneous terminology recognition, logical organization, and information integration. Claude preserved nearly all source information but produced relatively long sentence structures; Gemini improved readability through segmented presentation; and DeepSeek divided the sentence into shorter units while summarizing part of the information. A similar pattern is observed in Sentence 220, which describes a complex orthopedic manipulation procedure. Some models summarized procedural details to improve fluency, thereby sacrificing informational completeness, whereas others retained all information but produced less coherent discourse. These characteristics reduced semantic consistency as assessed by COMET, resulting in substantially lower evaluation scores.</w:t>
      </w:r>
    </w:p>
    <w:p w14:paraId="26879656" w14:textId="77777777" w:rsidR="00A549DA" w:rsidRDefault="00000000">
      <w:pPr>
        <w:spacing w:after="120" w:line="276" w:lineRule="auto"/>
        <w:ind w:firstLineChars="200" w:firstLine="420"/>
        <w:rPr>
          <w:rFonts w:ascii="Times New Roman Regular" w:hAnsi="Times New Roman Regular" w:cs="Times New Roman Regular"/>
        </w:rPr>
      </w:pPr>
      <w:r>
        <w:rPr>
          <w:rFonts w:ascii="Times New Roman" w:hAnsi="Times New Roman" w:cs="Times New Roman Regular"/>
        </w:rPr>
        <w:t>Overall, low-scoring sentences usually involve the combined effects of non-standardized terminology, culturally embedded concepts, and complex information structures. These factors increase the difficulty of terminology selection, cultural knowledge transfer, and detailed information preservation. Importantly, these challenges reflect not only limitations of current LLMs but also the lack of internationally shared translation conventions and structured knowledge resources for many ethnic medical concepts.</w:t>
      </w:r>
    </w:p>
    <w:p w14:paraId="3A9F38AF" w14:textId="77777777" w:rsidR="00A549DA" w:rsidRDefault="00000000">
      <w:pPr>
        <w:spacing w:after="120" w:line="276" w:lineRule="auto"/>
        <w:rPr>
          <w:rFonts w:ascii="Times New Roman Bold" w:hAnsi="Times New Roman Bold" w:cs="Times New Roman Bold"/>
          <w:b/>
          <w:bCs/>
          <w:sz w:val="30"/>
          <w:szCs w:val="30"/>
        </w:rPr>
      </w:pPr>
      <w:r>
        <w:rPr>
          <w:rFonts w:ascii="Times New Roman Bold" w:hAnsi="Times New Roman Bold" w:cs="Times New Roman Bold"/>
          <w:b/>
          <w:bCs/>
          <w:szCs w:val="30"/>
        </w:rPr>
        <w:t>4.2.4 Comparison of Translation Characteristics Across Models</w:t>
      </w:r>
    </w:p>
    <w:p w14:paraId="094E6A71" w14:textId="77777777" w:rsidR="00A549DA" w:rsidRDefault="00000000">
      <w:pPr>
        <w:spacing w:after="120" w:line="276" w:lineRule="auto"/>
        <w:ind w:firstLineChars="200" w:firstLine="420"/>
        <w:rPr>
          <w:rFonts w:ascii="Times New Roman Regular" w:hAnsi="Times New Roman Regular" w:cs="Times New Roman Regular"/>
        </w:rPr>
      </w:pPr>
      <w:r>
        <w:rPr>
          <w:rFonts w:ascii="Times New Roman" w:hAnsi="Times New Roman" w:cs="Times New Roman Regular"/>
        </w:rPr>
        <w:t xml:space="preserve">Although the heatmap demonstrates broadly consistent translation patterns across models, representative cases reveal notable differences in translation strategies, which partially explain the differences observed in the quantitative analysis. DeepSeek-V3.2 achieved the highest mean COMET score in this study. It tended to preserve more complete logical structures when translating long and information-dense sentences, which may partially explain its superior overall performance. Nevertheless, it occasionally adopted generalized expressions for specialized terminology, leading to minor information loss. Claude Sonnet 4.5 tended to demonstrate greater consistency in terminology selection in the </w:t>
      </w:r>
      <w:r>
        <w:rPr>
          <w:rFonts w:ascii="Times New Roman" w:hAnsi="Times New Roman" w:cs="Times New Roman Regular"/>
        </w:rPr>
        <w:lastRenderedPageBreak/>
        <w:t>examined cases. It frequently adopted expressions closer to formal medical usage and showed stronger awareness of terminological accuracy. However, its emphasis on preserving source information occasionally resulted in more complex sentence structures, reflecting a trade-off between information completeness and readability. Gemini 2.5 Pro placed greater emphasis on readability. It frequently employed syntactic restructuring and segmented presentation to improve textual clarity. While this strategy enhanced fluency, it occasionally compressed information in long sentences to achieve more natural expression. ChatGPT-5.2 generally produced fluent and natural English with high readability. Compared with Claude Sonnet 4.5, however, its use of specialized medical terminology was relatively less standardized, reflecting a tendency to favor more general lexical choices. ERNIE 5.0 showed relatively lower performance in the evaluated cases, particularly when translating culturally specific Zhuang Medicine concepts. Its outputs occasionally exhibited challenges in terminology selection, conceptual representation, and information completeness, which may have contributed to its lower COMET scores.</w:t>
      </w:r>
      <w:r>
        <w:rPr>
          <w:rFonts w:ascii="Times New Roman" w:eastAsia="Times New Roman" w:hAnsi="Times New Roman" w:cs="Times New Roman Regular" w:hint="eastAsia"/>
        </w:rPr>
        <w:t xml:space="preserve"> These cross-model differences in translation preferences, while not establishing a clear performance hierarchy, suggest that different models may exhibit relative advantages in different translation scenarios. Therefore, human intervention strategies should be calibrated according to both text characteristics and model-specific strengths.</w:t>
      </w:r>
    </w:p>
    <w:p w14:paraId="205634DD" w14:textId="77777777" w:rsidR="00A549DA" w:rsidRDefault="00000000">
      <w:pPr>
        <w:spacing w:after="120" w:line="276" w:lineRule="auto"/>
        <w:rPr>
          <w:rFonts w:ascii="Times New Roman Bold" w:hAnsi="Times New Roman Bold" w:cs="Times New Roman Bold"/>
          <w:b/>
          <w:bCs/>
          <w:sz w:val="30"/>
          <w:szCs w:val="30"/>
        </w:rPr>
      </w:pPr>
      <w:r>
        <w:rPr>
          <w:rFonts w:ascii="Times New Roman" w:hAnsi="Times New Roman" w:cs="Times New Roman Bold"/>
          <w:b/>
          <w:bCs/>
          <w:szCs w:val="30"/>
        </w:rPr>
        <w:t>4.2.5 Summary of the Qualitative Analysis</w:t>
      </w:r>
    </w:p>
    <w:p w14:paraId="2636C486" w14:textId="77777777" w:rsidR="00A549DA" w:rsidRDefault="00000000">
      <w:pPr>
        <w:spacing w:after="120" w:line="276" w:lineRule="auto"/>
        <w:ind w:firstLineChars="200" w:firstLine="420"/>
        <w:rPr>
          <w:rFonts w:ascii="Times New Roman" w:hAnsi="Times New Roman" w:cs="Times New Roman Regular"/>
        </w:rPr>
      </w:pPr>
      <w:r>
        <w:rPr>
          <w:rFonts w:ascii="Times New Roman" w:hAnsi="Times New Roman" w:cs="Times New Roman Regular"/>
        </w:rPr>
        <w:t>Taken together, the heatmap distribution, representative case analysis, and comparison across models collectively demonstrate that the translation quality of Zhuang Medicine texts exhibits a pronounced text-type dependency. While the quantitative analysis revealed statistically significant differences among LLMs, the qualitative analysis further indicates that these differences are not determined solely by model size or general language generation capability. Rather, they are more closely associated with the extent to which each model captures domain-specific knowledge, terminology standardization, and culture-specific medical concepts. For texts characterized by low cultural load, standardized terminology, and clear information structures, all five models achieved relatively high translation quality. However, texts involving distinctive Zhuang Medicine theories, non-standardized terminology, and complex clinical descriptions exposed common challenges, including inconsistent terminology selection, incomplete representation of ethnomedical concepts, and difficulties in preserving detailed information structures.</w:t>
      </w:r>
    </w:p>
    <w:p w14:paraId="1E1E1209" w14:textId="77777777" w:rsidR="00A549DA" w:rsidRDefault="00000000">
      <w:pPr>
        <w:spacing w:after="120" w:line="276" w:lineRule="auto"/>
        <w:ind w:firstLineChars="200" w:firstLine="420"/>
      </w:pPr>
      <w:r>
        <w:rPr>
          <w:rFonts w:ascii="Times New Roman" w:hAnsi="Times New Roman" w:cs="Times New Roman Regular"/>
        </w:rPr>
        <w:t>These findings provide important implications for Human–AI Collaborative Translation. Since different text types present different levels of translation risk, human intervention should not be applied uniformly to all machine-generated translations. Instead, post-editing efforts should be strategically prioritized for culturally specific concepts, specialized terminology, and complex procedural descriptions. Such a targeted approach can better integrate the efficiency of LLMs with the professional judgment of human translators.</w:t>
      </w:r>
    </w:p>
    <w:p w14:paraId="02A6B672" w14:textId="77777777" w:rsidR="00A549DA" w:rsidRDefault="00000000">
      <w:pPr>
        <w:pStyle w:val="Heading2"/>
        <w:widowControl/>
        <w:spacing w:after="120" w:line="276" w:lineRule="auto"/>
        <w:rPr>
          <w:rFonts w:ascii="Times New Roman Regular" w:hAnsi="Times New Roman Regular" w:cs="Times New Roman Regular" w:hint="default"/>
          <w:sz w:val="27"/>
          <w:szCs w:val="27"/>
          <w:lang w:bidi="ar"/>
        </w:rPr>
      </w:pPr>
      <w:r>
        <w:rPr>
          <w:rFonts w:ascii="Times New Roman" w:eastAsia="Times New Roman" w:hAnsi="Times New Roman" w:cs="Times New Roman Regular" w:hint="default"/>
          <w:sz w:val="21"/>
          <w:szCs w:val="27"/>
          <w:lang w:bidi="ar"/>
        </w:rPr>
        <w:t>4.3 Development of a Human–AI Collaborative Translation Pathway</w:t>
      </w:r>
    </w:p>
    <w:p w14:paraId="50B1D85A" w14:textId="77777777" w:rsidR="00A549DA" w:rsidRDefault="00000000">
      <w:pPr>
        <w:spacing w:after="120" w:line="276" w:lineRule="auto"/>
        <w:ind w:firstLineChars="200" w:firstLine="420"/>
        <w:rPr>
          <w:rFonts w:ascii="Times New Roman Regular" w:hAnsi="Times New Roman Regular" w:cs="Times New Roman Regular"/>
        </w:rPr>
      </w:pPr>
      <w:r>
        <w:rPr>
          <w:rFonts w:ascii="Times New Roman" w:hAnsi="Times New Roman" w:cs="Times New Roman Regular"/>
        </w:rPr>
        <w:t xml:space="preserve">The qualitative analysis presented above not only corroborates the statistical differences identified in </w:t>
      </w:r>
      <w:r>
        <w:rPr>
          <w:rFonts w:ascii="Times New Roman" w:hAnsi="Times New Roman" w:cs="Times New Roman Regular"/>
        </w:rPr>
        <w:lastRenderedPageBreak/>
        <w:t>the quantitative analysis but also provides deeper insights into the capabilities and limitations of Large Language Models (LLMs) in translating Zhuang Medicine texts. The findings indicate that LLMs perform consistently well when translating general medical texts characterized by low cultural specificity, standardized terminology, and well-structured syntax. In contrast, the low-scoring cases (e.g., Sentences 153, 69, 44, and 220) reveal three major limitations: inconsistent terminology translation strategies (e.g., multiple renderings of Fire Gong Therapy in Sentence 153), insufficient understanding of culture-specific theoretical concepts (e.g., semantic loss in translating cold toxin and Yin syndrome in Sentence 153), and incomplete processing of complex sentence structures (e.g., summarized rather than fully translated procedural descriptions in Sentence 220). These findings suggest that machine translation alone is insufficient to satisfy the combined requirements of accuracy, professionalism, and cultural appropriateness demanded by the international dissemination of Zhuang Medicine. Conversely, relying entirely on human translation is constrained by limited efficiency. Therefore, there is an urgent need to establish a Human–AI Collaborative Translation pathway tailored to the linguistic characteristics of Zhuang Medicine texts, enabling complementary integration of machine efficiency and human expertise.</w:t>
      </w:r>
    </w:p>
    <w:p w14:paraId="51C5E397" w14:textId="77777777" w:rsidR="00A549DA" w:rsidRDefault="00000000">
      <w:pPr>
        <w:spacing w:after="120" w:line="276" w:lineRule="auto"/>
        <w:ind w:firstLineChars="200" w:firstLine="420"/>
        <w:rPr>
          <w:rFonts w:ascii="Times New Roman Regular" w:hAnsi="Times New Roman Regular" w:cs="Times New Roman Regular"/>
        </w:rPr>
      </w:pPr>
      <w:r>
        <w:rPr>
          <w:rFonts w:ascii="Times New Roman" w:hAnsi="Times New Roman" w:cs="Times New Roman Regular"/>
        </w:rPr>
        <w:t>Based on the findings of the present study and recent advances in machine translation and natural language processing, such a collaborative framework can be developed from the following three dimensions.</w:t>
      </w:r>
    </w:p>
    <w:p w14:paraId="2FB9021B" w14:textId="77777777" w:rsidR="00A549DA" w:rsidRDefault="00000000">
      <w:pPr>
        <w:pStyle w:val="Heading3"/>
        <w:widowControl/>
        <w:spacing w:after="120" w:line="276" w:lineRule="auto"/>
        <w:rPr>
          <w:rFonts w:ascii="Times New Roman Regular" w:hAnsi="Times New Roman Regular" w:cs="Times New Roman Regular" w:hint="default"/>
        </w:rPr>
      </w:pPr>
      <w:r>
        <w:rPr>
          <w:rFonts w:ascii="Times New Roman" w:eastAsia="Times New Roman" w:hAnsi="Times New Roman" w:cs="Times New Roman Regular" w:hint="default"/>
          <w:sz w:val="21"/>
        </w:rPr>
        <w:t>4.3.1 Construction of a Bilingual Parallel Corpus and Terminology Database</w:t>
      </w:r>
    </w:p>
    <w:p w14:paraId="67928F03" w14:textId="77777777" w:rsidR="00A549DA" w:rsidRDefault="00000000">
      <w:pPr>
        <w:spacing w:after="120" w:line="276" w:lineRule="auto"/>
        <w:ind w:firstLineChars="200" w:firstLine="420"/>
        <w:rPr>
          <w:rFonts w:ascii="Times New Roman Regular" w:hAnsi="Times New Roman Regular" w:cs="Times New Roman Regular"/>
        </w:rPr>
      </w:pPr>
      <w:r>
        <w:rPr>
          <w:rFonts w:ascii="Times New Roman" w:hAnsi="Times New Roman" w:cs="Times New Roman Regular"/>
        </w:rPr>
        <w:t>A high-quality corpus constitutes the foundation for improving the translation performance of LLMs. Previous studies have demonstrated that both the quality and the scale of domain-specific corpora directly influence model performance in specialized translation tasks (</w:t>
      </w:r>
      <w:proofErr w:type="spellStart"/>
      <w:r>
        <w:rPr>
          <w:rFonts w:ascii="Times New Roman" w:hAnsi="Times New Roman" w:cs="Times New Roman Regular"/>
        </w:rPr>
        <w:t>Ogunseye</w:t>
      </w:r>
      <w:proofErr w:type="spellEnd"/>
      <w:r>
        <w:rPr>
          <w:rFonts w:ascii="Times New Roman" w:hAnsi="Times New Roman" w:cs="Times New Roman Regular"/>
        </w:rPr>
        <w:t xml:space="preserve"> et al., 2025). The qualitative analysis in this study showed that LLMs achieved consistently high performance on texts with standardized terminology (e.g., Sentences 33 and 74) but exhibited substantial inconsistency when translating terms lacking standardized English equivalents (e.g., Sentence 153), where Fire Gong Therapy was alternatively rendered as fire-work therapy, Fire Gong Therapy, and fire power therapy. This inconsistency suggests that terminology-related translation problems originate primarily from insufficient domain-specific knowledge rather than from linguistic deficiencies alone.</w:t>
      </w:r>
    </w:p>
    <w:p w14:paraId="7C8551AF" w14:textId="77777777" w:rsidR="00A549DA" w:rsidRDefault="00000000">
      <w:pPr>
        <w:spacing w:after="120" w:line="276" w:lineRule="auto"/>
        <w:ind w:firstLineChars="200" w:firstLine="420"/>
        <w:rPr>
          <w:rFonts w:ascii="Times New Roman Regular" w:hAnsi="Times New Roman Regular" w:cs="Times New Roman Regular"/>
        </w:rPr>
      </w:pPr>
      <w:r>
        <w:rPr>
          <w:rFonts w:ascii="Times New Roman" w:hAnsi="Times New Roman" w:cs="Times New Roman Regular"/>
        </w:rPr>
        <w:t>Accordingly, the first priority is to establish a large-scale, high-quality bilingual parallel corpus covering a wide range of Zhuang Medicine materials, including fundamental theories, diagnostic and therapeutic protocols, and clinical applications, thereby ensuring adequate representativeness and balanced domain coverage. Simultaneously, a standardized terminology database should be developed to regulate the English translation of core Zhuang Medicine concepts such as Fire Gong Therapy, cold toxin, and Three Pathways and Two Routes. The database should specify appropriate translation strategies—including transliteration, semantic translation, or hybrid approaches—for different categories of terminology. Drawing upon terminology management principles widely adopted in Computer-Assisted Translation (CAT) systems would further enhance terminology consistency and traceability (Meng, 2021).</w:t>
      </w:r>
    </w:p>
    <w:p w14:paraId="219BA07C" w14:textId="77777777" w:rsidR="00A549DA" w:rsidRDefault="00000000">
      <w:pPr>
        <w:spacing w:after="120" w:line="276" w:lineRule="auto"/>
        <w:ind w:firstLineChars="200" w:firstLine="420"/>
        <w:rPr>
          <w:rFonts w:ascii="Times New Roman Regular" w:hAnsi="Times New Roman Regular" w:cs="Times New Roman Regular"/>
        </w:rPr>
      </w:pPr>
      <w:r>
        <w:rPr>
          <w:rFonts w:ascii="Times New Roman" w:hAnsi="Times New Roman" w:cs="Times New Roman Regular"/>
        </w:rPr>
        <w:lastRenderedPageBreak/>
        <w:t>Furthermore, integrating the terminology database with the bilingual corpus would facilitate the construction of a structured knowledge base for Zhuang Medicine, providing comprehensive domain knowledge to support model training. Such foundational resources would not only provide high-quality data for Domain-specific Fine-tuning but also serve as authoritative references for human translators and post-editors, thereby fundamentally addressing the problem of inconsistent terminology translation.</w:t>
      </w:r>
    </w:p>
    <w:p w14:paraId="6A687CE7" w14:textId="77777777" w:rsidR="00A549DA" w:rsidRDefault="00000000">
      <w:pPr>
        <w:pStyle w:val="Heading3"/>
        <w:widowControl/>
        <w:spacing w:after="120" w:line="276" w:lineRule="auto"/>
        <w:rPr>
          <w:rFonts w:ascii="Times New Roman Regular" w:hAnsi="Times New Roman Regular" w:cs="Times New Roman Regular" w:hint="default"/>
        </w:rPr>
      </w:pPr>
      <w:r>
        <w:rPr>
          <w:rFonts w:ascii="Times New Roman" w:eastAsia="Times New Roman" w:hAnsi="Times New Roman" w:cs="Times New Roman Regular" w:hint="default"/>
          <w:sz w:val="21"/>
        </w:rPr>
        <w:t>4.3.2 Domain-specific Fine-tuning and Adaptation of LLMs</w:t>
      </w:r>
    </w:p>
    <w:p w14:paraId="458C8B2D" w14:textId="77777777" w:rsidR="00A549DA" w:rsidRDefault="00000000">
      <w:pPr>
        <w:spacing w:after="120" w:line="276" w:lineRule="auto"/>
        <w:ind w:firstLineChars="200" w:firstLine="420"/>
        <w:rPr>
          <w:rFonts w:ascii="Times New Roman Regular" w:hAnsi="Times New Roman Regular" w:cs="Times New Roman Regular"/>
        </w:rPr>
      </w:pPr>
      <w:r>
        <w:rPr>
          <w:rFonts w:ascii="Times New Roman" w:hAnsi="Times New Roman" w:cs="Times New Roman Regular"/>
        </w:rPr>
        <w:t xml:space="preserve">The qualitative analysis further demonstrates that LLM performance becomes considerably less stable when translating texts characterized by high cultural specificity and complex theoretical concepts. For example, in Sentence 153, concepts such as cold toxin and Yin syndrome were translated primarily through direct lexical substitution (e.g., toxin and pattern), without adequately conveying the distinctive theoretical foundations of Zhuang Medicine, including its doctrines of pathogenic factors and syndrome differentiation. Likewise, in Sentence 69, concepts such as </w:t>
      </w:r>
      <w:proofErr w:type="spellStart"/>
      <w:r>
        <w:rPr>
          <w:rFonts w:ascii="Times New Roman" w:hAnsi="Times New Roman" w:cs="Times New Roman Regular"/>
        </w:rPr>
        <w:t>Sifeng</w:t>
      </w:r>
      <w:proofErr w:type="spellEnd"/>
      <w:r>
        <w:rPr>
          <w:rFonts w:ascii="Times New Roman" w:hAnsi="Times New Roman" w:cs="Times New Roman Regular"/>
        </w:rPr>
        <w:t xml:space="preserve"> acupoint, Sanjiao, and </w:t>
      </w:r>
      <w:proofErr w:type="spellStart"/>
      <w:r>
        <w:rPr>
          <w:rFonts w:ascii="Times New Roman" w:hAnsi="Times New Roman" w:cs="Times New Roman Regular"/>
        </w:rPr>
        <w:t>Mingmen</w:t>
      </w:r>
      <w:proofErr w:type="spellEnd"/>
      <w:r>
        <w:rPr>
          <w:rFonts w:ascii="Times New Roman" w:hAnsi="Times New Roman" w:cs="Times New Roman Regular"/>
        </w:rPr>
        <w:t xml:space="preserve"> were either overexplained (Claude) or oversimplified (DeepSeek), indicating that the underlying theoretical relationships within the Zhuang Medicine system were not fully captured.</w:t>
      </w:r>
    </w:p>
    <w:p w14:paraId="3BC40E59" w14:textId="77777777" w:rsidR="00A549DA" w:rsidRDefault="00000000">
      <w:pPr>
        <w:spacing w:after="120" w:line="276" w:lineRule="auto"/>
        <w:ind w:firstLineChars="200" w:firstLine="420"/>
        <w:rPr>
          <w:rFonts w:ascii="Times New Roman Regular" w:hAnsi="Times New Roman Regular" w:cs="Times New Roman Regular"/>
        </w:rPr>
      </w:pPr>
      <w:r>
        <w:rPr>
          <w:rFonts w:ascii="Times New Roman" w:hAnsi="Times New Roman" w:cs="Times New Roman Regular"/>
        </w:rPr>
        <w:t>The fundamental cause of these deficiencies lies in the scarcity of ethnic medicine data within the pretraining corpora of general-purpose LLMs, resulting in limited understanding of the conceptual framework of Zhuang Medicine. Consequently, zero-shot and few-shot prompting alone cannot adequately address these issues. Previous studies have demonstrated that high-quality domain-specific parallel corpora provide the essential basis for improving the professional translation capabilities of LLMs and that Domain-specific Fine-tuning substantially enhances translation quality in specialized medical contexts (</w:t>
      </w:r>
      <w:proofErr w:type="spellStart"/>
      <w:r>
        <w:rPr>
          <w:rFonts w:ascii="Times New Roman" w:hAnsi="Times New Roman" w:cs="Times New Roman Regular"/>
        </w:rPr>
        <w:t>Ogunseye</w:t>
      </w:r>
      <w:proofErr w:type="spellEnd"/>
      <w:r>
        <w:rPr>
          <w:rFonts w:ascii="Times New Roman" w:hAnsi="Times New Roman" w:cs="Times New Roman Regular"/>
        </w:rPr>
        <w:t xml:space="preserve"> et al., 2025).</w:t>
      </w:r>
    </w:p>
    <w:p w14:paraId="6B672D5E" w14:textId="77777777" w:rsidR="00A549DA" w:rsidRDefault="00000000">
      <w:pPr>
        <w:spacing w:after="120" w:line="276" w:lineRule="auto"/>
        <w:ind w:firstLineChars="200" w:firstLine="420"/>
        <w:rPr>
          <w:rFonts w:ascii="Times New Roman Regular" w:hAnsi="Times New Roman Regular" w:cs="Times New Roman Regular"/>
        </w:rPr>
      </w:pPr>
      <w:r>
        <w:rPr>
          <w:rFonts w:ascii="Times New Roman" w:hAnsi="Times New Roman" w:cs="Times New Roman Regular"/>
        </w:rPr>
        <w:t xml:space="preserve">Accordingly, the bilingual corpus proposed in the previous section can be used to perform Supervised Fine-Tuning (SFT) on open-source LLMs, enabling them to better learn the theoretical concepts and diagnostic logic unique to Zhuang Medicine. </w:t>
      </w:r>
      <w:r>
        <w:rPr>
          <w:rFonts w:ascii="Times New Roman" w:eastAsia="Times New Roman" w:hAnsi="Times New Roman" w:cs="Times New Roman Regular"/>
        </w:rPr>
        <w:t xml:space="preserve">In addition, to address problems such </w:t>
      </w:r>
      <w:r>
        <w:rPr>
          <w:rFonts w:ascii="Times New Roman" w:hAnsi="Times New Roman" w:cs="Times New Roman Regular"/>
        </w:rPr>
        <w:t>as the loss of theoretical distinctions observed in Sentence 44—where models successfully translated therapeutic functions such as "relieving exterior syndromes," "clearing heat," and "detoxifying," yet failed to distinguish the theoretical foundations of Zhuang Medicine from those of Traditional Chinese Medicine—structured knowledge-enhanced prompting strategies, such as the Chain-of-Dictionary framework, may be incorporated into the translation process (Salim et al., 2025). This approach embeds terminology definitions and theoretical background information directly into model prompts, enabling more informed translation decisions.</w:t>
      </w:r>
      <w:r>
        <w:rPr>
          <w:rFonts w:ascii="Times New Roman" w:eastAsia="Times New Roman" w:hAnsi="Times New Roman" w:cs="Times New Roman Regular"/>
        </w:rPr>
        <w:t xml:space="preserve"> </w:t>
      </w:r>
      <w:r>
        <w:rPr>
          <w:rFonts w:ascii="Times New Roman" w:hAnsi="Times New Roman" w:cs="Times New Roman Regular"/>
        </w:rPr>
        <w:t xml:space="preserve">For example, when translating terms related to </w:t>
      </w:r>
      <w:proofErr w:type="spellStart"/>
      <w:r>
        <w:rPr>
          <w:rFonts w:ascii="Times New Roman" w:hAnsi="Times New Roman" w:cs="Times New Roman Regular"/>
        </w:rPr>
        <w:t>du</w:t>
      </w:r>
      <w:proofErr w:type="spellEnd"/>
      <w:r>
        <w:rPr>
          <w:rFonts w:ascii="Times New Roman" w:hAnsi="Times New Roman" w:cs="Times New Roman Regular"/>
        </w:rPr>
        <w:t xml:space="preserve"> ("</w:t>
      </w:r>
      <w:r>
        <w:rPr>
          <w:rFonts w:ascii="Times New Roman" w:hAnsi="Times New Roman" w:cs="Times New Roman Regular"/>
        </w:rPr>
        <w:t>毒</w:t>
      </w:r>
      <w:r>
        <w:rPr>
          <w:rFonts w:ascii="Times New Roman" w:hAnsi="Times New Roman" w:cs="Times New Roman Regular"/>
        </w:rPr>
        <w:t>"), prompts may include the following instruction:</w:t>
      </w:r>
      <w:r>
        <w:rPr>
          <w:rFonts w:ascii="Times New Roman" w:eastAsia="Times New Roman" w:hAnsi="Times New Roman" w:cs="Times New Roman Regular"/>
        </w:rPr>
        <w:t xml:space="preserve"> </w:t>
      </w:r>
      <w:r>
        <w:rPr>
          <w:rFonts w:ascii="Times New Roman" w:hAnsi="Times New Roman" w:cs="Times New Roman Regular"/>
        </w:rPr>
        <w:t>In Zhuang Medicine, du refers broadly to pathogenic factors, including wind pathogen, damp pathogen, and heat pathogen, rather than toxic substances in the biomedical sense. Depending on the context, consider translating the concept as pathogenic factors or retaining the transliterated form du with an explanatory annotation.</w:t>
      </w:r>
      <w:r>
        <w:rPr>
          <w:rFonts w:ascii="Times New Roman" w:eastAsia="Times New Roman" w:hAnsi="Times New Roman" w:cs="Times New Roman Regular"/>
        </w:rPr>
        <w:t xml:space="preserve"> </w:t>
      </w:r>
      <w:r>
        <w:rPr>
          <w:rFonts w:ascii="Times New Roman" w:hAnsi="Times New Roman" w:cs="Times New Roman Regular"/>
        </w:rPr>
        <w:t xml:space="preserve">The combination of domain-specific fine-tuning and knowledge-enhanced prompting is expected to substantially improve LLM performance when translating </w:t>
      </w:r>
      <w:r>
        <w:rPr>
          <w:rFonts w:ascii="Times New Roman" w:hAnsi="Times New Roman" w:cs="Times New Roman Regular"/>
        </w:rPr>
        <w:lastRenderedPageBreak/>
        <w:t>culturally specific Zhuang Medicine concepts, enabling translation to progress from simple lexical substitution toward genuine conceptual understanding.</w:t>
      </w:r>
    </w:p>
    <w:p w14:paraId="70446276" w14:textId="77777777" w:rsidR="00A549DA" w:rsidRDefault="00000000">
      <w:pPr>
        <w:pStyle w:val="Heading3"/>
        <w:widowControl/>
        <w:spacing w:after="120" w:line="276" w:lineRule="auto"/>
        <w:rPr>
          <w:rFonts w:ascii="Times New Roman Regular" w:hAnsi="Times New Roman Regular" w:cs="Times New Roman Regular" w:hint="default"/>
        </w:rPr>
      </w:pPr>
      <w:r>
        <w:rPr>
          <w:rFonts w:ascii="Times New Roman" w:eastAsia="Times New Roman" w:hAnsi="Times New Roman" w:cs="Times New Roman Regular" w:hint="default"/>
          <w:sz w:val="21"/>
        </w:rPr>
        <w:t>4.3.3 Human Intervention and Quality Calibration Mechanism</w:t>
      </w:r>
    </w:p>
    <w:p w14:paraId="0A8237B1" w14:textId="77777777" w:rsidR="00A549DA" w:rsidRDefault="00000000">
      <w:pPr>
        <w:spacing w:after="120" w:line="276" w:lineRule="auto"/>
        <w:ind w:firstLineChars="200" w:firstLine="420"/>
        <w:rPr>
          <w:rFonts w:ascii="Times New Roman" w:hAnsi="Times New Roman" w:cs="Times New Roman"/>
        </w:rPr>
      </w:pPr>
      <w:r>
        <w:rPr>
          <w:rFonts w:ascii="Times New Roman" w:eastAsia="Times New Roman" w:hAnsi="Times New Roman" w:cs="Times New Roman"/>
        </w:rPr>
        <w:t xml:space="preserve">Even with enhanced corpora and domain-specific model adaptation, machine translation alone cannot completely eliminate problems such as terminology mistranslation and loss of cultural meaning. The qualitative analysis indicates that LLMs remain particularly vulnerable in two situations. The first involves high-information-density texts requiring complex logical organization. In Sentence 153, multiple layers of information—including acupoint selection principles, syndrome differentiation, and lists of treatment points—are densely integrated into a single sentence. Claude preserved nearly all information but produced overly long sentence structures; Gemini improved readability through segmented presentation but sacrificed some informational completeness; DeepSeek divided the sentence into shorter units but weakened logical coherence. These observations indicate that current LLMs struggle to balance completeness and clarity when processing multilayered information. The second concerns highly specialized procedural descriptions. Sentence 220 describes a sequence of orthopedic manipulation techniques requiring precise procedural instructions. DeepSeek, for example, replaced part of the detailed description with the generalized expression "This part describes a precise coordinated maneuver" rather than translating the original procedural details. This suggests that insufficient domain knowledge limits the ability of LLMs to accurately translate highly specialized clinical procedures. To address these limitations, a systematic human intervention and quality calibration mechanism should be established, forming a closed-loop workflow consisting of machine pre-translation, human post-editing, and iterative feedback optimization. During the pre-translation stage, Zhuang Medicine texts may first be classified according to the textual characteristics identified in this study. Texts describing standardized medical content, such as dosage instructions and symptom descriptions, may be translated automatically by LLMs, whereas texts involving theoretical concepts, culture-specific terminology, or distinctive therapeutic practices should be flagged for mandatory human review. During the post-editing stage, integrated translation environments similar to the </w:t>
      </w:r>
      <w:proofErr w:type="spellStart"/>
      <w:r>
        <w:rPr>
          <w:rFonts w:ascii="Times New Roman" w:eastAsia="Times New Roman" w:hAnsi="Times New Roman" w:cs="Times New Roman"/>
        </w:rPr>
        <w:t>TranslationCorrect</w:t>
      </w:r>
      <w:proofErr w:type="spellEnd"/>
      <w:r>
        <w:rPr>
          <w:rFonts w:ascii="Times New Roman" w:eastAsia="Times New Roman" w:hAnsi="Times New Roman" w:cs="Times New Roman"/>
        </w:rPr>
        <w:t xml:space="preserve"> framework may be adopted to combine machine translation, automatic error prediction, and human revision within a unified interface (Wasti et al., 2025). Visualization of predicted translation errors can reduce translators' cognitive workload while improving editing efficiency. Error prediction models based on COMET scores or dedicated error detection systems can automatically identify potentially problematic translations. For example, sentences containing terminology inconsistencies (e.g., acupoint names in Sentence 153) can trigger terminology verification prompts; sentences with complex logical structures can alert translators to review information organization; and procedural descriptions such as Sentence 220 can be flagged for detailed comparison with the source text. Moreover, corrections generated during post-editing can be incorporated into subsequent Domain-specific Fine-tuning and error detection model training, thereby establishing a continuous feedback loop for iterative model improvement (Wasti et al., 2025). Finally, for authoritative publications such as Zhuang Medicine classics, textbooks, and academic monographs, an expert review mechanism should be implemented. Collaborative review by both Zhuang </w:t>
      </w:r>
      <w:r>
        <w:rPr>
          <w:rFonts w:ascii="Times New Roman" w:eastAsia="Times New Roman" w:hAnsi="Times New Roman" w:cs="Times New Roman"/>
        </w:rPr>
        <w:lastRenderedPageBreak/>
        <w:t>Medicine specialists and medical English experts can ensure that translations faithfully preserve the theoretical foundations of Zhuang Medicine while conforming to international standards of medical communication.</w:t>
      </w:r>
    </w:p>
    <w:p w14:paraId="409F274A" w14:textId="77777777" w:rsidR="00A549DA" w:rsidRDefault="00000000">
      <w:pPr>
        <w:spacing w:after="120" w:line="276" w:lineRule="auto"/>
        <w:ind w:firstLineChars="200" w:firstLine="420"/>
        <w:rPr>
          <w:rFonts w:ascii="Times New Roman" w:hAnsi="Times New Roman" w:cs="Times New Roman"/>
        </w:rPr>
      </w:pPr>
      <w:r>
        <w:rPr>
          <w:rFonts w:ascii="Times New Roman" w:eastAsia="Times New Roman" w:hAnsi="Times New Roman" w:cs="Times New Roman"/>
        </w:rPr>
        <w:t>In summary, the proposed Human–AI Collaborative Translation pathway for Zhuang Medicine constitutes an integrated framework encompassing resource construction, model adaptation, and human quality assurance. Bilingual corpora and terminology databases provide the essential knowledge resources, domain-specific fine-tuning and knowledge enhancement improve LLM performance in specialized translation tasks, and systematic human intervention guarantees the quality of final translations. This three-tiered framework fully exploits the efficiency of LLMs while preserving the professional judgment and cultural interpretive expertise of human translators, thereby offering a sustainable language service model for the international dissemination of Zhuang Medicine.</w:t>
      </w:r>
    </w:p>
    <w:p w14:paraId="34B31F3F" w14:textId="77777777" w:rsidR="00A549DA" w:rsidRDefault="00000000">
      <w:pPr>
        <w:pStyle w:val="Heading2"/>
        <w:widowControl/>
        <w:spacing w:after="120" w:line="276" w:lineRule="auto"/>
        <w:rPr>
          <w:rFonts w:ascii="Trebuchet MS" w:eastAsia="Trebuchet MS" w:hAnsi="Trebuchet MS" w:cs="Trebuchet MS" w:hint="default"/>
          <w:snapToGrid w:val="0"/>
          <w:color w:val="000000"/>
          <w:spacing w:val="2"/>
          <w:sz w:val="22"/>
          <w:szCs w:val="22"/>
          <w:lang w:eastAsia="en-US"/>
        </w:rPr>
      </w:pPr>
      <w:r>
        <w:rPr>
          <w:rFonts w:ascii="Times New Roman" w:eastAsia="Times New Roman" w:hAnsi="Times New Roman" w:cs="Trebuchet MS" w:hint="default"/>
          <w:snapToGrid w:val="0"/>
          <w:color w:val="000000"/>
          <w:spacing w:val="2"/>
          <w:sz w:val="21"/>
          <w:szCs w:val="22"/>
          <w:lang w:eastAsia="en-US"/>
        </w:rPr>
        <w:t>5. Conclusion</w:t>
      </w:r>
    </w:p>
    <w:p w14:paraId="56C273CD" w14:textId="77777777" w:rsidR="00A549DA" w:rsidRDefault="00000000">
      <w:pPr>
        <w:widowControl/>
        <w:pBdr>
          <w:top w:val="none" w:sz="0" w:space="0" w:color="1F1F1F"/>
          <w:left w:val="none" w:sz="0" w:space="0" w:color="1F1F1F"/>
          <w:bottom w:val="none" w:sz="0" w:space="0" w:color="1F1F1F"/>
          <w:right w:val="none" w:sz="0" w:space="0" w:color="1F1F1F"/>
        </w:pBdr>
        <w:spacing w:after="120" w:line="276" w:lineRule="auto"/>
        <w:ind w:firstLineChars="200" w:firstLine="420"/>
        <w:rPr>
          <w:rFonts w:ascii="Times New Roman" w:hAnsi="Times New Roman" w:cs="Times New Roman"/>
        </w:rPr>
      </w:pPr>
      <w:r>
        <w:rPr>
          <w:rFonts w:ascii="Times New Roman" w:eastAsia="Times New Roman" w:hAnsi="Times New Roman" w:cs="Times New Roman"/>
        </w:rPr>
        <w:t>With the rapid advancement of artificial intelligence technologies, high-quality English translation of Zhuang Medicine texts has become an essential prerequisite for the international dissemination of ethnic medical knowledge and culture. Using Practical Zhuang Medicine Techniques as the source corpus, this study constructed a test dataset comprising 240 Zhuang Medicine sentences and systematically evaluated the Chinese–English translation performance of five mainstream Large Language Models (LLMs)—ChatGPT-5.2, Claude Sonnet 4.5, Gemini 2.5 Pro, DeepSeek-V3.2, and ERNIE 5.0—using COMET (</w:t>
      </w:r>
      <w:proofErr w:type="spellStart"/>
      <w:r>
        <w:rPr>
          <w:rFonts w:ascii="Times New Roman" w:eastAsia="Times New Roman" w:hAnsi="Times New Roman" w:cs="Times New Roman"/>
        </w:rPr>
        <w:t>Crosslingual</w:t>
      </w:r>
      <w:proofErr w:type="spellEnd"/>
      <w:r>
        <w:rPr>
          <w:rFonts w:ascii="Times New Roman" w:eastAsia="Times New Roman" w:hAnsi="Times New Roman" w:cs="Times New Roman"/>
        </w:rPr>
        <w:t xml:space="preserve"> Optimized Metric for Evaluation of Translation). By integrating statistical analyses with representative case studies, this study further explored the mechanisms underlying translation quality differences among LLMs and proposed a Human–AI Collaborative Translation pathway tailored to the characteristics of Zhuang Medicine </w:t>
      </w:r>
      <w:proofErr w:type="spellStart"/>
      <w:proofErr w:type="gramStart"/>
      <w:r>
        <w:rPr>
          <w:rFonts w:ascii="Times New Roman" w:eastAsia="Times New Roman" w:hAnsi="Times New Roman" w:cs="Times New Roman"/>
        </w:rPr>
        <w:t>texts.Based</w:t>
      </w:r>
      <w:proofErr w:type="spellEnd"/>
      <w:proofErr w:type="gramEnd"/>
      <w:r>
        <w:rPr>
          <w:rFonts w:ascii="Times New Roman" w:eastAsia="Times New Roman" w:hAnsi="Times New Roman" w:cs="Times New Roman"/>
        </w:rPr>
        <w:t xml:space="preserve"> on the three research questions, the following conclusions can be drawn.</w:t>
      </w:r>
    </w:p>
    <w:p w14:paraId="7CE156FC" w14:textId="77777777" w:rsidR="00A549DA" w:rsidRDefault="00000000">
      <w:pPr>
        <w:widowControl/>
        <w:pBdr>
          <w:top w:val="none" w:sz="0" w:space="0" w:color="1F1F1F"/>
          <w:left w:val="none" w:sz="0" w:space="0" w:color="1F1F1F"/>
          <w:bottom w:val="none" w:sz="0" w:space="0" w:color="1F1F1F"/>
          <w:right w:val="none" w:sz="0" w:space="0" w:color="1F1F1F"/>
        </w:pBdr>
        <w:spacing w:after="120" w:line="276" w:lineRule="auto"/>
        <w:ind w:firstLineChars="200" w:firstLine="420"/>
        <w:rPr>
          <w:rFonts w:ascii="Times New Roman" w:hAnsi="Times New Roman" w:cs="Times New Roman"/>
        </w:rPr>
      </w:pPr>
      <w:r>
        <w:rPr>
          <w:rFonts w:ascii="Times New Roman" w:eastAsia="Times New Roman" w:hAnsi="Times New Roman" w:cs="Times New Roman"/>
        </w:rPr>
        <w:t>First, the translation performance of LLMs exhibits a pronounced dependence on text type. For general medical texts characterized by low cultural specificity, standardized medical terminology, and well-structured syntax, all five models were able to perform accurate semantic mapping and consistently produce high-quality translations. In contrast, when translating Zhuang Medicine texts containing high cultural specificity, dense domain-specific terminology, and complex theoretical concepts, all models demonstrated common limitations, including inconsistent terminology translation strategies, insufficient understanding of culture-specific concepts, and limited capability in organizing complex information, resulting in noticeably lower translation quality. These findings suggest that contemporary general-purpose LLMs have already demonstrated strong performance in the general medical content included in this study, whereas their limitations in translating ethnic medicine texts stem primarily from insufficient coverage of domain-specific knowledge, the lack of standardized terminology resources, and inadequate representation of culture-specific medical knowledge, rather than deficiencies in general language generation capability.</w:t>
      </w:r>
    </w:p>
    <w:p w14:paraId="6BD307BE" w14:textId="77777777" w:rsidR="00A549DA" w:rsidRDefault="00000000">
      <w:pPr>
        <w:widowControl/>
        <w:pBdr>
          <w:top w:val="none" w:sz="0" w:space="0" w:color="1F1F1F"/>
          <w:left w:val="none" w:sz="0" w:space="0" w:color="1F1F1F"/>
          <w:bottom w:val="none" w:sz="0" w:space="0" w:color="1F1F1F"/>
          <w:right w:val="none" w:sz="0" w:space="0" w:color="1F1F1F"/>
        </w:pBdr>
        <w:spacing w:after="120" w:line="276" w:lineRule="auto"/>
        <w:ind w:firstLineChars="200" w:firstLine="420"/>
        <w:rPr>
          <w:rFonts w:ascii="Times New Roman" w:hAnsi="Times New Roman" w:cs="Times New Roman"/>
        </w:rPr>
      </w:pPr>
      <w:r>
        <w:rPr>
          <w:rFonts w:ascii="Times New Roman" w:eastAsia="Times New Roman" w:hAnsi="Times New Roman" w:cs="Times New Roman"/>
        </w:rPr>
        <w:lastRenderedPageBreak/>
        <w:t xml:space="preserve">Second, statistically significant overall differences exist among the five LLMs, although their strengths appear to be complementary rather than mutually exclusive. The COMET evaluation showed that DeepSeek-V3.2 achieved the highest mean score (0.0249), followed closely by Claude Sonnet 4.5 (0.0218) and Gemini 2.5 Pro (0.0215). The Friedman Test demonstrated a statistically significant overall difference among the five models (p &lt; 0.05). The subsequent </w:t>
      </w:r>
      <w:proofErr w:type="spellStart"/>
      <w:r>
        <w:rPr>
          <w:rFonts w:ascii="Times New Roman" w:eastAsia="Times New Roman" w:hAnsi="Times New Roman" w:cs="Times New Roman"/>
        </w:rPr>
        <w:t>Nemenyi</w:t>
      </w:r>
      <w:proofErr w:type="spellEnd"/>
      <w:r>
        <w:rPr>
          <w:rFonts w:ascii="Times New Roman" w:eastAsia="Times New Roman" w:hAnsi="Times New Roman" w:cs="Times New Roman"/>
        </w:rPr>
        <w:t xml:space="preserve"> Post-hoc Test revealed statistically significant differences only between ERNIE 5.0 and DeepSeek-V3.2 (p = 0.0028) and between ERNIE 5.0 and Claude Sonnet 4.5 (p = 0.0409), whereas no statistically significant differences were observed among the remaining model pairs. The limited number of significant pairwise differences </w:t>
      </w:r>
      <w:proofErr w:type="gramStart"/>
      <w:r>
        <w:rPr>
          <w:rFonts w:ascii="Times New Roman" w:eastAsia="Times New Roman" w:hAnsi="Times New Roman" w:cs="Times New Roman"/>
        </w:rPr>
        <w:t>suggests</w:t>
      </w:r>
      <w:proofErr w:type="gramEnd"/>
      <w:r>
        <w:rPr>
          <w:rFonts w:ascii="Times New Roman" w:eastAsia="Times New Roman" w:hAnsi="Times New Roman" w:cs="Times New Roman"/>
        </w:rPr>
        <w:t xml:space="preserve"> that the evaluated LLMs exhibited relatively comparable performance on less culturally specific and more standardized portions of Zhuang Medicine translation, while more distinctive model behaviors emerged in domain-specific and culturally loaded cases. The heatmap analysis and representative case studies further </w:t>
      </w:r>
      <w:r>
        <w:rPr>
          <w:rFonts w:ascii="Times New Roman" w:eastAsia="Times New Roman" w:hAnsi="Times New Roman" w:cs="Times New Roman" w:hint="eastAsia"/>
        </w:rPr>
        <w:t xml:space="preserve">revealed </w:t>
      </w:r>
      <w:r>
        <w:rPr>
          <w:rFonts w:ascii="Times New Roman" w:eastAsia="Times New Roman" w:hAnsi="Times New Roman" w:cs="Times New Roman"/>
        </w:rPr>
        <w:t>that different models adopted distinct translation strategies when handling different types of Zhuang Medicine texts.</w:t>
      </w:r>
    </w:p>
    <w:p w14:paraId="19DCEA27" w14:textId="77777777" w:rsidR="00A549DA" w:rsidRDefault="00000000">
      <w:pPr>
        <w:widowControl/>
        <w:pBdr>
          <w:top w:val="none" w:sz="0" w:space="0" w:color="1F1F1F"/>
          <w:left w:val="none" w:sz="0" w:space="0" w:color="1F1F1F"/>
          <w:bottom w:val="none" w:sz="0" w:space="0" w:color="1F1F1F"/>
          <w:right w:val="none" w:sz="0" w:space="0" w:color="1F1F1F"/>
        </w:pBdr>
        <w:spacing w:after="120" w:line="276" w:lineRule="auto"/>
        <w:ind w:firstLineChars="200" w:firstLine="420"/>
        <w:rPr>
          <w:rFonts w:ascii="Times New Roman" w:hAnsi="Times New Roman" w:cs="Times New Roman"/>
        </w:rPr>
      </w:pPr>
      <w:r>
        <w:rPr>
          <w:rFonts w:ascii="Times New Roman" w:eastAsia="Times New Roman" w:hAnsi="Times New Roman" w:cs="Times New Roman"/>
        </w:rPr>
        <w:t>Third, based on both the quantitative and qualitative findings, this study proposes a three-tiered Human–AI Collaborative Translation framework consisting of resource construction, model adaptation, and human quality assurance. Specifically, high-quality bilingual parallel corpora and standardized terminology databases are developed to address the scarcity of domain-specific resources; Domain-specific Fine-tuning and knowledge enhancement are employed to improve model understanding of Zhuang Medicine theories; and systematic human post-editing together with quality calibration mechanisms are introduced to ensure translation quality, thereby establishing a closed-loop workflow of machine pre-translation–human post-editing–feedback optimization. This framework fully exploits the efficiency of LLMs while preserving the indispensable roles of human translators in professional judgment, cultural interpretation, and quality control, providing a practical paradigm for Human–AI Collaborative Translation of ethnic medicine texts.</w:t>
      </w:r>
    </w:p>
    <w:p w14:paraId="4B0FA3D2" w14:textId="77777777" w:rsidR="00A549DA" w:rsidRDefault="00000000">
      <w:pPr>
        <w:widowControl/>
        <w:pBdr>
          <w:top w:val="none" w:sz="0" w:space="0" w:color="1F1F1F"/>
          <w:left w:val="none" w:sz="0" w:space="0" w:color="1F1F1F"/>
          <w:bottom w:val="none" w:sz="0" w:space="0" w:color="1F1F1F"/>
          <w:right w:val="none" w:sz="0" w:space="0" w:color="1F1F1F"/>
        </w:pBdr>
        <w:spacing w:after="120" w:line="276" w:lineRule="auto"/>
        <w:ind w:firstLineChars="200" w:firstLine="420"/>
        <w:rPr>
          <w:rFonts w:ascii="Times New Roman" w:hAnsi="Times New Roman" w:cs="Times New Roman"/>
        </w:rPr>
      </w:pPr>
      <w:r>
        <w:rPr>
          <w:rFonts w:ascii="Times New Roman" w:eastAsia="Times New Roman" w:hAnsi="Times New Roman" w:cs="Times New Roman"/>
        </w:rPr>
        <w:t>Unlike previous studies that have primarily focused on English translation strategies for Zhuang Medicine terminology, the present study integrates COMET-based automatic evaluation, statistical hypothesis testing, and representative case analysis, extending the research perspective from model performance comparison to translation capability interpretation. More importantly, the study not only addresses which LLM achieves better translation quality, but also explains why translation quality differs across models and how the quality of Zhuang Medicine translation can be further improved. Building upon these findings, a Human–AI Collaborative Translation pathway specifically designed for Zhuang Medicine texts is proposed, offering new perspectives for machine translation quality assessment in ethnic medicine as well as a transferable theoretical framework for translation evaluation and intelligent language services in other low-resource specialized domains.</w:t>
      </w:r>
    </w:p>
    <w:p w14:paraId="320C9E55" w14:textId="77777777" w:rsidR="00A549DA" w:rsidRDefault="00000000">
      <w:pPr>
        <w:widowControl/>
        <w:pBdr>
          <w:top w:val="none" w:sz="0" w:space="0" w:color="1F1F1F"/>
          <w:left w:val="none" w:sz="0" w:space="0" w:color="1F1F1F"/>
          <w:bottom w:val="none" w:sz="0" w:space="0" w:color="1F1F1F"/>
          <w:right w:val="none" w:sz="0" w:space="0" w:color="1F1F1F"/>
        </w:pBdr>
        <w:spacing w:after="120" w:line="276" w:lineRule="auto"/>
        <w:ind w:firstLineChars="200" w:firstLine="420"/>
        <w:rPr>
          <w:rFonts w:ascii="Times New Roman" w:hAnsi="Times New Roman" w:cs="Times New Roman"/>
        </w:rPr>
      </w:pPr>
      <w:r>
        <w:rPr>
          <w:rFonts w:ascii="Times New Roman" w:eastAsia="Times New Roman" w:hAnsi="Times New Roman" w:cs="Times New Roman"/>
        </w:rPr>
        <w:t xml:space="preserve">More broadly, the findings indicate that the capability boundaries of LLMs in translating Zhuang Medicine texts are </w:t>
      </w:r>
      <w:r>
        <w:rPr>
          <w:rFonts w:ascii="Times New Roman" w:eastAsia="Times New Roman" w:hAnsi="Times New Roman" w:cs="Times New Roman" w:hint="eastAsia"/>
        </w:rPr>
        <w:t>influenced</w:t>
      </w:r>
      <w:r>
        <w:rPr>
          <w:rFonts w:ascii="Times New Roman" w:eastAsia="Times New Roman" w:hAnsi="Times New Roman" w:cs="Times New Roman"/>
        </w:rPr>
        <w:t xml:space="preserve"> less by model scale or general language competence than by the availability of domain-specific knowledge resources, standardized terminology systems, and structured representations of cultural knowledge. Consequently, further advances in intelligent translation for ethnic medicine should not rely solely on increasingly powerful language models. Instead, greater emphasis should be placed on constructing bilingual parallel corpora, standardized terminology databases, and structured domain </w:t>
      </w:r>
      <w:r>
        <w:rPr>
          <w:rFonts w:ascii="Times New Roman" w:eastAsia="Times New Roman" w:hAnsi="Times New Roman" w:cs="Times New Roman"/>
        </w:rPr>
        <w:lastRenderedPageBreak/>
        <w:t>knowledge bases to promote deeper integration between artificial intelligence and ethnic medical expertise. Such synergistic enhancement of model capability and domain knowledge will ultimately improve the accuracy, professionalism, and cultural appropriateness of translations involving ethnic medicine.</w:t>
      </w:r>
    </w:p>
    <w:p w14:paraId="29230410" w14:textId="77777777" w:rsidR="00A549DA" w:rsidRDefault="00000000">
      <w:pPr>
        <w:pStyle w:val="Heading2"/>
        <w:widowControl/>
        <w:spacing w:after="120" w:line="276" w:lineRule="auto"/>
        <w:rPr>
          <w:rFonts w:ascii="Trebuchet MS" w:eastAsia="Trebuchet MS" w:hAnsi="Trebuchet MS" w:cs="Trebuchet MS" w:hint="default"/>
          <w:snapToGrid w:val="0"/>
          <w:color w:val="000000"/>
          <w:spacing w:val="2"/>
          <w:sz w:val="22"/>
          <w:szCs w:val="22"/>
        </w:rPr>
      </w:pPr>
      <w:r>
        <w:rPr>
          <w:rFonts w:ascii="Times New Roman" w:eastAsia="Times New Roman" w:hAnsi="Times New Roman" w:cs="Trebuchet MS"/>
          <w:snapToGrid w:val="0"/>
          <w:color w:val="000000"/>
          <w:spacing w:val="2"/>
          <w:sz w:val="21"/>
          <w:szCs w:val="22"/>
        </w:rPr>
        <w:t xml:space="preserve">6 </w:t>
      </w:r>
      <w:r>
        <w:rPr>
          <w:rFonts w:ascii="Times New Roman" w:eastAsia="Times New Roman" w:hAnsi="Times New Roman" w:cs="Trebuchet MS" w:hint="default"/>
          <w:snapToGrid w:val="0"/>
          <w:color w:val="000000"/>
          <w:spacing w:val="2"/>
          <w:sz w:val="21"/>
          <w:szCs w:val="22"/>
        </w:rPr>
        <w:t xml:space="preserve">Limitations and Future </w:t>
      </w:r>
      <w:r>
        <w:rPr>
          <w:rFonts w:ascii="Times New Roman" w:eastAsia="Times New Roman" w:hAnsi="Times New Roman" w:cs="Trebuchet MS"/>
          <w:snapToGrid w:val="0"/>
          <w:color w:val="000000"/>
          <w:spacing w:val="2"/>
          <w:sz w:val="21"/>
          <w:szCs w:val="22"/>
        </w:rPr>
        <w:t>Research</w:t>
      </w:r>
    </w:p>
    <w:p w14:paraId="3F5FA3D8" w14:textId="77777777" w:rsidR="00A549DA" w:rsidRDefault="00000000">
      <w:pPr>
        <w:widowControl/>
        <w:pBdr>
          <w:top w:val="none" w:sz="0" w:space="0" w:color="1F1F1F"/>
          <w:left w:val="none" w:sz="0" w:space="0" w:color="1F1F1F"/>
          <w:bottom w:val="none" w:sz="0" w:space="0" w:color="1F1F1F"/>
          <w:right w:val="none" w:sz="0" w:space="0" w:color="1F1F1F"/>
        </w:pBdr>
        <w:spacing w:after="120" w:line="276" w:lineRule="auto"/>
        <w:ind w:firstLineChars="200" w:firstLine="420"/>
        <w:rPr>
          <w:rFonts w:ascii="Times New Roman" w:hAnsi="Times New Roman" w:cs="Times New Roman"/>
        </w:rPr>
      </w:pPr>
      <w:r>
        <w:rPr>
          <w:rFonts w:ascii="Times New Roman" w:eastAsia="Times New Roman" w:hAnsi="Times New Roman" w:cs="Times New Roman"/>
        </w:rPr>
        <w:t>Several limitations should be acknowledged. First, the evaluation corpus consisted of only 240 sentences. Although stratified sampling was adopted to ensure representative coverage across chapters, a larger and more diverse corpus would further improve the generalizability of the findings. Second, translation quality was evaluated primarily using COMET. Although COMET has demonstrated strong agreement with human judgments, future research should incorporate multidimensional evaluation frameworks such as Multidimensional Quality Metrics (MQM) together with manual error annotation to enable more fine-grained analyses of translation quality. Third, the proposed Human–AI Collaborative Translation framework remains conceptual, and its practical effectiveness requires further validation through post-editing experiments and user-centered evaluations. Furthermore, the present study focused exclusively on general-purpose LLMs and did not include comparisons with Domain-specific Fine-tuned models, open-source LLMs, or knowledge-enhanced translation models. Accordingly, the conclusions should be interpreted within the scope of the models investigated.</w:t>
      </w:r>
    </w:p>
    <w:p w14:paraId="531D5AA0" w14:textId="77777777" w:rsidR="00A549DA" w:rsidRDefault="00000000">
      <w:pPr>
        <w:widowControl/>
        <w:pBdr>
          <w:top w:val="none" w:sz="0" w:space="0" w:color="1F1F1F"/>
          <w:left w:val="none" w:sz="0" w:space="0" w:color="1F1F1F"/>
          <w:bottom w:val="none" w:sz="0" w:space="0" w:color="1F1F1F"/>
          <w:right w:val="none" w:sz="0" w:space="0" w:color="1F1F1F"/>
        </w:pBdr>
        <w:spacing w:after="120" w:line="276" w:lineRule="auto"/>
        <w:ind w:firstLineChars="200" w:firstLine="420"/>
        <w:rPr>
          <w:rFonts w:ascii="Times New Roman" w:hAnsi="Times New Roman" w:cs="Times New Roman"/>
        </w:rPr>
      </w:pPr>
      <w:r>
        <w:rPr>
          <w:rFonts w:ascii="Times New Roman" w:eastAsia="Times New Roman" w:hAnsi="Times New Roman" w:cs="Times New Roman"/>
        </w:rPr>
        <w:t>Future research should expand bilingual parallel corpora for Zhuang Medicine, establish standardized knowledge bases and terminology databases, and investigate the application of Knowledge-enhanced Translation, Retrieval-Augmented Generation (RAG), and Domain-specific Fine-tuning in translating Zhuang Medicine texts. Moreover, systematic validation of the proposed Human–AI Collaborative Translation framework should be conducted through MQM-based human evaluation, post-editing experiments, and user acceptance studies. More broadly, the present study not only provides language technology support for the international dissemination of Zhuang Medicine but also offers a transferable research framework for machine translation quality assessment, Human–AI Collaborative Translation, and intelligent language services in ethnic medicine and other low-resource specialized domains.</w:t>
      </w:r>
    </w:p>
    <w:p w14:paraId="282A9F11" w14:textId="77777777" w:rsidR="00A549DA" w:rsidRDefault="00A549DA">
      <w:pPr>
        <w:widowControl/>
        <w:pBdr>
          <w:top w:val="none" w:sz="0" w:space="0" w:color="1F1F1F"/>
          <w:left w:val="none" w:sz="0" w:space="0" w:color="1F1F1F"/>
          <w:bottom w:val="none" w:sz="0" w:space="0" w:color="1F1F1F"/>
          <w:right w:val="none" w:sz="0" w:space="0" w:color="1F1F1F"/>
        </w:pBdr>
        <w:spacing w:after="120" w:line="276" w:lineRule="auto"/>
        <w:rPr>
          <w:rFonts w:ascii="Times New Roman Regular" w:hAnsi="Times New Roman Regular" w:cs="Times New Roman Regular"/>
          <w:kern w:val="0"/>
          <w:sz w:val="24"/>
          <w:lang w:bidi="ar"/>
        </w:rPr>
      </w:pPr>
    </w:p>
    <w:p w14:paraId="06251B15" w14:textId="77777777" w:rsidR="00A549DA" w:rsidRDefault="00A549DA">
      <w:pPr>
        <w:widowControl/>
        <w:pBdr>
          <w:top w:val="none" w:sz="0" w:space="0" w:color="1F1F1F"/>
          <w:left w:val="none" w:sz="0" w:space="0" w:color="1F1F1F"/>
          <w:bottom w:val="none" w:sz="0" w:space="0" w:color="1F1F1F"/>
          <w:right w:val="none" w:sz="0" w:space="0" w:color="1F1F1F"/>
        </w:pBdr>
        <w:spacing w:after="120" w:line="276" w:lineRule="auto"/>
        <w:jc w:val="left"/>
        <w:rPr>
          <w:rFonts w:ascii="Times New Roman Regular" w:hAnsi="Times New Roman Regular" w:cs="Times New Roman Regular"/>
          <w:kern w:val="0"/>
          <w:sz w:val="24"/>
          <w:lang w:bidi="ar"/>
        </w:rPr>
      </w:pPr>
    </w:p>
    <w:p w14:paraId="3A34FD86" w14:textId="77777777" w:rsidR="004A4D5F" w:rsidRPr="000839CE" w:rsidRDefault="004A4D5F" w:rsidP="004A4D5F">
      <w:pPr>
        <w:rPr>
          <w:rFonts w:ascii="Times New Roman" w:hAnsi="Times New Roman" w:cs="Times New Roman"/>
          <w:b/>
        </w:rPr>
      </w:pPr>
      <w:r w:rsidRPr="000839CE">
        <w:rPr>
          <w:rFonts w:ascii="Times New Roman" w:hAnsi="Times New Roman" w:cs="Times New Roman"/>
          <w:b/>
        </w:rPr>
        <w:t>Declaration of AI Use</w:t>
      </w:r>
    </w:p>
    <w:p w14:paraId="1DEEC6F6" w14:textId="77777777" w:rsidR="004A4D5F" w:rsidRPr="000839CE" w:rsidRDefault="004A4D5F" w:rsidP="004A4D5F">
      <w:pPr>
        <w:rPr>
          <w:rFonts w:ascii="Times New Roman" w:hAnsi="Times New Roman" w:cs="Times New Roman"/>
        </w:rPr>
      </w:pPr>
    </w:p>
    <w:p w14:paraId="6C539791" w14:textId="77777777" w:rsidR="004A4D5F" w:rsidRPr="000839CE" w:rsidRDefault="004A4D5F" w:rsidP="004A4D5F">
      <w:pPr>
        <w:rPr>
          <w:rFonts w:ascii="Times New Roman" w:hAnsi="Times New Roman" w:cs="Times New Roman"/>
        </w:rPr>
      </w:pPr>
      <w:r w:rsidRPr="00C56790">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5DEA8B76" w14:textId="77777777" w:rsidR="004A4D5F" w:rsidRDefault="004A4D5F" w:rsidP="004A4D5F"/>
    <w:p w14:paraId="08C7ACE9" w14:textId="77777777" w:rsidR="00A549DA" w:rsidRDefault="00A549DA">
      <w:pPr>
        <w:widowControl/>
        <w:pBdr>
          <w:top w:val="none" w:sz="0" w:space="0" w:color="1F1F1F"/>
          <w:left w:val="none" w:sz="0" w:space="0" w:color="1F1F1F"/>
          <w:bottom w:val="none" w:sz="0" w:space="0" w:color="1F1F1F"/>
          <w:right w:val="none" w:sz="0" w:space="0" w:color="1F1F1F"/>
        </w:pBdr>
        <w:spacing w:after="120" w:line="276" w:lineRule="auto"/>
        <w:jc w:val="left"/>
        <w:rPr>
          <w:rFonts w:ascii="Times New Roman Regular" w:hAnsi="Times New Roman Regular" w:cs="Times New Roman Regular"/>
          <w:kern w:val="0"/>
          <w:sz w:val="24"/>
          <w:lang w:bidi="ar"/>
        </w:rPr>
      </w:pPr>
    </w:p>
    <w:p w14:paraId="6F412309" w14:textId="77777777" w:rsidR="00A549DA" w:rsidRDefault="00A549DA">
      <w:pPr>
        <w:widowControl/>
        <w:pBdr>
          <w:top w:val="none" w:sz="0" w:space="0" w:color="1F1F1F"/>
          <w:left w:val="none" w:sz="0" w:space="0" w:color="1F1F1F"/>
          <w:bottom w:val="none" w:sz="0" w:space="0" w:color="1F1F1F"/>
          <w:right w:val="none" w:sz="0" w:space="0" w:color="1F1F1F"/>
        </w:pBdr>
        <w:spacing w:after="120" w:line="276" w:lineRule="auto"/>
        <w:jc w:val="left"/>
        <w:rPr>
          <w:rFonts w:ascii="Times New Roman Regular" w:hAnsi="Times New Roman Regular" w:cs="Times New Roman Regular"/>
          <w:kern w:val="0"/>
          <w:sz w:val="24"/>
          <w:lang w:bidi="ar"/>
        </w:rPr>
      </w:pPr>
    </w:p>
    <w:p w14:paraId="30E9F98C" w14:textId="77777777" w:rsidR="00A549DA" w:rsidRDefault="00000000">
      <w:pPr>
        <w:spacing w:after="120" w:line="276" w:lineRule="auto"/>
        <w:rPr>
          <w:rFonts w:ascii="Trebuchet MS" w:eastAsia="Trebuchet MS" w:hAnsi="Trebuchet MS" w:cs="Trebuchet MS"/>
          <w:b/>
          <w:bCs/>
          <w:snapToGrid w:val="0"/>
          <w:color w:val="000000"/>
          <w:spacing w:val="2"/>
          <w:kern w:val="0"/>
          <w:sz w:val="22"/>
          <w:szCs w:val="22"/>
        </w:rPr>
      </w:pPr>
      <w:r>
        <w:rPr>
          <w:rFonts w:ascii="Times New Roman" w:eastAsia="Times New Roman" w:hAnsi="Times New Roman" w:cs="Trebuchet MS"/>
          <w:b/>
          <w:bCs/>
          <w:snapToGrid w:val="0"/>
          <w:color w:val="000000"/>
          <w:spacing w:val="2"/>
          <w:kern w:val="0"/>
          <w:szCs w:val="22"/>
        </w:rPr>
        <w:t>References</w:t>
      </w:r>
    </w:p>
    <w:p w14:paraId="1B172B48" w14:textId="77777777" w:rsidR="00A549DA" w:rsidRDefault="00000000">
      <w:pPr>
        <w:numPr>
          <w:ilvl w:val="0"/>
          <w:numId w:val="3"/>
        </w:numPr>
        <w:spacing w:after="120" w:line="276" w:lineRule="auto"/>
        <w:rPr>
          <w:rFonts w:ascii="Times New Roman" w:hAnsi="Times New Roman" w:cs="Times New Roman"/>
        </w:rPr>
      </w:pPr>
      <w:proofErr w:type="spellStart"/>
      <w:r>
        <w:rPr>
          <w:rFonts w:ascii="Times New Roman" w:eastAsia="Times New Roman" w:hAnsi="Times New Roman" w:cs="Times New Roman"/>
        </w:rPr>
        <w:t>Ogunseye</w:t>
      </w:r>
      <w:proofErr w:type="spellEnd"/>
      <w:r>
        <w:rPr>
          <w:rFonts w:ascii="Times New Roman" w:eastAsia="Times New Roman" w:hAnsi="Times New Roman" w:cs="Times New Roman"/>
        </w:rPr>
        <w:t xml:space="preserve"> E O, Oladejo E A, Olaleye I, Adeyemo A B. Towards domain-aware language models for low-resource healthcare: Fine-tuning LLMs and SLMs with parallel English–Yoruba maternal health data[J]. Journal of Computer Sciences and Applications, 2025, 13(2): 54-58.</w:t>
      </w:r>
    </w:p>
    <w:p w14:paraId="62E41E34" w14:textId="77777777" w:rsidR="00A549DA" w:rsidRDefault="00000000">
      <w:pPr>
        <w:numPr>
          <w:ilvl w:val="0"/>
          <w:numId w:val="3"/>
        </w:numPr>
        <w:spacing w:after="120" w:line="276" w:lineRule="auto"/>
        <w:rPr>
          <w:rFonts w:ascii="Times New Roman" w:hAnsi="Times New Roman" w:cs="Times New Roman"/>
        </w:rPr>
      </w:pPr>
      <w:r>
        <w:rPr>
          <w:rFonts w:ascii="Times New Roman" w:eastAsia="Times New Roman" w:hAnsi="Times New Roman" w:cs="Times New Roman"/>
        </w:rPr>
        <w:t xml:space="preserve">Salim M S, Fu L, Ramakrishnan A </w:t>
      </w:r>
      <w:proofErr w:type="spellStart"/>
      <w:r>
        <w:rPr>
          <w:rFonts w:ascii="Times New Roman" w:eastAsia="Times New Roman" w:hAnsi="Times New Roman" w:cs="Times New Roman"/>
        </w:rPr>
        <w:t>A</w:t>
      </w:r>
      <w:proofErr w:type="spellEnd"/>
      <w:r>
        <w:rPr>
          <w:rFonts w:ascii="Times New Roman" w:eastAsia="Times New Roman" w:hAnsi="Times New Roman" w:cs="Times New Roman"/>
        </w:rPr>
        <w:t xml:space="preserve">, Yao Z, Yu H. </w:t>
      </w:r>
      <w:proofErr w:type="spellStart"/>
      <w:r>
        <w:rPr>
          <w:rFonts w:ascii="Times New Roman" w:eastAsia="Times New Roman" w:hAnsi="Times New Roman" w:cs="Times New Roman"/>
        </w:rPr>
        <w:t>MedCOD</w:t>
      </w:r>
      <w:proofErr w:type="spellEnd"/>
      <w:r>
        <w:rPr>
          <w:rFonts w:ascii="Times New Roman" w:eastAsia="Times New Roman" w:hAnsi="Times New Roman" w:cs="Times New Roman"/>
        </w:rPr>
        <w:t>: Enhancing English-to-Spanish medical translation of large language models using enriched chain-of-dictionary framework[C]//Findings of the Association for Computational Linguistics: EMNLP 2025. 2025: 6579-6597.</w:t>
      </w:r>
    </w:p>
    <w:p w14:paraId="6467A1CE" w14:textId="77777777" w:rsidR="00A549DA" w:rsidRDefault="00000000">
      <w:pPr>
        <w:numPr>
          <w:ilvl w:val="0"/>
          <w:numId w:val="3"/>
        </w:numPr>
        <w:spacing w:after="120" w:line="276" w:lineRule="auto"/>
        <w:rPr>
          <w:rFonts w:ascii="Times New Roman" w:hAnsi="Times New Roman" w:cs="Times New Roman"/>
        </w:rPr>
      </w:pPr>
      <w:r>
        <w:rPr>
          <w:rFonts w:ascii="Times New Roman" w:eastAsia="Times New Roman" w:hAnsi="Times New Roman" w:cs="Times New Roman"/>
        </w:rPr>
        <w:t xml:space="preserve">Wasti S M, Hung S Y, Collins C, Lee E S A. </w:t>
      </w:r>
      <w:proofErr w:type="spellStart"/>
      <w:r>
        <w:rPr>
          <w:rFonts w:ascii="Times New Roman" w:eastAsia="Times New Roman" w:hAnsi="Times New Roman" w:cs="Times New Roman"/>
        </w:rPr>
        <w:t>TranslationCorrect</w:t>
      </w:r>
      <w:proofErr w:type="spellEnd"/>
      <w:r>
        <w:rPr>
          <w:rFonts w:ascii="Times New Roman" w:eastAsia="Times New Roman" w:hAnsi="Times New Roman" w:cs="Times New Roman"/>
        </w:rPr>
        <w:t>: A unified framework for machine translation post-editing with predictive error assistance[C]//Proceedings of the 63rd Annual Meeting of the Association for Computational Linguistics (Volume 3: System Demonstrations). Vienna: Association for Computational Linguistics, 2025: 551-562.</w:t>
      </w:r>
    </w:p>
    <w:p w14:paraId="76B751C5" w14:textId="77777777" w:rsidR="00A549DA" w:rsidRDefault="00000000">
      <w:pPr>
        <w:numPr>
          <w:ilvl w:val="0"/>
          <w:numId w:val="3"/>
        </w:numPr>
        <w:spacing w:after="120" w:line="276" w:lineRule="auto"/>
        <w:rPr>
          <w:rFonts w:ascii="Times New Roman" w:hAnsi="Times New Roman" w:cs="Times New Roman"/>
        </w:rPr>
      </w:pPr>
      <w:r>
        <w:rPr>
          <w:rFonts w:ascii="Times New Roman" w:eastAsia="Times New Roman" w:hAnsi="Times New Roman" w:cs="Times New Roman"/>
        </w:rPr>
        <w:t xml:space="preserve">Hendy, A., Abdelrehim, M., Sharaf, A., Raunak, V., Gabr, M., Matsushita, H., Kim, Y. J., Afify, M., &amp; Awadalla, H. H. (2023). How good are GPT models at machine translation? A comprehensive evaluation. </w:t>
      </w:r>
      <w:proofErr w:type="spellStart"/>
      <w:r>
        <w:rPr>
          <w:rFonts w:ascii="Times New Roman" w:eastAsia="Times New Roman" w:hAnsi="Times New Roman" w:cs="Times New Roman"/>
        </w:rPr>
        <w:t>arXiv</w:t>
      </w:r>
      <w:proofErr w:type="spellEnd"/>
      <w:r>
        <w:rPr>
          <w:rFonts w:ascii="Times New Roman" w:eastAsia="Times New Roman" w:hAnsi="Times New Roman" w:cs="Times New Roman"/>
        </w:rPr>
        <w:t xml:space="preserve">. </w:t>
      </w:r>
      <w:hyperlink r:id="rId9" w:tgtFrame="/Users/longtingting/Documents\x/_blank" w:history="1">
        <w:r w:rsidR="00A549DA">
          <w:rPr>
            <w:rFonts w:ascii="Times New Roman" w:eastAsia="Times New Roman" w:hAnsi="Times New Roman" w:cs="Times New Roman"/>
          </w:rPr>
          <w:t>https://doi.org/10.48550/arXiv.2302.09210</w:t>
        </w:r>
      </w:hyperlink>
    </w:p>
    <w:p w14:paraId="71C8EF05" w14:textId="77777777" w:rsidR="00A549DA" w:rsidRDefault="00000000">
      <w:pPr>
        <w:numPr>
          <w:ilvl w:val="0"/>
          <w:numId w:val="3"/>
        </w:numPr>
        <w:spacing w:after="120" w:line="276" w:lineRule="auto"/>
        <w:rPr>
          <w:rFonts w:ascii="Times New Roman" w:hAnsi="Times New Roman" w:cs="Times New Roman"/>
        </w:rPr>
      </w:pPr>
      <w:r>
        <w:rPr>
          <w:rFonts w:ascii="Times New Roman" w:eastAsia="Times New Roman" w:hAnsi="Times New Roman" w:cs="Times New Roman"/>
        </w:rPr>
        <w:t>Bawden R, Yvon F. Investigating the translation performance of a large multilingual language model: The case of BLOOM[EB/OL]. arXiv:2303.01911, 2023.</w:t>
      </w:r>
    </w:p>
    <w:p w14:paraId="448687C8" w14:textId="77777777" w:rsidR="00A549DA" w:rsidRDefault="00000000">
      <w:pPr>
        <w:numPr>
          <w:ilvl w:val="0"/>
          <w:numId w:val="3"/>
        </w:numPr>
        <w:spacing w:after="120" w:line="276" w:lineRule="auto"/>
        <w:rPr>
          <w:rFonts w:ascii="Times New Roman" w:hAnsi="Times New Roman" w:cs="Times New Roman"/>
        </w:rPr>
      </w:pPr>
      <w:r>
        <w:rPr>
          <w:rFonts w:ascii="Times New Roman" w:eastAsia="Times New Roman" w:hAnsi="Times New Roman" w:cs="Times New Roman"/>
        </w:rPr>
        <w:t xml:space="preserve">Rei R, Stewart C, Farinha A C, Lavie A. </w:t>
      </w:r>
      <w:proofErr w:type="spellStart"/>
      <w:r>
        <w:rPr>
          <w:rFonts w:ascii="Times New Roman" w:eastAsia="Times New Roman" w:hAnsi="Times New Roman" w:cs="Times New Roman"/>
        </w:rPr>
        <w:t>Unbabel's</w:t>
      </w:r>
      <w:proofErr w:type="spellEnd"/>
      <w:r>
        <w:rPr>
          <w:rFonts w:ascii="Times New Roman" w:eastAsia="Times New Roman" w:hAnsi="Times New Roman" w:cs="Times New Roman"/>
        </w:rPr>
        <w:t xml:space="preserve"> participation in the WMT20 metrics shared task[C]//Proceedings of the Fifth Conference on Machine Translation. Online: Association for Computational Linguistics, 2020: 911-920.</w:t>
      </w:r>
    </w:p>
    <w:p w14:paraId="7813CBF5" w14:textId="77777777" w:rsidR="00A549DA" w:rsidRDefault="00000000">
      <w:pPr>
        <w:numPr>
          <w:ilvl w:val="0"/>
          <w:numId w:val="3"/>
        </w:numPr>
        <w:spacing w:after="120" w:line="276" w:lineRule="auto"/>
        <w:rPr>
          <w:rFonts w:ascii="Times New Roman" w:hAnsi="Times New Roman" w:cs="Times New Roman"/>
        </w:rPr>
      </w:pPr>
      <w:proofErr w:type="spellStart"/>
      <w:r>
        <w:rPr>
          <w:rFonts w:ascii="Times New Roman" w:eastAsia="Times New Roman" w:hAnsi="Times New Roman" w:cs="Times New Roman"/>
        </w:rPr>
        <w:t>Ferrag</w:t>
      </w:r>
      <w:proofErr w:type="spellEnd"/>
      <w:r>
        <w:rPr>
          <w:rFonts w:ascii="Times New Roman" w:eastAsia="Times New Roman" w:hAnsi="Times New Roman" w:cs="Times New Roman"/>
        </w:rPr>
        <w:t xml:space="preserve"> F, </w:t>
      </w:r>
      <w:proofErr w:type="spellStart"/>
      <w:r>
        <w:rPr>
          <w:rFonts w:ascii="Times New Roman" w:eastAsia="Times New Roman" w:hAnsi="Times New Roman" w:cs="Times New Roman"/>
        </w:rPr>
        <w:t>Bentounsi</w:t>
      </w:r>
      <w:proofErr w:type="spellEnd"/>
      <w:r>
        <w:rPr>
          <w:rFonts w:ascii="Times New Roman" w:eastAsia="Times New Roman" w:hAnsi="Times New Roman" w:cs="Times New Roman"/>
        </w:rPr>
        <w:t xml:space="preserve"> I A. The use of artificial intelligence in academic translation tasks: Case study of Chat GPT, Claude and Gemini[J]. </w:t>
      </w:r>
      <w:proofErr w:type="spellStart"/>
      <w:r>
        <w:rPr>
          <w:rFonts w:ascii="Times New Roman" w:eastAsia="Times New Roman" w:hAnsi="Times New Roman" w:cs="Times New Roman"/>
        </w:rPr>
        <w:t>Ziglobitha</w:t>
      </w:r>
      <w:proofErr w:type="spellEnd"/>
      <w:r>
        <w:rPr>
          <w:rFonts w:ascii="Times New Roman" w:eastAsia="Times New Roman" w:hAnsi="Times New Roman" w:cs="Times New Roman"/>
        </w:rPr>
        <w:t>, 2024(2): 173-192.</w:t>
      </w:r>
    </w:p>
    <w:p w14:paraId="2A848113" w14:textId="77777777" w:rsidR="00A549DA" w:rsidRDefault="00000000">
      <w:pPr>
        <w:numPr>
          <w:ilvl w:val="0"/>
          <w:numId w:val="3"/>
        </w:numPr>
        <w:spacing w:after="120" w:line="276" w:lineRule="auto"/>
        <w:rPr>
          <w:rFonts w:ascii="Times New Roman" w:hAnsi="Times New Roman" w:cs="Times New Roman"/>
        </w:rPr>
      </w:pPr>
      <w:r>
        <w:rPr>
          <w:rFonts w:ascii="Times New Roman" w:eastAsia="Times New Roman" w:hAnsi="Times New Roman" w:cs="Times New Roman"/>
        </w:rPr>
        <w:t>Han L, Chen C. Machine translation quality evaluation: Historical development and new approaches[J]. Journal of Language Services Studies, 2025, 5(1): 53-71.</w:t>
      </w:r>
    </w:p>
    <w:p w14:paraId="38586E2D" w14:textId="77777777" w:rsidR="00A549DA" w:rsidRDefault="00000000">
      <w:pPr>
        <w:numPr>
          <w:ilvl w:val="0"/>
          <w:numId w:val="3"/>
        </w:numPr>
        <w:spacing w:after="120" w:line="276" w:lineRule="auto"/>
        <w:rPr>
          <w:rFonts w:ascii="Times New Roman" w:hAnsi="Times New Roman" w:cs="Times New Roman"/>
        </w:rPr>
      </w:pPr>
      <w:r>
        <w:rPr>
          <w:rFonts w:ascii="Times New Roman" w:eastAsia="Times New Roman" w:hAnsi="Times New Roman" w:cs="Times New Roman"/>
        </w:rPr>
        <w:t>Zheng Y, Liu Y. A review of research on machine translation quality[J]. English Square, 2025(23): 40-43.</w:t>
      </w:r>
    </w:p>
    <w:p w14:paraId="338777A2" w14:textId="77777777" w:rsidR="00A549DA" w:rsidRDefault="00000000">
      <w:pPr>
        <w:numPr>
          <w:ilvl w:val="0"/>
          <w:numId w:val="3"/>
        </w:numPr>
        <w:spacing w:after="120" w:line="276" w:lineRule="auto"/>
        <w:rPr>
          <w:rFonts w:ascii="Times New Roman" w:hAnsi="Times New Roman" w:cs="Times New Roman"/>
        </w:rPr>
      </w:pPr>
      <w:r>
        <w:rPr>
          <w:rFonts w:ascii="Times New Roman" w:eastAsia="Times New Roman" w:hAnsi="Times New Roman" w:cs="Times New Roman"/>
        </w:rPr>
        <w:t>Yang B, Leng B. Empirical analysis of machine translation error types in domain-specific texts based on MQM framework[J]. Journal of University of Shanghai for Science and Technology (Social Sciences Edition), 2025, 47(5): 432-438.</w:t>
      </w:r>
    </w:p>
    <w:p w14:paraId="6F056009" w14:textId="77777777" w:rsidR="00A549DA" w:rsidRDefault="00000000">
      <w:pPr>
        <w:numPr>
          <w:ilvl w:val="0"/>
          <w:numId w:val="3"/>
        </w:numPr>
        <w:spacing w:after="120" w:line="276" w:lineRule="auto"/>
        <w:rPr>
          <w:rFonts w:ascii="Times New Roman" w:hAnsi="Times New Roman" w:cs="Times New Roman"/>
        </w:rPr>
      </w:pPr>
      <w:r>
        <w:rPr>
          <w:rFonts w:ascii="Times New Roman" w:eastAsia="Times New Roman" w:hAnsi="Times New Roman" w:cs="Times New Roman"/>
        </w:rPr>
        <w:t>Jia Y, Sun S. A study on constructing the measurement system for machine translation post-editing effort[J]. Foreign Languages in China, 2022, 19(3): 16-24.</w:t>
      </w:r>
    </w:p>
    <w:p w14:paraId="3C421F79" w14:textId="77777777" w:rsidR="00A549DA" w:rsidRDefault="00000000">
      <w:pPr>
        <w:numPr>
          <w:ilvl w:val="0"/>
          <w:numId w:val="3"/>
        </w:numPr>
        <w:spacing w:after="120" w:line="276" w:lineRule="auto"/>
        <w:rPr>
          <w:rFonts w:ascii="Times New Roman" w:hAnsi="Times New Roman" w:cs="Times New Roman"/>
        </w:rPr>
      </w:pPr>
      <w:r>
        <w:rPr>
          <w:rFonts w:ascii="Times New Roman" w:eastAsia="Times New Roman" w:hAnsi="Times New Roman" w:cs="Times New Roman"/>
        </w:rPr>
        <w:t>Tian P. Introduction, review, and insights into the Multidimensional Quality Metrics (MQM) model[J]. East Journal of Translation, 2020(3): 23-30.</w:t>
      </w:r>
    </w:p>
    <w:p w14:paraId="4FBE3581" w14:textId="77777777" w:rsidR="00A549DA" w:rsidRDefault="00000000">
      <w:pPr>
        <w:numPr>
          <w:ilvl w:val="0"/>
          <w:numId w:val="3"/>
        </w:numPr>
        <w:spacing w:after="120" w:line="276" w:lineRule="auto"/>
        <w:rPr>
          <w:rFonts w:ascii="Times New Roman" w:hAnsi="Times New Roman" w:cs="Times New Roman"/>
        </w:rPr>
      </w:pPr>
      <w:r>
        <w:rPr>
          <w:rFonts w:ascii="Times New Roman" w:eastAsia="Times New Roman" w:hAnsi="Times New Roman" w:cs="Times New Roman"/>
        </w:rPr>
        <w:lastRenderedPageBreak/>
        <w:t>Tan Q, Xie J. Exploration of English translation methods for terminology in Zhuang Medicine acupuncture and moxibustion therapy[J]. English Square, 2025(13): 29-33.</w:t>
      </w:r>
    </w:p>
    <w:p w14:paraId="4F1779D1" w14:textId="77777777" w:rsidR="00A549DA" w:rsidRDefault="00000000">
      <w:pPr>
        <w:numPr>
          <w:ilvl w:val="0"/>
          <w:numId w:val="3"/>
        </w:numPr>
        <w:spacing w:after="120" w:line="276" w:lineRule="auto"/>
        <w:rPr>
          <w:rFonts w:ascii="Times New Roman" w:hAnsi="Times New Roman" w:cs="Times New Roman"/>
        </w:rPr>
      </w:pPr>
      <w:r>
        <w:rPr>
          <w:rFonts w:ascii="Times New Roman" w:eastAsia="Times New Roman" w:hAnsi="Times New Roman" w:cs="Times New Roman"/>
        </w:rPr>
        <w:t>Cen S, Wen J, Lin C, et al. Discussion on English translation of Zhuang Medicine moxibustion therapy[J]. Journal of Guangxi University of Chinese Medicine, 2017, 20(4): 70-71.</w:t>
      </w:r>
    </w:p>
    <w:p w14:paraId="52A92C9A" w14:textId="77777777" w:rsidR="00A549DA" w:rsidRDefault="00000000">
      <w:pPr>
        <w:numPr>
          <w:ilvl w:val="0"/>
          <w:numId w:val="3"/>
        </w:numPr>
        <w:spacing w:after="120" w:line="276" w:lineRule="auto"/>
        <w:rPr>
          <w:rFonts w:ascii="Times New Roman" w:hAnsi="Times New Roman" w:cs="Times New Roman"/>
        </w:rPr>
      </w:pPr>
      <w:r>
        <w:rPr>
          <w:rFonts w:ascii="Times New Roman" w:eastAsia="Times New Roman" w:hAnsi="Times New Roman" w:cs="Times New Roman"/>
        </w:rPr>
        <w:t>Meng J, Qin Z, Song N, et al. Exploration of English translation methods for acupoint names in Zhuang Medicine acupuncture[J]. Journal of Guangxi University of Chinese Medicine, 2016, 19(4): 111-113.</w:t>
      </w:r>
    </w:p>
    <w:p w14:paraId="3F20FC71" w14:textId="77777777" w:rsidR="00A549DA" w:rsidRDefault="00000000">
      <w:pPr>
        <w:numPr>
          <w:ilvl w:val="0"/>
          <w:numId w:val="3"/>
        </w:numPr>
        <w:spacing w:after="120" w:line="276" w:lineRule="auto"/>
        <w:rPr>
          <w:rFonts w:ascii="Times New Roman" w:hAnsi="Times New Roman" w:cs="Times New Roman"/>
        </w:rPr>
      </w:pPr>
      <w:r>
        <w:rPr>
          <w:rFonts w:ascii="Times New Roman" w:eastAsia="Times New Roman" w:hAnsi="Times New Roman" w:cs="Times New Roman"/>
        </w:rPr>
        <w:t>Meng J, Song N, Xie H. English translation strategies for Zhuang Medicine diagnostic terminology based on ISNTCM[J]. Chinese Journal of Basic Medicine in Traditional Chinese Medicine, 2017, 23(7): 1017-1019.</w:t>
      </w:r>
    </w:p>
    <w:p w14:paraId="6F81557D" w14:textId="77777777" w:rsidR="00A549DA" w:rsidRDefault="00000000">
      <w:pPr>
        <w:numPr>
          <w:ilvl w:val="0"/>
          <w:numId w:val="3"/>
        </w:numPr>
        <w:spacing w:after="120" w:line="276" w:lineRule="auto"/>
        <w:rPr>
          <w:rFonts w:ascii="Times New Roman" w:hAnsi="Times New Roman" w:cs="Times New Roman"/>
        </w:rPr>
      </w:pPr>
      <w:r>
        <w:rPr>
          <w:rFonts w:ascii="Times New Roman" w:eastAsia="Times New Roman" w:hAnsi="Times New Roman" w:cs="Times New Roman"/>
        </w:rPr>
        <w:t>Cen S, Wen J, Lin C, et al. Discussion on English translation of Zhuang Medicine needle technique terminology[J]. Guidance Journal of Traditional Chinese Medicine and Pharmacy, 2021, 27(1): 218-220.</w:t>
      </w:r>
    </w:p>
    <w:p w14:paraId="4FB97F77" w14:textId="77777777" w:rsidR="00A549DA" w:rsidRDefault="00000000">
      <w:pPr>
        <w:numPr>
          <w:ilvl w:val="0"/>
          <w:numId w:val="3"/>
        </w:numPr>
        <w:spacing w:after="120" w:line="276" w:lineRule="auto"/>
        <w:rPr>
          <w:rFonts w:ascii="Times New Roman" w:hAnsi="Times New Roman" w:cs="Times New Roman"/>
        </w:rPr>
      </w:pPr>
      <w:r>
        <w:rPr>
          <w:rFonts w:ascii="Times New Roman" w:eastAsia="Times New Roman" w:hAnsi="Times New Roman" w:cs="Times New Roman"/>
        </w:rPr>
        <w:t>Meng J, Song N, Zhou F, et al. Obstacles and strategies in English translation of Zhuang Medicine terminology[J]. Journal of Chinese Ethnic and Folk Medicine, 2018, 27(17): 11-13.</w:t>
      </w:r>
    </w:p>
    <w:p w14:paraId="1A5BD72B" w14:textId="77777777" w:rsidR="00A549DA" w:rsidRDefault="00000000">
      <w:pPr>
        <w:numPr>
          <w:ilvl w:val="0"/>
          <w:numId w:val="3"/>
        </w:numPr>
        <w:spacing w:after="120" w:line="276" w:lineRule="auto"/>
        <w:rPr>
          <w:rFonts w:ascii="Times New Roman" w:hAnsi="Times New Roman" w:cs="Times New Roman"/>
        </w:rPr>
      </w:pPr>
      <w:r>
        <w:rPr>
          <w:rFonts w:ascii="Times New Roman" w:eastAsia="Times New Roman" w:hAnsi="Times New Roman" w:cs="Times New Roman"/>
        </w:rPr>
        <w:t>Cen S, Wen J, Jiang J. Preliminary study on the standardization of English translation for Zhuang Medicine terminology[J]. Journal of Chinese Ethnic and Folk Medicine, 2016, 25(14): 4-6.</w:t>
      </w:r>
    </w:p>
    <w:p w14:paraId="505A456B" w14:textId="77777777" w:rsidR="00A549DA" w:rsidRDefault="00000000">
      <w:pPr>
        <w:numPr>
          <w:ilvl w:val="0"/>
          <w:numId w:val="3"/>
        </w:numPr>
        <w:spacing w:after="120" w:line="276" w:lineRule="auto"/>
        <w:rPr>
          <w:rFonts w:ascii="Times New Roman" w:hAnsi="Times New Roman" w:cs="Times New Roman"/>
        </w:rPr>
      </w:pPr>
      <w:r>
        <w:rPr>
          <w:rFonts w:ascii="Times New Roman" w:eastAsia="Times New Roman" w:hAnsi="Times New Roman" w:cs="Times New Roman"/>
        </w:rPr>
        <w:t>Meng J, Chen Y, Wei J. Research on Zhuang Medicine acupuncture terminology management based on computer-assisted translation technology[J]. Journal of Guangxi University of Chinese Medicine, 2021, 24(2): 140-142.</w:t>
      </w:r>
    </w:p>
    <w:p w14:paraId="3225E793" w14:textId="77777777" w:rsidR="00A549DA" w:rsidRDefault="00000000">
      <w:pPr>
        <w:numPr>
          <w:ilvl w:val="0"/>
          <w:numId w:val="3"/>
        </w:numPr>
        <w:spacing w:after="120" w:line="276" w:lineRule="auto"/>
        <w:rPr>
          <w:rFonts w:ascii="Times New Roman" w:hAnsi="Times New Roman" w:cs="Times New Roman"/>
        </w:rPr>
      </w:pPr>
      <w:r>
        <w:rPr>
          <w:rFonts w:ascii="Times New Roman" w:eastAsia="Times New Roman" w:hAnsi="Times New Roman" w:cs="Times New Roman"/>
        </w:rPr>
        <w:t>Pan P, Pan R, Xie H, et al. Research on English translation of Zhuang Medicine terminology from the perspective of vagueness strategy[J]. Asia-Pacific Traditional Medicine, 2022, 18(11): 189-193.</w:t>
      </w:r>
    </w:p>
    <w:p w14:paraId="7331B3BD" w14:textId="77777777" w:rsidR="00A549DA" w:rsidRDefault="00A549DA">
      <w:pPr>
        <w:spacing w:after="120" w:line="276" w:lineRule="auto"/>
        <w:ind w:firstLine="420"/>
        <w:rPr>
          <w:rFonts w:ascii="Times New Roman" w:hAnsi="Times New Roman" w:cs="Times New Roman"/>
        </w:rPr>
      </w:pPr>
    </w:p>
    <w:sectPr w:rsidR="00A549DA">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14DE5" w14:textId="77777777" w:rsidR="00997CF5" w:rsidRDefault="00997CF5">
      <w:r>
        <w:separator/>
      </w:r>
    </w:p>
  </w:endnote>
  <w:endnote w:type="continuationSeparator" w:id="0">
    <w:p w14:paraId="307B6DB8" w14:textId="77777777" w:rsidR="00997CF5" w:rsidRDefault="00997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Regular">
    <w:altName w:val="Times New Roman"/>
    <w:charset w:val="00"/>
    <w:family w:val="auto"/>
    <w:pitch w:val="default"/>
    <w:sig w:usb0="E0000AFF" w:usb1="00007843" w:usb2="00000001" w:usb3="00000000" w:csb0="400001BF" w:csb1="DFF70000"/>
  </w:font>
  <w:font w:name="Trebuchet MS">
    <w:panose1 w:val="020B0603020202020204"/>
    <w:charset w:val="00"/>
    <w:family w:val="swiss"/>
    <w:pitch w:val="variable"/>
    <w:sig w:usb0="00000687" w:usb1="00000000" w:usb2="00000000" w:usb3="00000000" w:csb0="0000009F" w:csb1="00000000"/>
  </w:font>
  <w:font w:name="Times New Roman Bold">
    <w:panose1 w:val="02020803070505020304"/>
    <w:charset w:val="00"/>
    <w:family w:val="auto"/>
    <w:pitch w:val="default"/>
    <w:sig w:usb0="E0000AFF" w:usb1="00007843" w:usb2="00000001" w:usb3="00000000" w:csb0="400001BF" w:csb1="DFF70000"/>
  </w:font>
  <w:font w:name="Helvetica Neue">
    <w:altName w:val="SimSun"/>
    <w:charset w:val="00"/>
    <w:family w:val="auto"/>
    <w:pitch w:val="default"/>
    <w:sig w:usb0="E50002FF" w:usb1="500079DB" w:usb2="00000010" w:usb3="00000000" w:csb0="0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2C613" w14:textId="77777777" w:rsidR="003B5AAB" w:rsidRDefault="003B5A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A576" w14:textId="77777777" w:rsidR="00A549DA" w:rsidRDefault="00000000">
    <w:pPr>
      <w:pStyle w:val="Footer"/>
    </w:pPr>
    <w:r>
      <w:rPr>
        <w:noProof/>
      </w:rPr>
      <mc:AlternateContent>
        <mc:Choice Requires="wps">
          <w:drawing>
            <wp:anchor distT="0" distB="0" distL="114300" distR="114300" simplePos="0" relativeHeight="251659264" behindDoc="0" locked="0" layoutInCell="1" allowOverlap="1" wp14:anchorId="44184D4C" wp14:editId="735A34B9">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A58E6C" w14:textId="77777777" w:rsidR="00A549DA" w:rsidRDefault="00000000">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4184D4C"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66A58E6C" w14:textId="77777777" w:rsidR="00A549DA" w:rsidRDefault="00000000">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5A03B" w14:textId="77777777" w:rsidR="003B5AAB" w:rsidRDefault="003B5A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7840F" w14:textId="77777777" w:rsidR="00997CF5" w:rsidRDefault="00997CF5">
      <w:r>
        <w:separator/>
      </w:r>
    </w:p>
  </w:footnote>
  <w:footnote w:type="continuationSeparator" w:id="0">
    <w:p w14:paraId="0A4BF34B" w14:textId="77777777" w:rsidR="00997CF5" w:rsidRDefault="00997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1668A" w14:textId="07794329" w:rsidR="003B5AAB" w:rsidRDefault="003B5AAB">
    <w:pPr>
      <w:pStyle w:val="Header"/>
    </w:pPr>
    <w:r>
      <w:rPr>
        <w:noProof/>
      </w:rPr>
      <w:pict w14:anchorId="3BC81F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718016" o:spid="_x0000_s1026" type="#_x0000_t136" style="position:absolute;left:0;text-align:left;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F3191" w14:textId="12CC5E7D" w:rsidR="003B5AAB" w:rsidRDefault="003B5AAB">
    <w:pPr>
      <w:pStyle w:val="Header"/>
    </w:pPr>
    <w:r>
      <w:rPr>
        <w:noProof/>
      </w:rPr>
      <w:pict w14:anchorId="7E07F8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718017" o:spid="_x0000_s1027" type="#_x0000_t136" style="position:absolute;left:0;text-align:left;margin-left:0;margin-top:0;width:535.8pt;height:100.45pt;rotation:315;z-index:-251651072;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35D23" w14:textId="2D291669" w:rsidR="003B5AAB" w:rsidRDefault="003B5AAB">
    <w:pPr>
      <w:pStyle w:val="Header"/>
    </w:pPr>
    <w:r>
      <w:rPr>
        <w:noProof/>
      </w:rPr>
      <w:pict w14:anchorId="204FB6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718015" o:spid="_x0000_s1025" type="#_x0000_t136" style="position:absolute;left:0;text-align:left;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F8E8159"/>
    <w:multiLevelType w:val="singleLevel"/>
    <w:tmpl w:val="DF8E8159"/>
    <w:lvl w:ilvl="0">
      <w:start w:val="1"/>
      <w:numFmt w:val="decimal"/>
      <w:lvlText w:val="[%1]"/>
      <w:lvlJc w:val="left"/>
      <w:pPr>
        <w:tabs>
          <w:tab w:val="left" w:pos="420"/>
        </w:tabs>
        <w:ind w:left="425" w:hanging="425"/>
      </w:pPr>
      <w:rPr>
        <w:rFonts w:hint="default"/>
      </w:rPr>
    </w:lvl>
  </w:abstractNum>
  <w:abstractNum w:abstractNumId="1" w15:restartNumberingAfterBreak="0">
    <w:nsid w:val="FFD7BD94"/>
    <w:multiLevelType w:val="singleLevel"/>
    <w:tmpl w:val="FFD7BD94"/>
    <w:lvl w:ilvl="0">
      <w:start w:val="1"/>
      <w:numFmt w:val="decimal"/>
      <w:suff w:val="space"/>
      <w:lvlText w:val="%1."/>
      <w:lvlJc w:val="left"/>
    </w:lvl>
  </w:abstractNum>
  <w:abstractNum w:abstractNumId="2" w15:restartNumberingAfterBreak="0">
    <w:nsid w:val="76DCE320"/>
    <w:multiLevelType w:val="singleLevel"/>
    <w:tmpl w:val="76DCE320"/>
    <w:lvl w:ilvl="0">
      <w:start w:val="1"/>
      <w:numFmt w:val="decimal"/>
      <w:suff w:val="space"/>
      <w:lvlText w:val="%1."/>
      <w:lvlJc w:val="left"/>
    </w:lvl>
  </w:abstractNum>
  <w:num w:numId="1" w16cid:durableId="1253658952">
    <w:abstractNumId w:val="2"/>
  </w:num>
  <w:num w:numId="2" w16cid:durableId="108552359">
    <w:abstractNumId w:val="1"/>
  </w:num>
  <w:num w:numId="3" w16cid:durableId="81875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defaultTabStop w:val="420"/>
  <w:drawingGridVerticalSpacing w:val="156"/>
  <w:noPunctuationKerning/>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5FF9921"/>
    <w:rsid w:val="001F522D"/>
    <w:rsid w:val="003B5AAB"/>
    <w:rsid w:val="004A4D5F"/>
    <w:rsid w:val="005F37A2"/>
    <w:rsid w:val="00656103"/>
    <w:rsid w:val="0074770F"/>
    <w:rsid w:val="007721D0"/>
    <w:rsid w:val="00997CF5"/>
    <w:rsid w:val="00A549DA"/>
    <w:rsid w:val="00B32B01"/>
    <w:rsid w:val="1FFE8C8B"/>
    <w:rsid w:val="371BA54C"/>
    <w:rsid w:val="56FED547"/>
    <w:rsid w:val="57FEC169"/>
    <w:rsid w:val="5DEF0627"/>
    <w:rsid w:val="5EFBC000"/>
    <w:rsid w:val="5FFF6774"/>
    <w:rsid w:val="65E7FDEA"/>
    <w:rsid w:val="6BEC8F0A"/>
    <w:rsid w:val="6DCB0594"/>
    <w:rsid w:val="6EDCF359"/>
    <w:rsid w:val="6EFFD38B"/>
    <w:rsid w:val="711E7B32"/>
    <w:rsid w:val="75FF9921"/>
    <w:rsid w:val="7B7398E2"/>
    <w:rsid w:val="7BE802B4"/>
    <w:rsid w:val="7D77344F"/>
    <w:rsid w:val="7DF9EBE6"/>
    <w:rsid w:val="7FFF467B"/>
    <w:rsid w:val="AEFD7C83"/>
    <w:rsid w:val="AFFFBEDD"/>
    <w:rsid w:val="BBAF0828"/>
    <w:rsid w:val="BBFF987B"/>
    <w:rsid w:val="BFBBAC2C"/>
    <w:rsid w:val="BFEB6EFD"/>
    <w:rsid w:val="BFFF2238"/>
    <w:rsid w:val="C7FB1871"/>
    <w:rsid w:val="CFFE39AA"/>
    <w:rsid w:val="D6F54D3B"/>
    <w:rsid w:val="DFE71692"/>
    <w:rsid w:val="E7FF8D82"/>
    <w:rsid w:val="EF7EA150"/>
    <w:rsid w:val="F5BA8380"/>
    <w:rsid w:val="F6EFE3CE"/>
    <w:rsid w:val="F7AE2C5A"/>
    <w:rsid w:val="F7BF2094"/>
    <w:rsid w:val="FB4DEE3D"/>
    <w:rsid w:val="FDCD85EA"/>
    <w:rsid w:val="FDFBBF47"/>
    <w:rsid w:val="FEFB291B"/>
    <w:rsid w:val="FEFDD728"/>
    <w:rsid w:val="FF679E9B"/>
    <w:rsid w:val="FF6F3484"/>
    <w:rsid w:val="FF7F9698"/>
    <w:rsid w:val="FFB65CF5"/>
    <w:rsid w:val="FFEECBBC"/>
    <w:rsid w:val="FFF50ECA"/>
    <w:rsid w:val="FFFB27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28DE91"/>
  <w15:docId w15:val="{B66AC7DD-2CCB-415F-8133-496A90773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rPr>
  </w:style>
  <w:style w:type="paragraph" w:styleId="Heading1">
    <w:name w:val="heading 1"/>
    <w:basedOn w:val="Normal"/>
    <w:next w:val="Normal"/>
    <w:qFormat/>
    <w:pPr>
      <w:spacing w:beforeAutospacing="1" w:afterAutospacing="1"/>
      <w:jc w:val="left"/>
      <w:outlineLvl w:val="0"/>
    </w:pPr>
    <w:rPr>
      <w:rFonts w:ascii="SimSun" w:eastAsia="SimSun" w:hAnsi="SimSun" w:cs="Times New Roman" w:hint="eastAsia"/>
      <w:b/>
      <w:bCs/>
      <w:kern w:val="44"/>
      <w:sz w:val="48"/>
      <w:szCs w:val="48"/>
    </w:rPr>
  </w:style>
  <w:style w:type="paragraph" w:styleId="Heading2">
    <w:name w:val="heading 2"/>
    <w:basedOn w:val="Normal"/>
    <w:next w:val="Normal"/>
    <w:semiHidden/>
    <w:unhideWhenUsed/>
    <w:qFormat/>
    <w:pPr>
      <w:spacing w:beforeAutospacing="1" w:afterAutospacing="1"/>
      <w:jc w:val="left"/>
      <w:outlineLvl w:val="1"/>
    </w:pPr>
    <w:rPr>
      <w:rFonts w:ascii="SimSun" w:eastAsia="SimSun" w:hAnsi="SimSun" w:cs="Times New Roman" w:hint="eastAsia"/>
      <w:b/>
      <w:bCs/>
      <w:kern w:val="0"/>
      <w:sz w:val="36"/>
      <w:szCs w:val="36"/>
    </w:rPr>
  </w:style>
  <w:style w:type="paragraph" w:styleId="Heading3">
    <w:name w:val="heading 3"/>
    <w:basedOn w:val="Normal"/>
    <w:next w:val="Normal"/>
    <w:semiHidden/>
    <w:unhideWhenUsed/>
    <w:qFormat/>
    <w:pPr>
      <w:spacing w:beforeAutospacing="1" w:afterAutospacing="1"/>
      <w:jc w:val="left"/>
      <w:outlineLvl w:val="2"/>
    </w:pPr>
    <w:rPr>
      <w:rFonts w:ascii="SimSun" w:eastAsia="SimSun" w:hAnsi="SimSun" w:cs="Times New Roman" w:hint="eastAsia"/>
      <w:b/>
      <w:bCs/>
      <w:kern w:val="0"/>
      <w:sz w:val="27"/>
      <w:szCs w:val="27"/>
    </w:rPr>
  </w:style>
  <w:style w:type="paragraph" w:styleId="Heading4">
    <w:name w:val="heading 4"/>
    <w:basedOn w:val="Normal"/>
    <w:next w:val="Normal"/>
    <w:semiHidden/>
    <w:unhideWhenUsed/>
    <w:qFormat/>
    <w:pPr>
      <w:spacing w:beforeAutospacing="1" w:afterAutospacing="1"/>
      <w:jc w:val="left"/>
      <w:outlineLvl w:val="3"/>
    </w:pPr>
    <w:rPr>
      <w:rFonts w:ascii="SimSun" w:eastAsia="SimSun" w:hAnsi="SimSun" w:cs="Times New Roman" w:hint="eastAsia"/>
      <w:b/>
      <w:bCs/>
      <w:kern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NormalWeb">
    <w:name w:val="Normal (Web)"/>
    <w:basedOn w:val="Normal"/>
    <w:pPr>
      <w:spacing w:beforeAutospacing="1" w:afterAutospacing="1"/>
      <w:jc w:val="left"/>
    </w:pPr>
    <w:rPr>
      <w:rFonts w:cs="Times New Roman"/>
      <w:kern w:val="0"/>
      <w:sz w:val="24"/>
    </w:r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 w:type="character" w:styleId="Emphasis">
    <w:name w:val="Emphasis"/>
    <w:basedOn w:val="DefaultParagraphFont"/>
    <w:qFormat/>
    <w:rPr>
      <w:i/>
    </w:rPr>
  </w:style>
  <w:style w:type="character" w:styleId="Hyperlink">
    <w:name w:val="Hyperlink"/>
    <w:basedOn w:val="DefaultParagraphFont"/>
    <w:rPr>
      <w:color w:val="0000FF"/>
      <w:u w:val="single"/>
    </w:rPr>
  </w:style>
  <w:style w:type="character" w:styleId="UnresolvedMention">
    <w:name w:val="Unresolved Mention"/>
    <w:basedOn w:val="DefaultParagraphFont"/>
    <w:uiPriority w:val="99"/>
    <w:semiHidden/>
    <w:unhideWhenUsed/>
    <w:rsid w:val="00B32B01"/>
    <w:rPr>
      <w:color w:val="605E5C"/>
      <w:shd w:val="clear" w:color="auto" w:fill="E1DFDD"/>
    </w:rPr>
  </w:style>
  <w:style w:type="paragraph" w:customStyle="1" w:styleId="Author">
    <w:name w:val="Author"/>
    <w:basedOn w:val="Normal"/>
    <w:rsid w:val="004A4D5F"/>
    <w:pPr>
      <w:widowControl/>
      <w:spacing w:line="280" w:lineRule="exact"/>
      <w:jc w:val="right"/>
    </w:pPr>
    <w:rPr>
      <w:rFonts w:ascii="Helvetica" w:eastAsia="Times New Roman" w:hAnsi="Helvetica" w:cs="Times New Roman"/>
      <w:b/>
      <w:kern w:val="0"/>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48550/arXiv.2302.09210" TargetMode="External"/><Relationship Id="rId14" Type="http://schemas.openxmlformats.org/officeDocument/2006/relationships/header" Target="header3.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21</Pages>
  <Words>8754</Words>
  <Characters>49900</Characters>
  <Application>Microsoft Office Word</Application>
  <DocSecurity>0</DocSecurity>
  <Lines>415</Lines>
  <Paragraphs>117</Paragraphs>
  <ScaleCrop>false</ScaleCrop>
  <Company/>
  <LinksUpToDate>false</LinksUpToDate>
  <CharactersWithSpaces>58537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Verity</dc:creator>
  <cp:lastModifiedBy>SDI 1084</cp:lastModifiedBy>
  <cp:revision>5</cp:revision>
  <dcterms:created xsi:type="dcterms:W3CDTF">2026-08-16T00:38:00Z</dcterms:created>
  <dcterms:modified xsi:type="dcterms:W3CDTF">2026-08-14T10:00:00Z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C70042AC7265F33434E37D6A278B34CE_43</vt:lpwstr>
  </property>
</Properties>
</file>