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FF272" w14:textId="77777777" w:rsidR="00716A15" w:rsidRPr="00716A15" w:rsidRDefault="00716A15" w:rsidP="00716A15">
      <w:pPr>
        <w:spacing w:after="240" w:line="360" w:lineRule="auto"/>
        <w:jc w:val="center"/>
        <w:rPr>
          <w:b/>
          <w:bCs/>
          <w:i/>
          <w:iCs/>
          <w:sz w:val="32"/>
          <w:u w:val="single"/>
        </w:rPr>
      </w:pPr>
      <w:r w:rsidRPr="00716A15">
        <w:rPr>
          <w:b/>
          <w:bCs/>
          <w:i/>
          <w:iCs/>
          <w:sz w:val="32"/>
          <w:u w:val="single"/>
        </w:rPr>
        <w:t>Review Article</w:t>
      </w:r>
    </w:p>
    <w:p w14:paraId="38982670" w14:textId="77777777" w:rsidR="00AD0875" w:rsidRDefault="00000000">
      <w:pPr>
        <w:spacing w:after="240" w:line="360" w:lineRule="auto"/>
        <w:jc w:val="center"/>
        <w:rPr>
          <w:b/>
          <w:sz w:val="32"/>
        </w:rPr>
      </w:pPr>
      <w:r>
        <w:rPr>
          <w:b/>
          <w:sz w:val="32"/>
        </w:rPr>
        <w:t>Nanotechnology-mediated drug delivery through tunnelling nanotubes: a critical appraisal of transport mechanisms, evidential strength and translational constraints</w:t>
      </w:r>
    </w:p>
    <w:p w14:paraId="2CE456EB" w14:textId="77777777" w:rsidR="00923D0D" w:rsidRDefault="00923D0D">
      <w:pPr>
        <w:spacing w:after="240" w:line="360" w:lineRule="auto"/>
        <w:jc w:val="center"/>
      </w:pPr>
    </w:p>
    <w:p w14:paraId="40076EF4" w14:textId="77777777" w:rsidR="00AD0875" w:rsidRDefault="00000000">
      <w:pPr>
        <w:spacing w:before="240" w:after="120" w:line="360" w:lineRule="auto"/>
      </w:pPr>
      <w:r>
        <w:rPr>
          <w:b/>
          <w:color w:val="000000"/>
          <w:sz w:val="28"/>
        </w:rPr>
        <w:t>Abstract</w:t>
      </w:r>
    </w:p>
    <w:p w14:paraId="78385F6D" w14:textId="77777777" w:rsidR="00AD0875" w:rsidRDefault="00000000">
      <w:pPr>
        <w:ind w:firstLine="720"/>
        <w:jc w:val="both"/>
      </w:pPr>
      <w:r>
        <w:t xml:space="preserve">Tunnelling nanotubes are thin, actin-supported membranous bridges that connect the cytoplasm of distant cells and carry vesicles, organelles, proteins and nucleic acids between them. Over the past two decades these structures have moved from a cell-biological curiosity to a candidate transport route for engineered nanocarriers, offering a conceptually distinct solution to the long-standing problem of poor penetration of therapeutics into dense, poorly vascularised tissue. This review examines critically whether the accumulated evidence supports the proposition that nanotube networks can be used deliberately and reliably as a drug-delivery pathway. Literature was identified through structured searching of biomedical and multidisciplinary scholarly sources, supplemented by backward and forward citation tracking, and appraised for methodological adequacy, attribution rigour and translational relevance rather than summarised study by study. Four findings dominate the synthesis. Transfer of diverse nanomaterials between cells along nanotube-like connections has been reported consistently across inorganic, carbon-based, lipid and polymeric carriers and across many cell types, yet the majority of observations rest on two-dimensional culture, short observation windows and morphological criteria that do not by themselves establish cytoplasmic continuity. Particle geometry, deformability and surface chemistry appear to govern transfer efficiency more strongly </w:t>
      </w:r>
      <w:r>
        <w:lastRenderedPageBreak/>
        <w:t>than particle size alone, although systematic comparative studies remain few. The same conduits that could distribute therapeutics also distribute resistance determinants, including functional mitochondria, efflux transporters and drug molecules themselves, which generates an unresolved contradiction between strategies seeking to suppress nanotube formation and strategies seeking to exploit it. Demonstration of nanotube-dependent delivery in living organisms remains sparse, and no quantitative framework exists for describing dose delivered through this route. The field currently supports mechanistic plausibility and proof of concept, but not claims of demonstrated therapeutic advantage. Priorities include standardised attribution criteria, quantitative in vivo imaging, context-specific rather than global modulation of nanotube formation, and explicit evaluation of the risk that engineered nanocarriers themselves induce the conduits they exploit.</w:t>
      </w:r>
    </w:p>
    <w:p w14:paraId="25B1E22B" w14:textId="77777777" w:rsidR="00AD0875" w:rsidRDefault="00000000">
      <w:pPr>
        <w:spacing w:before="240" w:after="120" w:line="360" w:lineRule="auto"/>
      </w:pPr>
      <w:r>
        <w:rPr>
          <w:b/>
          <w:color w:val="000000"/>
          <w:sz w:val="28"/>
        </w:rPr>
        <w:t>Keywords</w:t>
      </w:r>
    </w:p>
    <w:p w14:paraId="343E51FB" w14:textId="77777777" w:rsidR="00AD0875" w:rsidRDefault="00000000">
      <w:pPr>
        <w:ind w:firstLine="720"/>
        <w:jc w:val="both"/>
      </w:pPr>
      <w:r>
        <w:t>Tunnelling nanotubes; intercellular transport; nanoparticle drug delivery; tumour microenvironment; chemoresistance; mitochondrial transfer; translational nanomedicine</w:t>
      </w:r>
    </w:p>
    <w:p w14:paraId="55DBD32A" w14:textId="77777777" w:rsidR="00AD0875" w:rsidRDefault="00000000">
      <w:pPr>
        <w:spacing w:before="240" w:after="120" w:line="360" w:lineRule="auto"/>
      </w:pPr>
      <w:r>
        <w:rPr>
          <w:b/>
          <w:color w:val="000000"/>
          <w:sz w:val="28"/>
        </w:rPr>
        <w:t>1. Introduction</w:t>
      </w:r>
    </w:p>
    <w:p w14:paraId="6D40C8F3" w14:textId="77777777" w:rsidR="00AD0875" w:rsidRDefault="00000000">
      <w:pPr>
        <w:ind w:firstLine="720"/>
        <w:jc w:val="both"/>
      </w:pPr>
      <w:r>
        <w:t xml:space="preserve">The delivery of therapeutic agents to their intended cellular targets remains constrained less by the design of the agents themselves than by the architecture of the tissues through which they must travel. Dense extracellular matrix, elevated interstitial fluid pressure, irregular and leaky vasculature, and the existence of cell populations located many cell diameters from the nearest perfused capillary all limit the fraction of an administered dose that reaches cells capable of responding to it. Nanoparticulate carriers were developed in large part to address this problem, yet most of the strategies built upon them operate in the extracellular compartment, seeking to improve circulation time, extravasation or receptor-mediated uptake. The intracellular and </w:t>
      </w:r>
      <w:r>
        <w:lastRenderedPageBreak/>
        <w:t>transcellular routes by which material already inside one cell may reach another have received far less systematic attention as engineering targets (Du et al., 2026; Wang et al., 2023).</w:t>
      </w:r>
    </w:p>
    <w:p w14:paraId="6969F22F" w14:textId="77777777" w:rsidR="00AD0875" w:rsidRDefault="00000000">
      <w:pPr>
        <w:ind w:firstLine="720"/>
        <w:jc w:val="both"/>
      </w:pPr>
      <w:r>
        <w:t>Tunnelling nanotubes occupy precisely this neglected space. First described as nanotubular highways permitting the selective transfer of membrane vesicles and organelles between cultured rat pheochromocytoma cells while apparently impeding the passage of small molecules, these structures were proposed from the outset as a biological principle of cell-to-cell interaction founded on membrane continuity rather than on diffusion or receptor engagement (Rustom et al., 2004). An almost contemporaneous report described membrane nanotubes connecting immune cells and permitting surface molecules and vesicles to traverse them (Önfelt et al., 2004). The intervening two decades have produced a substantial cell-biological literature establishing that such connections form between many cell types, that they contain filamentous actin and in some instances microtubules, that their formation is regulated by identifiable molecular machinery, and that they convey cargo ranging from ions and signalling proteins to whole mitochondria and lysosomes (Belian &amp; Zurzolo, 2026; Cordero Cervantes &amp; Zurzolo, 2021; Dong et al., 2026; Zurzolo, 2021). Early surveys of the emerging physiological and pathological roles of these connections anticipated both their homeostatic functions and their exploitation in disease (Sisakhtnezhad &amp; Khosravi, 2015).</w:t>
      </w:r>
    </w:p>
    <w:p w14:paraId="207CE219" w14:textId="77777777" w:rsidR="00AD0875" w:rsidRDefault="00000000">
      <w:pPr>
        <w:ind w:firstLine="720"/>
        <w:jc w:val="both"/>
      </w:pPr>
      <w:r>
        <w:t xml:space="preserve">Within pharmaceutical science the appeal is straightforward. A conduit that physically bridges the cytoplasm of adjacent and non-adjacent cells would in principle allow a drug or carrier delivered to a small number of accessible cells to be redistributed actively through a tissue, bypassing the extracellular barriers that defeat conventional diffusion. Reports of nanoparticle movement along such connections began to appear within a few years of the original description of the structures, initially as incidental observations in studies designed to track intracellular fate (Ferrati et al., 2012; Kristl et al., 2013; Tosi et al., 2014). More recent work has </w:t>
      </w:r>
      <w:r>
        <w:lastRenderedPageBreak/>
        <w:t>treated the conduit as a deliberate engineering target, using live macrophages or microglia as carrier cells that hand drug cargo to tumour cells through nanotubes, using mitochondria as intracellular vehicles onto which photosensitisers are loaded, and using externally applied physical stimuli to induce the connections at the moment delivery is required (Du et al., 2021; Du et al., 2026; Guo et al., 2019; Liu et al., 2025; Peng et al., 2025).</w:t>
      </w:r>
    </w:p>
    <w:p w14:paraId="71FA9792" w14:textId="77777777" w:rsidR="00AD0875" w:rsidRDefault="00000000">
      <w:pPr>
        <w:ind w:firstLine="720"/>
        <w:jc w:val="both"/>
      </w:pPr>
      <w:r>
        <w:t>The same literature, however, contains a substantial body of evidence pointing in the opposite direction. Nanotube connections between malignant cells and between malignant and stromal cells transfer functional mitochondria that restore oxidative capacity and confer resistance to cytotoxic agents, transfer efflux transporters that reduce intracellular drug concentration, transfer oncogenic proteins and microRNA species that alter the phenotype of recipient cells, and in at least one well-characterised system redistribute the chemotherapeutic agent itself away from cells in which it would otherwise act (Desir et al., 2018; Nakhle et al., 2023; Pasquier et al., 2012; Pasquier et al., 2013; Thayanithy et al., 2014). Exposure to chemotherapy, hypoxia and oxidative stress increases the abundance of these connections, which implies that the network expands under precisely the conditions that treatment creates (Desir et al., 2016; Desir et al., 2018; Kretschmer et al., 2019; Lin et al., 2024). Several groups have consequently proposed nanotube formation as a therapeutic target to be suppressed rather than a channel to be used (Omsland et al., 2017; Sarkari et al., 2023; Tao et al., 2024).</w:t>
      </w:r>
    </w:p>
    <w:p w14:paraId="3595A89C" w14:textId="77777777" w:rsidR="00AD0875" w:rsidRDefault="00000000">
      <w:pPr>
        <w:ind w:firstLine="720"/>
        <w:jc w:val="both"/>
      </w:pPr>
      <w:r>
        <w:t xml:space="preserve">This tension is not a peripheral detail. It determines whether the appropriate engineering objective is to promote, inhibit or selectively direct nanotube formation, and the existing reviews have not resolved it. Published overviews have addressed the cell biology of nanotube formation in considerable depth (Belian &amp; Zurzolo, 2026; Brou &amp; Zurzolo, 2026; Ljubojevic et al., 2021), their contribution to cancer progression and resistance (Lou et al., 2018; Melwani &amp; Pandey, 2023; Pinto et al., 2020; Sarkari &amp; Lou, 2024), their role in the spread of protein aggregates and </w:t>
      </w:r>
      <w:r>
        <w:lastRenderedPageBreak/>
        <w:t>pathogens (Chakraborty et al., 2023; Victoria &amp; Zurzolo, 2017), and, more narrowly, their potential as a nanomedicine target (Chen &amp; Zhao, 2024; Han &amp; Wang, 2021; Ottonelli et al., 2022; Taiarol et al., 2021; Wang et al., 2023). What these treatments share is an orientation towards cataloguing possibility. Few subject the delivery evidence to the standards that would be applied to any other proposed route of administration, namely whether the transfer event has been attributed correctly to the structure in question, whether the quantity delivered has been measured, whether the effect persists outside simplified culture, and whether the intervention can be controlled with sufficient precision to be therapeutically useful. The rapid appearance of engineered delivery platforms that invoke nanotubes as a mechanism makes this omission consequential, because design decisions are being made on the basis of an evidence base whose limits have not been characterised.</w:t>
      </w:r>
    </w:p>
    <w:p w14:paraId="49724A27" w14:textId="77777777" w:rsidR="00AD0875" w:rsidRDefault="00000000">
      <w:pPr>
        <w:spacing w:before="240" w:after="120" w:line="360" w:lineRule="auto"/>
      </w:pPr>
      <w:r>
        <w:rPr>
          <w:b/>
          <w:color w:val="000000"/>
        </w:rPr>
        <w:t>1.1 Scope, Research Gap and Objectives</w:t>
      </w:r>
    </w:p>
    <w:p w14:paraId="4093A012" w14:textId="77777777" w:rsidR="00AD0875" w:rsidRDefault="00000000">
      <w:pPr>
        <w:ind w:firstLine="720"/>
        <w:jc w:val="both"/>
      </w:pPr>
      <w:r>
        <w:t xml:space="preserve">This review is bounded to the use of tunnelling nanotubes and closely related open-ended membranous intercellular bridges as a route for the transport of engineered nanoscale delivery systems and their therapeutic cargo. It covers the structural and mechanistic prerequisites that determine whether a synthetic particle can traverse such a connection, the empirical evidence that particles of defined composition and geometry do so, the oncological context in which both exploitation and suppression of these conduits have been proposed, selected non-oncological applications, and the methodological and translational constraints that currently limit inference. Gap junctions, extracellular vesicles, plasmodesmata, cytonemes, tumour microtubes and immunological synapses are considered only insofar as they must be distinguished from tunnelling nanotubes for the purposes of attributing an observed transfer event, and not as delivery routes in their own right. Studies of nanomaterial toxicology are included where they </w:t>
      </w:r>
      <w:r>
        <w:lastRenderedPageBreak/>
        <w:t>provide evidence about the conditions under which engineered particles induce or traverse these connections, because such evidence bears directly on the controllability of a delivery strategy, but general nanotoxicology lies outside the scope. Plant and invertebrate systems, virological transmission except where it informs conduit function, and purely computational studies without experimental anchoring are excluded.</w:t>
      </w:r>
    </w:p>
    <w:p w14:paraId="7A70AD93" w14:textId="77777777" w:rsidR="00AD0875" w:rsidRDefault="00000000">
      <w:pPr>
        <w:ind w:firstLine="720"/>
        <w:jc w:val="both"/>
      </w:pPr>
      <w:r>
        <w:t>The specific gap addressed is the absence of a critical, attribution-focused appraisal of the nanotube delivery literature. Existing reviews describe what has been observed; they do not systematically evaluate whether the observations support the causal claim on which the delivery concept depends, nor do they confront the contradiction between the resistance-promoting and delivery-promoting interpretations of the same structures. No published synthesis has assessed the degree to which reported nanoparticle transfer has been distinguished from vesicular release and uptake, examined the consequences of culture geometry for the reported frequency and function of these connections, or articulated what a quantitative description of dose delivered through an intercellular conduit would require.</w:t>
      </w:r>
    </w:p>
    <w:p w14:paraId="4FBFD4D7" w14:textId="77777777" w:rsidR="00AD0875" w:rsidRDefault="00000000">
      <w:pPr>
        <w:ind w:firstLine="720"/>
        <w:jc w:val="both"/>
      </w:pPr>
      <w:r>
        <w:t xml:space="preserve">The objectives are therefore fivefold. The first is to establish which structural and physical properties of these connections are sufficiently well characterised to constrain the design of transportable carriers. The second is to evaluate the strength, consistency and attribution rigour of the evidence that engineered nanomaterials traverse them. The third is to analyse the opposing therapeutic logics of suppression and exploitation and to determine whether they can be reconciled by context. The fourth is to identify the methodological features that most limit confidence in the present literature and to specify what would remedy them. The fifth is to set out prioritised research directions that would move the field from demonstrated plausibility towards demonstrated utility. The intended contribution is an evidence-calibrated account that separates what is established from what remains conjectural, written for investigators designing delivery </w:t>
      </w:r>
      <w:r>
        <w:lastRenderedPageBreak/>
        <w:t>systems and for those evaluating claims made on their behalf. Formal quantitative synthesis is not attempted, and the review does not propose a clinical protocol or make recommendations about patient care.</w:t>
      </w:r>
    </w:p>
    <w:p w14:paraId="0D552070" w14:textId="77777777" w:rsidR="00AD0875" w:rsidRDefault="00000000">
      <w:pPr>
        <w:spacing w:before="240" w:after="120" w:line="360" w:lineRule="auto"/>
      </w:pPr>
      <w:r>
        <w:rPr>
          <w:b/>
          <w:color w:val="000000"/>
          <w:sz w:val="28"/>
        </w:rPr>
        <w:t>2. Methods for Literature Selection</w:t>
      </w:r>
    </w:p>
    <w:p w14:paraId="15CA247C" w14:textId="77777777" w:rsidR="00AD0875" w:rsidRDefault="00000000">
      <w:pPr>
        <w:spacing w:before="240" w:after="120" w:line="360" w:lineRule="auto"/>
      </w:pPr>
      <w:r>
        <w:rPr>
          <w:b/>
          <w:color w:val="000000"/>
        </w:rPr>
        <w:t>2.1 Review Design and Rationale</w:t>
      </w:r>
    </w:p>
    <w:p w14:paraId="06E65A94" w14:textId="77777777" w:rsidR="00AD0875" w:rsidRDefault="00000000">
      <w:pPr>
        <w:ind w:firstLine="720"/>
        <w:jc w:val="both"/>
      </w:pPr>
      <w:r>
        <w:t xml:space="preserve">A critical narrative design was selected because the question at issue is interpretive rather than estimative. The literature on nanotube-mediated transport spans cell biology, biophysics, nanotoxicology, oncology and pharmaceutics, and the constituent studies differ so profoundly in design, model system, readout and definition of the structure under investigation that no common effect measure exists. Pooling would require the assumption that a fluorescence-transfer index obtained in a two-dimensional co-culture, a survival difference in a xenograft experiment and a particle velocity measured by single-particle tracking estimate the same quantity, which they do not. A systematic review with meta-analysis was therefore inappropriate. A scoping review would have produced an inventory of the field without addressing the central problem, which is whether the causal attribution that underpins the delivery concept is sound. The narrative form permits the weighing of heterogeneous evidence against discipline-appropriate criteria and the explicit representation of disagreement, at the cost of greater susceptibility to selection and interpretive bias. To mitigate this, the search, eligibility and appraisal procedures described below were specified before synthesis and applied consistently, and the reporting was structured to meet the domains of the Scale for the Assessment of Narrative Review Articles, which identifies justification of importance, statement of aims, description of literature search, referencing of claims, evidence-level reporting and appropriate presentation of data as the elements </w:t>
      </w:r>
      <w:r>
        <w:lastRenderedPageBreak/>
        <w:t>distinguishing adequate from inadequate narrative reviews (Baethge et al., 2019). Adoption of a narrative format is not treated here as licence to dispense with transparency or critical appraisal.</w:t>
      </w:r>
    </w:p>
    <w:p w14:paraId="4E2D95B7" w14:textId="77777777" w:rsidR="00AD0875" w:rsidRDefault="00000000">
      <w:pPr>
        <w:spacing w:before="240" w:after="120" w:line="360" w:lineRule="auto"/>
      </w:pPr>
      <w:r>
        <w:rPr>
          <w:b/>
          <w:color w:val="000000"/>
        </w:rPr>
        <w:t>2.2 Information Sources</w:t>
      </w:r>
    </w:p>
    <w:p w14:paraId="45D55EED" w14:textId="77777777" w:rsidR="00AD0875" w:rsidRDefault="00000000">
      <w:pPr>
        <w:ind w:firstLine="720"/>
        <w:jc w:val="both"/>
      </w:pPr>
      <w:r>
        <w:t>Evidence was identified through PubMed, PubMed Central, Europe PMC, Crossref, the Directory of Open Access Journals, Semantic Scholar and Google Scholar. Crossref was additionally used throughout for bibliographic verification and confirmation that each cited digital object identifier resolves to the article attributed to it. Database searching was supplemented by backward citation searching of the reference lists of recent reviews and primary reports, forward citation searching of the foundational descriptions of nanotubular intercellular connections, related-article searching within the biomedical indexes, and targeted searching for corrections, expressions of concern and retraction notices affecting candidate sources. No regional or country-specific index was searched, because the subject matter concerns cellular transport mechanisms and engineered materials without geographical, demographic or health-system dimensions that would generate locally published evidence of distinct relevance.</w:t>
      </w:r>
    </w:p>
    <w:p w14:paraId="25A794F3" w14:textId="77777777" w:rsidR="00AD0875" w:rsidRDefault="00000000">
      <w:pPr>
        <w:spacing w:before="240" w:after="120" w:line="360" w:lineRule="auto"/>
      </w:pPr>
      <w:r>
        <w:rPr>
          <w:b/>
          <w:color w:val="000000"/>
        </w:rPr>
        <w:t>2.3 Search Strategy and Search Period</w:t>
      </w:r>
    </w:p>
    <w:p w14:paraId="2909E281" w14:textId="77777777" w:rsidR="00AD0875" w:rsidRDefault="00000000">
      <w:pPr>
        <w:ind w:firstLine="720"/>
        <w:jc w:val="both"/>
      </w:pPr>
      <w:r>
        <w:t xml:space="preserve">Search concepts were constructed around four domains: the conduit itself, the transported entity, the biological or therapeutic context, and the outcome of interest. Conduit terms combined the alternative spellings and synonyms that persist in this literature, since inconsistent naming is itself a feature of the field. Representative strings, adapted to the syntax of each source, took the form ("tunneling nanotube*" OR "tunnelling nanotube*" OR "membrane nanotube*" OR "intercellular bridge*" OR "nanotubular structure*") AND (nanoparticle* OR nanocarrier* OR liposome* OR "solid lipid nanoparticle*" OR "polymeric nanoparticle*" OR "mesoporous silica" OR nanodiamond* OR "quantum dot*" OR "drug delivery" OR "drug transfer"); ("tunneling </w:t>
      </w:r>
      <w:r>
        <w:lastRenderedPageBreak/>
        <w:t>nanotube*" OR "tunnelling nanotube*") AND (chemoresistance OR "drug resistance" OR "drug efflux" OR "P-glycoprotein" OR "mitochondrial transfer"); ("tunneling nanotube*" OR "tunnelling nanotube*") AND (actin OR Eps8 OR IRSp53 OR CDC42 OR M-Sec OR TNFAIP2 OR MYO10 OR Rab35 OR tetraspanin*); and ("tunneling nanotube*" OR "tunnelling nanotube*") AND ("in vivo" OR intravital OR zebrafish OR xenograft OR organoid OR "three-dimensional culture" OR spheroid). Further strings addressed imaging and quantification methods, nanomaterial-induced conduit formation, blood-brain barrier transit, and pharmacological or physical modulation of nanotube abundance. Controlled vocabulary was used where the source supported it and free-text terms elsewhere, with Boolean combination of synonyms within each concept and intersection across concepts.</w:t>
      </w:r>
    </w:p>
    <w:p w14:paraId="7B43397D" w14:textId="77777777" w:rsidR="00AD0875" w:rsidRDefault="00000000">
      <w:pPr>
        <w:ind w:firstLine="720"/>
        <w:jc w:val="both"/>
      </w:pPr>
      <w:r>
        <w:t>The search period opened in 2004, the year in which nanotubular intercellular connections were first characterised as a distinct transport principle, and closed on 22 July 2026. Publications predating 2004 were considered only where necessary to explain the antecedent understanding of membrane protrusions and intercellular exchange, and none was ultimately required for the claims advanced here.</w:t>
      </w:r>
    </w:p>
    <w:p w14:paraId="5D016D50" w14:textId="77777777" w:rsidR="00AD0875" w:rsidRDefault="00000000">
      <w:pPr>
        <w:spacing w:before="240" w:after="120" w:line="360" w:lineRule="auto"/>
      </w:pPr>
      <w:r>
        <w:rPr>
          <w:b/>
          <w:color w:val="000000"/>
        </w:rPr>
        <w:t>2.4 Eligibility Criteria</w:t>
      </w:r>
    </w:p>
    <w:p w14:paraId="1ACB8E7A" w14:textId="77777777" w:rsidR="00AD0875" w:rsidRDefault="00000000">
      <w:pPr>
        <w:ind w:firstLine="720"/>
        <w:jc w:val="both"/>
      </w:pPr>
      <w:r>
        <w:t xml:space="preserve">Peer-reviewed original research articles and peer-reviewed reviews written in English were eligible. Studies were included when they reported experimental observation of open-ended or putatively open-ended membranous intercellular connections together with transfer of an engineered nanomaterial, a therapeutic agent, an organelle, or a molecular determinant of treatment response; when they characterised the structure, formation, regulation or physical behaviour of such connections in a manner bearing on their capacity to carry particulate cargo; when they reported modulation of these connections by pharmacological, genetic or physical </w:t>
      </w:r>
      <w:r>
        <w:lastRenderedPageBreak/>
        <w:t>means; or when they synthesised evidence on these questions. Methodological articles describing identification, quantification or imaging of the structures were eligible because the adequacy of such methods is central to the appraisal.</w:t>
      </w:r>
    </w:p>
    <w:p w14:paraId="0E258DD4" w14:textId="77777777" w:rsidR="00AD0875" w:rsidRDefault="00000000">
      <w:pPr>
        <w:ind w:firstLine="720"/>
        <w:jc w:val="both"/>
      </w:pPr>
      <w:r>
        <w:t>Exclusions were applied to conference abstracts, editorials, commentaries without primary data or substantive synthesis, trade and promotional material, theses, non-peer-reviewed web content, and patents considered as evidence of effectiveness. Preprints were excluded, since peer-reviewed evidence was available for every theme developed. Studies confined to plant plasmodesmata, to gap-junctional coupling, or to extracellular vesicle biology without reference to membranous intercellular bridges were excluded. Purely computational or theoretical contributions were admitted only where they addressed the physics of cargo transport within tubular membrane geometries and were interpreted explicitly as models rather than observations. Sources whose bibliographic identity could not be confirmed, and any source whose digital object identifier failed to resolve to the article claimed, were excluded irrespective of apparent relevance.</w:t>
      </w:r>
    </w:p>
    <w:p w14:paraId="51BEB7A2" w14:textId="77777777" w:rsidR="00AD0875" w:rsidRDefault="00000000">
      <w:pPr>
        <w:spacing w:before="240" w:after="120" w:line="360" w:lineRule="auto"/>
      </w:pPr>
      <w:r>
        <w:rPr>
          <w:b/>
          <w:color w:val="000000"/>
        </w:rPr>
        <w:t>2.5 Screening, Duplicate Handling and Study Selection</w:t>
      </w:r>
    </w:p>
    <w:p w14:paraId="1C97B5D8" w14:textId="77777777" w:rsidR="00AD0875" w:rsidRDefault="00000000">
      <w:pPr>
        <w:ind w:firstLine="720"/>
        <w:jc w:val="both"/>
      </w:pPr>
      <w:r>
        <w:t xml:space="preserve">Records retrieved from each source were assessed first by title and abstract against the eligibility criteria, and candidates were then examined in full text. Duplicate records arising from overlapping coverage of the biomedical indexes and the multidisciplinary registries were identified by matching digital object identifiers, and where an identifier was absent, by matching first author, title and publication year; the record with the most complete metadata was retained. Preprint versions of subsequently published articles were resolved to the peer-reviewed version of record. Language was restricted to English, which is acknowledged as a source of potential bias in the Limitations. Where full text could not be obtained, inclusion was permitted only if the </w:t>
      </w:r>
      <w:r>
        <w:lastRenderedPageBreak/>
        <w:t>abstract and any accessible figures supported the specific claim for which the source would be cited, and otherwise the source was excluded rather than cited on the basis of its title. Formal screening counts are not reported, because the selection process was purposive and iterative rather than systematic, and reporting counts would misrepresent its nature.</w:t>
      </w:r>
    </w:p>
    <w:p w14:paraId="0327D9D8" w14:textId="77777777" w:rsidR="00AD0875" w:rsidRDefault="00000000">
      <w:pPr>
        <w:spacing w:before="240" w:after="120" w:line="360" w:lineRule="auto"/>
      </w:pPr>
      <w:r>
        <w:rPr>
          <w:b/>
          <w:color w:val="000000"/>
        </w:rPr>
        <w:t>2.6 Critical Appraisal and Evidence Synthesis</w:t>
      </w:r>
    </w:p>
    <w:p w14:paraId="2ADCD3B1" w14:textId="77777777" w:rsidR="00AD0875" w:rsidRDefault="00000000">
      <w:pPr>
        <w:ind w:firstLine="720"/>
        <w:jc w:val="both"/>
      </w:pPr>
      <w:r>
        <w:t>No formal risk-of-bias instrument was applied, since no validated tool exists for the predominant study designs in this field and the available reports rarely contain the information such a tool would require. Appraisal proceeded instead against criteria matched to the specific inferential vulnerabilities of the subject. For each study contributing evidence of transfer, the central question was attribution: whether the authors established that the structure observed was an open-ended cytoplasmic bridge rather than a filopodium, a retraction fibre or an adherent membrane extension, and whether they excluded vesicular release and re-uptake, cell fusion, phagocytosis of debris and imaging artefact as alternative explanations. Studies employing transwell separation, physical or pharmacological disruption of the connections with appropriate specificity controls, live imaging of individual transfer events, or ultrastructural confirmation were weighted more heavily than those relying on endpoint fluorescence colocalisation alone. Further criteria included the dimensionality and mechanical realism of the culture system, the duration of observation relative to the timescale of the transfer process, the adequacy of controls for donor cell death, the presence of independent replication in a second cell type or laboratory, and the availability of any corroboration in living tissue.</w:t>
      </w:r>
    </w:p>
    <w:p w14:paraId="74B1E4D2" w14:textId="77777777" w:rsidR="00AD0875" w:rsidRDefault="00000000">
      <w:pPr>
        <w:ind w:firstLine="720"/>
        <w:jc w:val="both"/>
      </w:pPr>
      <w:r>
        <w:t xml:space="preserve">Themes were developed inductively from the appraised evidence and organised around mechanism, evidence type, therapeutic intention and constraint rather than around cell type or disease. Where findings conflicted, the synthesis sought the most parsimonious explanation </w:t>
      </w:r>
      <w:r>
        <w:lastRenderedPageBreak/>
        <w:t>consistent with the methodological differences between the conflicting studies, and where no such explanation was available the disagreement is reported as unresolved. Convergent evidence obtained by independent methods was distinguished explicitly from repeated application of a single vulnerable method. Claims about effectiveness were separated throughout from claims about mechanism, and laboratory observations were not treated as evidence of therapeutic benefit.</w:t>
      </w:r>
    </w:p>
    <w:p w14:paraId="67A453FB" w14:textId="77777777" w:rsidR="00AD0875" w:rsidRDefault="00000000">
      <w:pPr>
        <w:spacing w:before="240" w:after="120" w:line="360" w:lineRule="auto"/>
      </w:pPr>
      <w:r>
        <w:rPr>
          <w:b/>
          <w:color w:val="000000"/>
          <w:sz w:val="28"/>
        </w:rPr>
        <w:t>3. Structural and Mechanistic Prerequisites for Nanocarrier Transport</w:t>
      </w:r>
    </w:p>
    <w:p w14:paraId="2636C297" w14:textId="77777777" w:rsidR="00AD0875" w:rsidRDefault="00000000">
      <w:pPr>
        <w:spacing w:before="240" w:after="120" w:line="360" w:lineRule="auto"/>
      </w:pPr>
      <w:r>
        <w:rPr>
          <w:b/>
          <w:color w:val="000000"/>
        </w:rPr>
        <w:t>3.1 Definitional heterogeneity and its consequences</w:t>
      </w:r>
    </w:p>
    <w:p w14:paraId="1DD3DEBE" w14:textId="77777777" w:rsidR="00AD0875" w:rsidRDefault="00000000">
      <w:pPr>
        <w:ind w:firstLine="720"/>
        <w:jc w:val="both"/>
      </w:pPr>
      <w:r>
        <w:t xml:space="preserve">Any claim that a nanoparticle has travelled through a tunnelling nanotube presupposes agreement about what such a structure is. That agreement is incomplete. The operational criteria most frequently applied are that the connection is a membranous protrusion bridging two cells, that it does not contact the substratum along its length, that it contains filamentous actin, and that it permits transfer of cytoplasmic material. These criteria were derived from the original observations in cultured neuroendocrine cells and have proved durable, yet each is problematic in practice (Rustom et al., 2004; Zurzolo, 2021). Hovering above the substratum is a property of the imaging plane as much as of the structure, and is difficult to establish in three-dimensional or tissue contexts where no substratum exists. Actin content does not discriminate nanotubes from filopodia, retraction fibres or several other protrusions. Demonstration of cytoplasmic transfer is the most informative criterion but is also the one most often assumed rather than shown, since the presence of a fluorescent signal in a recipient cell is compatible with several transport routes. Connections satisfying these criteria have nonetheless been described in primary human renal epithelial cells and in primary and immortalised malignant pleural mesothelioma cells, which </w:t>
      </w:r>
      <w:r>
        <w:lastRenderedPageBreak/>
        <w:t>establishes that the phenomenon is not confined to the neuroendocrine lines in which it was first characterised (Domhan et al., 2011; Lou et al., 2012).</w:t>
      </w:r>
    </w:p>
    <w:p w14:paraId="6414E83A" w14:textId="77777777" w:rsidR="00AD0875" w:rsidRDefault="00000000">
      <w:pPr>
        <w:ind w:firstLine="720"/>
        <w:jc w:val="both"/>
      </w:pPr>
      <w:r>
        <w:t>The consequences for the delivery literature are direct. Reports describing particle movement between cells along thin extensions frequently apply the label on morphological grounds alone, which leaves open whether the connection was open-ended. This matters because an open-ended conduit and a closed apposition support different transport physics and different engineering strategies. A closed contact can still transfer material by trans-synaptic-like vesicular exchange or by gap-junctional coupling, but it cannot carry a particle of tens of nanometres through a continuous lumen. Several authors have drawn attention to the terminological instability and its effect on comparability between studies, and have argued for classification schemes based on measurable structural and functional properties rather than on appearance (Cordero Cervantes &amp; Zurzolo, 2021; Dong et al., 2026; Ljubojevic et al., 2021). The absence of a consensus definition remains, in the assessment advanced here, the single greatest impediment to cumulative progress in this field, because it prevents the aggregation of evidence across laboratories and permits contradictory findings to coexist without confrontation.</w:t>
      </w:r>
    </w:p>
    <w:p w14:paraId="111DE4AC" w14:textId="77777777" w:rsidR="00AD0875" w:rsidRDefault="00000000">
      <w:pPr>
        <w:spacing w:before="240" w:after="120" w:line="360" w:lineRule="auto"/>
      </w:pPr>
      <w:r>
        <w:rPr>
          <w:b/>
          <w:color w:val="000000"/>
        </w:rPr>
        <w:t>3.2 Ultrastructure and cytoplasmic continuity</w:t>
      </w:r>
    </w:p>
    <w:p w14:paraId="42DA47AB" w14:textId="77777777" w:rsidR="00AD0875" w:rsidRDefault="00000000">
      <w:pPr>
        <w:ind w:firstLine="720"/>
        <w:jc w:val="both"/>
      </w:pPr>
      <w:r>
        <w:t xml:space="preserve">The strongest structural evidence available derives from correlative cryo-electron microscopy of neuronal cells, which demonstrated that what appears by light microscopy as a single connection is in many cases a bundle of individual tunnelling nanotubes held together by threads labelled with antibodies against N-cadherin. These individual tubes were open-ended, contained parallel actin bundles, and carried membrane-bound compartments and mitochondria along their length, giving them structural features distinct from other cellular protrusions (Sartori-Rupp et al., 2019). This study is pivotal because it converted an inference drawn from functional </w:t>
      </w:r>
      <w:r>
        <w:lastRenderedPageBreak/>
        <w:t>transfer assays into a direct structural observation, and because it revealed a level of internal organisation that light microscopy cannot resolve. A connection that is in fact a bundle of narrow parallel tubes constrains the maximum diameter of transportable cargo far more severely than its apparent width would suggest, which has immediate implications for nanocarrier design that the delivery literature has largely not absorbed.</w:t>
      </w:r>
    </w:p>
    <w:p w14:paraId="4AFC32E7" w14:textId="77777777" w:rsidR="00AD0875" w:rsidRDefault="00000000">
      <w:pPr>
        <w:ind w:firstLine="720"/>
        <w:jc w:val="both"/>
      </w:pPr>
      <w:r>
        <w:t>Demonstration of open-endedness in a living organism came considerably later. Mosaic labelling of gastrula cells in zebrafish (</w:t>
      </w:r>
      <w:r>
        <w:rPr>
          <w:i/>
        </w:rPr>
        <w:t>Danio rerio</w:t>
      </w:r>
      <w:r>
        <w:t>) embryos showed connections with morphology and apparent formation mechanisms resembling those described in culture, and, critically, showed that these connections transferred both soluble cargo and organelles, which establishes functional cytoplasmic continuity in vivo (Korenkova et al., 2025). The importance of this result lies less in the specific organism than in its removal of a standing objection, namely that open-ended nanotubes might be an artefact of planar culture. It does not, however, establish that comparable connections exist at comparable frequency in mammalian tissue, and the inference from a transparent embryo to a solid tumour or a mature brain remains substantial. Observations in the developing cerebellar external granule layer have likewise identified non-classical intercellular connections, extending the evidence into a mammalian neural context while leaving their functional contribution during development unresolved (Rakotobe et al., 2026).</w:t>
      </w:r>
    </w:p>
    <w:p w14:paraId="4839A235" w14:textId="77777777" w:rsidR="00AD0875" w:rsidRDefault="00000000">
      <w:pPr>
        <w:spacing w:before="240" w:after="120" w:line="360" w:lineRule="auto"/>
      </w:pPr>
      <w:r>
        <w:rPr>
          <w:b/>
          <w:color w:val="000000"/>
        </w:rPr>
        <w:t>3.3 Formation pathways and inducible regulation</w:t>
      </w:r>
    </w:p>
    <w:p w14:paraId="6610A05F" w14:textId="77777777" w:rsidR="00AD0875" w:rsidRDefault="00000000">
      <w:pPr>
        <w:ind w:firstLine="720"/>
        <w:jc w:val="both"/>
      </w:pPr>
      <w:r>
        <w:t>For a delivery strategy the relevant question about formation is not only how these connections arise but whether their abundance can be manipulated deliberately. Mechanistic work has converged on linear actin polymerisation as the principal driver. Micropatterning, microscopy and optical tweezer experiments showed that nanotubes formed by outward extension of actin achieve lengths exceeding the mean length of filopodia, and that branched Arp2/3-</w:t>
      </w:r>
      <w:r>
        <w:lastRenderedPageBreak/>
        <w:t>dependent pathways attenuate the extent of actin polymerisation in nanotubes and thereby limit their occurrence. Proteomic analysis identified heightened interaction between epidermal growth factor receptor kinase substrate 8 and the inverted Bin/Amphiphysin/Rvs domain protein IRSp53 under Arp2/3 inhibition, providing a direct connection to linear actin polymerases (Henderson et al., 2023). The model that emerges is one of competition between branched and linear actin networks for shared components, with nanotube formation favoured when the branched pathway is suppressed. This is a mechanistically satisfying account and it carries a practical implication: modulation of nanotube abundance through this axis will necessarily perturb other actin-dependent processes, including migration, adhesion and endocytosis, which complicates any therapeutic strategy built upon it.</w:t>
      </w:r>
    </w:p>
    <w:p w14:paraId="26E5438A" w14:textId="77777777" w:rsidR="00AD0875" w:rsidRDefault="00000000">
      <w:pPr>
        <w:ind w:firstLine="720"/>
        <w:jc w:val="both"/>
      </w:pPr>
      <w:r>
        <w:t>Additional regulators have been identified. Rab35 and its effectors promote nanotube formation in neuronal cells (Bhat et al., 2020), and proteomic profiling of isolated nanotubes identified the tetraspanins CD9 and CD81 as key regulators, with functional experiments supporting their role in the stability of the connections (Notario Manzano et al., 2024). Physical modelling has addressed the energetics of inception, examining how membrane curvature, protein-mediated curvature sensing and adhesion determine whether a protrusion can bridge to a neighbouring cell (Drab et al., 2019). Reviews synthesising this material emphasise that no single pathway is sufficient and that the relative contribution of each regulator varies with cell type, which is consistent with the observation that nanotube frequency differs markedly between cell lines under identical conditions (Belian &amp; Zurzolo, 2026; Brou &amp; Zurzolo, 2026).</w:t>
      </w:r>
    </w:p>
    <w:p w14:paraId="445CD59B" w14:textId="77777777" w:rsidR="00AD0875" w:rsidRDefault="00000000">
      <w:pPr>
        <w:ind w:firstLine="720"/>
        <w:jc w:val="both"/>
      </w:pPr>
      <w:r>
        <w:t xml:space="preserve">More relevant to delivery is the consistent finding that nanotube formation is inducible by cellular stress. Oxidative stress is the most reproducible inducer. In glial cells exposed to cobalt nanoparticles, titanium dioxide nanoparticles or multi-walled carbon nanotubes, formation of these connections was induced by all three materials and proceeded through reactive oxygen </w:t>
      </w:r>
      <w:r>
        <w:lastRenderedPageBreak/>
        <w:t>species and mitochondrial reactive oxygen species acting via the phosphoinositide 3-kinase, protein kinase B and mechanistic target of rapamycin pathway; formation was protective against nanomaterial-induced apoptosis and disrupted adenosine triphosphate production (Lin et al., 2024). A related study established that cobalt nanoparticles induced oxidative stress and mitochondrial damage in neurons and astrocytes, that actin-rich connections lacking tubulin formed between these cell types, that mitochondria transferred along them, and that inhibiting the connections with the actin-depolymerising agent latrunculin B intensified apoptosis (Zheng et al., 2021). Hypoxia stimulates formation in ovarian carcinoma cells (Desir et al., 2016), and exposure to doxorubicin increases formation in pancreatic carcinoma cells in a dose-dependent manner (Desir et al., 2018). Chemotherapeutic and radiation-associated stress more generally has been associated with increased connectivity in prostate carcinoma (Kretschmer et al., 2019).</w:t>
      </w:r>
    </w:p>
    <w:p w14:paraId="387B784C" w14:textId="77777777" w:rsidR="00AD0875" w:rsidRDefault="00000000">
      <w:pPr>
        <w:ind w:firstLine="720"/>
        <w:jc w:val="both"/>
      </w:pPr>
      <w:r>
        <w:t>Two conclusions follow. The first is that nanotube abundance is a stress-responsive variable rather than a fixed property of a cell population, which means that any delivery system administering a cytotoxic or oxidising agent will alter the very network it seeks to use. The second is that engineered nanomaterials are themselves capable of inducing these connections, a finding derived from toxicological rather than pharmaceutical studies but directly relevant to delivery, since it implies that observed transfer may be partly a consequence of particle-induced network expansion rather than of passive exploitation of a pre-existing network.</w:t>
      </w:r>
    </w:p>
    <w:p w14:paraId="73C2BF0B" w14:textId="77777777" w:rsidR="00AD0875" w:rsidRDefault="00000000">
      <w:pPr>
        <w:spacing w:before="240" w:after="120" w:line="360" w:lineRule="auto"/>
      </w:pPr>
      <w:r>
        <w:rPr>
          <w:b/>
          <w:color w:val="000000"/>
        </w:rPr>
        <w:t>3.4 Physical determinants of intratubular cargo movement</w:t>
      </w:r>
    </w:p>
    <w:p w14:paraId="1127F51F" w14:textId="77777777" w:rsidR="00AD0875" w:rsidRDefault="00000000">
      <w:pPr>
        <w:ind w:firstLine="720"/>
        <w:jc w:val="both"/>
      </w:pPr>
      <w:r>
        <w:t xml:space="preserve">Movement of material within these connections is not diffusive in the manner of a cytoplasmic bridge of large bore. The original description noted selective transfer of vesicles and organelles with apparent impedance of small-molecule flow, which already indicated a transport mode dependent on the actin cytoskeleton rather than on concentration gradients (Rustom et al., </w:t>
      </w:r>
      <w:r>
        <w:lastRenderedPageBreak/>
        <w:t>2004). Single-particle tracking of protein-coated fluorescent nanodiamonds in human embryonic kidney cells revealed stop-and-go and to-and-fro motions characteristic of molecular motor activity, with particles trapped within endosomal vehicles rather than free in the lumen, and quantitative flow cytometric analysis of heterotypical transfer between these cells and neuroblastoma cells supported the formation of open-ended connections despite differences in the structural components of the nanotubes formed by each cell type (Epperla et al., 2015). The implication is that a nanocarrier does not travel through a nanotube as a particle in a pipe but as cargo within a membrane-bound compartment moved by motors along actin tracks, which subordinates the carrier's own surface properties to those of the vesicle that contains it. This distinction is frequently blurred in the delivery literature and it materially affects which particle properties should be optimised.</w:t>
      </w:r>
    </w:p>
    <w:p w14:paraId="44F35DEF" w14:textId="77777777" w:rsidR="00AD0875" w:rsidRDefault="00000000">
      <w:pPr>
        <w:ind w:firstLine="720"/>
        <w:jc w:val="both"/>
      </w:pPr>
      <w:r>
        <w:t>Theoretical treatment of the problem has examined the transport of solid bodies along tubular membrane tethers, deriving relationships between particle dimensions, tether radius, membrane tension and the resistance encountered (Daniels, 2019). Such analyses are valuable in identifying the parameters that matter, but they idealise the tube as a passive tether and cannot capture motor-driven transport within a bundle of narrow tubes containing actin bundles and organelles. The gap between the physical models and the ultrastructural reality described by cryo-electron microscopy is wide, and no model currently available predicts transfer efficiency for a given particle in a given cell pair.</w:t>
      </w:r>
    </w:p>
    <w:p w14:paraId="47677217" w14:textId="77777777" w:rsidR="00AD0875" w:rsidRDefault="00000000">
      <w:pPr>
        <w:ind w:firstLine="720"/>
        <w:jc w:val="both"/>
      </w:pPr>
      <w:r>
        <w:t xml:space="preserve">Empirical work on particle geometry provides the most directly usable guidance. Comparison of spherical, discoidal and deformable negatively charged lipid-based particles of similar stiffness and diameters below 120 nm, evaluated in two-dimensional and three-dimensional models of human glioblastoma, found that discoidal particles achieved the highest nanotube-mediated transfer efficiency, reaching a maximum velocity of approximately 69 nm per </w:t>
      </w:r>
      <w:r>
        <w:lastRenderedPageBreak/>
        <w:t>second, and also showed higher endothelial permeability across an in vitro model of the blood-brain barrier. The proposed explanation was that a discoidal particle presents a larger surface area to the flow along the channel (Sierri et al., 2025). This is the clearest available demonstration that shape, rather than size alone, governs transfer, and it is notable that the conclusion was reached using carriers matched for stiffness and charge, which few comparative studies achieve. Confidence in the generality of the finding is nevertheless limited by its derivation from a single tumour type and a single carrier chemistry.</w:t>
      </w:r>
    </w:p>
    <w:p w14:paraId="6690B525" w14:textId="77777777" w:rsidR="00AD0875" w:rsidRDefault="00000000">
      <w:pPr>
        <w:ind w:firstLine="720"/>
        <w:jc w:val="both"/>
      </w:pPr>
      <w:r>
        <w:t>The structural and physical picture that emerges is therefore internally coherent but incomplete in ways that matter for engineering. Cytoplasmic continuity is established in principle and demonstrated directly in a small number of systems. Transport is motor-driven and vesicle-mediated rather than diffusive. Particle shape appears to be a stronger determinant of transfer than particle size within the sub-120 nm range examined. What remains unavailable is any means of predicting, for a given carrier and a given tissue, what fraction of material will move by this route. The next section examines how far the empirical transfer literature can be relied upon to fill that gap.</w:t>
      </w:r>
    </w:p>
    <w:p w14:paraId="58822FA5" w14:textId="77777777" w:rsidR="00AD0875" w:rsidRDefault="00000000">
      <w:pPr>
        <w:ind w:firstLine="720"/>
        <w:jc w:val="both"/>
      </w:pPr>
      <w:r>
        <w:t>The distinctions that must be maintained when attributing a transfer event to one conduit rather than another are summarised in Table 1, which is organised around the properties that can actually be measured rather than around descriptive appearance. The table makes visible a point that recurs throughout this review: the features that would definitively identify an open-ended nanotube, namely luminal continuity and independence from vesicular release, are precisely those least often assessed, whereas the features most often reported, namely thin morphology and actin content, are shared with structures that cannot carry particulate cargo. Reading the table alongside the evidence discussed above indicates that a substantial proportion of the delivery literature has established transfer between cells in contact without establishing the route by which it occurred.</w:t>
      </w:r>
    </w:p>
    <w:p w14:paraId="156AB9AA" w14:textId="77777777" w:rsidR="00AD0875" w:rsidRDefault="00000000">
      <w:pPr>
        <w:spacing w:before="240" w:after="80" w:line="240" w:lineRule="auto"/>
      </w:pPr>
      <w:r>
        <w:rPr>
          <w:b/>
          <w:sz w:val="20"/>
        </w:rPr>
        <w:lastRenderedPageBreak/>
        <w:t>Table 1. Operational distinctions among intercellular transport routes relevant to attributing nanocarrier transfer</w:t>
      </w:r>
    </w:p>
    <w:tbl>
      <w:tblPr>
        <w:tblStyle w:val="TableGrid"/>
        <w:tblW w:w="0" w:type="auto"/>
        <w:jc w:val="center"/>
        <w:tblLook w:val="04A0" w:firstRow="1" w:lastRow="0" w:firstColumn="1" w:lastColumn="0" w:noHBand="0" w:noVBand="1"/>
      </w:tblPr>
      <w:tblGrid>
        <w:gridCol w:w="1568"/>
        <w:gridCol w:w="1568"/>
        <w:gridCol w:w="1568"/>
        <w:gridCol w:w="1568"/>
        <w:gridCol w:w="1568"/>
        <w:gridCol w:w="1568"/>
      </w:tblGrid>
      <w:tr w:rsidR="00AD0875" w14:paraId="5495CC82" w14:textId="77777777">
        <w:trPr>
          <w:jc w:val="center"/>
        </w:trPr>
        <w:tc>
          <w:tcPr>
            <w:tcW w:w="1568" w:type="dxa"/>
          </w:tcPr>
          <w:p w14:paraId="3A6177BD" w14:textId="77777777" w:rsidR="00AD0875" w:rsidRDefault="00000000">
            <w:pPr>
              <w:spacing w:before="40" w:after="40" w:line="240" w:lineRule="auto"/>
            </w:pPr>
            <w:r>
              <w:rPr>
                <w:b/>
                <w:sz w:val="18"/>
              </w:rPr>
              <w:t>Structure</w:t>
            </w:r>
          </w:p>
        </w:tc>
        <w:tc>
          <w:tcPr>
            <w:tcW w:w="1568" w:type="dxa"/>
          </w:tcPr>
          <w:p w14:paraId="483B645A" w14:textId="77777777" w:rsidR="00AD0875" w:rsidRDefault="00000000">
            <w:pPr>
              <w:spacing w:before="40" w:after="40" w:line="240" w:lineRule="auto"/>
            </w:pPr>
            <w:r>
              <w:rPr>
                <w:b/>
                <w:sz w:val="18"/>
              </w:rPr>
              <w:t>Defining structural features</w:t>
            </w:r>
          </w:p>
        </w:tc>
        <w:tc>
          <w:tcPr>
            <w:tcW w:w="1568" w:type="dxa"/>
          </w:tcPr>
          <w:p w14:paraId="2985B09B" w14:textId="77777777" w:rsidR="00AD0875" w:rsidRDefault="00000000">
            <w:pPr>
              <w:spacing w:before="40" w:after="40" w:line="240" w:lineRule="auto"/>
            </w:pPr>
            <w:r>
              <w:rPr>
                <w:b/>
                <w:sz w:val="18"/>
              </w:rPr>
              <w:t>Cytoplasmic continuity</w:t>
            </w:r>
          </w:p>
        </w:tc>
        <w:tc>
          <w:tcPr>
            <w:tcW w:w="1568" w:type="dxa"/>
          </w:tcPr>
          <w:p w14:paraId="08D4F0F8" w14:textId="77777777" w:rsidR="00AD0875" w:rsidRDefault="00000000">
            <w:pPr>
              <w:spacing w:before="40" w:after="40" w:line="240" w:lineRule="auto"/>
            </w:pPr>
            <w:r>
              <w:rPr>
                <w:b/>
                <w:sz w:val="18"/>
              </w:rPr>
              <w:t>Capacity to carry nanoparticulate cargo</w:t>
            </w:r>
          </w:p>
        </w:tc>
        <w:tc>
          <w:tcPr>
            <w:tcW w:w="1568" w:type="dxa"/>
          </w:tcPr>
          <w:p w14:paraId="6C2D1895" w14:textId="77777777" w:rsidR="00AD0875" w:rsidRDefault="00000000">
            <w:pPr>
              <w:spacing w:before="40" w:after="40" w:line="240" w:lineRule="auto"/>
            </w:pPr>
            <w:r>
              <w:rPr>
                <w:b/>
                <w:sz w:val="18"/>
              </w:rPr>
              <w:t>Principal source of confusion with tunnelling nanotubes</w:t>
            </w:r>
          </w:p>
        </w:tc>
        <w:tc>
          <w:tcPr>
            <w:tcW w:w="1568" w:type="dxa"/>
          </w:tcPr>
          <w:p w14:paraId="1914F8B4" w14:textId="77777777" w:rsidR="00AD0875" w:rsidRDefault="00000000">
            <w:pPr>
              <w:spacing w:before="40" w:after="40" w:line="240" w:lineRule="auto"/>
            </w:pPr>
            <w:r>
              <w:rPr>
                <w:b/>
                <w:sz w:val="18"/>
              </w:rPr>
              <w:t>Supporting references</w:t>
            </w:r>
          </w:p>
        </w:tc>
      </w:tr>
      <w:tr w:rsidR="00AD0875" w14:paraId="5C1AA5F0" w14:textId="77777777">
        <w:trPr>
          <w:jc w:val="center"/>
        </w:trPr>
        <w:tc>
          <w:tcPr>
            <w:tcW w:w="1568" w:type="dxa"/>
          </w:tcPr>
          <w:p w14:paraId="11D37D22" w14:textId="77777777" w:rsidR="00AD0875" w:rsidRDefault="00000000">
            <w:pPr>
              <w:spacing w:before="40" w:after="40" w:line="240" w:lineRule="auto"/>
            </w:pPr>
            <w:r>
              <w:rPr>
                <w:sz w:val="18"/>
              </w:rPr>
              <w:t>Tunnelling nanotube</w:t>
            </w:r>
          </w:p>
        </w:tc>
        <w:tc>
          <w:tcPr>
            <w:tcW w:w="1568" w:type="dxa"/>
          </w:tcPr>
          <w:p w14:paraId="79743606" w14:textId="77777777" w:rsidR="00AD0875" w:rsidRDefault="00000000">
            <w:pPr>
              <w:spacing w:before="40" w:after="40" w:line="240" w:lineRule="auto"/>
            </w:pPr>
            <w:r>
              <w:rPr>
                <w:sz w:val="18"/>
              </w:rPr>
              <w:t>Thin actin-supported membranous bridge, frequently a bundle of narrower individual tubes held by N-cadherin-labelled threads; not attached to substratum along its length</w:t>
            </w:r>
          </w:p>
        </w:tc>
        <w:tc>
          <w:tcPr>
            <w:tcW w:w="1568" w:type="dxa"/>
          </w:tcPr>
          <w:p w14:paraId="7A49789D" w14:textId="77777777" w:rsidR="00AD0875" w:rsidRDefault="00000000">
            <w:pPr>
              <w:spacing w:before="40" w:after="40" w:line="240" w:lineRule="auto"/>
            </w:pPr>
            <w:r>
              <w:rPr>
                <w:sz w:val="18"/>
              </w:rPr>
              <w:t>Open-ended in the systems examined ultrastructurally and in zebrafish gastrula cells</w:t>
            </w:r>
          </w:p>
        </w:tc>
        <w:tc>
          <w:tcPr>
            <w:tcW w:w="1568" w:type="dxa"/>
          </w:tcPr>
          <w:p w14:paraId="6FA529BA" w14:textId="77777777" w:rsidR="00AD0875" w:rsidRDefault="00000000">
            <w:pPr>
              <w:spacing w:before="40" w:after="40" w:line="240" w:lineRule="auto"/>
            </w:pPr>
            <w:r>
              <w:rPr>
                <w:sz w:val="18"/>
              </w:rPr>
              <w:t>Demonstrated for particles of several compositions; constrained by the internal diameter of individual tubes rather than apparent bundle width</w:t>
            </w:r>
          </w:p>
        </w:tc>
        <w:tc>
          <w:tcPr>
            <w:tcW w:w="1568" w:type="dxa"/>
          </w:tcPr>
          <w:p w14:paraId="2E3EA6CD" w14:textId="77777777" w:rsidR="00AD0875" w:rsidRDefault="00000000">
            <w:pPr>
              <w:spacing w:before="40" w:after="40" w:line="240" w:lineRule="auto"/>
            </w:pPr>
            <w:r>
              <w:rPr>
                <w:sz w:val="18"/>
              </w:rPr>
              <w:t>Reference structure</w:t>
            </w:r>
          </w:p>
        </w:tc>
        <w:tc>
          <w:tcPr>
            <w:tcW w:w="1568" w:type="dxa"/>
          </w:tcPr>
          <w:p w14:paraId="3491E568" w14:textId="77777777" w:rsidR="00AD0875" w:rsidRDefault="00000000">
            <w:pPr>
              <w:spacing w:before="40" w:after="40" w:line="240" w:lineRule="auto"/>
            </w:pPr>
            <w:r>
              <w:rPr>
                <w:sz w:val="18"/>
              </w:rPr>
              <w:t>Korenkova et al. (2025); Rustom et al. (2004); Sartori-Rupp et al. (2019)</w:t>
            </w:r>
          </w:p>
        </w:tc>
      </w:tr>
      <w:tr w:rsidR="00AD0875" w14:paraId="378960FD" w14:textId="77777777">
        <w:trPr>
          <w:jc w:val="center"/>
        </w:trPr>
        <w:tc>
          <w:tcPr>
            <w:tcW w:w="1568" w:type="dxa"/>
          </w:tcPr>
          <w:p w14:paraId="055CDC41" w14:textId="77777777" w:rsidR="00AD0875" w:rsidRDefault="00000000">
            <w:pPr>
              <w:spacing w:before="40" w:after="40" w:line="240" w:lineRule="auto"/>
            </w:pPr>
            <w:r>
              <w:rPr>
                <w:sz w:val="18"/>
              </w:rPr>
              <w:t>Filopodium</w:t>
            </w:r>
          </w:p>
        </w:tc>
        <w:tc>
          <w:tcPr>
            <w:tcW w:w="1568" w:type="dxa"/>
          </w:tcPr>
          <w:p w14:paraId="567A6AF3" w14:textId="77777777" w:rsidR="00AD0875" w:rsidRDefault="00000000">
            <w:pPr>
              <w:spacing w:before="40" w:after="40" w:line="240" w:lineRule="auto"/>
            </w:pPr>
            <w:r>
              <w:rPr>
                <w:sz w:val="18"/>
              </w:rPr>
              <w:t>Short actin-rich protrusion, typically substratum-attached, terminating without fusion to a partner cell</w:t>
            </w:r>
          </w:p>
        </w:tc>
        <w:tc>
          <w:tcPr>
            <w:tcW w:w="1568" w:type="dxa"/>
          </w:tcPr>
          <w:p w14:paraId="3165D51A" w14:textId="77777777" w:rsidR="00AD0875" w:rsidRDefault="00000000">
            <w:pPr>
              <w:spacing w:before="40" w:after="40" w:line="240" w:lineRule="auto"/>
            </w:pPr>
            <w:r>
              <w:rPr>
                <w:sz w:val="18"/>
              </w:rPr>
              <w:t>Absent</w:t>
            </w:r>
          </w:p>
        </w:tc>
        <w:tc>
          <w:tcPr>
            <w:tcW w:w="1568" w:type="dxa"/>
          </w:tcPr>
          <w:p w14:paraId="2AAD24B5" w14:textId="77777777" w:rsidR="00AD0875" w:rsidRDefault="00000000">
            <w:pPr>
              <w:spacing w:before="40" w:after="40" w:line="240" w:lineRule="auto"/>
            </w:pPr>
            <w:r>
              <w:rPr>
                <w:sz w:val="18"/>
              </w:rPr>
              <w:t>Not established</w:t>
            </w:r>
          </w:p>
        </w:tc>
        <w:tc>
          <w:tcPr>
            <w:tcW w:w="1568" w:type="dxa"/>
          </w:tcPr>
          <w:p w14:paraId="4F65FA8F" w14:textId="77777777" w:rsidR="00AD0875" w:rsidRDefault="00000000">
            <w:pPr>
              <w:spacing w:before="40" w:after="40" w:line="240" w:lineRule="auto"/>
            </w:pPr>
            <w:r>
              <w:rPr>
                <w:sz w:val="18"/>
              </w:rPr>
              <w:t>Shares actin content and thin morphology; distinguished by length distribution and by dependence on branched rather than linear actin pathways</w:t>
            </w:r>
          </w:p>
        </w:tc>
        <w:tc>
          <w:tcPr>
            <w:tcW w:w="1568" w:type="dxa"/>
          </w:tcPr>
          <w:p w14:paraId="164A32BE" w14:textId="77777777" w:rsidR="00AD0875" w:rsidRDefault="00000000">
            <w:pPr>
              <w:spacing w:before="40" w:after="40" w:line="240" w:lineRule="auto"/>
            </w:pPr>
            <w:r>
              <w:rPr>
                <w:sz w:val="18"/>
              </w:rPr>
              <w:t>Henderson et al. (2023); Ljubojevic et al. (2021)</w:t>
            </w:r>
          </w:p>
        </w:tc>
      </w:tr>
      <w:tr w:rsidR="00AD0875" w14:paraId="16785725" w14:textId="77777777">
        <w:trPr>
          <w:jc w:val="center"/>
        </w:trPr>
        <w:tc>
          <w:tcPr>
            <w:tcW w:w="1568" w:type="dxa"/>
          </w:tcPr>
          <w:p w14:paraId="2C5AAC11" w14:textId="77777777" w:rsidR="00AD0875" w:rsidRDefault="00000000">
            <w:pPr>
              <w:spacing w:before="40" w:after="40" w:line="240" w:lineRule="auto"/>
            </w:pPr>
            <w:r>
              <w:rPr>
                <w:sz w:val="18"/>
              </w:rPr>
              <w:t>Tumour microtube</w:t>
            </w:r>
          </w:p>
        </w:tc>
        <w:tc>
          <w:tcPr>
            <w:tcW w:w="1568" w:type="dxa"/>
          </w:tcPr>
          <w:p w14:paraId="2D87E011" w14:textId="77777777" w:rsidR="00AD0875" w:rsidRDefault="00000000">
            <w:pPr>
              <w:spacing w:before="40" w:after="40" w:line="240" w:lineRule="auto"/>
            </w:pPr>
            <w:r>
              <w:rPr>
                <w:sz w:val="18"/>
              </w:rPr>
              <w:t>Long, thick membrane protrusion interconnecting glioma cells into a resistant network; distinct molecular composition and capacity for synaptic input</w:t>
            </w:r>
          </w:p>
        </w:tc>
        <w:tc>
          <w:tcPr>
            <w:tcW w:w="1568" w:type="dxa"/>
          </w:tcPr>
          <w:p w14:paraId="50ABC87D" w14:textId="77777777" w:rsidR="00AD0875" w:rsidRDefault="00000000">
            <w:pPr>
              <w:spacing w:before="40" w:after="40" w:line="240" w:lineRule="auto"/>
            </w:pPr>
            <w:r>
              <w:rPr>
                <w:sz w:val="18"/>
              </w:rPr>
              <w:t>Reported functional coupling within the network</w:t>
            </w:r>
          </w:p>
        </w:tc>
        <w:tc>
          <w:tcPr>
            <w:tcW w:w="1568" w:type="dxa"/>
          </w:tcPr>
          <w:p w14:paraId="693734DB" w14:textId="77777777" w:rsidR="00AD0875" w:rsidRDefault="00000000">
            <w:pPr>
              <w:spacing w:before="40" w:after="40" w:line="240" w:lineRule="auto"/>
            </w:pPr>
            <w:r>
              <w:rPr>
                <w:sz w:val="18"/>
              </w:rPr>
              <w:t>Not systematically examined for engineered carriers</w:t>
            </w:r>
          </w:p>
        </w:tc>
        <w:tc>
          <w:tcPr>
            <w:tcW w:w="1568" w:type="dxa"/>
          </w:tcPr>
          <w:p w14:paraId="05F3A069" w14:textId="77777777" w:rsidR="00AD0875" w:rsidRDefault="00000000">
            <w:pPr>
              <w:spacing w:before="40" w:after="40" w:line="240" w:lineRule="auto"/>
            </w:pPr>
            <w:r>
              <w:rPr>
                <w:sz w:val="18"/>
              </w:rPr>
              <w:t>Frequently treated as equivalent to tunnelling nanotubes in secondary literature despite substantial structural and molecular differences</w:t>
            </w:r>
          </w:p>
        </w:tc>
        <w:tc>
          <w:tcPr>
            <w:tcW w:w="1568" w:type="dxa"/>
          </w:tcPr>
          <w:p w14:paraId="6E5D905E" w14:textId="77777777" w:rsidR="00AD0875" w:rsidRDefault="00000000">
            <w:pPr>
              <w:spacing w:before="40" w:after="40" w:line="240" w:lineRule="auto"/>
            </w:pPr>
            <w:r>
              <w:rPr>
                <w:sz w:val="18"/>
              </w:rPr>
              <w:t>Osswald et al. (2015); Venkataramani et al. (2019)</w:t>
            </w:r>
          </w:p>
        </w:tc>
      </w:tr>
      <w:tr w:rsidR="00AD0875" w14:paraId="6AF83965" w14:textId="77777777">
        <w:trPr>
          <w:jc w:val="center"/>
        </w:trPr>
        <w:tc>
          <w:tcPr>
            <w:tcW w:w="1568" w:type="dxa"/>
          </w:tcPr>
          <w:p w14:paraId="21B3D69F" w14:textId="77777777" w:rsidR="00AD0875" w:rsidRDefault="00000000">
            <w:pPr>
              <w:spacing w:before="40" w:after="40" w:line="240" w:lineRule="auto"/>
            </w:pPr>
            <w:r>
              <w:rPr>
                <w:sz w:val="18"/>
              </w:rPr>
              <w:t>Extracellular vesicle</w:t>
            </w:r>
          </w:p>
        </w:tc>
        <w:tc>
          <w:tcPr>
            <w:tcW w:w="1568" w:type="dxa"/>
          </w:tcPr>
          <w:p w14:paraId="0B3D63BD" w14:textId="77777777" w:rsidR="00AD0875" w:rsidRDefault="00000000">
            <w:pPr>
              <w:spacing w:before="40" w:after="40" w:line="240" w:lineRule="auto"/>
            </w:pPr>
            <w:r>
              <w:rPr>
                <w:sz w:val="18"/>
              </w:rPr>
              <w:t>Membrane-enclosed particle released into the extracellular space and taken up by a recipient cell</w:t>
            </w:r>
          </w:p>
        </w:tc>
        <w:tc>
          <w:tcPr>
            <w:tcW w:w="1568" w:type="dxa"/>
          </w:tcPr>
          <w:p w14:paraId="4D27F232" w14:textId="77777777" w:rsidR="00AD0875" w:rsidRDefault="00000000">
            <w:pPr>
              <w:spacing w:before="40" w:after="40" w:line="240" w:lineRule="auto"/>
            </w:pPr>
            <w:r>
              <w:rPr>
                <w:sz w:val="18"/>
              </w:rPr>
              <w:t>Absent; transfer requires release and re-uptake</w:t>
            </w:r>
          </w:p>
        </w:tc>
        <w:tc>
          <w:tcPr>
            <w:tcW w:w="1568" w:type="dxa"/>
          </w:tcPr>
          <w:p w14:paraId="10834C45" w14:textId="77777777" w:rsidR="00AD0875" w:rsidRDefault="00000000">
            <w:pPr>
              <w:spacing w:before="40" w:after="40" w:line="240" w:lineRule="auto"/>
            </w:pPr>
            <w:r>
              <w:rPr>
                <w:sz w:val="18"/>
              </w:rPr>
              <w:t>Demonstrated, and operates in parallel with conduit transfer in several delivery systems</w:t>
            </w:r>
          </w:p>
        </w:tc>
        <w:tc>
          <w:tcPr>
            <w:tcW w:w="1568" w:type="dxa"/>
          </w:tcPr>
          <w:p w14:paraId="1811C052" w14:textId="77777777" w:rsidR="00AD0875" w:rsidRDefault="00000000">
            <w:pPr>
              <w:spacing w:before="40" w:after="40" w:line="240" w:lineRule="auto"/>
            </w:pPr>
            <w:r>
              <w:rPr>
                <w:sz w:val="18"/>
              </w:rPr>
              <w:t>Produces the same endpoint observation of donor-derived signal in recipient cells; requires contact-excluding controls to distinguish</w:t>
            </w:r>
          </w:p>
        </w:tc>
        <w:tc>
          <w:tcPr>
            <w:tcW w:w="1568" w:type="dxa"/>
          </w:tcPr>
          <w:p w14:paraId="7C0BC7AD" w14:textId="77777777" w:rsidR="00AD0875" w:rsidRDefault="00000000">
            <w:pPr>
              <w:spacing w:before="40" w:after="40" w:line="240" w:lineRule="auto"/>
            </w:pPr>
            <w:r>
              <w:rPr>
                <w:sz w:val="18"/>
              </w:rPr>
              <w:t>Du et al. (2021); Thayanithy et al. (2017)</w:t>
            </w:r>
          </w:p>
        </w:tc>
      </w:tr>
      <w:tr w:rsidR="00AD0875" w14:paraId="5FB3B4E4" w14:textId="77777777">
        <w:trPr>
          <w:jc w:val="center"/>
        </w:trPr>
        <w:tc>
          <w:tcPr>
            <w:tcW w:w="1568" w:type="dxa"/>
          </w:tcPr>
          <w:p w14:paraId="4FBEDA24" w14:textId="77777777" w:rsidR="00AD0875" w:rsidRDefault="00000000">
            <w:pPr>
              <w:spacing w:before="40" w:after="40" w:line="240" w:lineRule="auto"/>
            </w:pPr>
            <w:r>
              <w:rPr>
                <w:sz w:val="18"/>
              </w:rPr>
              <w:t>Gap junction</w:t>
            </w:r>
          </w:p>
        </w:tc>
        <w:tc>
          <w:tcPr>
            <w:tcW w:w="1568" w:type="dxa"/>
          </w:tcPr>
          <w:p w14:paraId="67C37A0E" w14:textId="77777777" w:rsidR="00AD0875" w:rsidRDefault="00000000">
            <w:pPr>
              <w:spacing w:before="40" w:after="40" w:line="240" w:lineRule="auto"/>
            </w:pPr>
            <w:r>
              <w:rPr>
                <w:sz w:val="18"/>
              </w:rPr>
              <w:t>Connexin-based channel coupling apposed plasma membranes</w:t>
            </w:r>
          </w:p>
        </w:tc>
        <w:tc>
          <w:tcPr>
            <w:tcW w:w="1568" w:type="dxa"/>
          </w:tcPr>
          <w:p w14:paraId="512E6944" w14:textId="77777777" w:rsidR="00AD0875" w:rsidRDefault="00000000">
            <w:pPr>
              <w:spacing w:before="40" w:after="40" w:line="240" w:lineRule="auto"/>
            </w:pPr>
            <w:r>
              <w:rPr>
                <w:sz w:val="18"/>
              </w:rPr>
              <w:t>Continuity restricted to ions and molecules below approximately 1 kDa</w:t>
            </w:r>
          </w:p>
        </w:tc>
        <w:tc>
          <w:tcPr>
            <w:tcW w:w="1568" w:type="dxa"/>
          </w:tcPr>
          <w:p w14:paraId="7C892B0B" w14:textId="77777777" w:rsidR="00AD0875" w:rsidRDefault="00000000">
            <w:pPr>
              <w:spacing w:before="40" w:after="40" w:line="240" w:lineRule="auto"/>
            </w:pPr>
            <w:r>
              <w:rPr>
                <w:sz w:val="18"/>
              </w:rPr>
              <w:t>Absent</w:t>
            </w:r>
          </w:p>
        </w:tc>
        <w:tc>
          <w:tcPr>
            <w:tcW w:w="1568" w:type="dxa"/>
          </w:tcPr>
          <w:p w14:paraId="354540EE" w14:textId="77777777" w:rsidR="00AD0875" w:rsidRDefault="00000000">
            <w:pPr>
              <w:spacing w:before="40" w:after="40" w:line="240" w:lineRule="auto"/>
            </w:pPr>
            <w:r>
              <w:rPr>
                <w:sz w:val="18"/>
              </w:rPr>
              <w:t>Permits transfer of small tracers used in some transfer assays, but cannot account for particulate movement</w:t>
            </w:r>
          </w:p>
        </w:tc>
        <w:tc>
          <w:tcPr>
            <w:tcW w:w="1568" w:type="dxa"/>
          </w:tcPr>
          <w:p w14:paraId="3CD8AEB9" w14:textId="77777777" w:rsidR="00AD0875" w:rsidRDefault="00000000">
            <w:pPr>
              <w:spacing w:before="40" w:after="40" w:line="240" w:lineRule="auto"/>
            </w:pPr>
            <w:r>
              <w:rPr>
                <w:sz w:val="18"/>
              </w:rPr>
              <w:t>Cordero Cervantes &amp; Zurzolo (2021); Dong et al. (2026)</w:t>
            </w:r>
          </w:p>
        </w:tc>
      </w:tr>
      <w:tr w:rsidR="00AD0875" w14:paraId="1DCE7EDC" w14:textId="77777777">
        <w:trPr>
          <w:jc w:val="center"/>
        </w:trPr>
        <w:tc>
          <w:tcPr>
            <w:tcW w:w="1568" w:type="dxa"/>
          </w:tcPr>
          <w:p w14:paraId="0C2F65D3" w14:textId="77777777" w:rsidR="00AD0875" w:rsidRDefault="00000000">
            <w:pPr>
              <w:spacing w:before="40" w:after="40" w:line="240" w:lineRule="auto"/>
            </w:pPr>
            <w:r>
              <w:rPr>
                <w:sz w:val="18"/>
              </w:rPr>
              <w:t>Direct membrane contact and exchange</w:t>
            </w:r>
          </w:p>
        </w:tc>
        <w:tc>
          <w:tcPr>
            <w:tcW w:w="1568" w:type="dxa"/>
          </w:tcPr>
          <w:p w14:paraId="1161FEB6" w14:textId="77777777" w:rsidR="00AD0875" w:rsidRDefault="00000000">
            <w:pPr>
              <w:spacing w:before="40" w:after="40" w:line="240" w:lineRule="auto"/>
            </w:pPr>
            <w:r>
              <w:rPr>
                <w:sz w:val="18"/>
              </w:rPr>
              <w:t xml:space="preserve">Close apposition permitting transfer of membrane-associated </w:t>
            </w:r>
            <w:r>
              <w:rPr>
                <w:sz w:val="18"/>
              </w:rPr>
              <w:lastRenderedPageBreak/>
              <w:t>proteins without luminal continuity</w:t>
            </w:r>
          </w:p>
        </w:tc>
        <w:tc>
          <w:tcPr>
            <w:tcW w:w="1568" w:type="dxa"/>
          </w:tcPr>
          <w:p w14:paraId="7775424A" w14:textId="77777777" w:rsidR="00AD0875" w:rsidRDefault="00000000">
            <w:pPr>
              <w:spacing w:before="40" w:after="40" w:line="240" w:lineRule="auto"/>
            </w:pPr>
            <w:r>
              <w:rPr>
                <w:sz w:val="18"/>
              </w:rPr>
              <w:lastRenderedPageBreak/>
              <w:t>Absent</w:t>
            </w:r>
          </w:p>
        </w:tc>
        <w:tc>
          <w:tcPr>
            <w:tcW w:w="1568" w:type="dxa"/>
          </w:tcPr>
          <w:p w14:paraId="687CF73C" w14:textId="77777777" w:rsidR="00AD0875" w:rsidRDefault="00000000">
            <w:pPr>
              <w:spacing w:before="40" w:after="40" w:line="240" w:lineRule="auto"/>
            </w:pPr>
            <w:r>
              <w:rPr>
                <w:sz w:val="18"/>
              </w:rPr>
              <w:t>Limited to membrane-associated material</w:t>
            </w:r>
          </w:p>
        </w:tc>
        <w:tc>
          <w:tcPr>
            <w:tcW w:w="1568" w:type="dxa"/>
          </w:tcPr>
          <w:p w14:paraId="1D25976F" w14:textId="77777777" w:rsidR="00AD0875" w:rsidRDefault="00000000">
            <w:pPr>
              <w:spacing w:before="40" w:after="40" w:line="240" w:lineRule="auto"/>
            </w:pPr>
            <w:r>
              <w:rPr>
                <w:sz w:val="18"/>
              </w:rPr>
              <w:t xml:space="preserve">Mediates transfer of efflux transporters alongside </w:t>
            </w:r>
            <w:r>
              <w:rPr>
                <w:sz w:val="18"/>
              </w:rPr>
              <w:lastRenderedPageBreak/>
              <w:t>nanotube-dependent routes in the same cell system</w:t>
            </w:r>
          </w:p>
        </w:tc>
        <w:tc>
          <w:tcPr>
            <w:tcW w:w="1568" w:type="dxa"/>
          </w:tcPr>
          <w:p w14:paraId="462F409C" w14:textId="77777777" w:rsidR="00AD0875" w:rsidRDefault="00000000">
            <w:pPr>
              <w:spacing w:before="40" w:after="40" w:line="240" w:lineRule="auto"/>
            </w:pPr>
            <w:r>
              <w:rPr>
                <w:sz w:val="18"/>
              </w:rPr>
              <w:lastRenderedPageBreak/>
              <w:t>Pasquier et al. (2012)</w:t>
            </w:r>
          </w:p>
        </w:tc>
      </w:tr>
    </w:tbl>
    <w:p w14:paraId="15E57DC4" w14:textId="77777777" w:rsidR="00AD0875" w:rsidRDefault="00000000">
      <w:pPr>
        <w:spacing w:before="80" w:after="240" w:line="240" w:lineRule="auto"/>
      </w:pPr>
      <w:r>
        <w:rPr>
          <w:sz w:val="18"/>
        </w:rPr>
        <w:t>Note. Cytoplasmic continuity denotes a continuous lumen permitting passage of membrane-bound compartments. Entries describe the evidence available for each structure rather than asserting that a property has been excluded where it has not been tested.</w:t>
      </w:r>
    </w:p>
    <w:p w14:paraId="20167264" w14:textId="77777777" w:rsidR="00AD0875" w:rsidRDefault="00000000">
      <w:pPr>
        <w:spacing w:before="240" w:after="120" w:line="360" w:lineRule="auto"/>
      </w:pPr>
      <w:r>
        <w:rPr>
          <w:b/>
          <w:color w:val="000000"/>
          <w:sz w:val="28"/>
        </w:rPr>
        <w:t>4. The Empirical Basis for Nanomaterial Transfer</w:t>
      </w:r>
    </w:p>
    <w:p w14:paraId="182F23EC" w14:textId="77777777" w:rsidR="00AD0875" w:rsidRDefault="00000000">
      <w:pPr>
        <w:spacing w:before="240" w:after="120" w:line="360" w:lineRule="auto"/>
      </w:pPr>
      <w:r>
        <w:rPr>
          <w:b/>
          <w:color w:val="000000"/>
        </w:rPr>
        <w:t>4.1 Inorganic and carbon-based particles</w:t>
      </w:r>
    </w:p>
    <w:p w14:paraId="6381D40C" w14:textId="77777777" w:rsidR="00AD0875" w:rsidRDefault="00000000">
      <w:pPr>
        <w:ind w:firstLine="720"/>
        <w:jc w:val="both"/>
      </w:pPr>
      <w:r>
        <w:t>The earliest systematic observations of engineered particle transfer used inorganic carriers, which had the practical advantage of being traceable without the photobleaching that limits organic fluorophores. Porous silicon microparticles were shown to move between endothelial cells by three distinct routes: direct membrane adhesion, transport along membrane extensions identified as tunnelling nanotubes, and relay through intermediate shuttle cells. The authors interpreted these events as environmentally triggered, and framed the finding explicitly as a challenge to the prevailing assumption that particles act as static intracellular depots for sustained release (Ferrati et al., 2012). This early study anticipated most of the themes that the subsequent literature has developed, including the coexistence of multiple transfer routes and the difficulty of assigning a given event to one of them.</w:t>
      </w:r>
    </w:p>
    <w:p w14:paraId="06B0BCDC" w14:textId="77777777" w:rsidR="00AD0875" w:rsidRDefault="00000000">
      <w:pPr>
        <w:ind w:firstLine="720"/>
        <w:jc w:val="both"/>
      </w:pPr>
      <w:r>
        <w:t>Fluorescent nanodiamonds have provided the most mechanistically informative inorganic evidence, precisely because their photostability permits tracking of individual particles over the timescales required. Nanodiamonds of approximately 100 nm coated with bovine serum albumin or green fluorescent protein were followed between human embryonic kidney cells and, heterotypically, to neuroblastoma cells, with flow cytometric quantification supporting open-ended connection between the two cell types (Epperla et al., 2015). The same material class has provided one of the few in vivo observations relevant to delivery: fluorescent nanodiamonds encapsulated in a human serum albumin-based biopolymer coating crossed an in vitro blood-</w:t>
      </w:r>
      <w:r>
        <w:lastRenderedPageBreak/>
        <w:t>brain barrier model by transcytosis and by direct cell-to-cell transport via nanotubes, and systemic administration in a mouse (</w:t>
      </w:r>
      <w:r>
        <w:rPr>
          <w:i/>
        </w:rPr>
        <w:t>Mus musculus</w:t>
      </w:r>
      <w:r>
        <w:t>) model confirmed brain entry with single-cell tracking showing uptake into neurons and astrocytes (Moscariello et al., 2019). The in vivo component of that study demonstrated brain delivery rather than nanotube-dependent brain delivery, and the authors were appropriately careful to present the nanotube route as a suggested mechanism, a distinction that secondary citation of this work has not always preserved.</w:t>
      </w:r>
    </w:p>
    <w:p w14:paraId="4549F7FF" w14:textId="77777777" w:rsidR="00AD0875" w:rsidRDefault="00000000">
      <w:pPr>
        <w:ind w:firstLine="720"/>
        <w:jc w:val="both"/>
      </w:pPr>
      <w:r>
        <w:t>Silica-based carriers have been examined in two contexts. Mesoporous silica nanoparticles taken up by macrophages were tracked to neighbouring cells along cytoplasmic bridges, with heterotypic transfer from murine macrophages to human cervical and lung carcinoma cells reported as robust while transfer to syngeneic murine breast carcinoma cells was not detected either in vitro or in vivo (Franco et al., 2020). That negative result is among the most useful findings in this literature, because it establishes that particle transfer between cell types is selective rather than general, and because it was obtained within the same experimental system that produced the positive results. Separately, fluorescein isothiocyanate-labelled silica nanoparticles were shown to move between cancer cells, with the authors concluding that nanotubes may play an important role in this process while acknowledging that exosomal transfer could not be fully excluded (Deng et al., 2018). The cautious phrasing of that conclusion contrasts with the more definite claims made in some subsequent citations of it.</w:t>
      </w:r>
    </w:p>
    <w:p w14:paraId="41BBD4B1" w14:textId="77777777" w:rsidR="00AD0875" w:rsidRDefault="00000000">
      <w:pPr>
        <w:spacing w:before="240" w:after="120" w:line="360" w:lineRule="auto"/>
      </w:pPr>
      <w:r>
        <w:rPr>
          <w:b/>
          <w:color w:val="000000"/>
        </w:rPr>
        <w:t>4.2 Lipid-based and polymeric carriers</w:t>
      </w:r>
    </w:p>
    <w:p w14:paraId="5DDB6915" w14:textId="77777777" w:rsidR="00AD0875" w:rsidRDefault="00000000">
      <w:pPr>
        <w:ind w:firstLine="720"/>
        <w:jc w:val="both"/>
      </w:pPr>
      <w:r>
        <w:t xml:space="preserve">Solid lipid nanoparticles labelled with a lipophilic fluorescent probe were observed within tunnelling nanotubes during study of their intracellular trafficking, and cells treated with the particles formed more of these connections than untreated controls, with the presence of the structures confirmed independently by atomic force microscopy showing increased surface </w:t>
      </w:r>
      <w:r>
        <w:lastRenderedPageBreak/>
        <w:t>roughness in treated cells (Kristl et al., 2013). Two features of this report deserve emphasis. The transfer observation was incidental to the study's primary aim, which reduces the risk of confirmation bias, and the increase in nanotube number following particle exposure provides early evidence of the induction phenomenon later characterised mechanistically in toxicological work.</w:t>
      </w:r>
    </w:p>
    <w:p w14:paraId="455B4237" w14:textId="77777777" w:rsidR="00AD0875" w:rsidRDefault="00000000">
      <w:pPr>
        <w:ind w:firstLine="720"/>
        <w:jc w:val="both"/>
      </w:pPr>
      <w:r>
        <w:t>Polymeric carriers have been examined chiefly in neural contexts. Poly(lactide-co-glycolide) nanoparticles modified with a glycopeptide, previously shown to cross the blood-brain barrier after systemic administration in rodents, were transported between cells within vesicles following vesicular internalisation, and cell-to-cell transport occurred through nanotube-like structures in cell lines and in glial and neuronal cells. The transport was dependent on filamentous actin and was increased by overexpression of M-Sec, a known inducer of nanotube formation, with partial confirmation in vivo after intraperitoneal administration. Transfer occurred independently of antibody modification of the particle surface (Tosi et al., 2014). The use of a genetic manipulation known to increase nanotube abundance, combined with actin dependence, constitutes a stronger causal argument than colocalisation alone, and this study remains among the better-controlled demonstrations available.</w:t>
      </w:r>
    </w:p>
    <w:p w14:paraId="59080DEC" w14:textId="77777777" w:rsidR="00AD0875" w:rsidRDefault="00000000">
      <w:pPr>
        <w:ind w:firstLine="720"/>
        <w:jc w:val="both"/>
      </w:pPr>
      <w:r>
        <w:t>Liposomal carriers have been examined in glioblastoma. Liposomes composed of cholesterol and sphingomyelin and surface-functionalised with a modified apolipoprotein E-derived peptide and chlorotoxin were transferred between human glioblastoma cells through nanotubes, and transfer occurred to a lesser extent through the protrusions formed by normal human astrocytes. The authors first established that the glioblastoma cells formed predominantly thick and long protrusions whereas the astrocytes formed thinner and shorter ones, and argued that this structural difference might be exploited to increase treatment selectivity (Formicola et al., 2019). The proposal that differential nanotube morphology between malignant and non-</w:t>
      </w:r>
      <w:r>
        <w:lastRenderedPageBreak/>
        <w:t>malignant cells could confer selectivity is attractive and, at present, untested beyond this system. It rests on a comparison between one tumour cell line and one astrocyte preparation, and the generality of the morphological distinction is unknown.</w:t>
      </w:r>
    </w:p>
    <w:p w14:paraId="250AFDB0" w14:textId="77777777" w:rsidR="00AD0875" w:rsidRDefault="00000000">
      <w:pPr>
        <w:spacing w:before="240" w:after="120" w:line="360" w:lineRule="auto"/>
      </w:pPr>
      <w:r>
        <w:rPr>
          <w:b/>
          <w:color w:val="000000"/>
        </w:rPr>
        <w:t>4.3 Physicochemical determinants of transfer efficiency</w:t>
      </w:r>
    </w:p>
    <w:p w14:paraId="31B31271" w14:textId="77777777" w:rsidR="00AD0875" w:rsidRDefault="00000000">
      <w:pPr>
        <w:ind w:firstLine="720"/>
        <w:jc w:val="both"/>
      </w:pPr>
      <w:r>
        <w:t>Across the studies described above, the properties that recur as determinants of transfer are particle geometry, deformability, surface charge and the nature of the intracellular compartment in which the particle resides. Shape emerges as the strongest single determinant from the one study designed to isolate it, in which discoidal particles outperformed spherical and deformable counterparts matched for stiffness and charge (Sierri et al., 2025). Size appears to matter chiefly through its relation to the internal dimensions of the individual tubes within a bundle, which the cryo-electron microscopy evidence indicates are considerably narrower than the apparent width of the connection (Sartori-Rupp et al., 2019). Surface chemistry appears to operate indirectly, by determining the uptake pathway and therefore the compartment in which the particle is enclosed, rather than by direct interaction with the tube lumen; the finding that antibody modification did not alter cell-to-cell transport of polymeric particles is consistent with this interpretation (Tosi et al., 2014).</w:t>
      </w:r>
    </w:p>
    <w:p w14:paraId="3DD75A29" w14:textId="77777777" w:rsidR="00AD0875" w:rsidRDefault="00000000">
      <w:pPr>
        <w:ind w:firstLine="720"/>
        <w:jc w:val="both"/>
      </w:pPr>
      <w:r>
        <w:t>What is absent is a systematic parametric study. No published work varies size, shape, charge, stiffness and surface chemistry across a common platform in a single cell system with a common readout. The determinants listed above are therefore inferred by comparison across studies that differ in cell type, imaging method, exposure duration and quantification approach, and the resulting confidence is correspondingly modest. The inference that shape dominates size is supported by direct comparison within one study and is plausible on physical grounds, but it has not been reproduced independently.</w:t>
      </w:r>
    </w:p>
    <w:p w14:paraId="09AA99F6" w14:textId="77777777" w:rsidR="00AD0875" w:rsidRDefault="00000000">
      <w:pPr>
        <w:spacing w:before="240" w:after="120" w:line="360" w:lineRule="auto"/>
      </w:pPr>
      <w:r>
        <w:rPr>
          <w:b/>
          <w:color w:val="000000"/>
        </w:rPr>
        <w:lastRenderedPageBreak/>
        <w:t>4.4 Strength and fragility of the transfer evidence</w:t>
      </w:r>
    </w:p>
    <w:p w14:paraId="70E11548" w14:textId="77777777" w:rsidR="00AD0875" w:rsidRDefault="00000000">
      <w:pPr>
        <w:ind w:firstLine="720"/>
        <w:jc w:val="both"/>
      </w:pPr>
      <w:r>
        <w:t>Taken together, the transfer literature establishes with reasonable confidence that engineered particles of several compositions can move from one cell to another along thin membranous connections, that this occurs across homotypic and heterotypic pairs, and that the phenomenon is not confined to a single material class. Convergence across chemically dissimilar carriers, independent laboratories and multiple cell types is the principal source of this confidence. Several individual studies additionally employed disruption controls, genetic manipulation of nanotube abundance, or assays designed to exclude vesicular routes, which strengthens attribution in those specific instances (Epperla et al., 2015; Guo et al., 2019; Thayanithy et al., 2017; Tosi et al., 2014).</w:t>
      </w:r>
    </w:p>
    <w:p w14:paraId="05FA5DBA" w14:textId="77777777" w:rsidR="00AD0875" w:rsidRDefault="00000000">
      <w:pPr>
        <w:ind w:firstLine="720"/>
        <w:jc w:val="both"/>
      </w:pPr>
      <w:r>
        <w:t>The fragilities are equally clear. Most observations derive from two-dimensional culture on rigid substrata over short intervals. Quantification is usually expressed as the proportion of recipient cells containing detectable signal, which conflates the number of transfer events with the amount transferred per event and provides no basis for estimating delivered dose. Attribution to nanotubes specifically, as opposed to extracellular vesicles, direct membrane contact or cell debris uptake, is established in a minority of reports. Donor cell viability is seldom monitored with sufficient rigour to exclude release of particles from dying cells. Observation windows are frequently shorter than the timescale over which a therapeutically meaningful redistribution would occur. Publication of negative findings is rare, and the single prominent negative result in this literature was reported incidentally within a study whose other comparisons were positive (Franco et al., 2020).</w:t>
      </w:r>
    </w:p>
    <w:p w14:paraId="70EA51B4" w14:textId="77777777" w:rsidR="00AD0875" w:rsidRDefault="00000000">
      <w:pPr>
        <w:ind w:firstLine="720"/>
        <w:jc w:val="both"/>
      </w:pPr>
      <w:r>
        <w:t xml:space="preserve">The transfer evidence thus supports the existence of the phenomenon but not its magnitude, controllability or therapeutic consequence. Those questions have been engaged most </w:t>
      </w:r>
      <w:r>
        <w:lastRenderedPageBreak/>
        <w:t>directly in oncology, where the conduits have been proposed simultaneously as a cause of treatment failure and as a means of overcoming it.</w:t>
      </w:r>
    </w:p>
    <w:p w14:paraId="684D5BE0" w14:textId="77777777" w:rsidR="00AD0875" w:rsidRDefault="00000000">
      <w:pPr>
        <w:ind w:firstLine="720"/>
        <w:jc w:val="both"/>
      </w:pPr>
      <w:r>
        <w:t>Representative studies reporting nanomaterial transfer are compared in Table 2, which sets each study's carrier and model system against the evidence actually offered for nanotube attribution and the principal limitation affecting interpretation. The comparison reveals that the studies providing the most convincing attribution are not generally those providing the most therapeutically relevant models, and conversely that the studies conducted in the most disease-relevant systems tend to rely on weaker attribution. This inverse relationship between mechanistic rigour and translational relevance is, in the judgement advanced here, the defining methodological characteristic of the present evidence base, and it explains why enthusiasm and scepticism about nanotube-mediated delivery can both be defended from the same body of work.</w:t>
      </w:r>
    </w:p>
    <w:p w14:paraId="7ACA9962" w14:textId="77777777" w:rsidR="00AD0875" w:rsidRDefault="00000000">
      <w:pPr>
        <w:spacing w:before="240" w:after="80" w:line="240" w:lineRule="auto"/>
      </w:pPr>
      <w:r>
        <w:rPr>
          <w:b/>
          <w:sz w:val="20"/>
        </w:rPr>
        <w:t>Table 2. Representative studies reporting transfer of engineered nanomaterials through tunnelling nanotubes, with the evidence offered for attribution</w:t>
      </w:r>
    </w:p>
    <w:tbl>
      <w:tblPr>
        <w:tblStyle w:val="TableGrid"/>
        <w:tblW w:w="0" w:type="auto"/>
        <w:jc w:val="center"/>
        <w:tblLook w:val="04A0" w:firstRow="1" w:lastRow="0" w:firstColumn="1" w:lastColumn="0" w:noHBand="0" w:noVBand="1"/>
      </w:tblPr>
      <w:tblGrid>
        <w:gridCol w:w="1881"/>
        <w:gridCol w:w="1881"/>
        <w:gridCol w:w="1881"/>
        <w:gridCol w:w="1881"/>
        <w:gridCol w:w="1881"/>
      </w:tblGrid>
      <w:tr w:rsidR="00AD0875" w14:paraId="0E72969D" w14:textId="77777777">
        <w:trPr>
          <w:jc w:val="center"/>
        </w:trPr>
        <w:tc>
          <w:tcPr>
            <w:tcW w:w="1881" w:type="dxa"/>
          </w:tcPr>
          <w:p w14:paraId="496B2BDA" w14:textId="77777777" w:rsidR="00AD0875" w:rsidRDefault="00000000">
            <w:pPr>
              <w:spacing w:before="40" w:after="40" w:line="240" w:lineRule="auto"/>
            </w:pPr>
            <w:r>
              <w:rPr>
                <w:b/>
                <w:sz w:val="18"/>
              </w:rPr>
              <w:t>Carrier and approximate size</w:t>
            </w:r>
          </w:p>
        </w:tc>
        <w:tc>
          <w:tcPr>
            <w:tcW w:w="1881" w:type="dxa"/>
          </w:tcPr>
          <w:p w14:paraId="2F7E2FB9" w14:textId="77777777" w:rsidR="00AD0875" w:rsidRDefault="00000000">
            <w:pPr>
              <w:spacing w:before="40" w:after="40" w:line="240" w:lineRule="auto"/>
            </w:pPr>
            <w:r>
              <w:rPr>
                <w:b/>
                <w:sz w:val="18"/>
              </w:rPr>
              <w:t>Model system</w:t>
            </w:r>
          </w:p>
        </w:tc>
        <w:tc>
          <w:tcPr>
            <w:tcW w:w="1881" w:type="dxa"/>
          </w:tcPr>
          <w:p w14:paraId="16F9AAC5" w14:textId="77777777" w:rsidR="00AD0875" w:rsidRDefault="00000000">
            <w:pPr>
              <w:spacing w:before="40" w:after="40" w:line="240" w:lineRule="auto"/>
            </w:pPr>
            <w:r>
              <w:rPr>
                <w:b/>
                <w:sz w:val="18"/>
              </w:rPr>
              <w:t>Evidence offered for attribution to nanotubes</w:t>
            </w:r>
          </w:p>
        </w:tc>
        <w:tc>
          <w:tcPr>
            <w:tcW w:w="1881" w:type="dxa"/>
          </w:tcPr>
          <w:p w14:paraId="031903E3" w14:textId="77777777" w:rsidR="00AD0875" w:rsidRDefault="00000000">
            <w:pPr>
              <w:spacing w:before="40" w:after="40" w:line="240" w:lineRule="auto"/>
            </w:pPr>
            <w:r>
              <w:rPr>
                <w:b/>
                <w:sz w:val="18"/>
              </w:rPr>
              <w:t>Principal limitation affecting interpretation</w:t>
            </w:r>
          </w:p>
        </w:tc>
        <w:tc>
          <w:tcPr>
            <w:tcW w:w="1881" w:type="dxa"/>
          </w:tcPr>
          <w:p w14:paraId="71B6D768" w14:textId="77777777" w:rsidR="00AD0875" w:rsidRDefault="00000000">
            <w:pPr>
              <w:spacing w:before="40" w:after="40" w:line="240" w:lineRule="auto"/>
            </w:pPr>
            <w:r>
              <w:rPr>
                <w:b/>
                <w:sz w:val="18"/>
              </w:rPr>
              <w:t>Supporting references</w:t>
            </w:r>
          </w:p>
        </w:tc>
      </w:tr>
      <w:tr w:rsidR="00AD0875" w14:paraId="1DD916C4" w14:textId="77777777">
        <w:trPr>
          <w:jc w:val="center"/>
        </w:trPr>
        <w:tc>
          <w:tcPr>
            <w:tcW w:w="1881" w:type="dxa"/>
          </w:tcPr>
          <w:p w14:paraId="5D08C9BE" w14:textId="77777777" w:rsidR="00AD0875" w:rsidRDefault="00000000">
            <w:pPr>
              <w:spacing w:before="40" w:after="40" w:line="240" w:lineRule="auto"/>
            </w:pPr>
            <w:r>
              <w:rPr>
                <w:sz w:val="18"/>
              </w:rPr>
              <w:t>Porous silicon microparticles</w:t>
            </w:r>
          </w:p>
        </w:tc>
        <w:tc>
          <w:tcPr>
            <w:tcW w:w="1881" w:type="dxa"/>
          </w:tcPr>
          <w:p w14:paraId="35306D85" w14:textId="77777777" w:rsidR="00AD0875" w:rsidRDefault="00000000">
            <w:pPr>
              <w:spacing w:before="40" w:after="40" w:line="240" w:lineRule="auto"/>
            </w:pPr>
            <w:r>
              <w:rPr>
                <w:sz w:val="18"/>
              </w:rPr>
              <w:t>Human endothelial cells in culture</w:t>
            </w:r>
          </w:p>
        </w:tc>
        <w:tc>
          <w:tcPr>
            <w:tcW w:w="1881" w:type="dxa"/>
          </w:tcPr>
          <w:p w14:paraId="1DE64596" w14:textId="77777777" w:rsidR="00AD0875" w:rsidRDefault="00000000">
            <w:pPr>
              <w:spacing w:before="40" w:after="40" w:line="240" w:lineRule="auto"/>
            </w:pPr>
            <w:r>
              <w:rPr>
                <w:sz w:val="18"/>
              </w:rPr>
              <w:t>Morphological identification of membrane extensions; three transfer routes distinguished descriptively</w:t>
            </w:r>
          </w:p>
        </w:tc>
        <w:tc>
          <w:tcPr>
            <w:tcW w:w="1881" w:type="dxa"/>
          </w:tcPr>
          <w:p w14:paraId="26083CCC" w14:textId="77777777" w:rsidR="00AD0875" w:rsidRDefault="00000000">
            <w:pPr>
              <w:spacing w:before="40" w:after="40" w:line="240" w:lineRule="auto"/>
            </w:pPr>
            <w:r>
              <w:rPr>
                <w:sz w:val="18"/>
              </w:rPr>
              <w:t>Attribution rests on morphology; relative contribution of the three routes not quantified</w:t>
            </w:r>
          </w:p>
        </w:tc>
        <w:tc>
          <w:tcPr>
            <w:tcW w:w="1881" w:type="dxa"/>
          </w:tcPr>
          <w:p w14:paraId="25112585" w14:textId="77777777" w:rsidR="00AD0875" w:rsidRDefault="00000000">
            <w:pPr>
              <w:spacing w:before="40" w:after="40" w:line="240" w:lineRule="auto"/>
            </w:pPr>
            <w:r>
              <w:rPr>
                <w:sz w:val="18"/>
              </w:rPr>
              <w:t>Ferrati et al. (2012)</w:t>
            </w:r>
          </w:p>
        </w:tc>
      </w:tr>
      <w:tr w:rsidR="00AD0875" w14:paraId="780D9654" w14:textId="77777777">
        <w:trPr>
          <w:jc w:val="center"/>
        </w:trPr>
        <w:tc>
          <w:tcPr>
            <w:tcW w:w="1881" w:type="dxa"/>
          </w:tcPr>
          <w:p w14:paraId="2C4B2091" w14:textId="77777777" w:rsidR="00AD0875" w:rsidRDefault="00000000">
            <w:pPr>
              <w:spacing w:before="40" w:after="40" w:line="240" w:lineRule="auto"/>
            </w:pPr>
            <w:r>
              <w:rPr>
                <w:sz w:val="18"/>
              </w:rPr>
              <w:t>Solid lipid nanoparticles</w:t>
            </w:r>
          </w:p>
        </w:tc>
        <w:tc>
          <w:tcPr>
            <w:tcW w:w="1881" w:type="dxa"/>
          </w:tcPr>
          <w:p w14:paraId="592D1977" w14:textId="77777777" w:rsidR="00AD0875" w:rsidRDefault="00000000">
            <w:pPr>
              <w:spacing w:before="40" w:after="40" w:line="240" w:lineRule="auto"/>
            </w:pPr>
            <w:r>
              <w:rPr>
                <w:sz w:val="18"/>
              </w:rPr>
              <w:t>Cultured epithelial cells</w:t>
            </w:r>
          </w:p>
        </w:tc>
        <w:tc>
          <w:tcPr>
            <w:tcW w:w="1881" w:type="dxa"/>
          </w:tcPr>
          <w:p w14:paraId="3236CC50" w14:textId="77777777" w:rsidR="00AD0875" w:rsidRDefault="00000000">
            <w:pPr>
              <w:spacing w:before="40" w:after="40" w:line="240" w:lineRule="auto"/>
            </w:pPr>
            <w:r>
              <w:rPr>
                <w:sz w:val="18"/>
              </w:rPr>
              <w:t>Colocalisation within identified connections; independent confirmation of the structures by atomic force microscopy; increased connection number after exposure</w:t>
            </w:r>
          </w:p>
        </w:tc>
        <w:tc>
          <w:tcPr>
            <w:tcW w:w="1881" w:type="dxa"/>
          </w:tcPr>
          <w:p w14:paraId="7B48E9FB" w14:textId="77777777" w:rsidR="00AD0875" w:rsidRDefault="00000000">
            <w:pPr>
              <w:spacing w:before="40" w:after="40" w:line="240" w:lineRule="auto"/>
            </w:pPr>
            <w:r>
              <w:rPr>
                <w:sz w:val="18"/>
              </w:rPr>
              <w:t>Transfer observation incidental to primary aim; no contact-excluding control</w:t>
            </w:r>
          </w:p>
        </w:tc>
        <w:tc>
          <w:tcPr>
            <w:tcW w:w="1881" w:type="dxa"/>
          </w:tcPr>
          <w:p w14:paraId="374548FB" w14:textId="77777777" w:rsidR="00AD0875" w:rsidRDefault="00000000">
            <w:pPr>
              <w:spacing w:before="40" w:after="40" w:line="240" w:lineRule="auto"/>
            </w:pPr>
            <w:r>
              <w:rPr>
                <w:sz w:val="18"/>
              </w:rPr>
              <w:t>Kristl et al. (2013)</w:t>
            </w:r>
          </w:p>
        </w:tc>
      </w:tr>
      <w:tr w:rsidR="00AD0875" w14:paraId="00E1E096" w14:textId="77777777">
        <w:trPr>
          <w:jc w:val="center"/>
        </w:trPr>
        <w:tc>
          <w:tcPr>
            <w:tcW w:w="1881" w:type="dxa"/>
          </w:tcPr>
          <w:p w14:paraId="3C4D09DB" w14:textId="77777777" w:rsidR="00AD0875" w:rsidRDefault="00000000">
            <w:pPr>
              <w:spacing w:before="40" w:after="40" w:line="240" w:lineRule="auto"/>
            </w:pPr>
            <w:r>
              <w:rPr>
                <w:sz w:val="18"/>
              </w:rPr>
              <w:t>Glycopeptide-modified poly(lactide-co-glycolide) nanoparticles</w:t>
            </w:r>
          </w:p>
        </w:tc>
        <w:tc>
          <w:tcPr>
            <w:tcW w:w="1881" w:type="dxa"/>
          </w:tcPr>
          <w:p w14:paraId="727FDB6A" w14:textId="77777777" w:rsidR="00AD0875" w:rsidRDefault="00000000">
            <w:pPr>
              <w:spacing w:before="40" w:after="40" w:line="240" w:lineRule="auto"/>
            </w:pPr>
            <w:r>
              <w:rPr>
                <w:sz w:val="18"/>
              </w:rPr>
              <w:t>Cell lines, glial and neuronal cells; partial in vivo confirmation in rodents</w:t>
            </w:r>
          </w:p>
        </w:tc>
        <w:tc>
          <w:tcPr>
            <w:tcW w:w="1881" w:type="dxa"/>
          </w:tcPr>
          <w:p w14:paraId="2E116EF0" w14:textId="77777777" w:rsidR="00AD0875" w:rsidRDefault="00000000">
            <w:pPr>
              <w:spacing w:before="40" w:after="40" w:line="240" w:lineRule="auto"/>
            </w:pPr>
            <w:r>
              <w:rPr>
                <w:sz w:val="18"/>
              </w:rPr>
              <w:t>Dependence on filamentous actin; increase in transport following overexpression of a known inducer of nanotube formation</w:t>
            </w:r>
          </w:p>
        </w:tc>
        <w:tc>
          <w:tcPr>
            <w:tcW w:w="1881" w:type="dxa"/>
          </w:tcPr>
          <w:p w14:paraId="6DD9C9B9" w14:textId="77777777" w:rsidR="00AD0875" w:rsidRDefault="00000000">
            <w:pPr>
              <w:spacing w:before="40" w:after="40" w:line="240" w:lineRule="auto"/>
            </w:pPr>
            <w:r>
              <w:rPr>
                <w:sz w:val="18"/>
              </w:rPr>
              <w:t>In vivo component confirms presence and transport but not that the route accounted for the therapeutic distribution</w:t>
            </w:r>
          </w:p>
        </w:tc>
        <w:tc>
          <w:tcPr>
            <w:tcW w:w="1881" w:type="dxa"/>
          </w:tcPr>
          <w:p w14:paraId="571CA48F" w14:textId="77777777" w:rsidR="00AD0875" w:rsidRDefault="00000000">
            <w:pPr>
              <w:spacing w:before="40" w:after="40" w:line="240" w:lineRule="auto"/>
            </w:pPr>
            <w:r>
              <w:rPr>
                <w:sz w:val="18"/>
              </w:rPr>
              <w:t>Tosi et al. (2014)</w:t>
            </w:r>
          </w:p>
        </w:tc>
      </w:tr>
      <w:tr w:rsidR="00AD0875" w14:paraId="30CC384A" w14:textId="77777777">
        <w:trPr>
          <w:jc w:val="center"/>
        </w:trPr>
        <w:tc>
          <w:tcPr>
            <w:tcW w:w="1881" w:type="dxa"/>
          </w:tcPr>
          <w:p w14:paraId="74719DC6" w14:textId="77777777" w:rsidR="00AD0875" w:rsidRDefault="00000000">
            <w:pPr>
              <w:spacing w:before="40" w:after="40" w:line="240" w:lineRule="auto"/>
            </w:pPr>
            <w:r>
              <w:rPr>
                <w:sz w:val="18"/>
              </w:rPr>
              <w:t xml:space="preserve">Protein-coated fluorescent nanodiamonds, </w:t>
            </w:r>
            <w:r>
              <w:rPr>
                <w:sz w:val="18"/>
              </w:rPr>
              <w:lastRenderedPageBreak/>
              <w:t>approximately 100 nm</w:t>
            </w:r>
          </w:p>
        </w:tc>
        <w:tc>
          <w:tcPr>
            <w:tcW w:w="1881" w:type="dxa"/>
          </w:tcPr>
          <w:p w14:paraId="45BEB97B" w14:textId="77777777" w:rsidR="00AD0875" w:rsidRDefault="00000000">
            <w:pPr>
              <w:spacing w:before="40" w:after="40" w:line="240" w:lineRule="auto"/>
            </w:pPr>
            <w:r>
              <w:rPr>
                <w:sz w:val="18"/>
              </w:rPr>
              <w:lastRenderedPageBreak/>
              <w:t>Human embryonic kidney and neuroblastoma cells</w:t>
            </w:r>
          </w:p>
        </w:tc>
        <w:tc>
          <w:tcPr>
            <w:tcW w:w="1881" w:type="dxa"/>
          </w:tcPr>
          <w:p w14:paraId="40DE6F23" w14:textId="77777777" w:rsidR="00AD0875" w:rsidRDefault="00000000">
            <w:pPr>
              <w:spacing w:before="40" w:after="40" w:line="240" w:lineRule="auto"/>
            </w:pPr>
            <w:r>
              <w:rPr>
                <w:sz w:val="18"/>
              </w:rPr>
              <w:t xml:space="preserve">Single-particle tracking showing motor-characteristic </w:t>
            </w:r>
            <w:r>
              <w:rPr>
                <w:sz w:val="18"/>
              </w:rPr>
              <w:lastRenderedPageBreak/>
              <w:t>motion within connections; flow cytometric quantification of heterotypic transfer</w:t>
            </w:r>
          </w:p>
        </w:tc>
        <w:tc>
          <w:tcPr>
            <w:tcW w:w="1881" w:type="dxa"/>
          </w:tcPr>
          <w:p w14:paraId="305A682F" w14:textId="77777777" w:rsidR="00AD0875" w:rsidRDefault="00000000">
            <w:pPr>
              <w:spacing w:before="40" w:after="40" w:line="240" w:lineRule="auto"/>
            </w:pPr>
            <w:r>
              <w:rPr>
                <w:sz w:val="18"/>
              </w:rPr>
              <w:lastRenderedPageBreak/>
              <w:t>Cell types not disease-relevant; two-dimensional culture</w:t>
            </w:r>
          </w:p>
        </w:tc>
        <w:tc>
          <w:tcPr>
            <w:tcW w:w="1881" w:type="dxa"/>
          </w:tcPr>
          <w:p w14:paraId="175B9E15" w14:textId="77777777" w:rsidR="00AD0875" w:rsidRDefault="00000000">
            <w:pPr>
              <w:spacing w:before="40" w:after="40" w:line="240" w:lineRule="auto"/>
            </w:pPr>
            <w:r>
              <w:rPr>
                <w:sz w:val="18"/>
              </w:rPr>
              <w:t>Epperla et al. (2015)</w:t>
            </w:r>
          </w:p>
        </w:tc>
      </w:tr>
      <w:tr w:rsidR="00AD0875" w14:paraId="6FB1D3D3" w14:textId="77777777">
        <w:trPr>
          <w:jc w:val="center"/>
        </w:trPr>
        <w:tc>
          <w:tcPr>
            <w:tcW w:w="1881" w:type="dxa"/>
          </w:tcPr>
          <w:p w14:paraId="25982C40" w14:textId="77777777" w:rsidR="00AD0875" w:rsidRDefault="00000000">
            <w:pPr>
              <w:spacing w:before="40" w:after="40" w:line="240" w:lineRule="auto"/>
            </w:pPr>
            <w:r>
              <w:rPr>
                <w:sz w:val="18"/>
              </w:rPr>
              <w:t>Fluorescein isothiocyanate-labelled silica nanoparticles</w:t>
            </w:r>
          </w:p>
        </w:tc>
        <w:tc>
          <w:tcPr>
            <w:tcW w:w="1881" w:type="dxa"/>
          </w:tcPr>
          <w:p w14:paraId="59E66405" w14:textId="77777777" w:rsidR="00AD0875" w:rsidRDefault="00000000">
            <w:pPr>
              <w:spacing w:before="40" w:after="40" w:line="240" w:lineRule="auto"/>
            </w:pPr>
            <w:r>
              <w:rPr>
                <w:sz w:val="18"/>
              </w:rPr>
              <w:t>Cancer cell lines</w:t>
            </w:r>
          </w:p>
        </w:tc>
        <w:tc>
          <w:tcPr>
            <w:tcW w:w="1881" w:type="dxa"/>
          </w:tcPr>
          <w:p w14:paraId="76980CAC" w14:textId="77777777" w:rsidR="00AD0875" w:rsidRDefault="00000000">
            <w:pPr>
              <w:spacing w:before="40" w:after="40" w:line="240" w:lineRule="auto"/>
            </w:pPr>
            <w:r>
              <w:rPr>
                <w:sz w:val="18"/>
              </w:rPr>
              <w:t>Observation of particles within connections</w:t>
            </w:r>
          </w:p>
        </w:tc>
        <w:tc>
          <w:tcPr>
            <w:tcW w:w="1881" w:type="dxa"/>
          </w:tcPr>
          <w:p w14:paraId="422B222A" w14:textId="77777777" w:rsidR="00AD0875" w:rsidRDefault="00000000">
            <w:pPr>
              <w:spacing w:before="40" w:after="40" w:line="240" w:lineRule="auto"/>
            </w:pPr>
            <w:r>
              <w:rPr>
                <w:sz w:val="18"/>
              </w:rPr>
              <w:t>Exosomal contribution not excluded; authors' own conclusion appropriately tentative</w:t>
            </w:r>
          </w:p>
        </w:tc>
        <w:tc>
          <w:tcPr>
            <w:tcW w:w="1881" w:type="dxa"/>
          </w:tcPr>
          <w:p w14:paraId="0BCA6C85" w14:textId="77777777" w:rsidR="00AD0875" w:rsidRDefault="00000000">
            <w:pPr>
              <w:spacing w:before="40" w:after="40" w:line="240" w:lineRule="auto"/>
            </w:pPr>
            <w:r>
              <w:rPr>
                <w:sz w:val="18"/>
              </w:rPr>
              <w:t>Deng et al. (2018)</w:t>
            </w:r>
          </w:p>
        </w:tc>
      </w:tr>
      <w:tr w:rsidR="00AD0875" w14:paraId="2DDDD319" w14:textId="77777777">
        <w:trPr>
          <w:jc w:val="center"/>
        </w:trPr>
        <w:tc>
          <w:tcPr>
            <w:tcW w:w="1881" w:type="dxa"/>
          </w:tcPr>
          <w:p w14:paraId="1418379F" w14:textId="77777777" w:rsidR="00AD0875" w:rsidRDefault="00000000">
            <w:pPr>
              <w:spacing w:before="40" w:after="40" w:line="240" w:lineRule="auto"/>
            </w:pPr>
            <w:r>
              <w:rPr>
                <w:sz w:val="18"/>
              </w:rPr>
              <w:t>Doxorubicin carried by M1-polarised macrophages</w:t>
            </w:r>
          </w:p>
        </w:tc>
        <w:tc>
          <w:tcPr>
            <w:tcW w:w="1881" w:type="dxa"/>
          </w:tcPr>
          <w:p w14:paraId="001A8CE2" w14:textId="77777777" w:rsidR="00AD0875" w:rsidRDefault="00000000">
            <w:pPr>
              <w:spacing w:before="40" w:after="40" w:line="240" w:lineRule="auto"/>
            </w:pPr>
            <w:r>
              <w:rPr>
                <w:sz w:val="18"/>
              </w:rPr>
              <w:t>Ovarian carcinoma in vitro and peritoneal metastatic model in mice</w:t>
            </w:r>
          </w:p>
        </w:tc>
        <w:tc>
          <w:tcPr>
            <w:tcW w:w="1881" w:type="dxa"/>
          </w:tcPr>
          <w:p w14:paraId="159B5D78" w14:textId="77777777" w:rsidR="00AD0875" w:rsidRDefault="00000000">
            <w:pPr>
              <w:spacing w:before="40" w:after="40" w:line="240" w:lineRule="auto"/>
            </w:pPr>
            <w:r>
              <w:rPr>
                <w:sz w:val="18"/>
              </w:rPr>
              <w:t>Genetic, pharmacological and physical perturbation of the connections each reduced drug transfer</w:t>
            </w:r>
          </w:p>
        </w:tc>
        <w:tc>
          <w:tcPr>
            <w:tcW w:w="1881" w:type="dxa"/>
          </w:tcPr>
          <w:p w14:paraId="045D943F" w14:textId="77777777" w:rsidR="00AD0875" w:rsidRDefault="00000000">
            <w:pPr>
              <w:spacing w:before="40" w:after="40" w:line="240" w:lineRule="auto"/>
            </w:pPr>
            <w:r>
              <w:rPr>
                <w:sz w:val="18"/>
              </w:rPr>
              <w:t>In vivo endpoints measure accumulation and survival rather than route-specific transfer</w:t>
            </w:r>
          </w:p>
        </w:tc>
        <w:tc>
          <w:tcPr>
            <w:tcW w:w="1881" w:type="dxa"/>
          </w:tcPr>
          <w:p w14:paraId="150CF9F4" w14:textId="77777777" w:rsidR="00AD0875" w:rsidRDefault="00000000">
            <w:pPr>
              <w:spacing w:before="40" w:after="40" w:line="240" w:lineRule="auto"/>
            </w:pPr>
            <w:r>
              <w:rPr>
                <w:sz w:val="18"/>
              </w:rPr>
              <w:t>Guo et al. (2019)</w:t>
            </w:r>
          </w:p>
        </w:tc>
      </w:tr>
      <w:tr w:rsidR="00AD0875" w14:paraId="597BF793" w14:textId="77777777">
        <w:trPr>
          <w:jc w:val="center"/>
        </w:trPr>
        <w:tc>
          <w:tcPr>
            <w:tcW w:w="1881" w:type="dxa"/>
          </w:tcPr>
          <w:p w14:paraId="31F840BA" w14:textId="77777777" w:rsidR="00AD0875" w:rsidRDefault="00000000">
            <w:pPr>
              <w:spacing w:before="40" w:after="40" w:line="240" w:lineRule="auto"/>
            </w:pPr>
            <w:r>
              <w:rPr>
                <w:sz w:val="18"/>
              </w:rPr>
              <w:t>Functionalised cholesterol and sphingomyelin liposomes</w:t>
            </w:r>
          </w:p>
        </w:tc>
        <w:tc>
          <w:tcPr>
            <w:tcW w:w="1881" w:type="dxa"/>
          </w:tcPr>
          <w:p w14:paraId="1BD7F90A" w14:textId="77777777" w:rsidR="00AD0875" w:rsidRDefault="00000000">
            <w:pPr>
              <w:spacing w:before="40" w:after="40" w:line="240" w:lineRule="auto"/>
            </w:pPr>
            <w:r>
              <w:rPr>
                <w:sz w:val="18"/>
              </w:rPr>
              <w:t>Human glioblastoma cells and normal human astrocytes</w:t>
            </w:r>
          </w:p>
        </w:tc>
        <w:tc>
          <w:tcPr>
            <w:tcW w:w="1881" w:type="dxa"/>
          </w:tcPr>
          <w:p w14:paraId="4779A376" w14:textId="77777777" w:rsidR="00AD0875" w:rsidRDefault="00000000">
            <w:pPr>
              <w:spacing w:before="40" w:after="40" w:line="240" w:lineRule="auto"/>
            </w:pPr>
            <w:r>
              <w:rPr>
                <w:sz w:val="18"/>
              </w:rPr>
              <w:t>Differential transfer correlated with documented structural differences between the protrusions formed by each cell type</w:t>
            </w:r>
          </w:p>
        </w:tc>
        <w:tc>
          <w:tcPr>
            <w:tcW w:w="1881" w:type="dxa"/>
          </w:tcPr>
          <w:p w14:paraId="2080D3DD" w14:textId="77777777" w:rsidR="00AD0875" w:rsidRDefault="00000000">
            <w:pPr>
              <w:spacing w:before="40" w:after="40" w:line="240" w:lineRule="auto"/>
            </w:pPr>
            <w:r>
              <w:rPr>
                <w:sz w:val="18"/>
              </w:rPr>
              <w:t>Single tumour line compared with a single astrocyte preparation; generality of the morphological distinction unknown</w:t>
            </w:r>
          </w:p>
        </w:tc>
        <w:tc>
          <w:tcPr>
            <w:tcW w:w="1881" w:type="dxa"/>
          </w:tcPr>
          <w:p w14:paraId="094C91A4" w14:textId="77777777" w:rsidR="00AD0875" w:rsidRDefault="00000000">
            <w:pPr>
              <w:spacing w:before="40" w:after="40" w:line="240" w:lineRule="auto"/>
            </w:pPr>
            <w:r>
              <w:rPr>
                <w:sz w:val="18"/>
              </w:rPr>
              <w:t>Formicola et al. (2019)</w:t>
            </w:r>
          </w:p>
        </w:tc>
      </w:tr>
      <w:tr w:rsidR="00AD0875" w14:paraId="2B4E84E0" w14:textId="77777777">
        <w:trPr>
          <w:jc w:val="center"/>
        </w:trPr>
        <w:tc>
          <w:tcPr>
            <w:tcW w:w="1881" w:type="dxa"/>
          </w:tcPr>
          <w:p w14:paraId="03D5A8AF" w14:textId="77777777" w:rsidR="00AD0875" w:rsidRDefault="00000000">
            <w:pPr>
              <w:spacing w:before="40" w:after="40" w:line="240" w:lineRule="auto"/>
            </w:pPr>
            <w:r>
              <w:rPr>
                <w:sz w:val="18"/>
              </w:rPr>
              <w:t>Albumin-biopolymer-coated fluorescent nanodiamonds</w:t>
            </w:r>
          </w:p>
        </w:tc>
        <w:tc>
          <w:tcPr>
            <w:tcW w:w="1881" w:type="dxa"/>
          </w:tcPr>
          <w:p w14:paraId="36B4F2BA" w14:textId="77777777" w:rsidR="00AD0875" w:rsidRDefault="00000000">
            <w:pPr>
              <w:spacing w:before="40" w:after="40" w:line="240" w:lineRule="auto"/>
            </w:pPr>
            <w:r>
              <w:rPr>
                <w:sz w:val="18"/>
              </w:rPr>
              <w:t>In vitro blood-brain barrier model and mouse brain</w:t>
            </w:r>
          </w:p>
        </w:tc>
        <w:tc>
          <w:tcPr>
            <w:tcW w:w="1881" w:type="dxa"/>
          </w:tcPr>
          <w:p w14:paraId="56D0A967" w14:textId="77777777" w:rsidR="00AD0875" w:rsidRDefault="00000000">
            <w:pPr>
              <w:spacing w:before="40" w:after="40" w:line="240" w:lineRule="auto"/>
            </w:pPr>
            <w:r>
              <w:rPr>
                <w:sz w:val="18"/>
              </w:rPr>
              <w:t>Direct cell-to-cell transport observed in the barrier model alongside transcytosis</w:t>
            </w:r>
          </w:p>
        </w:tc>
        <w:tc>
          <w:tcPr>
            <w:tcW w:w="1881" w:type="dxa"/>
          </w:tcPr>
          <w:p w14:paraId="1DFFBA79" w14:textId="77777777" w:rsidR="00AD0875" w:rsidRDefault="00000000">
            <w:pPr>
              <w:spacing w:before="40" w:after="40" w:line="240" w:lineRule="auto"/>
            </w:pPr>
            <w:r>
              <w:rPr>
                <w:sz w:val="18"/>
              </w:rPr>
              <w:t>In vivo data establish brain delivery, with the nanotube route presented as a suggested mechanism</w:t>
            </w:r>
          </w:p>
        </w:tc>
        <w:tc>
          <w:tcPr>
            <w:tcW w:w="1881" w:type="dxa"/>
          </w:tcPr>
          <w:p w14:paraId="76A17691" w14:textId="77777777" w:rsidR="00AD0875" w:rsidRDefault="00000000">
            <w:pPr>
              <w:spacing w:before="40" w:after="40" w:line="240" w:lineRule="auto"/>
            </w:pPr>
            <w:r>
              <w:rPr>
                <w:sz w:val="18"/>
              </w:rPr>
              <w:t>Moscariello et al. (2019)</w:t>
            </w:r>
          </w:p>
        </w:tc>
      </w:tr>
      <w:tr w:rsidR="00AD0875" w14:paraId="238FFD63" w14:textId="77777777">
        <w:trPr>
          <w:jc w:val="center"/>
        </w:trPr>
        <w:tc>
          <w:tcPr>
            <w:tcW w:w="1881" w:type="dxa"/>
          </w:tcPr>
          <w:p w14:paraId="7E4C43F0" w14:textId="77777777" w:rsidR="00AD0875" w:rsidRDefault="00000000">
            <w:pPr>
              <w:spacing w:before="40" w:after="40" w:line="240" w:lineRule="auto"/>
            </w:pPr>
            <w:r>
              <w:rPr>
                <w:sz w:val="18"/>
              </w:rPr>
              <w:t>Mesoporous silica nanoparticles</w:t>
            </w:r>
          </w:p>
        </w:tc>
        <w:tc>
          <w:tcPr>
            <w:tcW w:w="1881" w:type="dxa"/>
          </w:tcPr>
          <w:p w14:paraId="4ED741BA" w14:textId="77777777" w:rsidR="00AD0875" w:rsidRDefault="00000000">
            <w:pPr>
              <w:spacing w:before="40" w:after="40" w:line="240" w:lineRule="auto"/>
            </w:pPr>
            <w:r>
              <w:rPr>
                <w:sz w:val="18"/>
              </w:rPr>
              <w:t>Murine macrophages with human and murine carcinoma lines, in vitro and in vivo</w:t>
            </w:r>
          </w:p>
        </w:tc>
        <w:tc>
          <w:tcPr>
            <w:tcW w:w="1881" w:type="dxa"/>
          </w:tcPr>
          <w:p w14:paraId="33015A02" w14:textId="77777777" w:rsidR="00AD0875" w:rsidRDefault="00000000">
            <w:pPr>
              <w:spacing w:before="40" w:after="40" w:line="240" w:lineRule="auto"/>
            </w:pPr>
            <w:r>
              <w:rPr>
                <w:sz w:val="18"/>
              </w:rPr>
              <w:t>Tracking along cytoplasmic bridges; selective transfer with one cell pairing showing no detectable transfer</w:t>
            </w:r>
          </w:p>
        </w:tc>
        <w:tc>
          <w:tcPr>
            <w:tcW w:w="1881" w:type="dxa"/>
          </w:tcPr>
          <w:p w14:paraId="55E6C59C" w14:textId="77777777" w:rsidR="00AD0875" w:rsidRDefault="00000000">
            <w:pPr>
              <w:spacing w:before="40" w:after="40" w:line="240" w:lineRule="auto"/>
            </w:pPr>
            <w:r>
              <w:rPr>
                <w:sz w:val="18"/>
              </w:rPr>
              <w:t>Negative result reported incidentally; molecular basis of selectivity not determined</w:t>
            </w:r>
          </w:p>
        </w:tc>
        <w:tc>
          <w:tcPr>
            <w:tcW w:w="1881" w:type="dxa"/>
          </w:tcPr>
          <w:p w14:paraId="1137C512" w14:textId="77777777" w:rsidR="00AD0875" w:rsidRDefault="00000000">
            <w:pPr>
              <w:spacing w:before="40" w:after="40" w:line="240" w:lineRule="auto"/>
            </w:pPr>
            <w:r>
              <w:rPr>
                <w:sz w:val="18"/>
              </w:rPr>
              <w:t>Franco et al. (2020)</w:t>
            </w:r>
          </w:p>
        </w:tc>
      </w:tr>
      <w:tr w:rsidR="00AD0875" w14:paraId="008D34C5" w14:textId="77777777">
        <w:trPr>
          <w:jc w:val="center"/>
        </w:trPr>
        <w:tc>
          <w:tcPr>
            <w:tcW w:w="1881" w:type="dxa"/>
          </w:tcPr>
          <w:p w14:paraId="65F87B21" w14:textId="77777777" w:rsidR="00AD0875" w:rsidRDefault="00000000">
            <w:pPr>
              <w:spacing w:before="40" w:after="40" w:line="240" w:lineRule="auto"/>
            </w:pPr>
            <w:r>
              <w:rPr>
                <w:sz w:val="18"/>
              </w:rPr>
              <w:t>Paclitaxel in phosphatidylserine-doped liposomes carried by microglia</w:t>
            </w:r>
          </w:p>
        </w:tc>
        <w:tc>
          <w:tcPr>
            <w:tcW w:w="1881" w:type="dxa"/>
          </w:tcPr>
          <w:p w14:paraId="08989BB9" w14:textId="77777777" w:rsidR="00AD0875" w:rsidRDefault="00000000">
            <w:pPr>
              <w:spacing w:before="40" w:after="40" w:line="240" w:lineRule="auto"/>
            </w:pPr>
            <w:r>
              <w:rPr>
                <w:sz w:val="18"/>
              </w:rPr>
              <w:t>Glioma in vitro and in vivo</w:t>
            </w:r>
          </w:p>
        </w:tc>
        <w:tc>
          <w:tcPr>
            <w:tcW w:w="1881" w:type="dxa"/>
          </w:tcPr>
          <w:p w14:paraId="619ACFE9" w14:textId="77777777" w:rsidR="00AD0875" w:rsidRDefault="00000000">
            <w:pPr>
              <w:spacing w:before="40" w:after="40" w:line="240" w:lineRule="auto"/>
            </w:pPr>
            <w:r>
              <w:rPr>
                <w:sz w:val="18"/>
              </w:rPr>
              <w:t>Identification of both vesicular and nanotube routes operating in parallel</w:t>
            </w:r>
          </w:p>
        </w:tc>
        <w:tc>
          <w:tcPr>
            <w:tcW w:w="1881" w:type="dxa"/>
          </w:tcPr>
          <w:p w14:paraId="0B271755" w14:textId="77777777" w:rsidR="00AD0875" w:rsidRDefault="00000000">
            <w:pPr>
              <w:spacing w:before="40" w:after="40" w:line="240" w:lineRule="auto"/>
            </w:pPr>
            <w:r>
              <w:rPr>
                <w:sz w:val="18"/>
              </w:rPr>
              <w:t>Contribution of each route to therapeutic effect not separable by the methods used</w:t>
            </w:r>
          </w:p>
        </w:tc>
        <w:tc>
          <w:tcPr>
            <w:tcW w:w="1881" w:type="dxa"/>
          </w:tcPr>
          <w:p w14:paraId="75B6CAC1" w14:textId="77777777" w:rsidR="00AD0875" w:rsidRDefault="00000000">
            <w:pPr>
              <w:spacing w:before="40" w:after="40" w:line="240" w:lineRule="auto"/>
            </w:pPr>
            <w:r>
              <w:rPr>
                <w:sz w:val="18"/>
              </w:rPr>
              <w:t>Du et al. (2021)</w:t>
            </w:r>
          </w:p>
        </w:tc>
      </w:tr>
      <w:tr w:rsidR="00AD0875" w14:paraId="5C1AFE52" w14:textId="77777777">
        <w:trPr>
          <w:jc w:val="center"/>
        </w:trPr>
        <w:tc>
          <w:tcPr>
            <w:tcW w:w="1881" w:type="dxa"/>
          </w:tcPr>
          <w:p w14:paraId="442E1759" w14:textId="77777777" w:rsidR="00AD0875" w:rsidRDefault="00000000">
            <w:pPr>
              <w:spacing w:before="40" w:after="40" w:line="240" w:lineRule="auto"/>
            </w:pPr>
            <w:r>
              <w:rPr>
                <w:sz w:val="18"/>
              </w:rPr>
              <w:t>Spherical, discoidal and deformable lipid-based nanoparticles below 120 nm</w:t>
            </w:r>
          </w:p>
        </w:tc>
        <w:tc>
          <w:tcPr>
            <w:tcW w:w="1881" w:type="dxa"/>
          </w:tcPr>
          <w:p w14:paraId="37428A80" w14:textId="77777777" w:rsidR="00AD0875" w:rsidRDefault="00000000">
            <w:pPr>
              <w:spacing w:before="40" w:after="40" w:line="240" w:lineRule="auto"/>
            </w:pPr>
            <w:r>
              <w:rPr>
                <w:sz w:val="18"/>
              </w:rPr>
              <w:t>Two- and three-dimensional human glioblastoma models and an in vitro blood-brain barrier model</w:t>
            </w:r>
          </w:p>
        </w:tc>
        <w:tc>
          <w:tcPr>
            <w:tcW w:w="1881" w:type="dxa"/>
          </w:tcPr>
          <w:p w14:paraId="0EC8154A" w14:textId="77777777" w:rsidR="00AD0875" w:rsidRDefault="00000000">
            <w:pPr>
              <w:spacing w:before="40" w:after="40" w:line="240" w:lineRule="auto"/>
            </w:pPr>
            <w:r>
              <w:rPr>
                <w:sz w:val="18"/>
              </w:rPr>
              <w:t>Comparative transfer efficiency and velocity measured with carriers matched for stiffness and charge</w:t>
            </w:r>
          </w:p>
        </w:tc>
        <w:tc>
          <w:tcPr>
            <w:tcW w:w="1881" w:type="dxa"/>
          </w:tcPr>
          <w:p w14:paraId="2CE5619F" w14:textId="77777777" w:rsidR="00AD0875" w:rsidRDefault="00000000">
            <w:pPr>
              <w:spacing w:before="40" w:after="40" w:line="240" w:lineRule="auto"/>
            </w:pPr>
            <w:r>
              <w:rPr>
                <w:sz w:val="18"/>
              </w:rPr>
              <w:t>Single tumour type and carrier chemistry; carrier-induced changes in connection abundance not controlled</w:t>
            </w:r>
          </w:p>
        </w:tc>
        <w:tc>
          <w:tcPr>
            <w:tcW w:w="1881" w:type="dxa"/>
          </w:tcPr>
          <w:p w14:paraId="76DECAE7" w14:textId="77777777" w:rsidR="00AD0875" w:rsidRDefault="00000000">
            <w:pPr>
              <w:spacing w:before="40" w:after="40" w:line="240" w:lineRule="auto"/>
            </w:pPr>
            <w:r>
              <w:rPr>
                <w:sz w:val="18"/>
              </w:rPr>
              <w:t>Sierri et al. (2025)</w:t>
            </w:r>
          </w:p>
        </w:tc>
      </w:tr>
      <w:tr w:rsidR="00AD0875" w14:paraId="0B64E45E" w14:textId="77777777">
        <w:trPr>
          <w:jc w:val="center"/>
        </w:trPr>
        <w:tc>
          <w:tcPr>
            <w:tcW w:w="1881" w:type="dxa"/>
          </w:tcPr>
          <w:p w14:paraId="129B7A1E" w14:textId="77777777" w:rsidR="00AD0875" w:rsidRDefault="00000000">
            <w:pPr>
              <w:spacing w:before="40" w:after="40" w:line="240" w:lineRule="auto"/>
            </w:pPr>
            <w:r>
              <w:rPr>
                <w:sz w:val="18"/>
              </w:rPr>
              <w:t>Photosensitiser hitchhiked onto mitochondria</w:t>
            </w:r>
          </w:p>
        </w:tc>
        <w:tc>
          <w:tcPr>
            <w:tcW w:w="1881" w:type="dxa"/>
          </w:tcPr>
          <w:p w14:paraId="71A87AB5" w14:textId="77777777" w:rsidR="00AD0875" w:rsidRDefault="00000000">
            <w:pPr>
              <w:spacing w:before="40" w:after="40" w:line="240" w:lineRule="auto"/>
            </w:pPr>
            <w:r>
              <w:rPr>
                <w:sz w:val="18"/>
              </w:rPr>
              <w:t>Tumour cells in vitro and in vivo</w:t>
            </w:r>
          </w:p>
        </w:tc>
        <w:tc>
          <w:tcPr>
            <w:tcW w:w="1881" w:type="dxa"/>
          </w:tcPr>
          <w:p w14:paraId="6778593A" w14:textId="77777777" w:rsidR="00AD0875" w:rsidRDefault="00000000">
            <w:pPr>
              <w:spacing w:before="40" w:after="40" w:line="240" w:lineRule="auto"/>
            </w:pPr>
            <w:r>
              <w:rPr>
                <w:sz w:val="18"/>
              </w:rPr>
              <w:t>Bidirectional modulation of transfer by varying near-infrared intensity, with both promotion and disruption demonstrated</w:t>
            </w:r>
          </w:p>
        </w:tc>
        <w:tc>
          <w:tcPr>
            <w:tcW w:w="1881" w:type="dxa"/>
          </w:tcPr>
          <w:p w14:paraId="0F04006E" w14:textId="77777777" w:rsidR="00AD0875" w:rsidRDefault="00000000">
            <w:pPr>
              <w:spacing w:before="40" w:after="40" w:line="240" w:lineRule="auto"/>
            </w:pPr>
            <w:r>
              <w:rPr>
                <w:sz w:val="18"/>
              </w:rPr>
              <w:t>Single research group; independent replication not yet available</w:t>
            </w:r>
          </w:p>
        </w:tc>
        <w:tc>
          <w:tcPr>
            <w:tcW w:w="1881" w:type="dxa"/>
          </w:tcPr>
          <w:p w14:paraId="27914731" w14:textId="77777777" w:rsidR="00AD0875" w:rsidRDefault="00000000">
            <w:pPr>
              <w:spacing w:before="40" w:after="40" w:line="240" w:lineRule="auto"/>
            </w:pPr>
            <w:r>
              <w:rPr>
                <w:sz w:val="18"/>
              </w:rPr>
              <w:t>Du et al. (2026); Peng et al. (2025)</w:t>
            </w:r>
          </w:p>
        </w:tc>
      </w:tr>
    </w:tbl>
    <w:p w14:paraId="38999B27" w14:textId="77777777" w:rsidR="00AD0875" w:rsidRDefault="00000000">
      <w:pPr>
        <w:spacing w:before="80" w:after="240" w:line="240" w:lineRule="auto"/>
      </w:pPr>
      <w:r>
        <w:rPr>
          <w:sz w:val="18"/>
        </w:rPr>
        <w:t>Note. The table presents studies selected to illustrate the range of carrier chemistries and attribution approaches and is not an exhaustive inventory of the transfer literature. Sizes are as reported by the original authors.</w:t>
      </w:r>
    </w:p>
    <w:p w14:paraId="77E1F910" w14:textId="77777777" w:rsidR="00AD0875" w:rsidRDefault="00000000">
      <w:pPr>
        <w:spacing w:before="240" w:after="120" w:line="360" w:lineRule="auto"/>
      </w:pPr>
      <w:r>
        <w:rPr>
          <w:b/>
          <w:color w:val="000000"/>
          <w:sz w:val="28"/>
        </w:rPr>
        <w:t>5. Oncological Applications: The Conduit as Liability and as Asset</w:t>
      </w:r>
    </w:p>
    <w:p w14:paraId="331CC91C" w14:textId="77777777" w:rsidR="00AD0875" w:rsidRDefault="00000000">
      <w:pPr>
        <w:spacing w:before="240" w:after="120" w:line="360" w:lineRule="auto"/>
      </w:pPr>
      <w:r>
        <w:rPr>
          <w:b/>
          <w:color w:val="000000"/>
        </w:rPr>
        <w:t>5.1 Nanotube-dependent mechanisms of treatment failure</w:t>
      </w:r>
    </w:p>
    <w:p w14:paraId="725BF908" w14:textId="77777777" w:rsidR="00AD0875" w:rsidRDefault="00000000">
      <w:pPr>
        <w:ind w:firstLine="720"/>
        <w:jc w:val="both"/>
      </w:pPr>
      <w:r>
        <w:lastRenderedPageBreak/>
        <w:t>The evidence that intercellular bridges contribute to resistance is more mature, more internally consistent and better replicated than the evidence that they can be used for delivery, and any assessment of the delivery concept must begin from this asymmetry. Four mechanisms have been characterised.</w:t>
      </w:r>
    </w:p>
    <w:p w14:paraId="4D6D9B25" w14:textId="77777777" w:rsidR="00AD0875" w:rsidRDefault="00000000">
      <w:pPr>
        <w:ind w:firstLine="720"/>
        <w:jc w:val="both"/>
      </w:pPr>
      <w:r>
        <w:t>The first is redistribution of the cytotoxic agent itself. Doxorubicin stimulated nanotube formation in pancreatic carcinoma cells in a dose-dependent manner, and the connections facilitated intercellular redistribution of the drug between connected cells in pancreatic and ovarian systems. Multiphoton fluorescence microscopy of resected specimens from patients with pancreatic adenocarcinoma and neuroendocrine carcinoma provided supporting evidence that the structures are present in human tumour tissue (Desir et al., 2018). The interpretation offered, that the connections act as a route of drug efflux, is notable for reversing the usual assumption that redistribution within a tumour is therapeutically desirable. If a drug is moved from a cell in which it has accumulated to a cell in which it is diluted below the threshold for cytotoxicity, the net effect is protective. That the same process is presented elsewhere as the basis of a delivery strategy is the contradiction to which this section returns.</w:t>
      </w:r>
    </w:p>
    <w:p w14:paraId="00E5C25F" w14:textId="77777777" w:rsidR="00AD0875" w:rsidRDefault="00000000">
      <w:pPr>
        <w:ind w:firstLine="720"/>
        <w:jc w:val="both"/>
      </w:pPr>
      <w:r>
        <w:t>The second mechanism is transfer of efflux transporters. Cell-to-cell transfer of P-glycoprotein between breast carcinoma cells was shown to occur through several distinct modalities of intercellular membrane exchange, including nanotube-mediated transfer, with the consequence that a resistant phenotype can be propagated without genetic change in the recipient (Pasquier et al., 2012). This mechanism is conceptually important because it converts resistance from a heritable property of a subclone into a transmissible property of a network.</w:t>
      </w:r>
    </w:p>
    <w:p w14:paraId="095E6785" w14:textId="77777777" w:rsidR="00AD0875" w:rsidRDefault="00000000">
      <w:pPr>
        <w:ind w:firstLine="720"/>
        <w:jc w:val="both"/>
      </w:pPr>
      <w:r>
        <w:t xml:space="preserve">The third and most extensively documented mechanism is transfer of functional mitochondria. Endothelial cells preferentially transferred mitochondria to cancer cells through nanotubes with consequent modulation of chemoresistance (Pasquier et al., 2013). Mesenchymal </w:t>
      </w:r>
      <w:r>
        <w:lastRenderedPageBreak/>
        <w:t>stromal cells transferred mitochondria to glioblastoma stem cells through these connections, and metabolomic analysis showed that the acquired organelles reprogrammed recipient metabolism, shifting nutrient use from glucose to glutamine, rewiring the tricarboxylic acid cycle from glutaminolysis towards reductive carboxylation, and increasing orotate turnover and pyrimidine and purine synthesis. Analysis of patient tissue at relapse after temozolomide corroborated the nucleotide changes, and inhibition of orotate production with brequinar restored temozolomide sensitivity in cells that had acquired exogenous mitochondria (Nakhle et al., 2023). This study is the strongest in the resistance literature because it traces a complete causal chain from organelle transfer through metabolic rewiring to a reversible resistance phenotype, and because it anchors the mechanism in human tumour material. Comparable findings have been reported in acute lymphoblastic leukaemia, where cell adhesion-mediated mitochondrial transfer from mesenchymal stromal cells conferred chemoresistance (Wang et al., 2018); in multiple myeloma, where stromal cells supplied mitochondria to malignant plasma cells (Matula et al., 2021); and in breast carcinoma, where adipose-derived stem cells transferred mitochondria and drove a multi-drug resistant phenotype (Del Vecchio et al., 2024). Hepatocellular carcinoma has been shown to involve mitochondrial exchange within a network comprising hepatic stellate cells, tumour cells and macrophages (Zhang et al., 2026), and reviews have consolidated the evidence across tumour types while noting that the direction and functional consequence of transfer vary with context (Ni et al., 2026; Wang et al., 2026).</w:t>
      </w:r>
    </w:p>
    <w:p w14:paraId="05B604DB" w14:textId="77777777" w:rsidR="00AD0875" w:rsidRDefault="00000000">
      <w:pPr>
        <w:ind w:firstLine="720"/>
        <w:jc w:val="both"/>
      </w:pPr>
      <w:r>
        <w:t xml:space="preserve">The fourth mechanism is transfer of regulatory and oncogenic molecules. Oncogenic microRNA species move from stromal to malignant cells through these connections (Thayanithy et al., 2014), mutant KRAS protein transfers between colon carcinoma cells and introduces intracellular mutational heterogeneity in recipients that do not carry the mutation (Desir et al., 2019), and B-cell precursor acute lymphoblastic leukaemia cells use nanotubes to signal to </w:t>
      </w:r>
      <w:r>
        <w:lastRenderedPageBreak/>
        <w:t>mesenchymal stromal cells and elicit a supportive secretory response (Polak et al., 2015). Beyond the transfer of specific determinants, increased nanotube formation has itself been associated with improved survival of breast carcinoma cells exposed to 5-fluorouracil, which indicates that connectivity can confer protection without a single identified transferred mediator (Kato et al., 2022). Reviews of the leukaemia literature emphasise the consistency of these observations across acute and chronic disease (Allegra et al., 2022).</w:t>
      </w:r>
    </w:p>
    <w:p w14:paraId="32E4F2A1" w14:textId="77777777" w:rsidR="00AD0875" w:rsidRDefault="00000000">
      <w:pPr>
        <w:ind w:firstLine="720"/>
        <w:jc w:val="both"/>
      </w:pPr>
      <w:r>
        <w:t>Pharmacological and physical perturbation experiments reinforce the causal claim. Cytarabine reduced nanotube formation in acute myeloid leukaemia cells, and nuclear factor kappa B activity was implicated in their regulation (Omsland et al., 2017). Tumour-treating fields suppressed nanotube formation in malignant pleural mesothelioma cells in vitro and altered immuno-oncological biomarkers in vivo, which raises the possibility that part of the clinical benefit of an established treatment modality operates through disruption of intercellular connectivity (Sarkari et al., 2023). The cyanobacterial actin-depolymerising agent tolytoxin reduced both formation and function of these connections (Dilsizoglu Senol et al., 2019), and a liposomal nano-platform designed to collapse the cytoskeleton and impair mitochondria obstructed the formation of nanotubes and vasculogenic mimicry with consequent suppression of metastasis in preclinical models (Tao et al., 2024). Reviews assessing the therapeutic implications of this body of work generally conclude that disruption of nanotube-mediated communication merits development as an anticancer strategy (Melwani &amp; Pandey, 2023; Pinto et al., 2020; Sarkari &amp; Lou, 2024).</w:t>
      </w:r>
    </w:p>
    <w:p w14:paraId="143CDB00" w14:textId="77777777" w:rsidR="00AD0875" w:rsidRDefault="00000000">
      <w:pPr>
        <w:spacing w:before="240" w:after="120" w:line="360" w:lineRule="auto"/>
      </w:pPr>
      <w:r>
        <w:rPr>
          <w:b/>
          <w:color w:val="000000"/>
        </w:rPr>
        <w:t>5.2 Deliberate exploitation for deep tumour penetration</w:t>
      </w:r>
    </w:p>
    <w:p w14:paraId="7DAA5C49" w14:textId="77777777" w:rsidR="00AD0875" w:rsidRDefault="00000000">
      <w:pPr>
        <w:ind w:firstLine="720"/>
        <w:jc w:val="both"/>
      </w:pPr>
      <w:r>
        <w:t xml:space="preserve">A smaller but rapidly growing literature inverts this logic. The rationale is that the barriers defeating conventional delivery, namely dense matrix, elevated interstitial pressure and </w:t>
      </w:r>
      <w:r>
        <w:lastRenderedPageBreak/>
        <w:t>inefficient vascularisation, are extracellular, and that a transport route operating within and between cells circumvents them entirely (Du et al., 2026; Wang et al., 2023).</w:t>
      </w:r>
    </w:p>
    <w:p w14:paraId="0BA35771" w14:textId="77777777" w:rsidR="00AD0875" w:rsidRDefault="00000000">
      <w:pPr>
        <w:ind w:firstLine="720"/>
        <w:jc w:val="both"/>
      </w:pPr>
      <w:r>
        <w:t>The most developed line of work uses mitochondria as intracellular vehicles. Photosensitiser cargo hitchhiked onto mitochondria was transported through nanotubes between tumour cells, and the intensity of near-infrared irradiation governed nanotube dynamics: moderate oxidative stress arising from mild irradiation enhanced formation and facilitated transfer, whereas intense irradiation generated excessive reactive oxygen species, disrupted the connections and blocked transport (Du et al., 2026). The demonstration that a single externally applied variable can both promote and abolish the transport route is the most important result in the exploitation literature, because controllability is precisely what a delivery strategy requires and because it shows that the relationship between stimulus and transport is non-monotonic. A companion study established that deliberate downregulation of PTEN-induced kinase 1-dependent mitophagy increased mitochondrial transit capacity through morphological adaptation, metabolic reprogramming and enhanced respiration, and that the resulting high-speed mitochondrial vehicles carrying a photosensitiser achieved reinforced intercellular delivery with deep tumour penetration and enhanced photodynamic killing (Peng et al., 2025). Both studies originate from the same group, and independent replication has not yet appeared.</w:t>
      </w:r>
    </w:p>
    <w:p w14:paraId="145E501D" w14:textId="77777777" w:rsidR="00AD0875" w:rsidRDefault="00000000">
      <w:pPr>
        <w:ind w:firstLine="720"/>
        <w:jc w:val="both"/>
      </w:pPr>
      <w:r>
        <w:t xml:space="preserve">Physical triggering has been approached differently in bladder carcinoma, where a self-driven electrical triggering system converted intravesical pressure into electricity, rapidly transported hydroxycamptothecin through nanotubes, and generated reactive oxygen species; orthotopic animal models supported drug release and diffusion through the nanotube route together with reactive oxygen species-mediated cell killing (Liu et al., 2025). The appeal of this design is that it uses an endogenous mechanical variable rather than an externally applied field, but the study does not separate the contribution of nanotube-mediated transport from that of </w:t>
      </w:r>
      <w:r>
        <w:lastRenderedPageBreak/>
        <w:t>reactive oxygen species-mediated cytotoxicity, and the two effects are produced by the same stimulus.</w:t>
      </w:r>
    </w:p>
    <w:p w14:paraId="013415A5" w14:textId="77777777" w:rsidR="00AD0875" w:rsidRDefault="00000000">
      <w:pPr>
        <w:ind w:firstLine="720"/>
        <w:jc w:val="both"/>
      </w:pPr>
      <w:r>
        <w:t>A related strategy exploits the induction of nanotubes by therapy itself. A hierarchical nano-therapeutic platform designed to distinguish cancer stem cell from non-stem micro-niches released a differentiation agent in the former and chemotherapeutic and photosensitiser cargo in the latter; reactive oxygen species generated by photodynamic therapy promoted nanotube formation and facilitated divergent network transport of drug into deep tumour tissue, establishing a positive-feedback arrangement in which the treatment enlarges the network that distributes it (Yang et al., 2024). This is an elegant use of a phenomenon that the resistance literature treats as harmful, and it illustrates how the same biology supports opposite therapeutic designs.</w:t>
      </w:r>
    </w:p>
    <w:p w14:paraId="462F1BC1" w14:textId="77777777" w:rsidR="00AD0875" w:rsidRDefault="00000000">
      <w:pPr>
        <w:spacing w:before="240" w:after="120" w:line="360" w:lineRule="auto"/>
      </w:pPr>
      <w:r>
        <w:rPr>
          <w:b/>
          <w:color w:val="000000"/>
        </w:rPr>
        <w:t>5.3 Living-cell relay systems</w:t>
      </w:r>
    </w:p>
    <w:p w14:paraId="18489987" w14:textId="77777777" w:rsidR="00AD0875" w:rsidRDefault="00000000">
      <w:pPr>
        <w:ind w:firstLine="720"/>
        <w:jc w:val="both"/>
      </w:pPr>
      <w:r>
        <w:t>The third exploitation strategy uses cells as carriers. Doxorubicin-loaded M1-polarised macrophages showed enhanced tumour tropism through upregulation of C-C chemokine receptor types 2 and 4, and transferred drug cargo into tumour cells through a nanotube pathway. Genetic, pharmacological and physical perturbation of the connections reduced drug transfer, which provides convergent attribution of a kind rarely achieved in this literature. In mice bearing peritoneal metastatic ovarian carcinoma the engineered macrophages penetrated and accumulated within disseminated lesions more effectively than a commercial liposomal doxorubicin formulation (Guo et al., 2019). The triple perturbation design makes this the strongest single demonstration that nanotube-mediated transfer contributes materially to delivery in a living animal, although the in vivo endpoints measure accumulation and survival rather than nanotube-dependent transfer specifically.</w:t>
      </w:r>
    </w:p>
    <w:p w14:paraId="343689E3" w14:textId="77777777" w:rsidR="00AD0875" w:rsidRDefault="00000000">
      <w:pPr>
        <w:ind w:firstLine="720"/>
        <w:jc w:val="both"/>
      </w:pPr>
      <w:r>
        <w:lastRenderedPageBreak/>
        <w:t>A comparable approach in glioma used microglia loaded with paclitaxel isolated within liposomes doped with dipalmitoyl phosphatidylserine as a phagocytic signal. The engineered cells crossed the blood-brain barrier, migrated towards glioma and transferred cargo to tumour cells, with extracellular vesicles and nanotubes both identified as modes of transport; in vivo the cells targeted brain, penetrated glioma and suppressed tumour progression (Du et al., 2021). The explicit acknowledgement that two transport routes operated in parallel is methodologically honest and, at the same time, illustrates the attribution difficulty: where both routes are active, the contribution of each to the therapeutic effect is not separable by the methods employed.</w:t>
      </w:r>
    </w:p>
    <w:p w14:paraId="2B54ABFF" w14:textId="77777777" w:rsidR="00AD0875" w:rsidRDefault="00000000">
      <w:pPr>
        <w:ind w:firstLine="720"/>
        <w:jc w:val="both"/>
      </w:pPr>
      <w:r>
        <w:t>Mesenchymal stromal cells have been examined chiefly as sources of therapeutic mitochondria rather than as drug carriers. Transfer of mitochondria from these cells to macrophages through nanotubes enhanced phagocytosis in models of acute respiratory distress syndrome (Jackson et al., 2016), establishing the principle that organelle donation can be therapeutically beneficial in a non-oncological setting. The difficulty of applying this cell type to oncology is apparent from the resistance literature summarised above, in which mesenchymal stromal cells are repeatedly identified as the donors that confer chemoresistance on tumour cells.</w:t>
      </w:r>
    </w:p>
    <w:p w14:paraId="6A572A01" w14:textId="77777777" w:rsidR="00AD0875" w:rsidRDefault="00000000">
      <w:pPr>
        <w:spacing w:before="240" w:after="120" w:line="360" w:lineRule="auto"/>
      </w:pPr>
      <w:r>
        <w:rPr>
          <w:b/>
          <w:color w:val="000000"/>
        </w:rPr>
        <w:t>5.4 The unresolved directional contradiction</w:t>
      </w:r>
    </w:p>
    <w:p w14:paraId="2CF3566F" w14:textId="77777777" w:rsidR="00AD0875" w:rsidRDefault="00000000">
      <w:pPr>
        <w:ind w:firstLine="720"/>
        <w:jc w:val="both"/>
      </w:pPr>
      <w:r>
        <w:t>The suppression and exploitation strategies cannot both be correct as general propositions, and the field has not confronted this directly. Three candidate resolutions can be evaluated against the available evidence.</w:t>
      </w:r>
    </w:p>
    <w:p w14:paraId="0E47B3A6" w14:textId="77777777" w:rsidR="00AD0875" w:rsidRDefault="00000000">
      <w:pPr>
        <w:ind w:firstLine="720"/>
        <w:jc w:val="both"/>
      </w:pPr>
      <w:r>
        <w:t xml:space="preserve">The first holds that the direction of net benefit depends on which cells are connected. Transfer from stromal or immune donors to malignant recipients delivers protective cargo and should be blocked; transfer between malignant cells from an accessible periphery towards a poorly perfused core delivers therapeutic cargo and should be promoted. This resolution is </w:t>
      </w:r>
      <w:r>
        <w:lastRenderedPageBreak/>
        <w:t>consistent with the observation that resistance-conferring transfer is predominantly heterotypic and stromal in origin (Del Vecchio et al., 2024; Matula et al., 2021; Nakhle et al., 2023; Wang et al., 2018), whereas the exploitation strategies are predominantly homotypic or engineered-donor to malignant-recipient (Du et al., 2021; Guo et al., 2019; Peng et al., 2025). The difficulty is that no available intervention discriminates between connection types, since the molecular machinery is shared.</w:t>
      </w:r>
    </w:p>
    <w:p w14:paraId="6FC39A2E" w14:textId="77777777" w:rsidR="00AD0875" w:rsidRDefault="00000000">
      <w:pPr>
        <w:ind w:firstLine="720"/>
        <w:jc w:val="both"/>
      </w:pPr>
      <w:r>
        <w:t>The second holds that timing determines the outcome, with promotion of connectivity during the delivery phase and suppression during the cytotoxic phase. The demonstration that irradiation intensity can switch nanotube formation on and off supports the technical feasibility of such sequencing within a single platform (Du et al., 2026). Against this, the induction of connections by chemotherapy and oxidative stress means that the cytotoxic phase inherently promotes the network, so the required temporal separation may not be achievable with agents that act through these mechanisms (Desir et al., 2018; Lin et al., 2024).</w:t>
      </w:r>
    </w:p>
    <w:p w14:paraId="3DFEBD5D" w14:textId="77777777" w:rsidR="00AD0875" w:rsidRDefault="00000000">
      <w:pPr>
        <w:ind w:firstLine="720"/>
        <w:jc w:val="both"/>
      </w:pPr>
      <w:r>
        <w:t>The third holds that the contradiction is more apparent than real because the quantitative contribution of nanotube transport differs between the two settings, with resistance requiring transfer of only a small number of mitochondria to a small number of cells while delivery requires transfer of therapeutically meaningful drug quantities across many cells. On this view the same conduit could be sufficient for resistance and insufficient for delivery. No study has measured the quantities involved in either setting, so this resolution can be neither supported nor excluded, and it deserves priority precisely because it is testable and would, if correct, substantially deflate the delivery concept.</w:t>
      </w:r>
    </w:p>
    <w:p w14:paraId="70B36CED" w14:textId="77777777" w:rsidR="00AD0875" w:rsidRDefault="00000000">
      <w:pPr>
        <w:ind w:firstLine="720"/>
        <w:jc w:val="both"/>
      </w:pPr>
      <w:r>
        <w:t xml:space="preserve">The opposing therapeutic logics, the evidence supporting each and the conditions under which each would be preferred are set out in Table 3. The comparison shows that the suppression strategy currently rests on a larger and better-replicated evidence base including human tissue </w:t>
      </w:r>
      <w:r>
        <w:lastRenderedPageBreak/>
        <w:t>corroboration and an established clinical modality, whereas the exploitation strategy rests on a smaller number of recent, mechanistically sophisticated but largely unreplicated studies. That asymmetry should temper claims that nanotube-mediated delivery is close to application, without implying that the exploitation approach is unsound.</w:t>
      </w:r>
    </w:p>
    <w:p w14:paraId="2E66BFA1" w14:textId="77777777" w:rsidR="00AD0875" w:rsidRDefault="00000000">
      <w:pPr>
        <w:spacing w:before="240" w:after="80" w:line="240" w:lineRule="auto"/>
      </w:pPr>
      <w:r>
        <w:rPr>
          <w:b/>
          <w:sz w:val="20"/>
        </w:rPr>
        <w:t>Table 3. Opposing therapeutic logics applied to tunnelling nanotubes in oncology</w:t>
      </w:r>
    </w:p>
    <w:tbl>
      <w:tblPr>
        <w:tblStyle w:val="TableGrid"/>
        <w:tblW w:w="0" w:type="auto"/>
        <w:jc w:val="center"/>
        <w:tblLook w:val="04A0" w:firstRow="1" w:lastRow="0" w:firstColumn="1" w:lastColumn="0" w:noHBand="0" w:noVBand="1"/>
      </w:tblPr>
      <w:tblGrid>
        <w:gridCol w:w="1568"/>
        <w:gridCol w:w="1568"/>
        <w:gridCol w:w="1568"/>
        <w:gridCol w:w="1568"/>
        <w:gridCol w:w="1568"/>
        <w:gridCol w:w="1568"/>
      </w:tblGrid>
      <w:tr w:rsidR="00AD0875" w14:paraId="2BD222BA" w14:textId="77777777">
        <w:trPr>
          <w:jc w:val="center"/>
        </w:trPr>
        <w:tc>
          <w:tcPr>
            <w:tcW w:w="1568" w:type="dxa"/>
          </w:tcPr>
          <w:p w14:paraId="36D23CF6" w14:textId="77777777" w:rsidR="00AD0875" w:rsidRDefault="00000000">
            <w:pPr>
              <w:spacing w:before="40" w:after="40" w:line="240" w:lineRule="auto"/>
            </w:pPr>
            <w:r>
              <w:rPr>
                <w:b/>
                <w:sz w:val="18"/>
              </w:rPr>
              <w:t>Strategy</w:t>
            </w:r>
          </w:p>
        </w:tc>
        <w:tc>
          <w:tcPr>
            <w:tcW w:w="1568" w:type="dxa"/>
          </w:tcPr>
          <w:p w14:paraId="3A79690F" w14:textId="77777777" w:rsidR="00AD0875" w:rsidRDefault="00000000">
            <w:pPr>
              <w:spacing w:before="40" w:after="40" w:line="240" w:lineRule="auto"/>
            </w:pPr>
            <w:r>
              <w:rPr>
                <w:b/>
                <w:sz w:val="18"/>
              </w:rPr>
              <w:t>Mechanistic rationale</w:t>
            </w:r>
          </w:p>
        </w:tc>
        <w:tc>
          <w:tcPr>
            <w:tcW w:w="1568" w:type="dxa"/>
          </w:tcPr>
          <w:p w14:paraId="5EC0270F" w14:textId="77777777" w:rsidR="00AD0875" w:rsidRDefault="00000000">
            <w:pPr>
              <w:spacing w:before="40" w:after="40" w:line="240" w:lineRule="auto"/>
            </w:pPr>
            <w:r>
              <w:rPr>
                <w:b/>
                <w:sz w:val="18"/>
              </w:rPr>
              <w:t>Strongest supporting evidence</w:t>
            </w:r>
          </w:p>
        </w:tc>
        <w:tc>
          <w:tcPr>
            <w:tcW w:w="1568" w:type="dxa"/>
          </w:tcPr>
          <w:p w14:paraId="0CA756A6" w14:textId="77777777" w:rsidR="00AD0875" w:rsidRDefault="00000000">
            <w:pPr>
              <w:spacing w:before="40" w:after="40" w:line="240" w:lineRule="auto"/>
            </w:pPr>
            <w:r>
              <w:rPr>
                <w:b/>
                <w:sz w:val="18"/>
              </w:rPr>
              <w:t>Principal weakness</w:t>
            </w:r>
          </w:p>
        </w:tc>
        <w:tc>
          <w:tcPr>
            <w:tcW w:w="1568" w:type="dxa"/>
          </w:tcPr>
          <w:p w14:paraId="0AB3DCE0" w14:textId="77777777" w:rsidR="00AD0875" w:rsidRDefault="00000000">
            <w:pPr>
              <w:spacing w:before="40" w:after="40" w:line="240" w:lineRule="auto"/>
            </w:pPr>
            <w:r>
              <w:rPr>
                <w:b/>
                <w:sz w:val="18"/>
              </w:rPr>
              <w:t>Conditions that would favour this strategy</w:t>
            </w:r>
          </w:p>
        </w:tc>
        <w:tc>
          <w:tcPr>
            <w:tcW w:w="1568" w:type="dxa"/>
          </w:tcPr>
          <w:p w14:paraId="312D2430" w14:textId="77777777" w:rsidR="00AD0875" w:rsidRDefault="00000000">
            <w:pPr>
              <w:spacing w:before="40" w:after="40" w:line="240" w:lineRule="auto"/>
            </w:pPr>
            <w:r>
              <w:rPr>
                <w:b/>
                <w:sz w:val="18"/>
              </w:rPr>
              <w:t>Supporting references</w:t>
            </w:r>
          </w:p>
        </w:tc>
      </w:tr>
      <w:tr w:rsidR="00AD0875" w14:paraId="4924B9B1" w14:textId="77777777">
        <w:trPr>
          <w:jc w:val="center"/>
        </w:trPr>
        <w:tc>
          <w:tcPr>
            <w:tcW w:w="1568" w:type="dxa"/>
          </w:tcPr>
          <w:p w14:paraId="378AF284" w14:textId="77777777" w:rsidR="00AD0875" w:rsidRDefault="00000000">
            <w:pPr>
              <w:spacing w:before="40" w:after="40" w:line="240" w:lineRule="auto"/>
            </w:pPr>
            <w:r>
              <w:rPr>
                <w:sz w:val="18"/>
              </w:rPr>
              <w:t>Suppression of nanotube formation</w:t>
            </w:r>
          </w:p>
        </w:tc>
        <w:tc>
          <w:tcPr>
            <w:tcW w:w="1568" w:type="dxa"/>
          </w:tcPr>
          <w:p w14:paraId="68868D97" w14:textId="77777777" w:rsidR="00AD0875" w:rsidRDefault="00000000">
            <w:pPr>
              <w:spacing w:before="40" w:after="40" w:line="240" w:lineRule="auto"/>
            </w:pPr>
            <w:r>
              <w:rPr>
                <w:sz w:val="18"/>
              </w:rPr>
              <w:t>Connections transfer functional mitochondria, efflux transporters, oncogenic proteins and the cytotoxic agent itself, each of which reduces treatment effect</w:t>
            </w:r>
          </w:p>
        </w:tc>
        <w:tc>
          <w:tcPr>
            <w:tcW w:w="1568" w:type="dxa"/>
          </w:tcPr>
          <w:p w14:paraId="0CF2B951" w14:textId="77777777" w:rsidR="00AD0875" w:rsidRDefault="00000000">
            <w:pPr>
              <w:spacing w:before="40" w:after="40" w:line="240" w:lineRule="auto"/>
            </w:pPr>
            <w:r>
              <w:rPr>
                <w:sz w:val="18"/>
              </w:rPr>
              <w:t>Complete causal chain from mesenchymal stromal cell mitochondrial donation through metabolic rewiring to reversible temozolomide resistance, with corroboration in patient tissue at relapse; suppression of connections by an established clinical modality</w:t>
            </w:r>
          </w:p>
        </w:tc>
        <w:tc>
          <w:tcPr>
            <w:tcW w:w="1568" w:type="dxa"/>
          </w:tcPr>
          <w:p w14:paraId="56BC1BA3" w14:textId="77777777" w:rsidR="00AD0875" w:rsidRDefault="00000000">
            <w:pPr>
              <w:spacing w:before="40" w:after="40" w:line="240" w:lineRule="auto"/>
            </w:pPr>
            <w:r>
              <w:rPr>
                <w:sz w:val="18"/>
              </w:rPr>
              <w:t>No agent selectively eliminates nanotubes while sparing other actin-dependent structures; systemic suppression would affect physiological conduit functions in many tissues</w:t>
            </w:r>
          </w:p>
        </w:tc>
        <w:tc>
          <w:tcPr>
            <w:tcW w:w="1568" w:type="dxa"/>
          </w:tcPr>
          <w:p w14:paraId="097D136F" w14:textId="77777777" w:rsidR="00AD0875" w:rsidRDefault="00000000">
            <w:pPr>
              <w:spacing w:before="40" w:after="40" w:line="240" w:lineRule="auto"/>
            </w:pPr>
            <w:r>
              <w:rPr>
                <w:sz w:val="18"/>
              </w:rPr>
              <w:t>Tumours in which stromal donation of mitochondria is documented and in which a standard cytotoxic agent is being administered</w:t>
            </w:r>
          </w:p>
        </w:tc>
        <w:tc>
          <w:tcPr>
            <w:tcW w:w="1568" w:type="dxa"/>
          </w:tcPr>
          <w:p w14:paraId="1E5F4D49" w14:textId="77777777" w:rsidR="00AD0875" w:rsidRDefault="00000000">
            <w:pPr>
              <w:spacing w:before="40" w:after="40" w:line="240" w:lineRule="auto"/>
            </w:pPr>
            <w:r>
              <w:rPr>
                <w:sz w:val="18"/>
              </w:rPr>
              <w:t>Nakhle et al. (2023); Omsland et al. (2017); Sarkari et al. (2023); Tao et al. (2024)</w:t>
            </w:r>
          </w:p>
        </w:tc>
      </w:tr>
      <w:tr w:rsidR="00AD0875" w14:paraId="495774DF" w14:textId="77777777">
        <w:trPr>
          <w:jc w:val="center"/>
        </w:trPr>
        <w:tc>
          <w:tcPr>
            <w:tcW w:w="1568" w:type="dxa"/>
          </w:tcPr>
          <w:p w14:paraId="20F4A2C7" w14:textId="77777777" w:rsidR="00AD0875" w:rsidRDefault="00000000">
            <w:pPr>
              <w:spacing w:before="40" w:after="40" w:line="240" w:lineRule="auto"/>
            </w:pPr>
            <w:r>
              <w:rPr>
                <w:sz w:val="18"/>
              </w:rPr>
              <w:t>Exploitation of nanotube networks for delivery</w:t>
            </w:r>
          </w:p>
        </w:tc>
        <w:tc>
          <w:tcPr>
            <w:tcW w:w="1568" w:type="dxa"/>
          </w:tcPr>
          <w:p w14:paraId="64158036" w14:textId="77777777" w:rsidR="00AD0875" w:rsidRDefault="00000000">
            <w:pPr>
              <w:spacing w:before="40" w:after="40" w:line="240" w:lineRule="auto"/>
            </w:pPr>
            <w:r>
              <w:rPr>
                <w:sz w:val="18"/>
              </w:rPr>
              <w:t>Extracellular barriers to distribution are circumvented by a transcellular route, permitting drug to reach cells distant from perfused vessels</w:t>
            </w:r>
          </w:p>
        </w:tc>
        <w:tc>
          <w:tcPr>
            <w:tcW w:w="1568" w:type="dxa"/>
          </w:tcPr>
          <w:p w14:paraId="27E4823E" w14:textId="77777777" w:rsidR="00AD0875" w:rsidRDefault="00000000">
            <w:pPr>
              <w:spacing w:before="40" w:after="40" w:line="240" w:lineRule="auto"/>
            </w:pPr>
            <w:r>
              <w:rPr>
                <w:sz w:val="18"/>
              </w:rPr>
              <w:t>Triple perturbation of the connections reduced macrophage-to-tumour drug transfer, with deep penetration of disseminated lesions in vivo; bidirectional control of transport by irradiation intensity</w:t>
            </w:r>
          </w:p>
        </w:tc>
        <w:tc>
          <w:tcPr>
            <w:tcW w:w="1568" w:type="dxa"/>
          </w:tcPr>
          <w:p w14:paraId="04654A36" w14:textId="77777777" w:rsidR="00AD0875" w:rsidRDefault="00000000">
            <w:pPr>
              <w:spacing w:before="40" w:after="40" w:line="240" w:lineRule="auto"/>
            </w:pPr>
            <w:r>
              <w:rPr>
                <w:sz w:val="18"/>
              </w:rPr>
              <w:t>Quantity delivered by this route has never been measured; promotion of connectivity would be expected to enhance transfer of resistance determinants in the same tissue</w:t>
            </w:r>
          </w:p>
        </w:tc>
        <w:tc>
          <w:tcPr>
            <w:tcW w:w="1568" w:type="dxa"/>
          </w:tcPr>
          <w:p w14:paraId="3CDCAA3F" w14:textId="77777777" w:rsidR="00AD0875" w:rsidRDefault="00000000">
            <w:pPr>
              <w:spacing w:before="40" w:after="40" w:line="240" w:lineRule="auto"/>
            </w:pPr>
            <w:r>
              <w:rPr>
                <w:sz w:val="18"/>
              </w:rPr>
              <w:t>Anatomically confined compartments permitting external physical control, and cargo classes effective at low intracellular quantity</w:t>
            </w:r>
          </w:p>
        </w:tc>
        <w:tc>
          <w:tcPr>
            <w:tcW w:w="1568" w:type="dxa"/>
          </w:tcPr>
          <w:p w14:paraId="787C084D" w14:textId="77777777" w:rsidR="00AD0875" w:rsidRDefault="00000000">
            <w:pPr>
              <w:spacing w:before="40" w:after="40" w:line="240" w:lineRule="auto"/>
            </w:pPr>
            <w:r>
              <w:rPr>
                <w:sz w:val="18"/>
              </w:rPr>
              <w:t>Du et al. (2026); Guo et al. (2019); Liu et al. (2025); Peng et al. (2025); Yang et al. (2024)</w:t>
            </w:r>
          </w:p>
        </w:tc>
      </w:tr>
      <w:tr w:rsidR="00AD0875" w14:paraId="2F217F7C" w14:textId="77777777">
        <w:trPr>
          <w:jc w:val="center"/>
        </w:trPr>
        <w:tc>
          <w:tcPr>
            <w:tcW w:w="1568" w:type="dxa"/>
          </w:tcPr>
          <w:p w14:paraId="3B2B7570" w14:textId="77777777" w:rsidR="00AD0875" w:rsidRDefault="00000000">
            <w:pPr>
              <w:spacing w:before="40" w:after="40" w:line="240" w:lineRule="auto"/>
            </w:pPr>
            <w:r>
              <w:rPr>
                <w:sz w:val="18"/>
              </w:rPr>
              <w:t>Sequential promotion then suppression</w:t>
            </w:r>
          </w:p>
        </w:tc>
        <w:tc>
          <w:tcPr>
            <w:tcW w:w="1568" w:type="dxa"/>
          </w:tcPr>
          <w:p w14:paraId="0D452F25" w14:textId="77777777" w:rsidR="00AD0875" w:rsidRDefault="00000000">
            <w:pPr>
              <w:spacing w:before="40" w:after="40" w:line="240" w:lineRule="auto"/>
            </w:pPr>
            <w:r>
              <w:rPr>
                <w:sz w:val="18"/>
              </w:rPr>
              <w:t>Connectivity is promoted during the distribution phase and suppressed during the cytotoxic phase, separating the beneficial and harmful consequences in time</w:t>
            </w:r>
          </w:p>
        </w:tc>
        <w:tc>
          <w:tcPr>
            <w:tcW w:w="1568" w:type="dxa"/>
          </w:tcPr>
          <w:p w14:paraId="322E4FAC" w14:textId="77777777" w:rsidR="00AD0875" w:rsidRDefault="00000000">
            <w:pPr>
              <w:spacing w:before="40" w:after="40" w:line="240" w:lineRule="auto"/>
            </w:pPr>
            <w:r>
              <w:rPr>
                <w:sz w:val="18"/>
              </w:rPr>
              <w:t>Demonstration that a single external variable can both promote and disrupt the connections establishes technical feasibility</w:t>
            </w:r>
          </w:p>
        </w:tc>
        <w:tc>
          <w:tcPr>
            <w:tcW w:w="1568" w:type="dxa"/>
          </w:tcPr>
          <w:p w14:paraId="35B339EC" w14:textId="77777777" w:rsidR="00AD0875" w:rsidRDefault="00000000">
            <w:pPr>
              <w:spacing w:before="40" w:after="40" w:line="240" w:lineRule="auto"/>
            </w:pPr>
            <w:r>
              <w:rPr>
                <w:sz w:val="18"/>
              </w:rPr>
              <w:t>Cytotoxic and oxidative agents themselves induce the connections, so the required temporal separation may be unattainable with such agents</w:t>
            </w:r>
          </w:p>
        </w:tc>
        <w:tc>
          <w:tcPr>
            <w:tcW w:w="1568" w:type="dxa"/>
          </w:tcPr>
          <w:p w14:paraId="37C1F4AB" w14:textId="77777777" w:rsidR="00AD0875" w:rsidRDefault="00000000">
            <w:pPr>
              <w:spacing w:before="40" w:after="40" w:line="240" w:lineRule="auto"/>
            </w:pPr>
            <w:r>
              <w:rPr>
                <w:sz w:val="18"/>
              </w:rPr>
              <w:t>Delivery platforms in which the distributing stimulus is separable from the cytotoxic mechanism</w:t>
            </w:r>
          </w:p>
        </w:tc>
        <w:tc>
          <w:tcPr>
            <w:tcW w:w="1568" w:type="dxa"/>
          </w:tcPr>
          <w:p w14:paraId="26D4071C" w14:textId="77777777" w:rsidR="00AD0875" w:rsidRDefault="00000000">
            <w:pPr>
              <w:spacing w:before="40" w:after="40" w:line="240" w:lineRule="auto"/>
            </w:pPr>
            <w:r>
              <w:rPr>
                <w:sz w:val="18"/>
              </w:rPr>
              <w:t>Desir et al. (2018); Du et al. (2026); Lin et al. (2024)</w:t>
            </w:r>
          </w:p>
        </w:tc>
      </w:tr>
      <w:tr w:rsidR="00AD0875" w14:paraId="009163CD" w14:textId="77777777">
        <w:trPr>
          <w:jc w:val="center"/>
        </w:trPr>
        <w:tc>
          <w:tcPr>
            <w:tcW w:w="1568" w:type="dxa"/>
          </w:tcPr>
          <w:p w14:paraId="3324885F" w14:textId="77777777" w:rsidR="00AD0875" w:rsidRDefault="00000000">
            <w:pPr>
              <w:spacing w:before="40" w:after="40" w:line="240" w:lineRule="auto"/>
            </w:pPr>
            <w:r>
              <w:rPr>
                <w:sz w:val="18"/>
              </w:rPr>
              <w:lastRenderedPageBreak/>
              <w:t>Context-selective modulation</w:t>
            </w:r>
          </w:p>
        </w:tc>
        <w:tc>
          <w:tcPr>
            <w:tcW w:w="1568" w:type="dxa"/>
          </w:tcPr>
          <w:p w14:paraId="1B907390" w14:textId="77777777" w:rsidR="00AD0875" w:rsidRDefault="00000000">
            <w:pPr>
              <w:spacing w:before="40" w:after="40" w:line="240" w:lineRule="auto"/>
            </w:pPr>
            <w:r>
              <w:rPr>
                <w:sz w:val="18"/>
              </w:rPr>
              <w:t>Heterotypic stromal-to-tumour connections are suppressed while homotypic tumour-to-tumour connections are preserved, or the converse</w:t>
            </w:r>
          </w:p>
        </w:tc>
        <w:tc>
          <w:tcPr>
            <w:tcW w:w="1568" w:type="dxa"/>
          </w:tcPr>
          <w:p w14:paraId="0FAE26FE" w14:textId="77777777" w:rsidR="00AD0875" w:rsidRDefault="00000000">
            <w:pPr>
              <w:spacing w:before="40" w:after="40" w:line="240" w:lineRule="auto"/>
            </w:pPr>
            <w:r>
              <w:rPr>
                <w:sz w:val="18"/>
              </w:rPr>
              <w:t>Proteomic characterisation of isolated nanotubes has identified candidate regulators that differ between contexts</w:t>
            </w:r>
          </w:p>
        </w:tc>
        <w:tc>
          <w:tcPr>
            <w:tcW w:w="1568" w:type="dxa"/>
          </w:tcPr>
          <w:p w14:paraId="271AA349" w14:textId="77777777" w:rsidR="00AD0875" w:rsidRDefault="00000000">
            <w:pPr>
              <w:spacing w:before="40" w:after="40" w:line="240" w:lineRule="auto"/>
            </w:pPr>
            <w:r>
              <w:rPr>
                <w:sz w:val="18"/>
              </w:rPr>
              <w:t>Molecular differences between connection types have not been established; no selective agent exists</w:t>
            </w:r>
          </w:p>
        </w:tc>
        <w:tc>
          <w:tcPr>
            <w:tcW w:w="1568" w:type="dxa"/>
          </w:tcPr>
          <w:p w14:paraId="43F6E629" w14:textId="77777777" w:rsidR="00AD0875" w:rsidRDefault="00000000">
            <w:pPr>
              <w:spacing w:before="40" w:after="40" w:line="240" w:lineRule="auto"/>
            </w:pPr>
            <w:r>
              <w:rPr>
                <w:sz w:val="18"/>
              </w:rPr>
              <w:t>Availability of a molecular marker distinguishing connection types</w:t>
            </w:r>
          </w:p>
        </w:tc>
        <w:tc>
          <w:tcPr>
            <w:tcW w:w="1568" w:type="dxa"/>
          </w:tcPr>
          <w:p w14:paraId="71E88709" w14:textId="77777777" w:rsidR="00AD0875" w:rsidRDefault="00000000">
            <w:pPr>
              <w:spacing w:before="40" w:after="40" w:line="240" w:lineRule="auto"/>
            </w:pPr>
            <w:r>
              <w:rPr>
                <w:sz w:val="18"/>
              </w:rPr>
              <w:t>Henderson et al. (2023); Notario Manzano et al. (2024)</w:t>
            </w:r>
          </w:p>
        </w:tc>
      </w:tr>
    </w:tbl>
    <w:p w14:paraId="64AE68F1" w14:textId="77777777" w:rsidR="00AD0875" w:rsidRDefault="00000000">
      <w:pPr>
        <w:spacing w:before="80" w:after="240" w:line="240" w:lineRule="auto"/>
      </w:pPr>
      <w:r>
        <w:rPr>
          <w:sz w:val="18"/>
        </w:rPr>
        <w:t>Note. Strategies are presented as they appear in the literature. The evidence base supporting suppression is currently larger and better replicated than that supporting exploitation; this asymmetry reflects the maturity of each literature rather than a judgement that either approach is invalid.</w:t>
      </w:r>
    </w:p>
    <w:p w14:paraId="11FCCB9B" w14:textId="77777777" w:rsidR="00AD0875" w:rsidRDefault="00000000">
      <w:pPr>
        <w:spacing w:before="240" w:after="120" w:line="360" w:lineRule="auto"/>
      </w:pPr>
      <w:r>
        <w:rPr>
          <w:b/>
          <w:color w:val="000000"/>
          <w:sz w:val="28"/>
        </w:rPr>
        <w:t>6. Extending the Concept Beyond Oncology</w:t>
      </w:r>
    </w:p>
    <w:p w14:paraId="2A1BC763" w14:textId="77777777" w:rsidR="00AD0875" w:rsidRDefault="00000000">
      <w:pPr>
        <w:spacing w:before="240" w:after="120" w:line="360" w:lineRule="auto"/>
      </w:pPr>
      <w:r>
        <w:rPr>
          <w:b/>
          <w:color w:val="000000"/>
        </w:rPr>
        <w:t>6.1 Central nervous system delivery and the propagation paradox</w:t>
      </w:r>
    </w:p>
    <w:p w14:paraId="06BCDEC9" w14:textId="77777777" w:rsidR="00AD0875" w:rsidRDefault="00000000">
      <w:pPr>
        <w:ind w:firstLine="720"/>
        <w:jc w:val="both"/>
      </w:pPr>
      <w:r>
        <w:t>The central nervous system presents the delivery problem in its most acute form, and intercellular conduits have been proposed as a partial solution. Evidence that engineered particles cross the blood-brain barrier and are subsequently redistributed between neural cells by direct contact has been obtained with polymeric and carbon-based carriers (Moscariello et al., 2019; Tosi et al., 2014), and comparative work in glioblastoma established that particle shape governs both barrier permeability and nanotube-mediated transfer among tumour cells (Sierri et al., 2025). Liposomal carriers exchanged preferentially between glioblastoma cells relative to astrocytes, which suggested a basis for selectivity (Formicola et al., 2019). Reviews of glioblastoma have argued that intercellular connectivity offers a route to the invasive cells that survive resection and drive recurrence, and that this population is precisely the one that conventional delivery fails to reach (Taiarol et al., 2021).</w:t>
      </w:r>
    </w:p>
    <w:p w14:paraId="16BB72E1" w14:textId="77777777" w:rsidR="00AD0875" w:rsidRDefault="00000000">
      <w:pPr>
        <w:ind w:firstLine="720"/>
        <w:jc w:val="both"/>
      </w:pPr>
      <w:r>
        <w:t>The same tissue provides the clearest illustration of why the concept is hazardous. Nanotubes are the principal proposed route for the intercellular spread of misfolded proteins in neurodegenerative disease. Prion protein aggregates transfer between cells within endocytic vesicles through these connections, and astrocyte-to-neuron prion transfer is mediated by cell-cell contact rather than by secreted material (Victoria et al., 2016; Victoria &amp; Zurzolo, 2017). Alpha-</w:t>
      </w:r>
      <w:r>
        <w:lastRenderedPageBreak/>
        <w:t>synuclein fibrils were shown to subvert lysosome structure and function in order to propagate protein misfolding between cells through nanotubes, a mechanism in which the conduit and the organelle act together (Dilsizoglu Senol et al., 2021). Reviews synthesising this evidence describe the process as the hijacking of intercellular trafficking by aggregating proteins (Chakraborty et al., 2023). The implication for delivery is uncomfortable: a therapeutic strategy that increases nanotube abundance in the nervous system would simultaneously enhance the route by which pathological aggregates disseminate. No study has examined whether a nanotube-promoting delivery intervention accelerates aggregate spread, and until such data exist this must be regarded as an unquantified risk rather than a theoretical concern.</w:t>
      </w:r>
    </w:p>
    <w:p w14:paraId="3032DB82" w14:textId="77777777" w:rsidR="00AD0875" w:rsidRDefault="00000000">
      <w:pPr>
        <w:ind w:firstLine="720"/>
        <w:jc w:val="both"/>
      </w:pPr>
      <w:r>
        <w:t>A further complication is that the connections observed in brain tumours may not be equivalent to those described in culture. Glioma cells extend long membrane protrusions termed tumour microtubes that interconnect into a functional and resistant network, conferring protection against radiotherapy and supporting repair of the network after injury (Osswald et al., 2015). These structures are substantially longer and thicker than classical nanotubes, differ in molecular composition, and in part form functional synapses receiving glutamatergic input from neurons (Venkataramani et al., 2019). Whether tumour microtubes and tunnelling nanotubes represent extremes of a continuum or distinct entities is unresolved, and the delivery literature has tended to treat evidence from one as applicable to the other. The available structural and molecular data do not support that assumption, and conflating them risks generalising transport properties across structures with different luminal architecture.</w:t>
      </w:r>
    </w:p>
    <w:p w14:paraId="2A1BE5CA" w14:textId="77777777" w:rsidR="00AD0875" w:rsidRDefault="00000000">
      <w:pPr>
        <w:spacing w:before="240" w:after="120" w:line="360" w:lineRule="auto"/>
      </w:pPr>
      <w:r>
        <w:rPr>
          <w:b/>
          <w:color w:val="000000"/>
        </w:rPr>
        <w:t>6.2 Ocular, skeletal, vascular and metabolic contexts</w:t>
      </w:r>
    </w:p>
    <w:p w14:paraId="0B4B4EE0" w14:textId="77777777" w:rsidR="00AD0875" w:rsidRDefault="00000000">
      <w:pPr>
        <w:ind w:firstLine="720"/>
        <w:jc w:val="both"/>
      </w:pPr>
      <w:r>
        <w:t xml:space="preserve">Applications outside oncology and neurodegeneration remain exploratory but are instructive about the range of settings in which these conduits operate. In the cornea, a modified </w:t>
      </w:r>
      <w:r>
        <w:lastRenderedPageBreak/>
        <w:t>host defence peptide slowed nanotube-mediated spread of herpes simplex virus serotype I, which demonstrates that pharmacological interruption of the route is achievable in a tissue accessible to topical administration (Thathapudi et al., 2024). Although framed as antiviral, the study is directly relevant to delivery because it establishes an anatomically accessible system in which conduit function can be modulated and measured.</w:t>
      </w:r>
    </w:p>
    <w:p w14:paraId="631DAEB4" w14:textId="77777777" w:rsidR="00AD0875" w:rsidRDefault="00000000">
      <w:pPr>
        <w:ind w:firstLine="720"/>
        <w:jc w:val="both"/>
      </w:pPr>
      <w:r>
        <w:t>In bone, nanotube-mediated lysosome sharing was shown to promote osteocyte survival through transcellular autophagy, extending the range of transferable organelles beyond mitochondria and identifying a physiological function for the conduits in a tissue where cells are embedded in mineralised matrix and communicate over distance (Qiang et al., 2026). In the microvasculature, nanotubes were identified between pericytes and endothelial cells during normal and tumoral angiogenesis, indicating a role in vascular assembly (Errede et al., 2018). In metabolic disease, dysfunction of nanotube-mediated immunomodulation by stem cells was implicated in adipose inflammation and insulin resistance in gestational diabetes mellitus, which frames the conduit as a therapeutic target in a chronic metabolic condition rather than as a delivery route (Chen et al., 2025). Outside pathology, mitochondrial transfer through these connections from mesenchymal stromal cells to macrophages enhanced phagocytosis in models of acute lung injury (Jackson et al., 2016).</w:t>
      </w:r>
    </w:p>
    <w:p w14:paraId="04C42C9A" w14:textId="77777777" w:rsidR="00AD0875" w:rsidRDefault="00000000">
      <w:pPr>
        <w:ind w:firstLine="720"/>
        <w:jc w:val="both"/>
      </w:pPr>
      <w:r>
        <w:t>These studies collectively indicate that nanotube-mediated transport is a general feature of tissue organisation rather than a peculiarity of cultured tumour cells. They do not, however, advance the delivery question, because none administers an engineered carrier or measures delivered dose. Their principal contribution to the present appraisal is to establish that any systemic intervention modulating nanotube formation would act on many tissues simultaneously, which constrains the therapeutic window available to such an approach.</w:t>
      </w:r>
    </w:p>
    <w:p w14:paraId="74EFB110" w14:textId="77777777" w:rsidR="00AD0875" w:rsidRDefault="00000000">
      <w:pPr>
        <w:spacing w:before="240" w:after="120" w:line="360" w:lineRule="auto"/>
      </w:pPr>
      <w:r>
        <w:rPr>
          <w:b/>
          <w:color w:val="000000"/>
        </w:rPr>
        <w:lastRenderedPageBreak/>
        <w:t>6.3 Nanomaterial toxicology as delivery-relevant evidence</w:t>
      </w:r>
    </w:p>
    <w:p w14:paraId="2A689798" w14:textId="77777777" w:rsidR="00AD0875" w:rsidRDefault="00000000">
      <w:pPr>
        <w:ind w:firstLine="720"/>
        <w:jc w:val="both"/>
      </w:pPr>
      <w:r>
        <w:t>Toxicological studies occupy an unusual position in this literature because they address the delivery question from the opposite direction. The finding that cobalt nanoparticles, titanium dioxide nanoparticles and multi-walled carbon nanotubes all induce nanotube formation in glial cells through a reactive oxygen species-dependent pathway, and that the resulting connections protect recipient cells against nanomaterial-induced apoptosis, establishes that engineered particles are not neutral with respect to the network they traverse (Lin et al., 2024; Zheng et al., 2021). A delivery system administering nanoparticles therefore modifies the conduit density of the exposed tissue, and observed transfer may reflect particle-induced network expansion rather than exploitation of a pre-existing network.</w:t>
      </w:r>
    </w:p>
    <w:p w14:paraId="098C6189" w14:textId="77777777" w:rsidR="00AD0875" w:rsidRDefault="00000000">
      <w:pPr>
        <w:ind w:firstLine="720"/>
        <w:jc w:val="both"/>
      </w:pPr>
      <w:r>
        <w:t>This has two consequences that the pharmaceutical literature has not addressed. The first concerns dose-response behaviour, which would be expected to be non-linear if the administered material increases the number of available conduits, and potentially non-monotonic given the demonstration that excessive oxidative stress disrupts rather than promotes the connections (Du et al., 2026). The second concerns the interpretation of comparative studies, since a carrier that induces more nanotubes may appear to transfer more efficiently without any difference in intrinsic transportability. No published comparison of carrier transfer efficiency has controlled for carrier-induced differences in nanotube abundance, which means that the shape and composition effects described in Section 4 may be confounded to an unknown degree.</w:t>
      </w:r>
    </w:p>
    <w:p w14:paraId="69868AE6" w14:textId="77777777" w:rsidR="00AD0875" w:rsidRDefault="00000000">
      <w:pPr>
        <w:spacing w:before="240" w:after="120" w:line="360" w:lineRule="auto"/>
      </w:pPr>
      <w:r>
        <w:rPr>
          <w:b/>
          <w:color w:val="000000"/>
          <w:sz w:val="28"/>
        </w:rPr>
        <w:t>7. Methodological Constraints on Causal Inference</w:t>
      </w:r>
    </w:p>
    <w:p w14:paraId="698B9A5B" w14:textId="77777777" w:rsidR="00AD0875" w:rsidRDefault="00000000">
      <w:pPr>
        <w:spacing w:before="240" w:after="120" w:line="360" w:lineRule="auto"/>
      </w:pPr>
      <w:r>
        <w:rPr>
          <w:b/>
          <w:color w:val="000000"/>
        </w:rPr>
        <w:t>7.1 Attribution and competing transport routes</w:t>
      </w:r>
    </w:p>
    <w:p w14:paraId="2BAD781E" w14:textId="77777777" w:rsidR="00AD0875" w:rsidRDefault="00000000">
      <w:pPr>
        <w:ind w:firstLine="720"/>
        <w:jc w:val="both"/>
      </w:pPr>
      <w:r>
        <w:t xml:space="preserve">The most consequential methodological problem is that several routes can move material between cells in contact, and the methods most commonly used cannot distinguish them. </w:t>
      </w:r>
      <w:r>
        <w:lastRenderedPageBreak/>
        <w:t>Extracellular vesicles, direct membrane fusion, phagocytosis of apoptotic material, gap-junctional coupling of small molecules and trogocytosis all produce the observable outcome of donor-derived signal appearing in a recipient cell. Reviews of the field have repeatedly identified the overlap between vesicular and nanotube-mediated transfer as a source of confusion, and have noted that the two processes are not independent since vesicles can be released from nanotubes (Cordero Cervantes &amp; Zurzolo, 2021; Dong et al., 2026).</w:t>
      </w:r>
    </w:p>
    <w:p w14:paraId="38E5CF52" w14:textId="77777777" w:rsidR="00AD0875" w:rsidRDefault="00000000">
      <w:pPr>
        <w:ind w:firstLine="720"/>
        <w:jc w:val="both"/>
      </w:pPr>
      <w:r>
        <w:t>Methods that improve attribution exist and are applied unevenly. Transwell configurations that permit soluble and vesicular exchange while preventing cell contact provide a direct control, and an assay specifically designed to exclude exosomes while assessing nanotube-mediated communication has been described and validated (Thayanithy et al., 2017). Physical separation of donor and recipient populations, disruption of connections by actin-depolymerising agents with concentration control and viability monitoring, genetic manipulation of known nanotube regulators, and live imaging of individual particles traversing an identified connection each address a different alternative explanation. The strongest studies combine several: genetic, pharmacological and physical perturbation applied in parallel (Guo et al., 2019), or actin dependence combined with genetic induction and in vivo confirmation (Tosi et al., 2014). Ultrastructural confirmation by correlative electron microscopy remains the definitive approach but is technically demanding and has been applied to delivery questions only rarely (Sartori-Rupp et al., 2019).</w:t>
      </w:r>
    </w:p>
    <w:p w14:paraId="634F4E02" w14:textId="77777777" w:rsidR="00AD0875" w:rsidRDefault="00000000">
      <w:pPr>
        <w:ind w:firstLine="720"/>
        <w:jc w:val="both"/>
      </w:pPr>
      <w:r>
        <w:t xml:space="preserve">Pharmacological disruption deserves particular scrutiny because it is the most frequently used control and the least specific. Agents that depolymerise actin abolish nanotubes but also abolish filopodia, lamellipodia, endocytosis and cell migration, so their effect on transfer cannot be attributed to nanotube loss without additional evidence. Tolytoxin has been characterised specifically for this application (Dilsizoglu Senol et al., 2019) and latrunculin B has been used </w:t>
      </w:r>
      <w:r>
        <w:lastRenderedPageBreak/>
        <w:t>with viability controls (Zheng et al., 2021), but no agent selectively eliminates nanotubes while sparing other actin structures, and none is likely to emerge until the formation pathway is understood well enough to identify a nanotube-specific node.</w:t>
      </w:r>
    </w:p>
    <w:p w14:paraId="74709F08" w14:textId="77777777" w:rsidR="00AD0875" w:rsidRDefault="00000000">
      <w:pPr>
        <w:spacing w:before="240" w:after="120" w:line="360" w:lineRule="auto"/>
      </w:pPr>
      <w:r>
        <w:rPr>
          <w:b/>
          <w:color w:val="000000"/>
        </w:rPr>
        <w:t>7.2 Culture geometry and the two-dimensional artefact problem</w:t>
      </w:r>
    </w:p>
    <w:p w14:paraId="1F91DCDC" w14:textId="77777777" w:rsidR="00AD0875" w:rsidRDefault="00000000">
      <w:pPr>
        <w:ind w:firstLine="720"/>
        <w:jc w:val="both"/>
      </w:pPr>
      <w:r>
        <w:t>Nearly all quantitative characterisation of these connections has been performed on cells growing as monolayers on glass or rigid plastic, a configuration in which cells are flattened, spread over large areas and separated by empty medium. The concern that the resulting structures are partly an artefact of this geometry has been articulated forcefully, with the argument that findings obtained in two dimensions require explicit validation in physiologically relevant three-dimensional microenvironments before being applied to tissue (Lou et al., 2017b). Subsequent work has partially addressed this. Nanotubes form between cells migrating in fibrous environments designed to mimic extracellular matrix, and their properties in that setting differ from those observed on flat substrata (Jana et al., 2022). Comparison of two-dimensional and three-dimensional glioblastoma models within a single study of particle shape found nanotube-mediated transfer in both (Sierri et al., 2025).</w:t>
      </w:r>
    </w:p>
    <w:p w14:paraId="39D2AD94" w14:textId="77777777" w:rsidR="00AD0875" w:rsidRDefault="00000000">
      <w:pPr>
        <w:ind w:firstLine="720"/>
        <w:jc w:val="both"/>
      </w:pPr>
      <w:r>
        <w:t xml:space="preserve">These results indicate that the structures are not solely artefactual, but they do not establish that frequency, length distribution, lifetime or transport capacity measured in monolayers predict the corresponding quantities in tissue. In a dense tumour, cells are surrounded by matrix and by other cells rather than by medium, and the space within which a long unsupported protrusion could extend is limited. It is possible that the functional equivalent of a nanotube in tissue is shorter, more frequently formed and more transient than the structures described in culture, in which case the transport characteristics measured in vitro would systematically misestimate those in vivo. No study has compared the same cells in both settings </w:t>
      </w:r>
      <w:r>
        <w:lastRenderedPageBreak/>
        <w:t>with matched quantification, and the direction as well as the magnitude of any discrepancy is unknown.</w:t>
      </w:r>
    </w:p>
    <w:p w14:paraId="6259CF72" w14:textId="77777777" w:rsidR="00AD0875" w:rsidRDefault="00000000">
      <w:pPr>
        <w:spacing w:before="240" w:after="120" w:line="360" w:lineRule="auto"/>
      </w:pPr>
      <w:r>
        <w:rPr>
          <w:b/>
          <w:color w:val="000000"/>
        </w:rPr>
        <w:t>7.3 Quantification and reporting heterogeneity</w:t>
      </w:r>
    </w:p>
    <w:p w14:paraId="2A782999" w14:textId="77777777" w:rsidR="00AD0875" w:rsidRDefault="00000000">
      <w:pPr>
        <w:ind w:firstLine="720"/>
        <w:jc w:val="both"/>
      </w:pPr>
      <w:r>
        <w:t>Quantification practice is inconsistent to a degree that prevents comparison across studies. Reported measures include the number of connections per cell, the proportion of cells bearing at least one connection, the proportion of recipient cells containing donor-derived signal, the mean fluorescence intensity of recipients, and the velocity of individual particles. These quantities are not interconvertible, and none of them corresponds to the pharmacologically relevant measure of mass of drug delivered per unit tissue volume per unit time. Imaging approaches capable of resolving these connections within tumour tissue have been reviewed and their requirements specified (Lou et al., 2017a), and methodological guidance addressing structural and functional characterisation by cell imaging has been published (Dubois et al., 2020), and detailed protocols for identification and characterisation are available in standardised form (Sáenz-de-Santa-María et al., 2023), as are protocols for specific co-culture systems (Baker et al., 2025). Their adoption has been partial.</w:t>
      </w:r>
    </w:p>
    <w:p w14:paraId="5EE09C9C" w14:textId="77777777" w:rsidR="00AD0875" w:rsidRDefault="00000000">
      <w:pPr>
        <w:ind w:firstLine="720"/>
        <w:jc w:val="both"/>
      </w:pPr>
      <w:r>
        <w:t>Manual counting introduces a further problem, since it is slow, operator-dependent and prone to selection of fields containing visible connections. Automated detection using a deep learning model trained on microscopy images has been developed to address this, and represents a necessary step towards reproducible quantification (Ceran et al., 2022). Advances in labelling chemistry that permit rapid pan-membrane-protein visualisation have similarly improved the ability to detect connections without the overexpression artefacts associated with fluorescent protein tagging (Gunasekara et al., 2025). Neither approach yet provides a measure of transported mass.</w:t>
      </w:r>
    </w:p>
    <w:p w14:paraId="69E4F831" w14:textId="77777777" w:rsidR="00AD0875" w:rsidRDefault="00000000">
      <w:pPr>
        <w:ind w:firstLine="720"/>
        <w:jc w:val="both"/>
      </w:pPr>
      <w:r>
        <w:lastRenderedPageBreak/>
        <w:t>The absence of a dose metric is not a technical detail but a conceptual gap. Every established route of administration is characterised by a quantitative relationship between administered and delivered amount. For intercellular conduit transport, no such relationship has been formulated, no method exists for measuring the quantity of an agent that crosses a given connection, and consequently no delivery claim can be evaluated against a standard of adequacy. Until this is addressed, statements that nanotubes enhance delivery describe a direction of effect without a magnitude.</w:t>
      </w:r>
    </w:p>
    <w:p w14:paraId="101262BE" w14:textId="77777777" w:rsidR="00AD0875" w:rsidRDefault="00000000">
      <w:pPr>
        <w:spacing w:before="240" w:after="120" w:line="360" w:lineRule="auto"/>
      </w:pPr>
      <w:r>
        <w:rPr>
          <w:b/>
          <w:color w:val="000000"/>
        </w:rPr>
        <w:t>7.4 The scarcity of in vivo demonstration</w:t>
      </w:r>
    </w:p>
    <w:p w14:paraId="2C62DEED" w14:textId="77777777" w:rsidR="00AD0875" w:rsidRDefault="00000000">
      <w:pPr>
        <w:ind w:firstLine="720"/>
        <w:jc w:val="both"/>
      </w:pPr>
      <w:r>
        <w:t>In vivo evidence falls into three categories of decreasing strength. The strongest comprises studies in which the connections were imaged directly in living tissue and shown to transfer material, of which the zebrafish gastrula work is the clearest example (Korenkova et al., 2025). The intermediate category comprises studies in which nanotubes were demonstrated in fixed tissue from animals or humans, establishing presence but not function, as with multiphoton imaging of resected human pancreatic tumour specimens (Desir et al., 2018) and identification of the structures in tumour and vascular tissue (Errede et al., 2018). The weakest and most numerous category comprises studies in which a therapeutic effect was observed in an animal model and attributed to nanotube-mediated transport on the basis of in vitro mechanistic work, without in vivo confirmation that the route operated (Du et al., 2021; Liu et al., 2025; Peng et al., 2025; Yang et al., 2024).</w:t>
      </w:r>
    </w:p>
    <w:p w14:paraId="680F0402" w14:textId="77777777" w:rsidR="00AD0875" w:rsidRDefault="00000000">
      <w:pPr>
        <w:ind w:firstLine="720"/>
        <w:jc w:val="both"/>
      </w:pPr>
      <w:r>
        <w:t xml:space="preserve">This distribution is important because the efficacy claims that give the field its impetus derive almost entirely from the weakest category. A nanoparticle formulation that improves survival in a tumour-bearing mouse may do so for reasons unrelated to intercellular conduits, including altered biodistribution, differences in release kinetics or direct cytotoxicity of the </w:t>
      </w:r>
      <w:r>
        <w:lastRenderedPageBreak/>
        <w:t>delivery vehicle. Where the same stimulus that induces nanotubes also generates reactive oxygen species with independent cytotoxic effects, as in the bladder carcinoma system, the two contributions are confounded by design (Liu et al., 2025). The macrophage relay study, which applied three independent modes of perturbation to the connections before proceeding to animal work, comes closest to meeting the required standard (Guo et al., 2019), and the fact that it remains exceptional after several years indicates how far the field is from routine in vivo attribution.</w:t>
      </w:r>
    </w:p>
    <w:p w14:paraId="2319BFBB" w14:textId="77777777" w:rsidR="00AD0875" w:rsidRDefault="00000000">
      <w:pPr>
        <w:ind w:firstLine="720"/>
        <w:jc w:val="both"/>
      </w:pPr>
      <w:r>
        <w:t>The principal methodological limitations, their consequences for inference and the approaches that would mitigate them are collected in Table 4. The pattern visible in that table is that mitigation methods exist for every major limitation, that each has been demonstrated somewhere in the literature, and that the obstacle is adoption rather than availability. This is a more optimistic assessment than the current state of the evidence might suggest, because it implies that the principal barrier to firmer conclusions is methodological convention rather than technical impossibility.</w:t>
      </w:r>
    </w:p>
    <w:p w14:paraId="2DDD3E34" w14:textId="77777777" w:rsidR="00AD0875" w:rsidRDefault="00000000">
      <w:pPr>
        <w:spacing w:before="240" w:after="80" w:line="240" w:lineRule="auto"/>
      </w:pPr>
      <w:r>
        <w:rPr>
          <w:b/>
          <w:sz w:val="20"/>
        </w:rPr>
        <w:t>Table 4. Principal methodological limitations of the nanotube delivery literature, their consequences and demonstrated mitigations</w:t>
      </w:r>
    </w:p>
    <w:tbl>
      <w:tblPr>
        <w:tblStyle w:val="TableGrid"/>
        <w:tblW w:w="0" w:type="auto"/>
        <w:jc w:val="center"/>
        <w:tblLook w:val="04A0" w:firstRow="1" w:lastRow="0" w:firstColumn="1" w:lastColumn="0" w:noHBand="0" w:noVBand="1"/>
      </w:tblPr>
      <w:tblGrid>
        <w:gridCol w:w="2351"/>
        <w:gridCol w:w="2351"/>
        <w:gridCol w:w="2351"/>
        <w:gridCol w:w="2351"/>
      </w:tblGrid>
      <w:tr w:rsidR="00AD0875" w14:paraId="38723D04" w14:textId="77777777">
        <w:trPr>
          <w:jc w:val="center"/>
        </w:trPr>
        <w:tc>
          <w:tcPr>
            <w:tcW w:w="2351" w:type="dxa"/>
          </w:tcPr>
          <w:p w14:paraId="1BA81F7E" w14:textId="77777777" w:rsidR="00AD0875" w:rsidRDefault="00000000">
            <w:pPr>
              <w:spacing w:before="40" w:after="40" w:line="240" w:lineRule="auto"/>
            </w:pPr>
            <w:r>
              <w:rPr>
                <w:b/>
                <w:sz w:val="18"/>
              </w:rPr>
              <w:t>Limitation</w:t>
            </w:r>
          </w:p>
        </w:tc>
        <w:tc>
          <w:tcPr>
            <w:tcW w:w="2351" w:type="dxa"/>
          </w:tcPr>
          <w:p w14:paraId="1BCCED02" w14:textId="77777777" w:rsidR="00AD0875" w:rsidRDefault="00000000">
            <w:pPr>
              <w:spacing w:before="40" w:after="40" w:line="240" w:lineRule="auto"/>
            </w:pPr>
            <w:r>
              <w:rPr>
                <w:b/>
                <w:sz w:val="18"/>
              </w:rPr>
              <w:t>Consequence for inference</w:t>
            </w:r>
          </w:p>
        </w:tc>
        <w:tc>
          <w:tcPr>
            <w:tcW w:w="2351" w:type="dxa"/>
          </w:tcPr>
          <w:p w14:paraId="1FAD1D1A" w14:textId="77777777" w:rsidR="00AD0875" w:rsidRDefault="00000000">
            <w:pPr>
              <w:spacing w:before="40" w:after="40" w:line="240" w:lineRule="auto"/>
            </w:pPr>
            <w:r>
              <w:rPr>
                <w:b/>
                <w:sz w:val="18"/>
              </w:rPr>
              <w:t>Mitigation already demonstrated within this literature</w:t>
            </w:r>
          </w:p>
        </w:tc>
        <w:tc>
          <w:tcPr>
            <w:tcW w:w="2351" w:type="dxa"/>
          </w:tcPr>
          <w:p w14:paraId="4F422AD6" w14:textId="77777777" w:rsidR="00AD0875" w:rsidRDefault="00000000">
            <w:pPr>
              <w:spacing w:before="40" w:after="40" w:line="240" w:lineRule="auto"/>
            </w:pPr>
            <w:r>
              <w:rPr>
                <w:b/>
                <w:sz w:val="18"/>
              </w:rPr>
              <w:t>Supporting references</w:t>
            </w:r>
          </w:p>
        </w:tc>
      </w:tr>
      <w:tr w:rsidR="00AD0875" w14:paraId="0B196AAD" w14:textId="77777777">
        <w:trPr>
          <w:jc w:val="center"/>
        </w:trPr>
        <w:tc>
          <w:tcPr>
            <w:tcW w:w="2351" w:type="dxa"/>
          </w:tcPr>
          <w:p w14:paraId="119BA42A" w14:textId="77777777" w:rsidR="00AD0875" w:rsidRDefault="00000000">
            <w:pPr>
              <w:spacing w:before="40" w:after="40" w:line="240" w:lineRule="auto"/>
            </w:pPr>
            <w:r>
              <w:rPr>
                <w:sz w:val="18"/>
              </w:rPr>
              <w:t>Morphological identification without confirmation of luminal continuity</w:t>
            </w:r>
          </w:p>
        </w:tc>
        <w:tc>
          <w:tcPr>
            <w:tcW w:w="2351" w:type="dxa"/>
          </w:tcPr>
          <w:p w14:paraId="1AF58D57" w14:textId="77777777" w:rsidR="00AD0875" w:rsidRDefault="00000000">
            <w:pPr>
              <w:spacing w:before="40" w:after="40" w:line="240" w:lineRule="auto"/>
            </w:pPr>
            <w:r>
              <w:rPr>
                <w:sz w:val="18"/>
              </w:rPr>
              <w:t>Transfer may be attributed to an open-ended conduit that was in fact a closed apposition incapable of carrying particulate cargo</w:t>
            </w:r>
          </w:p>
        </w:tc>
        <w:tc>
          <w:tcPr>
            <w:tcW w:w="2351" w:type="dxa"/>
          </w:tcPr>
          <w:p w14:paraId="593C1147" w14:textId="77777777" w:rsidR="00AD0875" w:rsidRDefault="00000000">
            <w:pPr>
              <w:spacing w:before="40" w:after="40" w:line="240" w:lineRule="auto"/>
            </w:pPr>
            <w:r>
              <w:rPr>
                <w:sz w:val="18"/>
              </w:rPr>
              <w:t>Correlative cryo-electron microscopy establishing open-endedness and internal organisation; in vivo demonstration of transfer of both soluble cargo and organelles</w:t>
            </w:r>
          </w:p>
        </w:tc>
        <w:tc>
          <w:tcPr>
            <w:tcW w:w="2351" w:type="dxa"/>
          </w:tcPr>
          <w:p w14:paraId="706FC65A" w14:textId="77777777" w:rsidR="00AD0875" w:rsidRDefault="00000000">
            <w:pPr>
              <w:spacing w:before="40" w:after="40" w:line="240" w:lineRule="auto"/>
            </w:pPr>
            <w:r>
              <w:rPr>
                <w:sz w:val="18"/>
              </w:rPr>
              <w:t>Korenkova et al. (2025); Sartori-Rupp et al. (2019)</w:t>
            </w:r>
          </w:p>
        </w:tc>
      </w:tr>
      <w:tr w:rsidR="00AD0875" w14:paraId="03860B38" w14:textId="77777777">
        <w:trPr>
          <w:jc w:val="center"/>
        </w:trPr>
        <w:tc>
          <w:tcPr>
            <w:tcW w:w="2351" w:type="dxa"/>
          </w:tcPr>
          <w:p w14:paraId="691E2B9D" w14:textId="77777777" w:rsidR="00AD0875" w:rsidRDefault="00000000">
            <w:pPr>
              <w:spacing w:before="40" w:after="40" w:line="240" w:lineRule="auto"/>
            </w:pPr>
            <w:r>
              <w:rPr>
                <w:sz w:val="18"/>
              </w:rPr>
              <w:t>Failure to exclude extracellular vesicle-mediated transfer</w:t>
            </w:r>
          </w:p>
        </w:tc>
        <w:tc>
          <w:tcPr>
            <w:tcW w:w="2351" w:type="dxa"/>
          </w:tcPr>
          <w:p w14:paraId="457C0BCA" w14:textId="77777777" w:rsidR="00AD0875" w:rsidRDefault="00000000">
            <w:pPr>
              <w:spacing w:before="40" w:after="40" w:line="240" w:lineRule="auto"/>
            </w:pPr>
            <w:r>
              <w:rPr>
                <w:sz w:val="18"/>
              </w:rPr>
              <w:t>Apparent conduit transport may reflect release and re-uptake, particularly where both routes operate in the same system</w:t>
            </w:r>
          </w:p>
        </w:tc>
        <w:tc>
          <w:tcPr>
            <w:tcW w:w="2351" w:type="dxa"/>
          </w:tcPr>
          <w:p w14:paraId="42DD117C" w14:textId="77777777" w:rsidR="00AD0875" w:rsidRDefault="00000000">
            <w:pPr>
              <w:spacing w:before="40" w:after="40" w:line="240" w:lineRule="auto"/>
            </w:pPr>
            <w:r>
              <w:rPr>
                <w:sz w:val="18"/>
              </w:rPr>
              <w:t>Transwell assay designed specifically to exclude exosomes while permitting assessment of nanotube-mediated communication</w:t>
            </w:r>
          </w:p>
        </w:tc>
        <w:tc>
          <w:tcPr>
            <w:tcW w:w="2351" w:type="dxa"/>
          </w:tcPr>
          <w:p w14:paraId="35F4985D" w14:textId="77777777" w:rsidR="00AD0875" w:rsidRDefault="00000000">
            <w:pPr>
              <w:spacing w:before="40" w:after="40" w:line="240" w:lineRule="auto"/>
            </w:pPr>
            <w:r>
              <w:rPr>
                <w:sz w:val="18"/>
              </w:rPr>
              <w:t>Du et al. (2021); Thayanithy et al. (2017)</w:t>
            </w:r>
          </w:p>
        </w:tc>
      </w:tr>
      <w:tr w:rsidR="00AD0875" w14:paraId="777E8127" w14:textId="77777777">
        <w:trPr>
          <w:jc w:val="center"/>
        </w:trPr>
        <w:tc>
          <w:tcPr>
            <w:tcW w:w="2351" w:type="dxa"/>
          </w:tcPr>
          <w:p w14:paraId="4869183E" w14:textId="77777777" w:rsidR="00AD0875" w:rsidRDefault="00000000">
            <w:pPr>
              <w:spacing w:before="40" w:after="40" w:line="240" w:lineRule="auto"/>
            </w:pPr>
            <w:r>
              <w:rPr>
                <w:sz w:val="18"/>
              </w:rPr>
              <w:t>Non-specific pharmacological disruption of actin</w:t>
            </w:r>
          </w:p>
        </w:tc>
        <w:tc>
          <w:tcPr>
            <w:tcW w:w="2351" w:type="dxa"/>
          </w:tcPr>
          <w:p w14:paraId="02D3E582" w14:textId="77777777" w:rsidR="00AD0875" w:rsidRDefault="00000000">
            <w:pPr>
              <w:spacing w:before="40" w:after="40" w:line="240" w:lineRule="auto"/>
            </w:pPr>
            <w:r>
              <w:rPr>
                <w:sz w:val="18"/>
              </w:rPr>
              <w:t xml:space="preserve">Loss of transfer after actin depolymerisation cannot be attributed to nanotube loss rather than to impaired endocytosis, migration or </w:t>
            </w:r>
            <w:r>
              <w:rPr>
                <w:sz w:val="18"/>
              </w:rPr>
              <w:lastRenderedPageBreak/>
              <w:t>viability</w:t>
            </w:r>
          </w:p>
        </w:tc>
        <w:tc>
          <w:tcPr>
            <w:tcW w:w="2351" w:type="dxa"/>
          </w:tcPr>
          <w:p w14:paraId="16185DAF" w14:textId="77777777" w:rsidR="00AD0875" w:rsidRDefault="00000000">
            <w:pPr>
              <w:spacing w:before="40" w:after="40" w:line="240" w:lineRule="auto"/>
            </w:pPr>
            <w:r>
              <w:rPr>
                <w:sz w:val="18"/>
              </w:rPr>
              <w:lastRenderedPageBreak/>
              <w:t xml:space="preserve">Use of agents characterised specifically for this application, with viability controls; combination with genetic and physical </w:t>
            </w:r>
            <w:r>
              <w:rPr>
                <w:sz w:val="18"/>
              </w:rPr>
              <w:lastRenderedPageBreak/>
              <w:t>perturbation</w:t>
            </w:r>
          </w:p>
        </w:tc>
        <w:tc>
          <w:tcPr>
            <w:tcW w:w="2351" w:type="dxa"/>
          </w:tcPr>
          <w:p w14:paraId="3FCEB18F" w14:textId="77777777" w:rsidR="00AD0875" w:rsidRDefault="00000000">
            <w:pPr>
              <w:spacing w:before="40" w:after="40" w:line="240" w:lineRule="auto"/>
            </w:pPr>
            <w:r>
              <w:rPr>
                <w:sz w:val="18"/>
              </w:rPr>
              <w:lastRenderedPageBreak/>
              <w:t>Dilsizoglu Senol et al. (2019); Guo et al. (2019); Zheng et al. (2021)</w:t>
            </w:r>
          </w:p>
        </w:tc>
      </w:tr>
      <w:tr w:rsidR="00AD0875" w14:paraId="45739286" w14:textId="77777777">
        <w:trPr>
          <w:jc w:val="center"/>
        </w:trPr>
        <w:tc>
          <w:tcPr>
            <w:tcW w:w="2351" w:type="dxa"/>
          </w:tcPr>
          <w:p w14:paraId="4B2DBCF0" w14:textId="77777777" w:rsidR="00AD0875" w:rsidRDefault="00000000">
            <w:pPr>
              <w:spacing w:before="40" w:after="40" w:line="240" w:lineRule="auto"/>
            </w:pPr>
            <w:r>
              <w:rPr>
                <w:sz w:val="18"/>
              </w:rPr>
              <w:t>Reliance on two-dimensional culture on rigid substrata</w:t>
            </w:r>
          </w:p>
        </w:tc>
        <w:tc>
          <w:tcPr>
            <w:tcW w:w="2351" w:type="dxa"/>
          </w:tcPr>
          <w:p w14:paraId="34B6221F" w14:textId="77777777" w:rsidR="00AD0875" w:rsidRDefault="00000000">
            <w:pPr>
              <w:spacing w:before="40" w:after="40" w:line="240" w:lineRule="auto"/>
            </w:pPr>
            <w:r>
              <w:rPr>
                <w:sz w:val="18"/>
              </w:rPr>
              <w:t>Connection frequency, length and lifetime measured in monolayers may not predict the corresponding quantities in tissue</w:t>
            </w:r>
          </w:p>
        </w:tc>
        <w:tc>
          <w:tcPr>
            <w:tcW w:w="2351" w:type="dxa"/>
          </w:tcPr>
          <w:p w14:paraId="4A47DE6C" w14:textId="77777777" w:rsidR="00AD0875" w:rsidRDefault="00000000">
            <w:pPr>
              <w:spacing w:before="40" w:after="40" w:line="240" w:lineRule="auto"/>
            </w:pPr>
            <w:r>
              <w:rPr>
                <w:sz w:val="18"/>
              </w:rPr>
              <w:t>Characterisation in fibrous matrix-mimicking environments and parallel assessment in two- and three-dimensional models</w:t>
            </w:r>
          </w:p>
        </w:tc>
        <w:tc>
          <w:tcPr>
            <w:tcW w:w="2351" w:type="dxa"/>
          </w:tcPr>
          <w:p w14:paraId="422CA2EF" w14:textId="77777777" w:rsidR="00AD0875" w:rsidRDefault="00000000">
            <w:pPr>
              <w:spacing w:before="40" w:after="40" w:line="240" w:lineRule="auto"/>
            </w:pPr>
            <w:r>
              <w:rPr>
                <w:sz w:val="18"/>
              </w:rPr>
              <w:t>Jana et al. (2022); Lou et al. (2017b); Sierri et al. (2025)</w:t>
            </w:r>
          </w:p>
        </w:tc>
      </w:tr>
      <w:tr w:rsidR="00AD0875" w14:paraId="02B9CBDD" w14:textId="77777777">
        <w:trPr>
          <w:jc w:val="center"/>
        </w:trPr>
        <w:tc>
          <w:tcPr>
            <w:tcW w:w="2351" w:type="dxa"/>
          </w:tcPr>
          <w:p w14:paraId="7DC90780" w14:textId="77777777" w:rsidR="00AD0875" w:rsidRDefault="00000000">
            <w:pPr>
              <w:spacing w:before="40" w:after="40" w:line="240" w:lineRule="auto"/>
            </w:pPr>
            <w:r>
              <w:rPr>
                <w:sz w:val="18"/>
              </w:rPr>
              <w:t>Heterogeneous and non-quantitative reporting of transfer</w:t>
            </w:r>
          </w:p>
        </w:tc>
        <w:tc>
          <w:tcPr>
            <w:tcW w:w="2351" w:type="dxa"/>
          </w:tcPr>
          <w:p w14:paraId="2431BE20" w14:textId="77777777" w:rsidR="00AD0875" w:rsidRDefault="00000000">
            <w:pPr>
              <w:spacing w:before="40" w:after="40" w:line="240" w:lineRule="auto"/>
            </w:pPr>
            <w:r>
              <w:rPr>
                <w:sz w:val="18"/>
              </w:rPr>
              <w:t>Findings cannot be compared across studies, and no estimate of delivered dose can be derived</w:t>
            </w:r>
          </w:p>
        </w:tc>
        <w:tc>
          <w:tcPr>
            <w:tcW w:w="2351" w:type="dxa"/>
          </w:tcPr>
          <w:p w14:paraId="23579896" w14:textId="77777777" w:rsidR="00AD0875" w:rsidRDefault="00000000">
            <w:pPr>
              <w:spacing w:before="40" w:after="40" w:line="240" w:lineRule="auto"/>
            </w:pPr>
            <w:r>
              <w:rPr>
                <w:sz w:val="18"/>
              </w:rPr>
              <w:t>Published imaging guidance and standardised protocols; automated detection and counting by deep learning; labelling chemistry reducing overexpression artefact</w:t>
            </w:r>
          </w:p>
        </w:tc>
        <w:tc>
          <w:tcPr>
            <w:tcW w:w="2351" w:type="dxa"/>
          </w:tcPr>
          <w:p w14:paraId="7285667D" w14:textId="77777777" w:rsidR="00AD0875" w:rsidRDefault="00000000">
            <w:pPr>
              <w:spacing w:before="40" w:after="40" w:line="240" w:lineRule="auto"/>
            </w:pPr>
            <w:r>
              <w:rPr>
                <w:sz w:val="18"/>
              </w:rPr>
              <w:t>Baker et al. (2025); Ceran et al. (2022); Dubois et al. (2020); Gunasekara et al. (2025); Sáenz-de-Santa-María et al. (2023)</w:t>
            </w:r>
          </w:p>
        </w:tc>
      </w:tr>
      <w:tr w:rsidR="00AD0875" w14:paraId="7A2E9258" w14:textId="77777777">
        <w:trPr>
          <w:jc w:val="center"/>
        </w:trPr>
        <w:tc>
          <w:tcPr>
            <w:tcW w:w="2351" w:type="dxa"/>
          </w:tcPr>
          <w:p w14:paraId="2CCE99E7" w14:textId="77777777" w:rsidR="00AD0875" w:rsidRDefault="00000000">
            <w:pPr>
              <w:spacing w:before="40" w:after="40" w:line="240" w:lineRule="auto"/>
            </w:pPr>
            <w:r>
              <w:rPr>
                <w:sz w:val="18"/>
              </w:rPr>
              <w:t>Attribution of in vivo therapeutic effect to a route demonstrated only in vitro</w:t>
            </w:r>
          </w:p>
        </w:tc>
        <w:tc>
          <w:tcPr>
            <w:tcW w:w="2351" w:type="dxa"/>
          </w:tcPr>
          <w:p w14:paraId="0CF30ABD" w14:textId="77777777" w:rsidR="00AD0875" w:rsidRDefault="00000000">
            <w:pPr>
              <w:spacing w:before="40" w:after="40" w:line="240" w:lineRule="auto"/>
            </w:pPr>
            <w:r>
              <w:rPr>
                <w:sz w:val="18"/>
              </w:rPr>
              <w:t>Efficacy may arise from altered biodistribution, release kinetics or direct vehicle cytotoxicity rather than from conduit transport</w:t>
            </w:r>
          </w:p>
        </w:tc>
        <w:tc>
          <w:tcPr>
            <w:tcW w:w="2351" w:type="dxa"/>
          </w:tcPr>
          <w:p w14:paraId="62EFBAA4" w14:textId="77777777" w:rsidR="00AD0875" w:rsidRDefault="00000000">
            <w:pPr>
              <w:spacing w:before="40" w:after="40" w:line="240" w:lineRule="auto"/>
            </w:pPr>
            <w:r>
              <w:rPr>
                <w:sz w:val="18"/>
              </w:rPr>
              <w:t>Application of genetic, pharmacological and physical perturbation before proceeding to animal work</w:t>
            </w:r>
          </w:p>
        </w:tc>
        <w:tc>
          <w:tcPr>
            <w:tcW w:w="2351" w:type="dxa"/>
          </w:tcPr>
          <w:p w14:paraId="21D81872" w14:textId="77777777" w:rsidR="00AD0875" w:rsidRDefault="00000000">
            <w:pPr>
              <w:spacing w:before="40" w:after="40" w:line="240" w:lineRule="auto"/>
            </w:pPr>
            <w:r>
              <w:rPr>
                <w:sz w:val="18"/>
              </w:rPr>
              <w:t>Guo et al. (2019)</w:t>
            </w:r>
          </w:p>
        </w:tc>
      </w:tr>
      <w:tr w:rsidR="00AD0875" w14:paraId="0867ED91" w14:textId="77777777">
        <w:trPr>
          <w:jc w:val="center"/>
        </w:trPr>
        <w:tc>
          <w:tcPr>
            <w:tcW w:w="2351" w:type="dxa"/>
          </w:tcPr>
          <w:p w14:paraId="67B13E5D" w14:textId="77777777" w:rsidR="00AD0875" w:rsidRDefault="00000000">
            <w:pPr>
              <w:spacing w:before="40" w:after="40" w:line="240" w:lineRule="auto"/>
            </w:pPr>
            <w:r>
              <w:rPr>
                <w:sz w:val="18"/>
              </w:rPr>
              <w:t>Failure to control for carrier-induced changes in conduit abundance</w:t>
            </w:r>
          </w:p>
        </w:tc>
        <w:tc>
          <w:tcPr>
            <w:tcW w:w="2351" w:type="dxa"/>
          </w:tcPr>
          <w:p w14:paraId="15B2747E" w14:textId="77777777" w:rsidR="00AD0875" w:rsidRDefault="00000000">
            <w:pPr>
              <w:spacing w:before="40" w:after="40" w:line="240" w:lineRule="auto"/>
            </w:pPr>
            <w:r>
              <w:rPr>
                <w:sz w:val="18"/>
              </w:rPr>
              <w:t>Apparent differences in transportability between carriers may reflect differences in the number of connections each induces</w:t>
            </w:r>
          </w:p>
        </w:tc>
        <w:tc>
          <w:tcPr>
            <w:tcW w:w="2351" w:type="dxa"/>
          </w:tcPr>
          <w:p w14:paraId="7A2BBF2A" w14:textId="77777777" w:rsidR="00AD0875" w:rsidRDefault="00000000">
            <w:pPr>
              <w:spacing w:before="40" w:after="40" w:line="240" w:lineRule="auto"/>
            </w:pPr>
            <w:r>
              <w:rPr>
                <w:sz w:val="18"/>
              </w:rPr>
              <w:t>Systematic demonstration that engineered nanomaterials induce nanotube formation through a reactive oxygen species-dependent pathway, providing the basis for such a control</w:t>
            </w:r>
          </w:p>
        </w:tc>
        <w:tc>
          <w:tcPr>
            <w:tcW w:w="2351" w:type="dxa"/>
          </w:tcPr>
          <w:p w14:paraId="7B51B3B4" w14:textId="77777777" w:rsidR="00AD0875" w:rsidRDefault="00000000">
            <w:pPr>
              <w:spacing w:before="40" w:after="40" w:line="240" w:lineRule="auto"/>
            </w:pPr>
            <w:r>
              <w:rPr>
                <w:sz w:val="18"/>
              </w:rPr>
              <w:t>Lin et al. (2024); Zheng et al. (2021)</w:t>
            </w:r>
          </w:p>
        </w:tc>
      </w:tr>
    </w:tbl>
    <w:p w14:paraId="161179D1" w14:textId="77777777" w:rsidR="00AD0875" w:rsidRDefault="00000000">
      <w:pPr>
        <w:spacing w:before="80" w:after="240" w:line="240" w:lineRule="auto"/>
      </w:pPr>
      <w:r>
        <w:rPr>
          <w:sz w:val="18"/>
        </w:rPr>
        <w:t>Note. Mitigations listed have each been demonstrated in at least one published study within this field; the limitation persists because of uneven adoption rather than because a remedy is unavailable.</w:t>
      </w:r>
    </w:p>
    <w:p w14:paraId="377B0BDC" w14:textId="77777777" w:rsidR="00AD0875" w:rsidRDefault="00000000">
      <w:pPr>
        <w:spacing w:before="240" w:after="120" w:line="360" w:lineRule="auto"/>
      </w:pPr>
      <w:r>
        <w:rPr>
          <w:b/>
          <w:color w:val="000000"/>
          <w:sz w:val="28"/>
        </w:rPr>
        <w:t>8. Translational Constraints</w:t>
      </w:r>
    </w:p>
    <w:p w14:paraId="0682D4F6" w14:textId="77777777" w:rsidR="00AD0875" w:rsidRDefault="00000000">
      <w:pPr>
        <w:spacing w:before="240" w:after="120" w:line="360" w:lineRule="auto"/>
      </w:pPr>
      <w:r>
        <w:rPr>
          <w:b/>
          <w:color w:val="000000"/>
        </w:rPr>
        <w:t>8.1 Controllability</w:t>
      </w:r>
    </w:p>
    <w:p w14:paraId="64309344" w14:textId="77777777" w:rsidR="00AD0875" w:rsidRDefault="00000000">
      <w:pPr>
        <w:ind w:firstLine="720"/>
        <w:jc w:val="both"/>
      </w:pPr>
      <w:r>
        <w:t xml:space="preserve">A delivery route is useful only if its operation can be initiated, sustained and terminated on demand. Nanotube abundance responds to oxidative stress, hypoxia, cytotoxic exposure and mechanical context, all of which vary within a tumour and none of which is under external control during systemic therapy (Desir et al., 2016; Desir et al., 2018; Kretschmer et al., 2019; Lin et al., 2024). The demonstration that near-infrared irradiation intensity switches the route between promotion and disruption offers genuine external control but is limited to tissue within reach of light, which excludes most disseminated disease (Du et al., 2026). The intravesical pressure-driven electrical system similarly exploits an anatomically confined space (Liu et al., 2025). Genetic manipulation of formation pathways achieves reliable modulation in culture but is not currently a therapeutic option (Tosi et al., 2014). The realistic assessment is that </w:t>
      </w:r>
      <w:r>
        <w:lastRenderedPageBreak/>
        <w:t>controllability has been achieved only in anatomically accessible compartments and that no strategy for systemic control exists.</w:t>
      </w:r>
    </w:p>
    <w:p w14:paraId="368E96DB" w14:textId="77777777" w:rsidR="00AD0875" w:rsidRDefault="00000000">
      <w:pPr>
        <w:spacing w:before="240" w:after="120" w:line="360" w:lineRule="auto"/>
      </w:pPr>
      <w:r>
        <w:rPr>
          <w:b/>
          <w:color w:val="000000"/>
        </w:rPr>
        <w:t>8.2 Selectivity</w:t>
      </w:r>
    </w:p>
    <w:p w14:paraId="173E32C4" w14:textId="77777777" w:rsidR="00AD0875" w:rsidRDefault="00000000">
      <w:pPr>
        <w:ind w:firstLine="720"/>
        <w:jc w:val="both"/>
      </w:pPr>
      <w:r>
        <w:t>The molecular machinery of nanotube formation is shared between malignant and non-malignant cells, which means that a systemic promoter of formation would act on all tissues, including those in which increased connectivity is undesirable. The nervous system is the clearest example, given the role of these conduits in the propagation of protein aggregates (Chakraborty et al., 2023; Dilsizoglu Senol et al., 2021). Two partial solutions have been proposed. The first exploits reported structural differences between the protrusions formed by malignant and non-malignant cells, with glioblastoma cells forming predominantly thick and long connections and astrocytes forming thinner and shorter ones, which produced differential liposome transfer (Formicola et al., 2019). The second exploits cell-type selectivity in transfer, illustrated by the finding that mesoporous silica nanoparticles transferred from macrophages to two human carcinoma lines but not to a syngeneic murine line (Franco et al., 2020). Neither observation has been developed into a design principle, and the molecular basis of the selectivity in the second case was not determined.</w:t>
      </w:r>
    </w:p>
    <w:p w14:paraId="482E4F90" w14:textId="77777777" w:rsidR="00AD0875" w:rsidRDefault="00000000">
      <w:pPr>
        <w:spacing w:before="240" w:after="120" w:line="360" w:lineRule="auto"/>
      </w:pPr>
      <w:r>
        <w:rPr>
          <w:b/>
          <w:color w:val="000000"/>
        </w:rPr>
        <w:t>8.3 Dosimetry and pharmacokinetic description</w:t>
      </w:r>
    </w:p>
    <w:p w14:paraId="33AF104B" w14:textId="77777777" w:rsidR="00AD0875" w:rsidRDefault="00000000">
      <w:pPr>
        <w:ind w:firstLine="720"/>
        <w:jc w:val="both"/>
      </w:pPr>
      <w:r>
        <w:t xml:space="preserve">Conventional pharmacokinetic description assumes that drug moves between compartments according to concentration gradients and permeability coefficients. Transport through a conduit bundle by motor-driven movement of vesicles does not conform to this model. Transport is directional, saturable, dependent on the metabolic state of both cells, and limited by the number of available connections rather than by concentration difference. No compartmental or physiologically based model incorporating an intercellular conduit route has been published, </w:t>
      </w:r>
      <w:r>
        <w:lastRenderedPageBreak/>
        <w:t>and the parameters such a model would require, including connection density per unit tissue volume, mean connection lifetime, transport capacity per connection and the dependence of each on local conditions, have not been measured in any tissue. Physical modelling of transport along tubular tethers provides a starting framework but idealises the geometry in ways that the ultrastructural evidence does not support (Daniels, 2019; Sartori-Rupp et al., 2019).</w:t>
      </w:r>
    </w:p>
    <w:p w14:paraId="5E10E3F0" w14:textId="77777777" w:rsidR="00AD0875" w:rsidRDefault="00000000">
      <w:pPr>
        <w:spacing w:before="240" w:after="120" w:line="360" w:lineRule="auto"/>
      </w:pPr>
      <w:r>
        <w:rPr>
          <w:b/>
          <w:color w:val="000000"/>
        </w:rPr>
        <w:t>8.4 Safety and the dual-use problem</w:t>
      </w:r>
    </w:p>
    <w:p w14:paraId="49054E18" w14:textId="77777777" w:rsidR="00AD0875" w:rsidRDefault="00000000">
      <w:pPr>
        <w:ind w:firstLine="720"/>
        <w:jc w:val="both"/>
      </w:pPr>
      <w:r>
        <w:t>The safety concerns specific to this approach differ from those of conventional nanomedicine. Promotion of intercellular connectivity in a tumour would be expected to facilitate the transfer of resistance determinants as well as therapeutic cargo, since the same conduits carry mitochondria, efflux transporters and oncogenic proteins (Desir et al., 2019; Pasquier et al., 2012; Thayanithy et al., 2014). A delivery strategy that expands the network may therefore improve initial drug distribution while simultaneously strengthening the mechanism by which the tumour subsequently adapts. Outside the tumour, enhanced connectivity in neural tissue carries the risk of accelerating aggregate propagation, and enhanced connectivity in the vasculature could plausibly influence angiogenesis given the role of these connections in pericyte-endothelial communication during tumoral angiogenesis (Errede et al., 2018). The evidence that engineered nanomaterials themselves induce nanotube formation means that this risk attaches to the carrier as well as to any deliberate promoter (Lin et al., 2024; Zheng et al., 2021). None of these risks has been evaluated experimentally in the context of a delivery intervention.</w:t>
      </w:r>
    </w:p>
    <w:p w14:paraId="6B91DBBD" w14:textId="77777777" w:rsidR="00AD0875" w:rsidRDefault="00000000">
      <w:pPr>
        <w:spacing w:before="240" w:after="120" w:line="360" w:lineRule="auto"/>
      </w:pPr>
      <w:r>
        <w:rPr>
          <w:b/>
          <w:color w:val="000000"/>
        </w:rPr>
        <w:t>8.5 Manufacturing, regulatory and comparative considerations</w:t>
      </w:r>
    </w:p>
    <w:p w14:paraId="55A7C683" w14:textId="77777777" w:rsidR="00AD0875" w:rsidRDefault="00000000">
      <w:pPr>
        <w:ind w:firstLine="720"/>
        <w:jc w:val="both"/>
      </w:pPr>
      <w:r>
        <w:t xml:space="preserve">Cell-based relay systems raise the manufacturing and regulatory burden characteristic of living therapeutics, including donor sourcing, ex vivo loading, viability and potency assays, and the risk that the carrier cell adopts an unintended phenotype in vivo. The macrophage and </w:t>
      </w:r>
      <w:r>
        <w:lastRenderedPageBreak/>
        <w:t>microglial platforms depend on the carrier cell retaining its tropism and its capacity to form connections after loading, neither of which is straightforward to specify as a release criterion (Du et al., 2021; Guo et al., 2019). Mitochondria-based vehicles introduce further questions about organelle sourcing, stability and immunogenicity (Peng et al., 2025). Physically triggered systems require a device component, with corresponding combination-product considerations (Liu et al., 2025).</w:t>
      </w:r>
    </w:p>
    <w:p w14:paraId="20777C50" w14:textId="77777777" w:rsidR="00AD0875" w:rsidRDefault="00000000">
      <w:pPr>
        <w:ind w:firstLine="720"/>
        <w:jc w:val="both"/>
      </w:pPr>
      <w:r>
        <w:t>Against these burdens must be set the fact that the problem the approach addresses, namely distribution of therapeutic agent to cells distant from perfused vessels, is also addressed by a range of better-developed strategies including matrix-modifying agents, pressure-reducing interventions, smaller carriers and locally administered depots. No study has compared nanotube-mediated delivery against any of these alternatives under matched conditions. The comparative case for the approach therefore rests on mechanistic distinctiveness rather than on demonstrated superiority, and the appropriate claim at present is that it offers a different route rather than a better one.</w:t>
      </w:r>
    </w:p>
    <w:p w14:paraId="22E8D20B" w14:textId="77777777" w:rsidR="00AD0875" w:rsidRDefault="00000000">
      <w:pPr>
        <w:ind w:firstLine="720"/>
        <w:jc w:val="both"/>
      </w:pPr>
      <w:r>
        <w:t>Table 5 assesses translational readiness across the domains discussed in this section, distinguishing what has been demonstrated from what remains unaddressed and identifying the evidence that would be required to advance each domain. The assessment indicates that the field is at an early stage across every domain, with proof of principle established for controllability in confined anatomical compartments and for cell-based relay delivery in animal models, and with dosimetry, selectivity and safety essentially unexamined. Reading the table as a whole, the binding constraint is not the plausibility of the mechanism but the absence of quantitative description, since selectivity, dosimetry and risk assessment all depend on being able to measure how much material moves by this route.</w:t>
      </w:r>
    </w:p>
    <w:p w14:paraId="58CEC6B0" w14:textId="77777777" w:rsidR="00AD0875" w:rsidRDefault="00000000">
      <w:pPr>
        <w:spacing w:before="240" w:after="80" w:line="240" w:lineRule="auto"/>
      </w:pPr>
      <w:r>
        <w:rPr>
          <w:b/>
          <w:sz w:val="20"/>
        </w:rPr>
        <w:lastRenderedPageBreak/>
        <w:t>Table 5. Assessment of translational readiness across domains bearing on nanotube-mediated delivery</w:t>
      </w:r>
    </w:p>
    <w:tbl>
      <w:tblPr>
        <w:tblStyle w:val="TableGrid"/>
        <w:tblW w:w="0" w:type="auto"/>
        <w:jc w:val="center"/>
        <w:tblLook w:val="04A0" w:firstRow="1" w:lastRow="0" w:firstColumn="1" w:lastColumn="0" w:noHBand="0" w:noVBand="1"/>
      </w:tblPr>
      <w:tblGrid>
        <w:gridCol w:w="1881"/>
        <w:gridCol w:w="1881"/>
        <w:gridCol w:w="1881"/>
        <w:gridCol w:w="1881"/>
        <w:gridCol w:w="1881"/>
      </w:tblGrid>
      <w:tr w:rsidR="00AD0875" w14:paraId="0ECBF79B" w14:textId="77777777">
        <w:trPr>
          <w:jc w:val="center"/>
        </w:trPr>
        <w:tc>
          <w:tcPr>
            <w:tcW w:w="1881" w:type="dxa"/>
          </w:tcPr>
          <w:p w14:paraId="0FA92DD9" w14:textId="77777777" w:rsidR="00AD0875" w:rsidRDefault="00000000">
            <w:pPr>
              <w:spacing w:before="40" w:after="40" w:line="240" w:lineRule="auto"/>
            </w:pPr>
            <w:r>
              <w:rPr>
                <w:b/>
                <w:sz w:val="18"/>
              </w:rPr>
              <w:t>Domain</w:t>
            </w:r>
          </w:p>
        </w:tc>
        <w:tc>
          <w:tcPr>
            <w:tcW w:w="1881" w:type="dxa"/>
          </w:tcPr>
          <w:p w14:paraId="6850A47D" w14:textId="77777777" w:rsidR="00AD0875" w:rsidRDefault="00000000">
            <w:pPr>
              <w:spacing w:before="40" w:after="40" w:line="240" w:lineRule="auto"/>
            </w:pPr>
            <w:r>
              <w:rPr>
                <w:b/>
                <w:sz w:val="18"/>
              </w:rPr>
              <w:t>Current status</w:t>
            </w:r>
          </w:p>
        </w:tc>
        <w:tc>
          <w:tcPr>
            <w:tcW w:w="1881" w:type="dxa"/>
          </w:tcPr>
          <w:p w14:paraId="78C33443" w14:textId="77777777" w:rsidR="00AD0875" w:rsidRDefault="00000000">
            <w:pPr>
              <w:spacing w:before="40" w:after="40" w:line="240" w:lineRule="auto"/>
            </w:pPr>
            <w:r>
              <w:rPr>
                <w:b/>
                <w:sz w:val="18"/>
              </w:rPr>
              <w:t>Principal gap</w:t>
            </w:r>
          </w:p>
        </w:tc>
        <w:tc>
          <w:tcPr>
            <w:tcW w:w="1881" w:type="dxa"/>
          </w:tcPr>
          <w:p w14:paraId="73B8DAE8" w14:textId="77777777" w:rsidR="00AD0875" w:rsidRDefault="00000000">
            <w:pPr>
              <w:spacing w:before="40" w:after="40" w:line="240" w:lineRule="auto"/>
            </w:pPr>
            <w:r>
              <w:rPr>
                <w:b/>
                <w:sz w:val="18"/>
              </w:rPr>
              <w:t>Evidence required to advance</w:t>
            </w:r>
          </w:p>
        </w:tc>
        <w:tc>
          <w:tcPr>
            <w:tcW w:w="1881" w:type="dxa"/>
          </w:tcPr>
          <w:p w14:paraId="15B2FE21" w14:textId="77777777" w:rsidR="00AD0875" w:rsidRDefault="00000000">
            <w:pPr>
              <w:spacing w:before="40" w:after="40" w:line="240" w:lineRule="auto"/>
            </w:pPr>
            <w:r>
              <w:rPr>
                <w:b/>
                <w:sz w:val="18"/>
              </w:rPr>
              <w:t>Supporting references</w:t>
            </w:r>
          </w:p>
        </w:tc>
      </w:tr>
      <w:tr w:rsidR="00AD0875" w14:paraId="59024FE3" w14:textId="77777777">
        <w:trPr>
          <w:jc w:val="center"/>
        </w:trPr>
        <w:tc>
          <w:tcPr>
            <w:tcW w:w="1881" w:type="dxa"/>
          </w:tcPr>
          <w:p w14:paraId="41E6B0F4" w14:textId="77777777" w:rsidR="00AD0875" w:rsidRDefault="00000000">
            <w:pPr>
              <w:spacing w:before="40" w:after="40" w:line="240" w:lineRule="auto"/>
            </w:pPr>
            <w:r>
              <w:rPr>
                <w:sz w:val="18"/>
              </w:rPr>
              <w:t>Controllability</w:t>
            </w:r>
          </w:p>
        </w:tc>
        <w:tc>
          <w:tcPr>
            <w:tcW w:w="1881" w:type="dxa"/>
          </w:tcPr>
          <w:p w14:paraId="4A1F4A98" w14:textId="77777777" w:rsidR="00AD0875" w:rsidRDefault="00000000">
            <w:pPr>
              <w:spacing w:before="40" w:after="40" w:line="240" w:lineRule="auto"/>
            </w:pPr>
            <w:r>
              <w:rPr>
                <w:sz w:val="18"/>
              </w:rPr>
              <w:t>External modulation achieved in anatomically confined compartments using light or a pressure-driven electrical stimulus</w:t>
            </w:r>
          </w:p>
        </w:tc>
        <w:tc>
          <w:tcPr>
            <w:tcW w:w="1881" w:type="dxa"/>
          </w:tcPr>
          <w:p w14:paraId="2D7D8DC6" w14:textId="77777777" w:rsidR="00AD0875" w:rsidRDefault="00000000">
            <w:pPr>
              <w:spacing w:before="40" w:after="40" w:line="240" w:lineRule="auto"/>
            </w:pPr>
            <w:r>
              <w:rPr>
                <w:sz w:val="18"/>
              </w:rPr>
              <w:t>No strategy exists for controlling conduit abundance in disseminated disease</w:t>
            </w:r>
          </w:p>
        </w:tc>
        <w:tc>
          <w:tcPr>
            <w:tcW w:w="1881" w:type="dxa"/>
          </w:tcPr>
          <w:p w14:paraId="44B4B5A1" w14:textId="77777777" w:rsidR="00AD0875" w:rsidRDefault="00000000">
            <w:pPr>
              <w:spacing w:before="40" w:after="40" w:line="240" w:lineRule="auto"/>
            </w:pPr>
            <w:r>
              <w:rPr>
                <w:sz w:val="18"/>
              </w:rPr>
              <w:t>Demonstration of systemic or tumour-selective modulation with measurable change in connection density in vivo</w:t>
            </w:r>
          </w:p>
        </w:tc>
        <w:tc>
          <w:tcPr>
            <w:tcW w:w="1881" w:type="dxa"/>
          </w:tcPr>
          <w:p w14:paraId="63A8AD04" w14:textId="77777777" w:rsidR="00AD0875" w:rsidRDefault="00000000">
            <w:pPr>
              <w:spacing w:before="40" w:after="40" w:line="240" w:lineRule="auto"/>
            </w:pPr>
            <w:r>
              <w:rPr>
                <w:sz w:val="18"/>
              </w:rPr>
              <w:t>Du et al. (2026); Liu et al. (2025)</w:t>
            </w:r>
          </w:p>
        </w:tc>
      </w:tr>
      <w:tr w:rsidR="00AD0875" w14:paraId="35E472FC" w14:textId="77777777">
        <w:trPr>
          <w:jc w:val="center"/>
        </w:trPr>
        <w:tc>
          <w:tcPr>
            <w:tcW w:w="1881" w:type="dxa"/>
          </w:tcPr>
          <w:p w14:paraId="48BFA4B6" w14:textId="77777777" w:rsidR="00AD0875" w:rsidRDefault="00000000">
            <w:pPr>
              <w:spacing w:before="40" w:after="40" w:line="240" w:lineRule="auto"/>
            </w:pPr>
            <w:r>
              <w:rPr>
                <w:sz w:val="18"/>
              </w:rPr>
              <w:t>Selectivity</w:t>
            </w:r>
          </w:p>
        </w:tc>
        <w:tc>
          <w:tcPr>
            <w:tcW w:w="1881" w:type="dxa"/>
          </w:tcPr>
          <w:p w14:paraId="7B1EAD82" w14:textId="77777777" w:rsidR="00AD0875" w:rsidRDefault="00000000">
            <w:pPr>
              <w:spacing w:before="40" w:after="40" w:line="240" w:lineRule="auto"/>
            </w:pPr>
            <w:r>
              <w:rPr>
                <w:sz w:val="18"/>
              </w:rPr>
              <w:t>Preliminary observations of differential transfer between cell types and of structural differences between malignant and non-malignant protrusions</w:t>
            </w:r>
          </w:p>
        </w:tc>
        <w:tc>
          <w:tcPr>
            <w:tcW w:w="1881" w:type="dxa"/>
          </w:tcPr>
          <w:p w14:paraId="62F35ACC" w14:textId="77777777" w:rsidR="00AD0875" w:rsidRDefault="00000000">
            <w:pPr>
              <w:spacing w:before="40" w:after="40" w:line="240" w:lineRule="auto"/>
            </w:pPr>
            <w:r>
              <w:rPr>
                <w:sz w:val="18"/>
              </w:rPr>
              <w:t>Molecular basis of selectivity undetermined; no design principle derived</w:t>
            </w:r>
          </w:p>
        </w:tc>
        <w:tc>
          <w:tcPr>
            <w:tcW w:w="1881" w:type="dxa"/>
          </w:tcPr>
          <w:p w14:paraId="2CEF26A4" w14:textId="77777777" w:rsidR="00AD0875" w:rsidRDefault="00000000">
            <w:pPr>
              <w:spacing w:before="40" w:after="40" w:line="240" w:lineRule="auto"/>
            </w:pPr>
            <w:r>
              <w:rPr>
                <w:sz w:val="18"/>
              </w:rPr>
              <w:t>Identification of molecular features distinguishing connection types, followed by a selective modulator</w:t>
            </w:r>
          </w:p>
        </w:tc>
        <w:tc>
          <w:tcPr>
            <w:tcW w:w="1881" w:type="dxa"/>
          </w:tcPr>
          <w:p w14:paraId="6DAA35F2" w14:textId="77777777" w:rsidR="00AD0875" w:rsidRDefault="00000000">
            <w:pPr>
              <w:spacing w:before="40" w:after="40" w:line="240" w:lineRule="auto"/>
            </w:pPr>
            <w:r>
              <w:rPr>
                <w:sz w:val="18"/>
              </w:rPr>
              <w:t>Formicola et al. (2019); Franco et al. (2020); Notario Manzano et al. (2024)</w:t>
            </w:r>
          </w:p>
        </w:tc>
      </w:tr>
      <w:tr w:rsidR="00AD0875" w14:paraId="1AAB05B5" w14:textId="77777777">
        <w:trPr>
          <w:jc w:val="center"/>
        </w:trPr>
        <w:tc>
          <w:tcPr>
            <w:tcW w:w="1881" w:type="dxa"/>
          </w:tcPr>
          <w:p w14:paraId="181C00F2" w14:textId="77777777" w:rsidR="00AD0875" w:rsidRDefault="00000000">
            <w:pPr>
              <w:spacing w:before="40" w:after="40" w:line="240" w:lineRule="auto"/>
            </w:pPr>
            <w:r>
              <w:rPr>
                <w:sz w:val="18"/>
              </w:rPr>
              <w:t>Dosimetry</w:t>
            </w:r>
          </w:p>
        </w:tc>
        <w:tc>
          <w:tcPr>
            <w:tcW w:w="1881" w:type="dxa"/>
          </w:tcPr>
          <w:p w14:paraId="055CFDC3" w14:textId="77777777" w:rsidR="00AD0875" w:rsidRDefault="00000000">
            <w:pPr>
              <w:spacing w:before="40" w:after="40" w:line="240" w:lineRule="auto"/>
            </w:pPr>
            <w:r>
              <w:rPr>
                <w:sz w:val="18"/>
              </w:rPr>
              <w:t>No measurement of transported mass; transfer reported as proportion of recipient cells showing signal</w:t>
            </w:r>
          </w:p>
        </w:tc>
        <w:tc>
          <w:tcPr>
            <w:tcW w:w="1881" w:type="dxa"/>
          </w:tcPr>
          <w:p w14:paraId="5B7FDE02" w14:textId="77777777" w:rsidR="00AD0875" w:rsidRDefault="00000000">
            <w:pPr>
              <w:spacing w:before="40" w:after="40" w:line="240" w:lineRule="auto"/>
            </w:pPr>
            <w:r>
              <w:rPr>
                <w:sz w:val="18"/>
              </w:rPr>
              <w:t>Absence of any quantitative relationship between administered and delivered amount</w:t>
            </w:r>
          </w:p>
        </w:tc>
        <w:tc>
          <w:tcPr>
            <w:tcW w:w="1881" w:type="dxa"/>
          </w:tcPr>
          <w:p w14:paraId="5374C718" w14:textId="77777777" w:rsidR="00AD0875" w:rsidRDefault="00000000">
            <w:pPr>
              <w:spacing w:before="40" w:after="40" w:line="240" w:lineRule="auto"/>
            </w:pPr>
            <w:r>
              <w:rPr>
                <w:sz w:val="18"/>
              </w:rPr>
              <w:t>Calibrated single-cell quantification of transported material combined with counting of the connections responsible</w:t>
            </w:r>
          </w:p>
        </w:tc>
        <w:tc>
          <w:tcPr>
            <w:tcW w:w="1881" w:type="dxa"/>
          </w:tcPr>
          <w:p w14:paraId="4206D1CA" w14:textId="77777777" w:rsidR="00AD0875" w:rsidRDefault="00000000">
            <w:pPr>
              <w:spacing w:before="40" w:after="40" w:line="240" w:lineRule="auto"/>
            </w:pPr>
            <w:r>
              <w:rPr>
                <w:sz w:val="18"/>
              </w:rPr>
              <w:t>Ceran et al. (2022); Daniels (2019); Sartori-Rupp et al. (2019)</w:t>
            </w:r>
          </w:p>
        </w:tc>
      </w:tr>
      <w:tr w:rsidR="00AD0875" w14:paraId="32053C73" w14:textId="77777777">
        <w:trPr>
          <w:jc w:val="center"/>
        </w:trPr>
        <w:tc>
          <w:tcPr>
            <w:tcW w:w="1881" w:type="dxa"/>
          </w:tcPr>
          <w:p w14:paraId="2E06A3A2" w14:textId="77777777" w:rsidR="00AD0875" w:rsidRDefault="00000000">
            <w:pPr>
              <w:spacing w:before="40" w:after="40" w:line="240" w:lineRule="auto"/>
            </w:pPr>
            <w:r>
              <w:rPr>
                <w:sz w:val="18"/>
              </w:rPr>
              <w:t>In vivo route attribution</w:t>
            </w:r>
          </w:p>
        </w:tc>
        <w:tc>
          <w:tcPr>
            <w:tcW w:w="1881" w:type="dxa"/>
          </w:tcPr>
          <w:p w14:paraId="4FC03E24" w14:textId="77777777" w:rsidR="00AD0875" w:rsidRDefault="00000000">
            <w:pPr>
              <w:spacing w:before="40" w:after="40" w:line="240" w:lineRule="auto"/>
            </w:pPr>
            <w:r>
              <w:rPr>
                <w:sz w:val="18"/>
              </w:rPr>
              <w:t>Therapeutic effect demonstrated in animal models; route confirmed by perturbation in one study</w:t>
            </w:r>
          </w:p>
        </w:tc>
        <w:tc>
          <w:tcPr>
            <w:tcW w:w="1881" w:type="dxa"/>
          </w:tcPr>
          <w:p w14:paraId="1D1CBF13" w14:textId="77777777" w:rsidR="00AD0875" w:rsidRDefault="00000000">
            <w:pPr>
              <w:spacing w:before="40" w:after="40" w:line="240" w:lineRule="auto"/>
            </w:pPr>
            <w:r>
              <w:rPr>
                <w:sz w:val="18"/>
              </w:rPr>
              <w:t>Efficacy claims rest predominantly on route assumption rather than route demonstration</w:t>
            </w:r>
          </w:p>
        </w:tc>
        <w:tc>
          <w:tcPr>
            <w:tcW w:w="1881" w:type="dxa"/>
          </w:tcPr>
          <w:p w14:paraId="72DB0721" w14:textId="77777777" w:rsidR="00AD0875" w:rsidRDefault="00000000">
            <w:pPr>
              <w:spacing w:before="40" w:after="40" w:line="240" w:lineRule="auto"/>
            </w:pPr>
            <w:r>
              <w:rPr>
                <w:sz w:val="18"/>
              </w:rPr>
              <w:t>Intravital imaging of carriers traversing identified connections, with loss of effect upon disruption and controls for viability and biodistribution</w:t>
            </w:r>
          </w:p>
        </w:tc>
        <w:tc>
          <w:tcPr>
            <w:tcW w:w="1881" w:type="dxa"/>
          </w:tcPr>
          <w:p w14:paraId="57AD64EA" w14:textId="77777777" w:rsidR="00AD0875" w:rsidRDefault="00000000">
            <w:pPr>
              <w:spacing w:before="40" w:after="40" w:line="240" w:lineRule="auto"/>
            </w:pPr>
            <w:r>
              <w:rPr>
                <w:sz w:val="18"/>
              </w:rPr>
              <w:t>Desir et al. (2018); Guo et al. (2019); Korenkova et al. (2025)</w:t>
            </w:r>
          </w:p>
        </w:tc>
      </w:tr>
      <w:tr w:rsidR="00AD0875" w14:paraId="018E565F" w14:textId="77777777">
        <w:trPr>
          <w:jc w:val="center"/>
        </w:trPr>
        <w:tc>
          <w:tcPr>
            <w:tcW w:w="1881" w:type="dxa"/>
          </w:tcPr>
          <w:p w14:paraId="0DECE0A5" w14:textId="77777777" w:rsidR="00AD0875" w:rsidRDefault="00000000">
            <w:pPr>
              <w:spacing w:before="40" w:after="40" w:line="240" w:lineRule="auto"/>
            </w:pPr>
            <w:r>
              <w:rPr>
                <w:sz w:val="18"/>
              </w:rPr>
              <w:t>Carrier design</w:t>
            </w:r>
          </w:p>
        </w:tc>
        <w:tc>
          <w:tcPr>
            <w:tcW w:w="1881" w:type="dxa"/>
          </w:tcPr>
          <w:p w14:paraId="5372DDC0" w14:textId="77777777" w:rsidR="00AD0875" w:rsidRDefault="00000000">
            <w:pPr>
              <w:spacing w:before="40" w:after="40" w:line="240" w:lineRule="auto"/>
            </w:pPr>
            <w:r>
              <w:rPr>
                <w:sz w:val="18"/>
              </w:rPr>
              <w:t>Shape identified as a determinant of transfer efficiency in one controlled comparison</w:t>
            </w:r>
          </w:p>
        </w:tc>
        <w:tc>
          <w:tcPr>
            <w:tcW w:w="1881" w:type="dxa"/>
          </w:tcPr>
          <w:p w14:paraId="78B1F759" w14:textId="77777777" w:rsidR="00AD0875" w:rsidRDefault="00000000">
            <w:pPr>
              <w:spacing w:before="40" w:after="40" w:line="240" w:lineRule="auto"/>
            </w:pPr>
            <w:r>
              <w:rPr>
                <w:sz w:val="18"/>
              </w:rPr>
              <w:t>No systematic variation of size, shape, charge, stiffness and surface chemistry on a common platform</w:t>
            </w:r>
          </w:p>
        </w:tc>
        <w:tc>
          <w:tcPr>
            <w:tcW w:w="1881" w:type="dxa"/>
          </w:tcPr>
          <w:p w14:paraId="5E6B010C" w14:textId="77777777" w:rsidR="00AD0875" w:rsidRDefault="00000000">
            <w:pPr>
              <w:spacing w:before="40" w:after="40" w:line="240" w:lineRule="auto"/>
            </w:pPr>
            <w:r>
              <w:rPr>
                <w:sz w:val="18"/>
              </w:rPr>
              <w:t>Parametric study within a single system, controlling for carrier-induced changes in conduit abundance</w:t>
            </w:r>
          </w:p>
        </w:tc>
        <w:tc>
          <w:tcPr>
            <w:tcW w:w="1881" w:type="dxa"/>
          </w:tcPr>
          <w:p w14:paraId="4A1422F8" w14:textId="77777777" w:rsidR="00AD0875" w:rsidRDefault="00000000">
            <w:pPr>
              <w:spacing w:before="40" w:after="40" w:line="240" w:lineRule="auto"/>
            </w:pPr>
            <w:r>
              <w:rPr>
                <w:sz w:val="18"/>
              </w:rPr>
              <w:t>Lin et al. (2024); Sierri et al. (2025)</w:t>
            </w:r>
          </w:p>
        </w:tc>
      </w:tr>
      <w:tr w:rsidR="00AD0875" w14:paraId="29A38403" w14:textId="77777777">
        <w:trPr>
          <w:jc w:val="center"/>
        </w:trPr>
        <w:tc>
          <w:tcPr>
            <w:tcW w:w="1881" w:type="dxa"/>
          </w:tcPr>
          <w:p w14:paraId="4C94188F" w14:textId="77777777" w:rsidR="00AD0875" w:rsidRDefault="00000000">
            <w:pPr>
              <w:spacing w:before="40" w:after="40" w:line="240" w:lineRule="auto"/>
            </w:pPr>
            <w:r>
              <w:rPr>
                <w:sz w:val="18"/>
              </w:rPr>
              <w:t>Safety and dual-use risk</w:t>
            </w:r>
          </w:p>
        </w:tc>
        <w:tc>
          <w:tcPr>
            <w:tcW w:w="1881" w:type="dxa"/>
          </w:tcPr>
          <w:p w14:paraId="687EF991" w14:textId="77777777" w:rsidR="00AD0875" w:rsidRDefault="00000000">
            <w:pPr>
              <w:spacing w:before="40" w:after="40" w:line="240" w:lineRule="auto"/>
            </w:pPr>
            <w:r>
              <w:rPr>
                <w:sz w:val="18"/>
              </w:rPr>
              <w:t>Not evaluated in the context of any delivery intervention</w:t>
            </w:r>
          </w:p>
        </w:tc>
        <w:tc>
          <w:tcPr>
            <w:tcW w:w="1881" w:type="dxa"/>
          </w:tcPr>
          <w:p w14:paraId="6A393040" w14:textId="77777777" w:rsidR="00AD0875" w:rsidRDefault="00000000">
            <w:pPr>
              <w:spacing w:before="40" w:after="40" w:line="240" w:lineRule="auto"/>
            </w:pPr>
            <w:r>
              <w:rPr>
                <w:sz w:val="18"/>
              </w:rPr>
              <w:t>Unknown whether promoting connectivity increases transfer of resistance determinants or propagation of protein aggregates</w:t>
            </w:r>
          </w:p>
        </w:tc>
        <w:tc>
          <w:tcPr>
            <w:tcW w:w="1881" w:type="dxa"/>
          </w:tcPr>
          <w:p w14:paraId="2EFCFBC4" w14:textId="77777777" w:rsidR="00AD0875" w:rsidRDefault="00000000">
            <w:pPr>
              <w:spacing w:before="40" w:after="40" w:line="240" w:lineRule="auto"/>
            </w:pPr>
            <w:r>
              <w:rPr>
                <w:sz w:val="18"/>
              </w:rPr>
              <w:t>Administration of a promoting intervention alongside cytotoxic therapy with measurement of acquired resistance, and in an aggregation model with measurement of propagation</w:t>
            </w:r>
          </w:p>
        </w:tc>
        <w:tc>
          <w:tcPr>
            <w:tcW w:w="1881" w:type="dxa"/>
          </w:tcPr>
          <w:p w14:paraId="3A5352FD" w14:textId="77777777" w:rsidR="00AD0875" w:rsidRDefault="00000000">
            <w:pPr>
              <w:spacing w:before="40" w:after="40" w:line="240" w:lineRule="auto"/>
            </w:pPr>
            <w:r>
              <w:rPr>
                <w:sz w:val="18"/>
              </w:rPr>
              <w:t>Chakraborty et al. (2023); Dilsizoglu Senol et al. (2021); Pasquier et al. (2012)</w:t>
            </w:r>
          </w:p>
        </w:tc>
      </w:tr>
      <w:tr w:rsidR="00AD0875" w14:paraId="2C439530" w14:textId="77777777">
        <w:trPr>
          <w:jc w:val="center"/>
        </w:trPr>
        <w:tc>
          <w:tcPr>
            <w:tcW w:w="1881" w:type="dxa"/>
          </w:tcPr>
          <w:p w14:paraId="010C213D" w14:textId="77777777" w:rsidR="00AD0875" w:rsidRDefault="00000000">
            <w:pPr>
              <w:spacing w:before="40" w:after="40" w:line="240" w:lineRule="auto"/>
            </w:pPr>
            <w:r>
              <w:rPr>
                <w:sz w:val="18"/>
              </w:rPr>
              <w:t>Manufacturing and regulatory position</w:t>
            </w:r>
          </w:p>
        </w:tc>
        <w:tc>
          <w:tcPr>
            <w:tcW w:w="1881" w:type="dxa"/>
          </w:tcPr>
          <w:p w14:paraId="4963D2D6" w14:textId="77777777" w:rsidR="00AD0875" w:rsidRDefault="00000000">
            <w:pPr>
              <w:spacing w:before="40" w:after="40" w:line="240" w:lineRule="auto"/>
            </w:pPr>
            <w:r>
              <w:rPr>
                <w:sz w:val="18"/>
              </w:rPr>
              <w:t>Cell-based and organelle-based platforms described at proof-of-concept stage</w:t>
            </w:r>
          </w:p>
        </w:tc>
        <w:tc>
          <w:tcPr>
            <w:tcW w:w="1881" w:type="dxa"/>
          </w:tcPr>
          <w:p w14:paraId="159C45FF" w14:textId="77777777" w:rsidR="00AD0875" w:rsidRDefault="00000000">
            <w:pPr>
              <w:spacing w:before="40" w:after="40" w:line="240" w:lineRule="auto"/>
            </w:pPr>
            <w:r>
              <w:rPr>
                <w:sz w:val="18"/>
              </w:rPr>
              <w:t>Release criteria for carrier cell tropism and conduit-forming capacity not defined</w:t>
            </w:r>
          </w:p>
        </w:tc>
        <w:tc>
          <w:tcPr>
            <w:tcW w:w="1881" w:type="dxa"/>
          </w:tcPr>
          <w:p w14:paraId="2735F5F2" w14:textId="77777777" w:rsidR="00AD0875" w:rsidRDefault="00000000">
            <w:pPr>
              <w:spacing w:before="40" w:after="40" w:line="240" w:lineRule="auto"/>
            </w:pPr>
            <w:r>
              <w:rPr>
                <w:sz w:val="18"/>
              </w:rPr>
              <w:t>Specification and validation of potency assays reflecting conduit-forming capacity after loading</w:t>
            </w:r>
          </w:p>
        </w:tc>
        <w:tc>
          <w:tcPr>
            <w:tcW w:w="1881" w:type="dxa"/>
          </w:tcPr>
          <w:p w14:paraId="5C290221" w14:textId="77777777" w:rsidR="00AD0875" w:rsidRDefault="00000000">
            <w:pPr>
              <w:spacing w:before="40" w:after="40" w:line="240" w:lineRule="auto"/>
            </w:pPr>
            <w:r>
              <w:rPr>
                <w:sz w:val="18"/>
              </w:rPr>
              <w:t>Du et al. (2021); Guo et al. (2019); Peng et al. (2025)</w:t>
            </w:r>
          </w:p>
        </w:tc>
      </w:tr>
      <w:tr w:rsidR="00AD0875" w14:paraId="61E9399C" w14:textId="77777777">
        <w:trPr>
          <w:jc w:val="center"/>
        </w:trPr>
        <w:tc>
          <w:tcPr>
            <w:tcW w:w="1881" w:type="dxa"/>
          </w:tcPr>
          <w:p w14:paraId="37BF2D2D" w14:textId="77777777" w:rsidR="00AD0875" w:rsidRDefault="00000000">
            <w:pPr>
              <w:spacing w:before="40" w:after="40" w:line="240" w:lineRule="auto"/>
            </w:pPr>
            <w:r>
              <w:rPr>
                <w:sz w:val="18"/>
              </w:rPr>
              <w:t>Comparative position</w:t>
            </w:r>
          </w:p>
        </w:tc>
        <w:tc>
          <w:tcPr>
            <w:tcW w:w="1881" w:type="dxa"/>
          </w:tcPr>
          <w:p w14:paraId="3C34EFEA" w14:textId="77777777" w:rsidR="00AD0875" w:rsidRDefault="00000000">
            <w:pPr>
              <w:spacing w:before="40" w:after="40" w:line="240" w:lineRule="auto"/>
            </w:pPr>
            <w:r>
              <w:rPr>
                <w:sz w:val="18"/>
              </w:rPr>
              <w:t>No comparison against alternative distribution-enhancing strategies</w:t>
            </w:r>
          </w:p>
        </w:tc>
        <w:tc>
          <w:tcPr>
            <w:tcW w:w="1881" w:type="dxa"/>
          </w:tcPr>
          <w:p w14:paraId="55E4B24F" w14:textId="77777777" w:rsidR="00AD0875" w:rsidRDefault="00000000">
            <w:pPr>
              <w:spacing w:before="40" w:after="40" w:line="240" w:lineRule="auto"/>
            </w:pPr>
            <w:r>
              <w:rPr>
                <w:sz w:val="18"/>
              </w:rPr>
              <w:t>Advantage over matrix-modifying, pressure-reducing or locally administered approaches unknown</w:t>
            </w:r>
          </w:p>
        </w:tc>
        <w:tc>
          <w:tcPr>
            <w:tcW w:w="1881" w:type="dxa"/>
          </w:tcPr>
          <w:p w14:paraId="4199536C" w14:textId="77777777" w:rsidR="00AD0875" w:rsidRDefault="00000000">
            <w:pPr>
              <w:spacing w:before="40" w:after="40" w:line="240" w:lineRule="auto"/>
            </w:pPr>
            <w:r>
              <w:rPr>
                <w:sz w:val="18"/>
              </w:rPr>
              <w:t xml:space="preserve">Head-to-head preclinical comparison under matched conditions with a common distribution </w:t>
            </w:r>
            <w:r>
              <w:rPr>
                <w:sz w:val="18"/>
              </w:rPr>
              <w:lastRenderedPageBreak/>
              <w:t>endpoint</w:t>
            </w:r>
          </w:p>
        </w:tc>
        <w:tc>
          <w:tcPr>
            <w:tcW w:w="1881" w:type="dxa"/>
          </w:tcPr>
          <w:p w14:paraId="32221E17" w14:textId="77777777" w:rsidR="00AD0875" w:rsidRDefault="00000000">
            <w:pPr>
              <w:spacing w:before="40" w:after="40" w:line="240" w:lineRule="auto"/>
            </w:pPr>
            <w:r>
              <w:rPr>
                <w:sz w:val="18"/>
              </w:rPr>
              <w:lastRenderedPageBreak/>
              <w:t>Du et al. (2026); Wang et al. (2023)</w:t>
            </w:r>
          </w:p>
        </w:tc>
      </w:tr>
    </w:tbl>
    <w:p w14:paraId="4B540D08" w14:textId="77777777" w:rsidR="00AD0875" w:rsidRDefault="00000000">
      <w:pPr>
        <w:spacing w:before="80" w:after="240" w:line="240" w:lineRule="auto"/>
      </w:pPr>
      <w:r>
        <w:rPr>
          <w:sz w:val="18"/>
        </w:rPr>
        <w:t>Note. Status descriptions reflect the evidence identified within the search period and do not constitute a regulatory assessment.</w:t>
      </w:r>
    </w:p>
    <w:p w14:paraId="7284D34E" w14:textId="77777777" w:rsidR="00AD0875" w:rsidRDefault="00000000">
      <w:pPr>
        <w:spacing w:before="240" w:after="120" w:line="360" w:lineRule="auto"/>
      </w:pPr>
      <w:r>
        <w:rPr>
          <w:b/>
          <w:color w:val="000000"/>
          <w:sz w:val="28"/>
        </w:rPr>
        <w:t>9. Future Directions</w:t>
      </w:r>
    </w:p>
    <w:p w14:paraId="6CAB4AA6" w14:textId="77777777" w:rsidR="00AD0875" w:rsidRDefault="00000000">
      <w:pPr>
        <w:ind w:firstLine="720"/>
        <w:jc w:val="both"/>
      </w:pPr>
      <w:r>
        <w:t>The priorities set out below are ordered by the degree to which resolving them would alter the interpretation of existing evidence rather than by feasibility.</w:t>
      </w:r>
    </w:p>
    <w:p w14:paraId="025BB121" w14:textId="77777777" w:rsidR="00AD0875" w:rsidRDefault="00000000">
      <w:pPr>
        <w:ind w:firstLine="720"/>
        <w:jc w:val="both"/>
      </w:pPr>
      <w:r>
        <w:t>The first and most consequential priority is quantification of transported mass. The unresolved question of whether nanotube-mediated transport is quantitatively sufficient for therapeutic delivery, as distinct from sufficient for the transfer of a small number of organelles that alter recipient phenotype, determines whether the delivery concept is viable at all. Current evidence cannot address it because transfer is reported as the proportion of recipient cells showing signal rather than as mass per cell. The appropriate methodological advance combines calibrated quantitative fluorescence or mass-spectrometric single-cell measurement with simultaneous counting of the connections through which transfer occurred, permitting derivation of transport per connection per unit time. This should be performed for a small number of representative carriers in matched two- and three-dimensional systems, with the primary outcome expressed in units convertible to intracellular concentration. If transport per connection proves several orders of magnitude below that required for cytotoxic concentrations, the field should redirect towards suppression strategies and towards cargo classes for which small quantities suffice, such as nucleic acids and catalytic agents.</w:t>
      </w:r>
    </w:p>
    <w:p w14:paraId="12A6E4FB" w14:textId="77777777" w:rsidR="00AD0875" w:rsidRDefault="00000000">
      <w:pPr>
        <w:ind w:firstLine="720"/>
        <w:jc w:val="both"/>
      </w:pPr>
      <w:r>
        <w:t xml:space="preserve">The second priority is standardised attribution. The persistence of morphological identification is the principal reason that conflicting findings coexist without confrontation. A minimum reporting standard should require that any claim of nanotube-mediated transfer be supported by at least two independent lines of evidence from among physical separation of donor and recipient, contact-excluding transwell control, perturbation of the connections with viability </w:t>
      </w:r>
      <w:r>
        <w:lastRenderedPageBreak/>
        <w:t>and specificity controls, live imaging of individual transfer events along an identified connection, and ultrastructural confirmation. The assay designed specifically to exclude vesicular transfer provides one such component (Thayanithy et al., 2017), and automated detection provides the reproducible counting that manual assessment cannot (Ceran et al., 2022). Adoption of such a standard would be an editorial and community decision rather than a technical development, and could be implemented immediately.</w:t>
      </w:r>
    </w:p>
    <w:p w14:paraId="27AB282F" w14:textId="77777777" w:rsidR="00AD0875" w:rsidRDefault="00000000">
      <w:pPr>
        <w:ind w:firstLine="720"/>
        <w:jc w:val="both"/>
      </w:pPr>
      <w:r>
        <w:t>The third priority is in vivo demonstration with route attribution rather than route assumption. The required design applies the same perturbations used in vitro to an animal model and demonstrates that therapeutic effect is lost when the connections are disrupted, with controls establishing that the perturbation has not simply reduced cell viability or altered biodistribution. Intravital imaging of labelled carriers traversing identified connections in tumour tissue would provide direct confirmation; the feasibility of imaging these structures in living tissue has been established in a transparent embryo (Korenkova et al., 2025) and in fixed human tumour specimens (Desir et al., 2018), and the intermediate step of intravital imaging in a mammalian tumour model has not yet been reported for a delivery application.</w:t>
      </w:r>
    </w:p>
    <w:p w14:paraId="6C3169FD" w14:textId="77777777" w:rsidR="00AD0875" w:rsidRDefault="00000000">
      <w:pPr>
        <w:ind w:firstLine="720"/>
        <w:jc w:val="both"/>
      </w:pPr>
      <w:r>
        <w:t>The fourth priority is systematic parametric characterisation of carrier properties. The finding that discoidal geometry outperforms spherical and deformable alternatives requires independent replication and extension across size ranges, charge states, stiffnesses and surface chemistries within a single platform and cell system (Sierri et al., 2025). Such a study should control explicitly for carrier-induced changes in nanotube abundance, since the toxicological literature establishes that particles modify the network they traverse (Lin et al., 2024; Zheng et al., 2021). Without this control, apparent differences in transportability may reflect differences in induction.</w:t>
      </w:r>
    </w:p>
    <w:p w14:paraId="3EBC03B9" w14:textId="77777777" w:rsidR="00AD0875" w:rsidRDefault="00000000">
      <w:pPr>
        <w:ind w:firstLine="720"/>
        <w:jc w:val="both"/>
      </w:pPr>
      <w:r>
        <w:lastRenderedPageBreak/>
        <w:t>The fifth priority is context-selective modulation. The directional contradiction between suppression and exploitation can only be resolved by interventions that discriminate between connection types. Identification of molecular differences between homotypic tumour-tumour connections and heterotypic stromal-tumour connections would provide the necessary target, and proteomic characterisation of isolated nanotubes offers a route to it (Notario Manzano et al., 2024). Work on tetraspanin regulation and on the competition between linear and branched actin pathways indicates where such differences might lie (Henderson et al., 2023; Notario Manzano et al., 2024). The desired outcome is an agent that suppresses stromal donation of mitochondria while leaving tumour-tumour connectivity intact, or the converse, which would convert a general contradiction into a manageable design choice.</w:t>
      </w:r>
    </w:p>
    <w:p w14:paraId="4DE7B0F0" w14:textId="77777777" w:rsidR="00AD0875" w:rsidRDefault="00000000">
      <w:pPr>
        <w:ind w:firstLine="720"/>
        <w:jc w:val="both"/>
      </w:pPr>
      <w:r>
        <w:t>The sixth priority is explicit evaluation of the dual-use risk. No study has tested whether a nanotube-promoting delivery intervention increases the transfer of resistance determinants or, in neural tissue, the spread of protein aggregates. The appropriate design administers a promoting intervention alongside a standard cytotoxic agent and measures acquisition of resistance in surviving cells, and separately administers the intervention in an aggregation model and measures propagation. These are straightforward experiments that have not been performed, and their results would materially affect the risk-benefit assessment of the entire approach.</w:t>
      </w:r>
    </w:p>
    <w:p w14:paraId="4C7BD422" w14:textId="77777777" w:rsidR="00AD0875" w:rsidRDefault="00000000">
      <w:pPr>
        <w:ind w:firstLine="720"/>
        <w:jc w:val="both"/>
      </w:pPr>
      <w:r>
        <w:t>The seventh and longer-term priority is development of a pharmacokinetic framework accommodating conduit-mediated transport. This requires the parameters identified in Section 8, measured across several tissues, and a model structure in which transfer is governed by connection density and transport capacity rather than by concentration gradient. Such a framework is a prerequisite for dose selection and would allow the approach to be compared quantitatively with matrix-modifying and other distribution-enhancing strategies. It is placed last because it depends on the measurement advances described under the first priority.</w:t>
      </w:r>
    </w:p>
    <w:p w14:paraId="4585FA3D" w14:textId="77777777" w:rsidR="00AD0875" w:rsidRDefault="00000000">
      <w:pPr>
        <w:ind w:firstLine="720"/>
        <w:jc w:val="both"/>
      </w:pPr>
      <w:r>
        <w:lastRenderedPageBreak/>
        <w:t>Two further directions merit attention over a longer horizon. Non-oncological applications in anatomically accessible tissues, including the cornea, where interruption of nanotube-mediated spread has been demonstrated (Thathapudi et al., 2024), and bone, where organelle sharing supports cell survival (Qiang et al., 2026), may prove more tractable first targets than solid tumours because the compartments are accessible and the therapeutic objectives are narrower. Separately, resolution of the relationship between classical nanotubes and the longer tumour microtubes described in glioma is required before evidence from either is applied to the other, since their structural and molecular differences are substantial (Osswald et al., 2015; Venkataramani et al., 2019).</w:t>
      </w:r>
    </w:p>
    <w:p w14:paraId="3FDDC07D" w14:textId="77777777" w:rsidR="00AD0875" w:rsidRDefault="00000000">
      <w:pPr>
        <w:spacing w:before="240" w:after="120" w:line="360" w:lineRule="auto"/>
      </w:pPr>
      <w:r>
        <w:rPr>
          <w:b/>
          <w:color w:val="000000"/>
          <w:sz w:val="28"/>
        </w:rPr>
        <w:t>10. Conclusions</w:t>
      </w:r>
    </w:p>
    <w:p w14:paraId="392E5C71" w14:textId="77777777" w:rsidR="00AD0875" w:rsidRDefault="00000000">
      <w:pPr>
        <w:ind w:firstLine="720"/>
        <w:jc w:val="both"/>
      </w:pPr>
      <w:r>
        <w:t>The evidence assembled here supports a bounded set of conclusions and excludes several claims that are made on behalf of this field. Tunnelling nanotubes are real structures with demonstrated cytoplasmic continuity in at least some systems, an identifiable molecular machinery of formation centred on linear actin polymerisation, and a documented capacity to carry vesicles, organelles and particulate material between cells. Engineered nanomaterials of inorganic, carbon-based, lipid and polymeric composition have been observed to move between cells along such connections, and the convergence of this finding across chemically dissimilar carriers, independent laboratories and multiple cell types makes the phenomenon itself secure. Transport within these connections is motor-driven and vesicle-mediated rather than diffusive, which means that the properties of the enclosing compartment constrain movement at least as much as those of the particle. Within the limited range examined, particle geometry appears to govern transfer efficiency more strongly than particle size, although this rests on a single well-controlled comparison and awaits independent confirmation.</w:t>
      </w:r>
    </w:p>
    <w:p w14:paraId="429D3D82" w14:textId="77777777" w:rsidR="00AD0875" w:rsidRDefault="00000000">
      <w:pPr>
        <w:ind w:firstLine="720"/>
        <w:jc w:val="both"/>
      </w:pPr>
      <w:r>
        <w:lastRenderedPageBreak/>
        <w:t>The first objective of this review, establishing which structural and physical properties are sufficiently characterised to constrain carrier design, is answered only partially. Ultrastructural evidence that an apparently single connection is often a bundle of narrow individual tubes imposes a dimensional constraint that the delivery literature has largely overlooked, and the vesicular nature of intratubular transport shifts the relevant design variables away from the particle surface towards the uptake pathway that determines compartmentalisation. Beyond these two points, the structural basis for rational carrier design remains thin.</w:t>
      </w:r>
    </w:p>
    <w:p w14:paraId="254D71A1" w14:textId="77777777" w:rsidR="00AD0875" w:rsidRDefault="00000000">
      <w:pPr>
        <w:ind w:firstLine="720"/>
        <w:jc w:val="both"/>
      </w:pPr>
      <w:r>
        <w:t>The second objective, evaluating the strength and attribution rigour of the transfer evidence, yields a less favourable assessment. Most reports rest on two-dimensional culture, short observation, and morphological identification without independent confirmation of luminal continuity or exclusion of vesicular routes. A minority of studies apply convergent perturbation, genetic manipulation or contact-excluding controls, and these are the studies on which confidence should rest. An inverse relationship is evident between mechanistic rigour and translational relevance, with the best-controlled attribution obtained in the least disease-relevant systems. Quantification practice is heterogeneous and no study reports delivered mass, which means that the field has established a direction of effect without a magnitude.</w:t>
      </w:r>
    </w:p>
    <w:p w14:paraId="270CF951" w14:textId="77777777" w:rsidR="00AD0875" w:rsidRDefault="00000000">
      <w:pPr>
        <w:ind w:firstLine="720"/>
        <w:jc w:val="both"/>
      </w:pPr>
      <w:r>
        <w:t xml:space="preserve">The third objective concerned the contradiction between suppressing and exploiting these conduits. The resistance literature is larger, better replicated, corroborated in human tissue and connected to an established treatment modality, whereas the exploitation literature is recent, mechanistically sophisticated and largely unreplicated. Three candidate resolutions have been examined, resting respectively on the identity of the connected cells, on temporal separation of delivery and cytotoxicity, and on a quantitative difference between the amount of cargo required for resistance and that required for therapy. The third is testable and would, if correct, substantially deflate the delivery concept; it has not been tested. The contradiction therefore </w:t>
      </w:r>
      <w:r>
        <w:lastRenderedPageBreak/>
        <w:t>remains open, and claims made on either side should be understood as context-specific rather than general.</w:t>
      </w:r>
    </w:p>
    <w:p w14:paraId="37C56B5F" w14:textId="77777777" w:rsidR="00AD0875" w:rsidRDefault="00000000">
      <w:pPr>
        <w:ind w:firstLine="720"/>
        <w:jc w:val="both"/>
      </w:pPr>
      <w:r>
        <w:t>The fourth objective, identifying the limitations that most constrain confidence, points consistently to attribution, culture geometry, quantification and the scarcity of in vivo route confirmation. Methods capable of mitigating each of these exist and have been demonstrated within this literature; the obstacle is convention rather than capability. That observation is the most encouraging conclusion available, because it indicates that a substantial increase in evidential quality is achievable without technical breakthrough.</w:t>
      </w:r>
    </w:p>
    <w:p w14:paraId="2BB4F846" w14:textId="77777777" w:rsidR="00AD0875" w:rsidRDefault="00000000">
      <w:pPr>
        <w:ind w:firstLine="720"/>
        <w:jc w:val="both"/>
      </w:pPr>
      <w:r>
        <w:t>The fifth objective concerned research priorities, and these follow from the preceding assessment rather than from aspiration. Quantification of transported mass, standardised attribution criteria, in vivo demonstration with route attribution, systematic parametric characterisation of carriers, context-selective modulation and explicit evaluation of dual-use risk constitute the immediate agenda, with pharmacokinetic modelling dependent upon the first of these.</w:t>
      </w:r>
    </w:p>
    <w:p w14:paraId="58A56A52" w14:textId="77777777" w:rsidR="00AD0875" w:rsidRDefault="00000000">
      <w:pPr>
        <w:ind w:firstLine="720"/>
        <w:jc w:val="both"/>
      </w:pPr>
      <w:r>
        <w:t xml:space="preserve">The broader significance of this synthesis lies in what it illustrates about the evaluation of novel delivery routes. A mechanism can be biologically genuine, mechanistically well characterised and reproducibly observed while remaining therapeutically unproven, and the transition between these states depends on quantitative description rather than on further demonstrations of existence. Nanotube-mediated transport currently occupies the former position. It is a distinctive route with a coherent rationale and a plausible advantage over extracellular strategies, supported by proof of concept in confined anatomical compartments and in animal models of cell-based relay delivery. It is not, on present evidence, a demonstrated therapeutic advance, and the same conduits that might distribute treatment are known to distribute resistance. </w:t>
      </w:r>
      <w:r>
        <w:lastRenderedPageBreak/>
        <w:t>Judgements about its future should rest on whether the quantitative questions are answered rather than on the accumulation of further qualitative observations.</w:t>
      </w:r>
    </w:p>
    <w:p w14:paraId="5CECC446" w14:textId="77777777" w:rsidR="00AD0875" w:rsidRDefault="00000000">
      <w:pPr>
        <w:spacing w:before="240" w:after="120" w:line="360" w:lineRule="auto"/>
      </w:pPr>
      <w:r>
        <w:rPr>
          <w:b/>
          <w:color w:val="000000"/>
          <w:sz w:val="28"/>
        </w:rPr>
        <w:t>11. Limitations</w:t>
      </w:r>
    </w:p>
    <w:p w14:paraId="02328E45" w14:textId="77777777" w:rsidR="00AD0875" w:rsidRDefault="00000000">
      <w:pPr>
        <w:ind w:firstLine="720"/>
        <w:jc w:val="both"/>
      </w:pPr>
      <w:r>
        <w:t>This review is a narrative synthesis and carries the limitations intrinsic to that form. Although the search strategy, eligibility criteria and appraisal approach were specified in advance and applied consistently, the selection of studies for detailed discussion and the weight assigned to conflicting findings involved judgement that another reviewer might exercise differently. Selection bias and interpretive bias cannot be excluded, and the emphasis placed here on attribution rigour, while defensible, is itself an analytical choice that shapes the conclusions reached.</w:t>
      </w:r>
    </w:p>
    <w:p w14:paraId="6888A290" w14:textId="77777777" w:rsidR="00AD0875" w:rsidRDefault="00000000">
      <w:pPr>
        <w:ind w:firstLine="720"/>
        <w:jc w:val="both"/>
      </w:pPr>
      <w:r>
        <w:t>Access was limited to freely available scholarly indexes and openly accessible or institutionally retrievable full texts. Subscription-only citation databases were not searched, and it is possible that relevant records indexed exclusively in such sources were missed, particularly in the engineering and materials literature where indexing practices differ from those in biomedicine. Eligibility was restricted to publications in English, which risks the omission of relevant work published in other languages and may under-represent research from regions where publication in national-language journals is common.</w:t>
      </w:r>
    </w:p>
    <w:p w14:paraId="5CD162AD" w14:textId="77777777" w:rsidR="00AD0875" w:rsidRDefault="00000000">
      <w:pPr>
        <w:ind w:firstLine="720"/>
        <w:jc w:val="both"/>
      </w:pPr>
      <w:r>
        <w:t xml:space="preserve">The evidence base itself imposes further constraints. Study designs are heterogeneous to a degree that precludes quantitative synthesis, and no common effect measure exists across the cell-biological, biophysical, toxicological and pharmaceutical literatures that contribute to the topic. Outcome definitions vary between studies to the point where apparently similar findings may not be comparable. Much of the evidence derives from a small number of research groups, and several of the most recent and influential delivery studies originate from the same laboratory, </w:t>
      </w:r>
      <w:r>
        <w:lastRenderedPageBreak/>
        <w:t>which limits the extent to which independent replication can be claimed. Geographical representation is uneven, with contributions concentrated in a small number of countries.</w:t>
      </w:r>
    </w:p>
    <w:p w14:paraId="67C37B0F" w14:textId="77777777" w:rsidR="00AD0875" w:rsidRDefault="00000000">
      <w:pPr>
        <w:ind w:firstLine="720"/>
        <w:jc w:val="both"/>
      </w:pPr>
      <w:r>
        <w:t>Evidence of therapeutic effect rests predominantly on preclinical models, chiefly rodent tumour systems, with no clinical evaluation of any nanotube-directed delivery strategy available. Long-term outcome data do not exist for any application, and the durability of any observed effect is therefore unknown. Publication bias is likely to be substantial, since negative findings regarding transfer are rarely reported and the single prominent negative result encountered was incidental to a study reporting positive findings elsewhere. The field is developing quickly, and several of the most relevant primary studies appeared within the final eighteen months of the search period, which means that conclusions drawn about the state of the evidence may be superseded rapidly. No formal risk-of-bias instrument was applied, because no validated tool exists for the predominant designs and the available reports rarely contain the information such an instrument would require; appraisal was therefore structured but not formally scored.</w:t>
      </w:r>
    </w:p>
    <w:p w14:paraId="13BF2FF1" w14:textId="77777777" w:rsidR="00716A15" w:rsidRDefault="00716A15" w:rsidP="00716A15">
      <w:pPr>
        <w:spacing w:line="240" w:lineRule="auto"/>
        <w:rPr>
          <w:rFonts w:cs="Times New Roman"/>
          <w:b/>
        </w:rPr>
      </w:pPr>
      <w:r w:rsidRPr="000839CE">
        <w:rPr>
          <w:rFonts w:cs="Times New Roman"/>
          <w:b/>
        </w:rPr>
        <w:t>Declaration of AI Use</w:t>
      </w:r>
    </w:p>
    <w:p w14:paraId="289EF410" w14:textId="77777777" w:rsidR="00716A15" w:rsidRDefault="00716A15" w:rsidP="00716A15">
      <w:pPr>
        <w:spacing w:line="240" w:lineRule="auto"/>
        <w:rPr>
          <w:rFonts w:cs="Times New Roman"/>
          <w:b/>
        </w:rPr>
      </w:pPr>
    </w:p>
    <w:p w14:paraId="7505D689" w14:textId="77777777" w:rsidR="00716A15" w:rsidRDefault="00716A15" w:rsidP="00716A15">
      <w:pPr>
        <w:spacing w:line="240" w:lineRule="auto"/>
        <w:rPr>
          <w:rFonts w:cs="Times New Roman"/>
          <w:b/>
        </w:rPr>
      </w:pPr>
    </w:p>
    <w:p w14:paraId="7C0445F8" w14:textId="77777777" w:rsidR="00716A15" w:rsidRDefault="00716A15" w:rsidP="00716A15">
      <w:pPr>
        <w:spacing w:line="240" w:lineRule="auto"/>
        <w:rPr>
          <w:rFonts w:cs="Times New Roman"/>
          <w:b/>
        </w:rPr>
      </w:pPr>
    </w:p>
    <w:p w14:paraId="4AFD3334" w14:textId="77777777" w:rsidR="00716A15" w:rsidRPr="002D08AC" w:rsidRDefault="00716A15" w:rsidP="00716A15">
      <w:pPr>
        <w:spacing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BE3F874" w14:textId="77777777" w:rsidR="00716A15" w:rsidRDefault="00716A15">
      <w:pPr>
        <w:ind w:firstLine="720"/>
        <w:jc w:val="both"/>
      </w:pPr>
    </w:p>
    <w:p w14:paraId="5154E416" w14:textId="77777777" w:rsidR="00AD0875" w:rsidRDefault="00000000">
      <w:pPr>
        <w:spacing w:before="240" w:after="120" w:line="360" w:lineRule="auto"/>
      </w:pPr>
      <w:r>
        <w:rPr>
          <w:b/>
          <w:color w:val="000000"/>
          <w:sz w:val="28"/>
        </w:rPr>
        <w:t>References</w:t>
      </w:r>
    </w:p>
    <w:p w14:paraId="40BF0093" w14:textId="77777777" w:rsidR="00AD0875" w:rsidRDefault="00000000">
      <w:pPr>
        <w:ind w:left="720" w:hanging="720"/>
      </w:pPr>
      <w:r>
        <w:t xml:space="preserve">Allegra, A., Di Gioacchino, M., Cancemi, G., Casciaro, M., Petrarca, C., Musolino, C., &amp; Gangemi, S. (2022). Specialized intercellular communications via tunnelling nanotubes in acute and chronic leukemia. </w:t>
      </w:r>
      <w:r>
        <w:rPr>
          <w:i/>
        </w:rPr>
        <w:t>Cancers</w:t>
      </w:r>
      <w:r>
        <w:t xml:space="preserve">, </w:t>
      </w:r>
      <w:r>
        <w:rPr>
          <w:i/>
        </w:rPr>
        <w:t>14</w:t>
      </w:r>
      <w:r>
        <w:t>(3), 659. https://doi.org/10.3390/cancers14030659</w:t>
      </w:r>
    </w:p>
    <w:p w14:paraId="7A85E668" w14:textId="77777777" w:rsidR="00AD0875" w:rsidRDefault="00000000">
      <w:pPr>
        <w:ind w:left="720" w:hanging="720"/>
      </w:pPr>
      <w:r>
        <w:lastRenderedPageBreak/>
        <w:t xml:space="preserve">Baethge, C., Goldbeck-Wood, S., &amp; Mertens, S. (2019). SANRA—a scale for the quality assessment of narrative review articles. </w:t>
      </w:r>
      <w:r>
        <w:rPr>
          <w:i/>
        </w:rPr>
        <w:t>Research Integrity and Peer Review</w:t>
      </w:r>
      <w:r>
        <w:t xml:space="preserve">, </w:t>
      </w:r>
      <w:r>
        <w:rPr>
          <w:i/>
        </w:rPr>
        <w:t>4</w:t>
      </w:r>
      <w:r>
        <w:t>(1), 5. https://doi.org/10.1186/s41073-019-0064-8</w:t>
      </w:r>
    </w:p>
    <w:p w14:paraId="7DE53045" w14:textId="77777777" w:rsidR="00AD0875" w:rsidRDefault="00000000">
      <w:pPr>
        <w:ind w:left="720" w:hanging="720"/>
      </w:pPr>
      <w:r>
        <w:t xml:space="preserve">Baker, V., Budinger, D., Riechers, S.-P., &amp; Heneka, M. T. (2025). Protocol for observing tunneling nanotube formation and function in both fixed and live primary mouse neurons and microglia coculture system. </w:t>
      </w:r>
      <w:r>
        <w:rPr>
          <w:i/>
        </w:rPr>
        <w:t>STAR Protocols</w:t>
      </w:r>
      <w:r>
        <w:t xml:space="preserve">, </w:t>
      </w:r>
      <w:r>
        <w:rPr>
          <w:i/>
        </w:rPr>
        <w:t>6</w:t>
      </w:r>
      <w:r>
        <w:t>(2), 103723. https://doi.org/10.1016/j.xpro.2025.103723</w:t>
      </w:r>
    </w:p>
    <w:p w14:paraId="5C79B715" w14:textId="77777777" w:rsidR="00AD0875" w:rsidRDefault="00000000">
      <w:pPr>
        <w:ind w:left="720" w:hanging="720"/>
      </w:pPr>
      <w:r>
        <w:t xml:space="preserve">Belian, S., &amp; Zurzolo, C. (2026). Breaking cellular boundaries: Molecular mechanisms of tunneling nanotube formation and fusion. </w:t>
      </w:r>
      <w:r>
        <w:rPr>
          <w:i/>
        </w:rPr>
        <w:t>Biochemical Society Transactions</w:t>
      </w:r>
      <w:r>
        <w:t xml:space="preserve">, </w:t>
      </w:r>
      <w:r>
        <w:rPr>
          <w:i/>
        </w:rPr>
        <w:t>54</w:t>
      </w:r>
      <w:r>
        <w:t>(3), 259–280. https://doi.org/10.1042/BST20250093</w:t>
      </w:r>
    </w:p>
    <w:p w14:paraId="44718FBF" w14:textId="77777777" w:rsidR="00AD0875" w:rsidRDefault="00000000">
      <w:pPr>
        <w:ind w:left="720" w:hanging="720"/>
      </w:pPr>
      <w:r>
        <w:t xml:space="preserve">Bhat, S., Ljubojevic, N., Zhu, S., Fukuda, M., Echard, A., &amp; Zurzolo, C. (2020). Rab35 and its effectors promote formation of tunneling nanotubes in neuronal cells. </w:t>
      </w:r>
      <w:r>
        <w:rPr>
          <w:i/>
        </w:rPr>
        <w:t>Scientific Reports</w:t>
      </w:r>
      <w:r>
        <w:t xml:space="preserve">, </w:t>
      </w:r>
      <w:r>
        <w:rPr>
          <w:i/>
        </w:rPr>
        <w:t>10</w:t>
      </w:r>
      <w:r>
        <w:t>(1), 16803. https://doi.org/10.1038/s41598-020-74013-z</w:t>
      </w:r>
    </w:p>
    <w:p w14:paraId="53A47A89" w14:textId="77777777" w:rsidR="00AD0875" w:rsidRDefault="00000000">
      <w:pPr>
        <w:ind w:left="720" w:hanging="720"/>
      </w:pPr>
      <w:r>
        <w:t xml:space="preserve">Brou, C., &amp; Zurzolo, C. (2026). Building the bridges: Molecular mechanisms of tunneling nanotube formation. </w:t>
      </w:r>
      <w:r>
        <w:rPr>
          <w:i/>
        </w:rPr>
        <w:t>Cellular and Molecular Life Sciences</w:t>
      </w:r>
      <w:r>
        <w:t xml:space="preserve">, </w:t>
      </w:r>
      <w:r>
        <w:rPr>
          <w:i/>
        </w:rPr>
        <w:t>83</w:t>
      </w:r>
      <w:r>
        <w:t>(1), 235. https://doi.org/10.1007/s00018-026-06097-1</w:t>
      </w:r>
    </w:p>
    <w:p w14:paraId="67FDC60A" w14:textId="77777777" w:rsidR="00AD0875" w:rsidRDefault="00000000">
      <w:pPr>
        <w:ind w:left="720" w:hanging="720"/>
      </w:pPr>
      <w:r>
        <w:t xml:space="preserve">Ceran, Y., Ergüder, H., Ladner, K., Korenfeld, S., Deniz, K., Padmanabhan, S., Wong, P., Baday, M., Pengo, T., Lou, E., &amp; Patel, C. B. (2022). TNTdetect.AI: A deep learning model for automated detection and counting of tunneling nanotubes in microscopy images. </w:t>
      </w:r>
      <w:r>
        <w:rPr>
          <w:i/>
        </w:rPr>
        <w:t>Cancers</w:t>
      </w:r>
      <w:r>
        <w:t xml:space="preserve">, </w:t>
      </w:r>
      <w:r>
        <w:rPr>
          <w:i/>
        </w:rPr>
        <w:t>14</w:t>
      </w:r>
      <w:r>
        <w:t>(19), 4958. https://doi.org/10.3390/cancers14194958</w:t>
      </w:r>
    </w:p>
    <w:p w14:paraId="0DA35988" w14:textId="77777777" w:rsidR="00AD0875" w:rsidRDefault="00000000">
      <w:pPr>
        <w:ind w:left="720" w:hanging="720"/>
      </w:pPr>
      <w:r>
        <w:t xml:space="preserve">Chakraborty, R., Belian, S., &amp; Zurzolo, C. (2023). Hijacking intercellular trafficking for the spread of protein aggregates in neurodegenerative diseases: A focus on tunneling nanotubes (TNTs). </w:t>
      </w:r>
      <w:r>
        <w:rPr>
          <w:i/>
        </w:rPr>
        <w:t>Extracellular Vesicles and Circulating Nucleic Acids</w:t>
      </w:r>
      <w:r>
        <w:t xml:space="preserve">, </w:t>
      </w:r>
      <w:r>
        <w:rPr>
          <w:i/>
        </w:rPr>
        <w:t>4</w:t>
      </w:r>
      <w:r>
        <w:t>(1), 27–43. https://doi.org/10.20517/evcna.2023.05</w:t>
      </w:r>
    </w:p>
    <w:p w14:paraId="4EAE7F76" w14:textId="77777777" w:rsidR="00AD0875" w:rsidRDefault="00000000">
      <w:pPr>
        <w:ind w:left="720" w:hanging="720"/>
      </w:pPr>
      <w:r>
        <w:lastRenderedPageBreak/>
        <w:t xml:space="preserve">Chen, M., &amp; Zhao, D. (2024). Invisible bridges: Unveiling the role and prospects of tunneling nanotubes in cancer therapy. </w:t>
      </w:r>
      <w:r>
        <w:rPr>
          <w:i/>
        </w:rPr>
        <w:t>Molecular Pharmaceutics</w:t>
      </w:r>
      <w:r>
        <w:t xml:space="preserve">, </w:t>
      </w:r>
      <w:r>
        <w:rPr>
          <w:i/>
        </w:rPr>
        <w:t>21</w:t>
      </w:r>
      <w:r>
        <w:t>(11), 5413–5429. https://doi.org/10.1021/acs.molpharmaceut.4c00563</w:t>
      </w:r>
    </w:p>
    <w:p w14:paraId="175CAF88" w14:textId="77777777" w:rsidR="00AD0875" w:rsidRDefault="00000000">
      <w:pPr>
        <w:ind w:left="720" w:hanging="720"/>
      </w:pPr>
      <w:r>
        <w:t xml:space="preserve">Chen, B., Chen, X., Li, J., Hu, R., Yang, L., Li, H., Liu, X., Cannon, R. D., Saffery, R., Novakovic, B., Qi, H., Zhang, H., &amp; Zhou, X. (2025). Tunneling nanotube-mediated stem cell immunomodulation dysfunction promotes adipose inflammation and insulin resistance in GDM. </w:t>
      </w:r>
      <w:r>
        <w:rPr>
          <w:i/>
        </w:rPr>
        <w:t>Cell Reports</w:t>
      </w:r>
      <w:r>
        <w:t xml:space="preserve">, </w:t>
      </w:r>
      <w:r>
        <w:rPr>
          <w:i/>
        </w:rPr>
        <w:t>44</w:t>
      </w:r>
      <w:r>
        <w:t>(11), 116505. https://doi.org/10.1016/j.celrep.2025.116505</w:t>
      </w:r>
    </w:p>
    <w:p w14:paraId="59C6A9D4" w14:textId="77777777" w:rsidR="00AD0875" w:rsidRDefault="00000000">
      <w:pPr>
        <w:ind w:left="720" w:hanging="720"/>
      </w:pPr>
      <w:r>
        <w:t xml:space="preserve">Cordero Cervantes, D., &amp; Zurzolo, C. (2021). Peering into tunneling nanotubes—the path forward. </w:t>
      </w:r>
      <w:r>
        <w:rPr>
          <w:i/>
        </w:rPr>
        <w:t>The EMBO Journal</w:t>
      </w:r>
      <w:r>
        <w:t xml:space="preserve">, </w:t>
      </w:r>
      <w:r>
        <w:rPr>
          <w:i/>
        </w:rPr>
        <w:t>40</w:t>
      </w:r>
      <w:r>
        <w:t>(8), e105789. https://doi.org/10.15252/embj.2020105789</w:t>
      </w:r>
    </w:p>
    <w:p w14:paraId="356E1769" w14:textId="77777777" w:rsidR="00AD0875" w:rsidRDefault="00000000">
      <w:pPr>
        <w:ind w:left="720" w:hanging="720"/>
      </w:pPr>
      <w:r>
        <w:t xml:space="preserve">Daniels, D. R. (2019). Transport of solid bodies along tubular membrane tethers. </w:t>
      </w:r>
      <w:r>
        <w:rPr>
          <w:i/>
        </w:rPr>
        <w:t>PLOS ONE</w:t>
      </w:r>
      <w:r>
        <w:t xml:space="preserve">, </w:t>
      </w:r>
      <w:r>
        <w:rPr>
          <w:i/>
        </w:rPr>
        <w:t>14</w:t>
      </w:r>
      <w:r>
        <w:t>(1), e0210259. https://doi.org/10.1371/journal.pone.0210259</w:t>
      </w:r>
    </w:p>
    <w:p w14:paraId="5B84F87A" w14:textId="77777777" w:rsidR="00AD0875" w:rsidRDefault="00000000">
      <w:pPr>
        <w:ind w:left="720" w:hanging="720"/>
      </w:pPr>
      <w:r>
        <w:t xml:space="preserve">Del Vecchio, V., Rehman, A., Panda, S. K., Torsiello, M., Marigliano, M., Nicoletti, M. M., Ferraro, G. A., De Falco, V., Lappano, R., Lieto, E., Pagliuca, F., Caputo, C., La Noce, M., Papaccio, G., Tirino, V., Robinson, N., Desiderio, V., &amp; Papaccio, F. (2024). Mitochondrial transfer from adipose stem cells to breast cancer cells drives multi-drug resistance. </w:t>
      </w:r>
      <w:r>
        <w:rPr>
          <w:i/>
        </w:rPr>
        <w:t>Journal of Experimental &amp; Clinical Cancer Research</w:t>
      </w:r>
      <w:r>
        <w:t xml:space="preserve">, </w:t>
      </w:r>
      <w:r>
        <w:rPr>
          <w:i/>
        </w:rPr>
        <w:t>43</w:t>
      </w:r>
      <w:r>
        <w:t>(1), 166. https://doi.org/10.1186/s13046-024-03087-8</w:t>
      </w:r>
    </w:p>
    <w:p w14:paraId="173D384A" w14:textId="77777777" w:rsidR="00AD0875" w:rsidRDefault="00000000">
      <w:pPr>
        <w:ind w:left="720" w:hanging="720"/>
      </w:pPr>
      <w:r>
        <w:t xml:space="preserve">Deng, G., Wu, Z., Zhou, F., Dai, C., Zhao, J., Kang, Y., Wang, Q., Liu, X., Wang, Y., &amp; Wang, Q. (2018). Exchangeability of FITC-SiO2 nanoparticles between cancer cells increases the range of drug delivery. </w:t>
      </w:r>
      <w:r>
        <w:rPr>
          <w:i/>
        </w:rPr>
        <w:t>Journal of Biomedical Nanotechnology</w:t>
      </w:r>
      <w:r>
        <w:t xml:space="preserve">, </w:t>
      </w:r>
      <w:r>
        <w:rPr>
          <w:i/>
        </w:rPr>
        <w:t>14</w:t>
      </w:r>
      <w:r>
        <w:t>(1), 127–138. https://doi.org/10.1166/jbn.2018.2509</w:t>
      </w:r>
    </w:p>
    <w:p w14:paraId="22A52BCD" w14:textId="77777777" w:rsidR="00AD0875" w:rsidRDefault="00000000">
      <w:pPr>
        <w:ind w:left="720" w:hanging="720"/>
      </w:pPr>
      <w:r>
        <w:t xml:space="preserve">Desir, S., Dickson, E. L., Vogel, R. I., Thayanithy, V., Wong, P., Teoh, D., Geller, M. A., Steer, C. J., Subramanian, S., &amp; Lou, E. (2016). Tunneling nanotube formation is stimulated by </w:t>
      </w:r>
      <w:r>
        <w:lastRenderedPageBreak/>
        <w:t xml:space="preserve">hypoxia in ovarian cancer cells. </w:t>
      </w:r>
      <w:r>
        <w:rPr>
          <w:i/>
        </w:rPr>
        <w:t>Oncotarget</w:t>
      </w:r>
      <w:r>
        <w:t xml:space="preserve">, </w:t>
      </w:r>
      <w:r>
        <w:rPr>
          <w:i/>
        </w:rPr>
        <w:t>7</w:t>
      </w:r>
      <w:r>
        <w:t>(28), 43150–43161. https://doi.org/10.18632/oncotarget.9504</w:t>
      </w:r>
    </w:p>
    <w:p w14:paraId="358E24CD" w14:textId="77777777" w:rsidR="00AD0875" w:rsidRDefault="00000000">
      <w:pPr>
        <w:ind w:left="720" w:hanging="720"/>
      </w:pPr>
      <w:r>
        <w:t xml:space="preserve">Desir, S., O’Hare, P., Vogel, R. I., Sperduto, W., Sarkari, A., Dickson, E. L., Wong, P., Nelson, A. C., Fong, Y., Steer, C. J., Subramanian, S., &amp; Lou, E. (2018). Chemotherapy-induced tunneling nanotubes mediate intercellular drug efflux in pancreatic cancer. </w:t>
      </w:r>
      <w:r>
        <w:rPr>
          <w:i/>
        </w:rPr>
        <w:t>Scientific Reports</w:t>
      </w:r>
      <w:r>
        <w:t xml:space="preserve">, </w:t>
      </w:r>
      <w:r>
        <w:rPr>
          <w:i/>
        </w:rPr>
        <w:t>8</w:t>
      </w:r>
      <w:r>
        <w:t>(1), 9484. https://doi.org/10.1038/s41598-018-27649-x</w:t>
      </w:r>
    </w:p>
    <w:p w14:paraId="29269155" w14:textId="77777777" w:rsidR="00AD0875" w:rsidRDefault="00000000">
      <w:pPr>
        <w:ind w:left="720" w:hanging="720"/>
      </w:pPr>
      <w:r>
        <w:t xml:space="preserve">Desir, S., Wong, P., Turbyville, T., Chen, D., Shetty, M., Clark, C., Zhai, E., Romin, Y., Manova-Todorova, K., Starr, T. K., Nissley, D. V., Steer, C. J., Subramanian, S., &amp; Lou, E. (2019). Intercellular transfer of oncogenic KRAS via tunneling nanotubes introduces intracellular mutational heterogeneity in colon cancer cells. </w:t>
      </w:r>
      <w:r>
        <w:rPr>
          <w:i/>
        </w:rPr>
        <w:t>Cancers</w:t>
      </w:r>
      <w:r>
        <w:t xml:space="preserve">, </w:t>
      </w:r>
      <w:r>
        <w:rPr>
          <w:i/>
        </w:rPr>
        <w:t>11</w:t>
      </w:r>
      <w:r>
        <w:t>(7), 892. https://doi.org/10.3390/cancers11070892</w:t>
      </w:r>
    </w:p>
    <w:p w14:paraId="47A240F2" w14:textId="77777777" w:rsidR="00AD0875" w:rsidRDefault="00000000">
      <w:pPr>
        <w:ind w:left="720" w:hanging="720"/>
      </w:pPr>
      <w:r>
        <w:t xml:space="preserve">Dilsizoglu Senol, A., Pepe, A., Grudina, C., Sassoon, N., Reiko, U., Bousset, L., Melki, R., Piel, J., Gugger, M., &amp; Zurzolo, C. (2019). Effect of tolytoxin on tunneling nanotube formation and function. </w:t>
      </w:r>
      <w:r>
        <w:rPr>
          <w:i/>
        </w:rPr>
        <w:t>Scientific Reports</w:t>
      </w:r>
      <w:r>
        <w:t xml:space="preserve">, </w:t>
      </w:r>
      <w:r>
        <w:rPr>
          <w:i/>
        </w:rPr>
        <w:t>9</w:t>
      </w:r>
      <w:r>
        <w:t>(1), 5741. https://doi.org/10.1038/s41598-019-42161-6</w:t>
      </w:r>
    </w:p>
    <w:p w14:paraId="36A2604D" w14:textId="77777777" w:rsidR="00AD0875" w:rsidRDefault="00000000">
      <w:pPr>
        <w:ind w:left="720" w:hanging="720"/>
      </w:pPr>
      <w:r>
        <w:t xml:space="preserve">Dilsizoglu Senol, A., Samarani, M., Syan, S., Guardia, C. M., Nonaka, T., Liv, N., Latour-Lambert, P., Hasegawa, M., Klumperman, J., Bonifacino, J. S., &amp; Zurzolo, C. (2021). α-Synuclein fibrils subvert lysosome structure and function for the propagation of protein misfolding between cells through tunneling nanotubes. </w:t>
      </w:r>
      <w:r>
        <w:rPr>
          <w:i/>
        </w:rPr>
        <w:t>PLOS Biology</w:t>
      </w:r>
      <w:r>
        <w:t xml:space="preserve">, </w:t>
      </w:r>
      <w:r>
        <w:rPr>
          <w:i/>
        </w:rPr>
        <w:t>19</w:t>
      </w:r>
      <w:r>
        <w:t>(7), e3001287. https://doi.org/10.1371/journal.pbio.3001287</w:t>
      </w:r>
    </w:p>
    <w:p w14:paraId="0E554264" w14:textId="77777777" w:rsidR="00AD0875" w:rsidRDefault="00000000">
      <w:pPr>
        <w:ind w:left="720" w:hanging="720"/>
      </w:pPr>
      <w:r>
        <w:t xml:space="preserve">Domhan, S., Ma, L., Tai, A., Anaya, Z., Beheshti, A., Zeier, M., Hlatky, L., &amp; Abdollahi, A. (2011). Intercellular communication by exchange of cytoplasmic material via tunneling nano-tube like structures in primary human renal epithelial cells. </w:t>
      </w:r>
      <w:r>
        <w:rPr>
          <w:i/>
        </w:rPr>
        <w:t>PLOS ONE</w:t>
      </w:r>
      <w:r>
        <w:t xml:space="preserve">, </w:t>
      </w:r>
      <w:r>
        <w:rPr>
          <w:i/>
        </w:rPr>
        <w:t>6</w:t>
      </w:r>
      <w:r>
        <w:t>(6), e21283. https://doi.org/10.1371/journal.pone.0021283</w:t>
      </w:r>
    </w:p>
    <w:p w14:paraId="77E0B6B0" w14:textId="77777777" w:rsidR="00AD0875" w:rsidRDefault="00000000">
      <w:pPr>
        <w:ind w:left="720" w:hanging="720"/>
      </w:pPr>
      <w:r>
        <w:lastRenderedPageBreak/>
        <w:t xml:space="preserve">Dong, X., Xuan, Y., Wang, M., Chang, S., Hu, X., &amp; Han, Z. (2026). Tunneling nanotubes: A new dimension of intercellular communication and recent progress. </w:t>
      </w:r>
      <w:r>
        <w:rPr>
          <w:i/>
        </w:rPr>
        <w:t>Cell Communication and Signaling</w:t>
      </w:r>
      <w:r>
        <w:t xml:space="preserve">, </w:t>
      </w:r>
      <w:r>
        <w:rPr>
          <w:i/>
        </w:rPr>
        <w:t>24</w:t>
      </w:r>
      <w:r>
        <w:t>(1), 445. https://doi.org/10.1186/s12964-026-02980-3</w:t>
      </w:r>
    </w:p>
    <w:p w14:paraId="02CD7F45" w14:textId="77777777" w:rsidR="00AD0875" w:rsidRDefault="00000000">
      <w:pPr>
        <w:ind w:left="720" w:hanging="720"/>
      </w:pPr>
      <w:r>
        <w:t xml:space="preserve">Drab, M., Stopar, D., Kralj-Iglič, V., &amp; Iglič, A. (2019). Inception mechanisms of tunneling nanotubes. </w:t>
      </w:r>
      <w:r>
        <w:rPr>
          <w:i/>
        </w:rPr>
        <w:t>Cells</w:t>
      </w:r>
      <w:r>
        <w:t xml:space="preserve">, </w:t>
      </w:r>
      <w:r>
        <w:rPr>
          <w:i/>
        </w:rPr>
        <w:t>8</w:t>
      </w:r>
      <w:r>
        <w:t>(6), 626. https://doi.org/10.3390/cells8060626</w:t>
      </w:r>
    </w:p>
    <w:p w14:paraId="20981AF6" w14:textId="77777777" w:rsidR="00AD0875" w:rsidRDefault="00000000">
      <w:pPr>
        <w:ind w:left="720" w:hanging="720"/>
      </w:pPr>
      <w:r>
        <w:t xml:space="preserve">Du, Y., Yang, Z., Sun, Q., Lin, M., Wang, R., Peng, Y., Chen, X., &amp; Qi, X. (2021). Engineered microglia potentiate the action of drugs against glioma through extracellular vesicles and tunneling nanotubes. </w:t>
      </w:r>
      <w:r>
        <w:rPr>
          <w:i/>
        </w:rPr>
        <w:t>Advanced Healthcare Materials</w:t>
      </w:r>
      <w:r>
        <w:t xml:space="preserve">, </w:t>
      </w:r>
      <w:r>
        <w:rPr>
          <w:i/>
        </w:rPr>
        <w:t>10</w:t>
      </w:r>
      <w:r>
        <w:t>(9), 2002200. https://doi.org/10.1002/adhm.202002200</w:t>
      </w:r>
    </w:p>
    <w:p w14:paraId="064F1F3F" w14:textId="77777777" w:rsidR="00AD0875" w:rsidRDefault="00000000">
      <w:pPr>
        <w:ind w:left="720" w:hanging="720"/>
      </w:pPr>
      <w:r>
        <w:t xml:space="preserve">Du, Y., Peng, Y., Yang, Y., Yang, Z., Gao, D., Li, J., Lin, M., &amp; Qi, X. (2026). Mitochondrial transfer through tunneling nanotubes inspires an innovative strategy for intercellular drug delivery. </w:t>
      </w:r>
      <w:r>
        <w:rPr>
          <w:i/>
        </w:rPr>
        <w:t>Acta Biomaterialia</w:t>
      </w:r>
      <w:r>
        <w:t xml:space="preserve">, </w:t>
      </w:r>
      <w:r>
        <w:rPr>
          <w:i/>
        </w:rPr>
        <w:t>212</w:t>
      </w:r>
      <w:r>
        <w:t>, 671–684. https://doi.org/10.1016/j.actbio.2025.12.048</w:t>
      </w:r>
    </w:p>
    <w:p w14:paraId="246E7022" w14:textId="77777777" w:rsidR="00AD0875" w:rsidRDefault="00000000">
      <w:pPr>
        <w:ind w:left="720" w:hanging="720"/>
      </w:pPr>
      <w:r>
        <w:t xml:space="preserve">Dubois, F., Bénard, M., Jean-Jacques, B., Schapman, D., Roberge, H., Lebon, A., Goux, D., Monterroso, B., Elie, N., Komuro, H., Bazille, C., Levallet, J., Bergot, E., Levallet, G., &amp; Galas, L. (2020). Investigating tunneling nanotubes in cancer cells: Guidelines for structural and functional studies through cell imaging. </w:t>
      </w:r>
      <w:r>
        <w:rPr>
          <w:i/>
        </w:rPr>
        <w:t>BioMed Research International</w:t>
      </w:r>
      <w:r>
        <w:t xml:space="preserve">, </w:t>
      </w:r>
      <w:r>
        <w:rPr>
          <w:i/>
        </w:rPr>
        <w:t>2020</w:t>
      </w:r>
      <w:r>
        <w:t>(1), 2701345. https://doi.org/10.1155/2020/2701345</w:t>
      </w:r>
    </w:p>
    <w:p w14:paraId="3BD07D54" w14:textId="77777777" w:rsidR="00AD0875" w:rsidRDefault="00000000">
      <w:pPr>
        <w:ind w:left="720" w:hanging="720"/>
      </w:pPr>
      <w:r>
        <w:t xml:space="preserve">Epperla, C. P., Mohan, N., Chang, C., Chen, C., &amp; Chang, H. (2015). Nanodiamond-mediated intercellular transport of proteins through membrane tunneling nanotubes. </w:t>
      </w:r>
      <w:r>
        <w:rPr>
          <w:i/>
        </w:rPr>
        <w:t>Small</w:t>
      </w:r>
      <w:r>
        <w:t xml:space="preserve">, </w:t>
      </w:r>
      <w:r>
        <w:rPr>
          <w:i/>
        </w:rPr>
        <w:t>11</w:t>
      </w:r>
      <w:r>
        <w:t>(45), 6097–6105. https://doi.org/10.1002/smll.201502089</w:t>
      </w:r>
    </w:p>
    <w:p w14:paraId="4864C31A" w14:textId="77777777" w:rsidR="00AD0875" w:rsidRDefault="00000000">
      <w:pPr>
        <w:ind w:left="720" w:hanging="720"/>
      </w:pPr>
      <w:r>
        <w:t xml:space="preserve">Errede, M., Mangieri, D., Longo, G., Girolamo, F., de Trizio, I., Vimercati, A., Serio, G., Frei, K., Perris, R., &amp; Virgintino, D. (2018). Tunneling nanotubes evoke pericyte/endothelial communication during normal and tumoral angiogenesis. </w:t>
      </w:r>
      <w:r>
        <w:rPr>
          <w:i/>
        </w:rPr>
        <w:t>Fluids and Barriers of the CNS</w:t>
      </w:r>
      <w:r>
        <w:t xml:space="preserve">, </w:t>
      </w:r>
      <w:r>
        <w:rPr>
          <w:i/>
        </w:rPr>
        <w:t>15</w:t>
      </w:r>
      <w:r>
        <w:t>(1), 28. https://doi.org/10.1186/s12987-018-0114-5</w:t>
      </w:r>
    </w:p>
    <w:p w14:paraId="5C9D9024" w14:textId="77777777" w:rsidR="00AD0875" w:rsidRDefault="00000000">
      <w:pPr>
        <w:ind w:left="720" w:hanging="720"/>
      </w:pPr>
      <w:r>
        <w:lastRenderedPageBreak/>
        <w:t xml:space="preserve">Ferrati, S., Shamsudeen, S., Summers, H. D., Rees, P., Abbey, J. V. A., Schmulen, J., Liu, X., Wong, S. T. C., Bean, A. J., Ferrari, M., &amp; Serda, R. E. (2012). Inter-endothelial transport of microvectors using cellular shuttles and tunneling nanotubes. </w:t>
      </w:r>
      <w:r>
        <w:rPr>
          <w:i/>
        </w:rPr>
        <w:t>Small</w:t>
      </w:r>
      <w:r>
        <w:t xml:space="preserve">, </w:t>
      </w:r>
      <w:r>
        <w:rPr>
          <w:i/>
        </w:rPr>
        <w:t>8</w:t>
      </w:r>
      <w:r>
        <w:t>(20), 3151–3160. https://doi.org/10.1002/smll.201200472</w:t>
      </w:r>
    </w:p>
    <w:p w14:paraId="23AF8ACC" w14:textId="77777777" w:rsidR="00AD0875" w:rsidRDefault="00000000">
      <w:pPr>
        <w:ind w:left="720" w:hanging="720"/>
      </w:pPr>
      <w:r>
        <w:t xml:space="preserve">Formicola, B., D'Aloia, A., Dal Magro, R., Stucchi, S., Rigolio, R., Ceriani, M., &amp; Re, F. (2019). Differential exchange of multifunctional liposomes between glioblastoma cells and healthy astrocytes via tunneling nanotubes. </w:t>
      </w:r>
      <w:r>
        <w:rPr>
          <w:i/>
        </w:rPr>
        <w:t>Frontiers in Bioengineering and Biotechnology</w:t>
      </w:r>
      <w:r>
        <w:t xml:space="preserve">, </w:t>
      </w:r>
      <w:r>
        <w:rPr>
          <w:i/>
        </w:rPr>
        <w:t>7</w:t>
      </w:r>
      <w:r>
        <w:t>, 403. https://doi.org/10.3389/fbioe.2019.00403</w:t>
      </w:r>
    </w:p>
    <w:p w14:paraId="206C8628" w14:textId="77777777" w:rsidR="00AD0875" w:rsidRDefault="00000000">
      <w:pPr>
        <w:ind w:left="720" w:hanging="720"/>
      </w:pPr>
      <w:r>
        <w:t xml:space="preserve">Franco, S., Noureddine, A., Guo, J., Keth, J., Paffett, M. L., Brinker, C. J., &amp; Serda, R. E. (2020). Direct transfer of mesoporous silica nanoparticles between macrophages and cancer cells. </w:t>
      </w:r>
      <w:r>
        <w:rPr>
          <w:i/>
        </w:rPr>
        <w:t>Cancers</w:t>
      </w:r>
      <w:r>
        <w:t xml:space="preserve">, </w:t>
      </w:r>
      <w:r>
        <w:rPr>
          <w:i/>
        </w:rPr>
        <w:t>12</w:t>
      </w:r>
      <w:r>
        <w:t>(10), 2892. https://doi.org/10.3390/cancers12102892</w:t>
      </w:r>
    </w:p>
    <w:p w14:paraId="7E638265" w14:textId="77777777" w:rsidR="00AD0875" w:rsidRDefault="00000000">
      <w:pPr>
        <w:ind w:left="720" w:hanging="720"/>
      </w:pPr>
      <w:r>
        <w:t xml:space="preserve">Gunasekara, H., Cheng, Y.-S., Perez-Silos, V., Zevallos-Morales, A., Abegg, D., Burgess, A., Gong, L.-W., Minshall, R. D., Adibekian, A., Murga-Zamalloa, C., Ondrus, A. E., &amp; Hu, Y. S. (2025). Unveiling cellular communications through rapid pan-membrane-protein labeling. </w:t>
      </w:r>
      <w:r>
        <w:rPr>
          <w:i/>
        </w:rPr>
        <w:t>Nature Communications</w:t>
      </w:r>
      <w:r>
        <w:t xml:space="preserve">, </w:t>
      </w:r>
      <w:r>
        <w:rPr>
          <w:i/>
        </w:rPr>
        <w:t>16</w:t>
      </w:r>
      <w:r>
        <w:t>(1), 3584. https://doi.org/10.1038/s41467-025-58779-2</w:t>
      </w:r>
    </w:p>
    <w:p w14:paraId="4A8E630A" w14:textId="77777777" w:rsidR="00AD0875" w:rsidRDefault="00000000">
      <w:pPr>
        <w:ind w:left="720" w:hanging="720"/>
      </w:pPr>
      <w:r>
        <w:t xml:space="preserve">Guo, L., Zhang, Y., Yang, Z., Peng, H., Wei, R., Wang, C., &amp; Feng, M. (2019). Tunneling nanotubular expressways for ultrafast and accurate M1 macrophage delivery of anticancer drugs to metastatic ovarian carcinoma. </w:t>
      </w:r>
      <w:r>
        <w:rPr>
          <w:i/>
        </w:rPr>
        <w:t>ACS Nano</w:t>
      </w:r>
      <w:r>
        <w:t xml:space="preserve">, </w:t>
      </w:r>
      <w:r>
        <w:rPr>
          <w:i/>
        </w:rPr>
        <w:t>13</w:t>
      </w:r>
      <w:r>
        <w:t>(2), 1078–1096. https://doi.org/10.1021/acsnano.8b08872</w:t>
      </w:r>
    </w:p>
    <w:p w14:paraId="537A4455" w14:textId="77777777" w:rsidR="00AD0875" w:rsidRDefault="00000000">
      <w:pPr>
        <w:ind w:left="720" w:hanging="720"/>
      </w:pPr>
      <w:r>
        <w:t xml:space="preserve">Han, X., &amp; Wang, X. (2021). Opportunities and challenges in tunneling nanotubes research: How far from clinical application? </w:t>
      </w:r>
      <w:r>
        <w:rPr>
          <w:i/>
        </w:rPr>
        <w:t>International Journal of Molecular Sciences</w:t>
      </w:r>
      <w:r>
        <w:t xml:space="preserve">, </w:t>
      </w:r>
      <w:r>
        <w:rPr>
          <w:i/>
        </w:rPr>
        <w:t>22</w:t>
      </w:r>
      <w:r>
        <w:t>(5), 2306. https://doi.org/10.3390/ijms22052306</w:t>
      </w:r>
    </w:p>
    <w:p w14:paraId="149C5895" w14:textId="77777777" w:rsidR="00AD0875" w:rsidRDefault="00000000">
      <w:pPr>
        <w:ind w:left="720" w:hanging="720"/>
      </w:pPr>
      <w:r>
        <w:lastRenderedPageBreak/>
        <w:t xml:space="preserve">Henderson, J. M., Ljubojevic, N., Belian, S., Chaze, T., Castaneda, D., Battistella, A., Giai Gianetto, Q., Matondo, M., Descroix, S., Bassereau, P., &amp; Zurzolo, C. (2023). Tunnelling nanotube formation is driven by Eps8/IRSp53-dependent linear actin polymerization. </w:t>
      </w:r>
      <w:r>
        <w:rPr>
          <w:i/>
        </w:rPr>
        <w:t>The EMBO Journal</w:t>
      </w:r>
      <w:r>
        <w:t xml:space="preserve">, </w:t>
      </w:r>
      <w:r>
        <w:rPr>
          <w:i/>
        </w:rPr>
        <w:t>42</w:t>
      </w:r>
      <w:r>
        <w:t>(24), e113761. https://doi.org/10.15252/embj.2023113761</w:t>
      </w:r>
    </w:p>
    <w:p w14:paraId="4CFF0E97" w14:textId="77777777" w:rsidR="00AD0875" w:rsidRDefault="00000000">
      <w:pPr>
        <w:ind w:left="720" w:hanging="720"/>
      </w:pPr>
      <w:r>
        <w:t xml:space="preserve">Jackson, M. V., Morrison, T. J., Doherty, D. F., McAuley, D. F., Matthay, M. A., Kissenpfennig, A., O'Kane, C. M., &amp; Krasnodembskaya, A. D. (2016). Mitochondrial transfer via tunneling nanotubes is an important mechanism by which mesenchymal stem cells enhance macrophage phagocytosis in the in vitro and in vivo models of ARDS. </w:t>
      </w:r>
      <w:r>
        <w:rPr>
          <w:i/>
        </w:rPr>
        <w:t>Stem Cells</w:t>
      </w:r>
      <w:r>
        <w:t xml:space="preserve">, </w:t>
      </w:r>
      <w:r>
        <w:rPr>
          <w:i/>
        </w:rPr>
        <w:t>34</w:t>
      </w:r>
      <w:r>
        <w:t>(8), 2210–2223. https://doi.org/10.1002/stem.2372</w:t>
      </w:r>
    </w:p>
    <w:p w14:paraId="6FDF951D" w14:textId="77777777" w:rsidR="00AD0875" w:rsidRDefault="00000000">
      <w:pPr>
        <w:ind w:left="720" w:hanging="720"/>
      </w:pPr>
      <w:r>
        <w:t xml:space="preserve">Jana, A., Ladner, K., Lou, E., &amp; Nain, A. S. (2022). Tunneling nanotubes between cells migrating in ECM mimicking fibrous environments. </w:t>
      </w:r>
      <w:r>
        <w:rPr>
          <w:i/>
        </w:rPr>
        <w:t>Cancers</w:t>
      </w:r>
      <w:r>
        <w:t xml:space="preserve">, </w:t>
      </w:r>
      <w:r>
        <w:rPr>
          <w:i/>
        </w:rPr>
        <w:t>14</w:t>
      </w:r>
      <w:r>
        <w:t>(8), 1989. https://doi.org/10.3390/cancers14081989</w:t>
      </w:r>
    </w:p>
    <w:p w14:paraId="6F6866B4" w14:textId="77777777" w:rsidR="00AD0875" w:rsidRDefault="00000000">
      <w:pPr>
        <w:ind w:left="720" w:hanging="720"/>
      </w:pPr>
      <w:r>
        <w:t xml:space="preserve">Kato, K., Nguyen, K. T., Decker, C. W., Silkwood, K. H., Eck, S. M., Hernandez, J. B., Garcia, J., &amp; Han, D. (2022). Tunneling nanotube formation promotes survival against 5-fluorouracil in MCF-7 breast cancer cells. </w:t>
      </w:r>
      <w:r>
        <w:rPr>
          <w:i/>
        </w:rPr>
        <w:t>FEBS Open Bio</w:t>
      </w:r>
      <w:r>
        <w:t xml:space="preserve">, </w:t>
      </w:r>
      <w:r>
        <w:rPr>
          <w:i/>
        </w:rPr>
        <w:t>12</w:t>
      </w:r>
      <w:r>
        <w:t>(1), 203–210. https://doi.org/10.1002/2211-5463.13324</w:t>
      </w:r>
    </w:p>
    <w:p w14:paraId="1338FA42" w14:textId="77777777" w:rsidR="00AD0875" w:rsidRDefault="00000000">
      <w:pPr>
        <w:ind w:left="720" w:hanging="720"/>
      </w:pPr>
      <w:r>
        <w:t xml:space="preserve">Korenkova, O., Liu, S., Prlesi, I., Pepe, A., Albadri, S., Del Bene, F., &amp; Zurzolo, C. (2025). Tunneling nanotubes enable intercellular transfer in zebrafish embryos. </w:t>
      </w:r>
      <w:r>
        <w:rPr>
          <w:i/>
        </w:rPr>
        <w:t>Developmental Cell</w:t>
      </w:r>
      <w:r>
        <w:t xml:space="preserve">, </w:t>
      </w:r>
      <w:r>
        <w:rPr>
          <w:i/>
        </w:rPr>
        <w:t>60</w:t>
      </w:r>
      <w:r>
        <w:t>(4), 524–534.e3. https://doi.org/10.1016/j.devcel.2024.10.016</w:t>
      </w:r>
    </w:p>
    <w:p w14:paraId="0BE57AFD" w14:textId="77777777" w:rsidR="00AD0875" w:rsidRDefault="00000000">
      <w:pPr>
        <w:ind w:left="720" w:hanging="720"/>
      </w:pPr>
      <w:r>
        <w:t xml:space="preserve">Kretschmer, A., Zhang, F., Somasekharan, S. P., Tse, C., Leachman, L., Gleave, A., Li, B., Asmaro, I., Huang, T., Kotula, L., Sorensen, P. H., &amp; Gleave, M. E. (2019). Stress-induced tunneling nanotubes support treatment adaptation in prostate cancer. </w:t>
      </w:r>
      <w:r>
        <w:rPr>
          <w:i/>
        </w:rPr>
        <w:t>Scientific Reports</w:t>
      </w:r>
      <w:r>
        <w:t xml:space="preserve">, </w:t>
      </w:r>
      <w:r>
        <w:rPr>
          <w:i/>
        </w:rPr>
        <w:t>9</w:t>
      </w:r>
      <w:r>
        <w:t>(1), 7826. https://doi.org/10.1038/s41598-019-44346-5</w:t>
      </w:r>
    </w:p>
    <w:p w14:paraId="7DABFA8C" w14:textId="77777777" w:rsidR="00AD0875" w:rsidRDefault="00000000">
      <w:pPr>
        <w:ind w:left="720" w:hanging="720"/>
      </w:pPr>
      <w:r>
        <w:lastRenderedPageBreak/>
        <w:t xml:space="preserve">Kristl, J., Plajnšek, K. T., Kreft, M. E., Janković, B., &amp; Kocbek, P. (2013). Intracellular trafficking of solid lipid nanoparticles and their distribution between cells through tunneling nanotubes. </w:t>
      </w:r>
      <w:r>
        <w:rPr>
          <w:i/>
        </w:rPr>
        <w:t>European Journal of Pharmaceutical Sciences</w:t>
      </w:r>
      <w:r>
        <w:t xml:space="preserve">, </w:t>
      </w:r>
      <w:r>
        <w:rPr>
          <w:i/>
        </w:rPr>
        <w:t>50</w:t>
      </w:r>
      <w:r>
        <w:t>(1), 139–148. https://doi.org/10.1016/j.ejps.2013.04.013</w:t>
      </w:r>
    </w:p>
    <w:p w14:paraId="49B7C75E" w14:textId="77777777" w:rsidR="00AD0875" w:rsidRDefault="00000000">
      <w:pPr>
        <w:ind w:left="720" w:hanging="720"/>
      </w:pPr>
      <w:r>
        <w:t xml:space="preserve">Lin, X., Wang, W., Chang, X., Chen, C., Guo, Z., Yu, G., Shao, W., Wu, S., Zhang, Q., Zheng, F., &amp; Li, H. (2024). ROS/mtROS promotes TNTs formation via the PI3K/AKT/mTOR pathway to protect against mitochondrial damages in glial cells induced by engineered nanomaterials. </w:t>
      </w:r>
      <w:r>
        <w:rPr>
          <w:i/>
        </w:rPr>
        <w:t>Particle and Fibre Toxicology</w:t>
      </w:r>
      <w:r>
        <w:t xml:space="preserve">, </w:t>
      </w:r>
      <w:r>
        <w:rPr>
          <w:i/>
        </w:rPr>
        <w:t>21</w:t>
      </w:r>
      <w:r>
        <w:t>(1), 1. https://doi.org/10.1186/s12989-024-00562-0</w:t>
      </w:r>
    </w:p>
    <w:p w14:paraId="2A683A64" w14:textId="77777777" w:rsidR="00AD0875" w:rsidRDefault="00000000">
      <w:pPr>
        <w:ind w:left="720" w:hanging="720"/>
      </w:pPr>
      <w:r>
        <w:t xml:space="preserve">Liu, Z., Joshi, R., Zhou, Z., Liu, F., Gong, Y., Sun, M., Li, X., Jiang, T., Zou, L., Wang, S., Shi, Y., Lin, Z.-H., &amp; Miao, Y.-B. (2025). Self-driven electrical triggering system activates tunneling nanotube highways to enhance drug delivery in bladder cancer therapy. </w:t>
      </w:r>
      <w:r>
        <w:rPr>
          <w:i/>
        </w:rPr>
        <w:t>Nature Communications</w:t>
      </w:r>
      <w:r>
        <w:t xml:space="preserve">, </w:t>
      </w:r>
      <w:r>
        <w:rPr>
          <w:i/>
        </w:rPr>
        <w:t>16</w:t>
      </w:r>
      <w:r>
        <w:t>(1), 10093. https://doi.org/10.1038/s41467-025-65017-2</w:t>
      </w:r>
    </w:p>
    <w:p w14:paraId="7B94CE9D" w14:textId="77777777" w:rsidR="00AD0875" w:rsidRDefault="00000000">
      <w:pPr>
        <w:ind w:left="720" w:hanging="720"/>
      </w:pPr>
      <w:r>
        <w:t xml:space="preserve">Ljubojevic, N., Henderson, J. M., &amp; Zurzolo, C. (2021). The ways of actin: Why tunneling nanotubes are unique cell protrusions. </w:t>
      </w:r>
      <w:r>
        <w:rPr>
          <w:i/>
        </w:rPr>
        <w:t>Trends in Cell Biology</w:t>
      </w:r>
      <w:r>
        <w:t xml:space="preserve">, </w:t>
      </w:r>
      <w:r>
        <w:rPr>
          <w:i/>
        </w:rPr>
        <w:t>31</w:t>
      </w:r>
      <w:r>
        <w:t>(2), 130–142. https://doi.org/10.1016/j.tcb.2020.11.008</w:t>
      </w:r>
    </w:p>
    <w:p w14:paraId="16C75765" w14:textId="77777777" w:rsidR="00AD0875" w:rsidRDefault="00000000">
      <w:pPr>
        <w:ind w:left="720" w:hanging="720"/>
      </w:pPr>
      <w:r>
        <w:t xml:space="preserve">Lou, E., Fujisawa, S., Morozov, A., Barlas, A., Romin, Y., Dogan, Y., Gholami, S., Moreira, A. L., Manova-Todorova, K., &amp; Moore, M. A. S. (2012). Tunneling nanotubes provide a unique conduit for intercellular transfer of cellular contents in human malignant pleural mesothelioma. </w:t>
      </w:r>
      <w:r>
        <w:rPr>
          <w:i/>
        </w:rPr>
        <w:t>PLOS ONE</w:t>
      </w:r>
      <w:r>
        <w:t xml:space="preserve">, </w:t>
      </w:r>
      <w:r>
        <w:rPr>
          <w:i/>
        </w:rPr>
        <w:t>7</w:t>
      </w:r>
      <w:r>
        <w:t>(3), e33093. https://doi.org/10.1371/journal.pone.0033093</w:t>
      </w:r>
    </w:p>
    <w:p w14:paraId="787088FE" w14:textId="77777777" w:rsidR="00AD0875" w:rsidRDefault="00000000">
      <w:pPr>
        <w:ind w:left="720" w:hanging="720"/>
      </w:pPr>
      <w:r>
        <w:t xml:space="preserve">Lou, E., Gholami, S., Romin, Y., Thayanithy, V., Fujisawa, S., Desir, S., Steer, C. J., Subramanian, S., Fong, Y., Manova-Todorova, K., &amp; Moore, M. A. S. (2017a). Imaging tunneling membrane tubes elucidates cell communication in tumors. </w:t>
      </w:r>
      <w:r>
        <w:rPr>
          <w:i/>
        </w:rPr>
        <w:t>Trends in Cancer</w:t>
      </w:r>
      <w:r>
        <w:t xml:space="preserve">, </w:t>
      </w:r>
      <w:r>
        <w:rPr>
          <w:i/>
        </w:rPr>
        <w:t>3</w:t>
      </w:r>
      <w:r>
        <w:t>(10), 678–685. https://doi.org/10.1016/j.trecan.2017.08.001</w:t>
      </w:r>
    </w:p>
    <w:p w14:paraId="1044672C" w14:textId="77777777" w:rsidR="00AD0875" w:rsidRDefault="00000000">
      <w:pPr>
        <w:ind w:left="720" w:hanging="720"/>
      </w:pPr>
      <w:r>
        <w:lastRenderedPageBreak/>
        <w:t xml:space="preserve">Lou, E., O'Hare, P., Subramanian, S., &amp; Steer, C. J. (2017b). Lost in translation: Applying 2D intercellular communication via tunneling nanotubes in cell culture to physiologically relevant 3D microenvironments. </w:t>
      </w:r>
      <w:r>
        <w:rPr>
          <w:i/>
        </w:rPr>
        <w:t>The FEBS Journal</w:t>
      </w:r>
      <w:r>
        <w:t xml:space="preserve">, </w:t>
      </w:r>
      <w:r>
        <w:rPr>
          <w:i/>
        </w:rPr>
        <w:t>284</w:t>
      </w:r>
      <w:r>
        <w:t>(5), 699–707. https://doi.org/10.1111/febs.13946</w:t>
      </w:r>
    </w:p>
    <w:p w14:paraId="2B36AFDE" w14:textId="77777777" w:rsidR="00AD0875" w:rsidRDefault="00000000">
      <w:pPr>
        <w:ind w:left="720" w:hanging="720"/>
      </w:pPr>
      <w:r>
        <w:t xml:space="preserve">Lou, E., Zhai, E., Sarkari, A., Desir, S., Wong, P., Iizuka, Y., Yang, J., Subramanian, S., McCarthy, J., Bazzaro, M., &amp; Steer, C. J. (2018). Cellular and molecular networking within the ecosystem of cancer cell communication via tunneling nanotubes. </w:t>
      </w:r>
      <w:r>
        <w:rPr>
          <w:i/>
        </w:rPr>
        <w:t>Frontiers in Cell and Developmental Biology</w:t>
      </w:r>
      <w:r>
        <w:t xml:space="preserve">, </w:t>
      </w:r>
      <w:r>
        <w:rPr>
          <w:i/>
        </w:rPr>
        <w:t>6</w:t>
      </w:r>
      <w:r>
        <w:t>, 95. https://doi.org/10.3389/fcell.2018.00095</w:t>
      </w:r>
    </w:p>
    <w:p w14:paraId="6C05A9EB" w14:textId="77777777" w:rsidR="00AD0875" w:rsidRDefault="00000000">
      <w:pPr>
        <w:ind w:left="720" w:hanging="720"/>
      </w:pPr>
      <w:r>
        <w:t xml:space="preserve">Matula, Z., Mikala, G., Lukácsi, S., Matkó, J., Kovács, T., Monostori, É., Uher, F., &amp; Vályi-Nagy, I. (2021). Stromal cells serve drug resistance for multiple myeloma via mitochondrial transfer: A study on primary myeloma and stromal cells. </w:t>
      </w:r>
      <w:r>
        <w:rPr>
          <w:i/>
        </w:rPr>
        <w:t>Cancers</w:t>
      </w:r>
      <w:r>
        <w:t xml:space="preserve">, </w:t>
      </w:r>
      <w:r>
        <w:rPr>
          <w:i/>
        </w:rPr>
        <w:t>13</w:t>
      </w:r>
      <w:r>
        <w:t>(14), 3461. https://doi.org/10.3390/cancers13143461</w:t>
      </w:r>
    </w:p>
    <w:p w14:paraId="30548725" w14:textId="77777777" w:rsidR="00AD0875" w:rsidRDefault="00000000">
      <w:pPr>
        <w:ind w:left="720" w:hanging="720"/>
      </w:pPr>
      <w:r>
        <w:t xml:space="preserve">Melwani, P. K., &amp; Pandey, B. N. (2023). Tunneling nanotubes: The intercellular conduits contributing to cancer pathogenesis and its therapy. </w:t>
      </w:r>
      <w:r>
        <w:rPr>
          <w:i/>
        </w:rPr>
        <w:t>Biochimica et Biophysica Acta (BBA) - Reviews on Cancer</w:t>
      </w:r>
      <w:r>
        <w:t xml:space="preserve">, </w:t>
      </w:r>
      <w:r>
        <w:rPr>
          <w:i/>
        </w:rPr>
        <w:t>1878</w:t>
      </w:r>
      <w:r>
        <w:t>(6), 189028. https://doi.org/10.1016/j.bbcan.2023.189028</w:t>
      </w:r>
    </w:p>
    <w:p w14:paraId="35D16A23" w14:textId="77777777" w:rsidR="00AD0875" w:rsidRDefault="00000000">
      <w:pPr>
        <w:ind w:left="720" w:hanging="720"/>
      </w:pPr>
      <w:r>
        <w:t xml:space="preserve">Moscariello, P., Raabe, M., Liu, W., Bernhardt, S., Qi, H., Kaiser, U., Wu, Y., Weil, T., Luhmann, H. J., &amp; Hedrich, J. (2019). Unravelling in vivo brain transport of protein-coated fluorescent nanodiamonds. </w:t>
      </w:r>
      <w:r>
        <w:rPr>
          <w:i/>
        </w:rPr>
        <w:t>Small</w:t>
      </w:r>
      <w:r>
        <w:t xml:space="preserve">, </w:t>
      </w:r>
      <w:r>
        <w:rPr>
          <w:i/>
        </w:rPr>
        <w:t>15</w:t>
      </w:r>
      <w:r>
        <w:t>(42), 1902992. https://doi.org/10.1002/smll.201902992</w:t>
      </w:r>
    </w:p>
    <w:p w14:paraId="3DE1966F" w14:textId="77777777" w:rsidR="00AD0875" w:rsidRDefault="00000000">
      <w:pPr>
        <w:ind w:left="720" w:hanging="720"/>
      </w:pPr>
      <w:r>
        <w:t xml:space="preserve">Nakhle, J., Khattar, K., Özkan, T., Boughlita, A., Abba Moussa, D., Darlix, A., Lorcy, F., Rigau, V., Bauchet, L., Gerbal-Chaloin, S., Daujat-Chavanieu, M., Bellvert, F., Turchi, L., Virolle, T., Hugnot, J.-P., Buisine, N., Galloni, M., Dardalhon, V., Rodriguez, A.-M., &amp; Vignais, M.-L. (2023). Mitochondria transfer from mesenchymal stem cells confers </w:t>
      </w:r>
      <w:r>
        <w:lastRenderedPageBreak/>
        <w:t xml:space="preserve">chemoresistance to glioblastoma stem cells through metabolic rewiring. </w:t>
      </w:r>
      <w:r>
        <w:rPr>
          <w:i/>
        </w:rPr>
        <w:t>Cancer Research Communications</w:t>
      </w:r>
      <w:r>
        <w:t xml:space="preserve">, </w:t>
      </w:r>
      <w:r>
        <w:rPr>
          <w:i/>
        </w:rPr>
        <w:t>3</w:t>
      </w:r>
      <w:r>
        <w:t>(6), 1041–1056. https://doi.org/10.1158/2767-9764.CRC-23-0144</w:t>
      </w:r>
    </w:p>
    <w:p w14:paraId="1254F260" w14:textId="77777777" w:rsidR="00AD0875" w:rsidRDefault="00000000">
      <w:pPr>
        <w:ind w:left="720" w:hanging="720"/>
      </w:pPr>
      <w:r>
        <w:t xml:space="preserve">Ni, S., Xue, Z.-R., Xin, Y.-Y., &amp; Jin, W.-L. (2026). Targeting the mitochondrial transfer axis in cancer: From mechanistic insights to therapeutic rewiring. </w:t>
      </w:r>
      <w:r>
        <w:rPr>
          <w:i/>
        </w:rPr>
        <w:t>Critical Reviews in Oncology/Hematology</w:t>
      </w:r>
      <w:r>
        <w:t xml:space="preserve">, </w:t>
      </w:r>
      <w:r>
        <w:rPr>
          <w:i/>
        </w:rPr>
        <w:t>223</w:t>
      </w:r>
      <w:r>
        <w:t>, 105356. https://doi.org/10.1016/j.critrevonc.2026.105356</w:t>
      </w:r>
    </w:p>
    <w:p w14:paraId="5FE2FC61" w14:textId="77777777" w:rsidR="00AD0875" w:rsidRDefault="00000000">
      <w:pPr>
        <w:ind w:left="720" w:hanging="720"/>
      </w:pPr>
      <w:r>
        <w:t xml:space="preserve">Notario Manzano, R., Chaze, T., Rubinstein, E., Penard, E., Matondo, M., Zurzolo, C., &amp; Brou, C. (2024). Proteomic landscape of tunneling nanotubes reveals CD9 and CD81 tetraspanins as key regulators. </w:t>
      </w:r>
      <w:r>
        <w:rPr>
          <w:i/>
        </w:rPr>
        <w:t>eLife</w:t>
      </w:r>
      <w:r>
        <w:t xml:space="preserve">, </w:t>
      </w:r>
      <w:r>
        <w:rPr>
          <w:i/>
        </w:rPr>
        <w:t>13</w:t>
      </w:r>
      <w:r>
        <w:t>, RP99172. https://doi.org/10.7554/eLife.99172</w:t>
      </w:r>
    </w:p>
    <w:p w14:paraId="21F8F539" w14:textId="77777777" w:rsidR="00AD0875" w:rsidRDefault="00000000">
      <w:pPr>
        <w:ind w:left="720" w:hanging="720"/>
      </w:pPr>
      <w:r>
        <w:t xml:space="preserve">Omsland, M., Bruserud, Ø., Gjertsen, B. T., &amp; Andresen, V. (2017). Tunneling nanotube (TNT) formation is downregulated by cytarabine and NF-κB inhibition in acute myeloid leukemia (AML). </w:t>
      </w:r>
      <w:r>
        <w:rPr>
          <w:i/>
        </w:rPr>
        <w:t>Oncotarget</w:t>
      </w:r>
      <w:r>
        <w:t xml:space="preserve">, </w:t>
      </w:r>
      <w:r>
        <w:rPr>
          <w:i/>
        </w:rPr>
        <w:t>8</w:t>
      </w:r>
      <w:r>
        <w:t>(5), 7946–7963. https://doi.org/10.18632/oncotarget.13853</w:t>
      </w:r>
    </w:p>
    <w:p w14:paraId="66E45955" w14:textId="77777777" w:rsidR="00AD0875" w:rsidRDefault="00000000">
      <w:pPr>
        <w:ind w:left="720" w:hanging="720"/>
      </w:pPr>
      <w:r>
        <w:t xml:space="preserve">Önfelt, B., Nedvetzki, S., Yanagi, K., &amp; Davis, D. M. (2004). Cutting edge: Membrane nanotubes connect immune cells. </w:t>
      </w:r>
      <w:r>
        <w:rPr>
          <w:i/>
        </w:rPr>
        <w:t>The Journal of Immunology</w:t>
      </w:r>
      <w:r>
        <w:t xml:space="preserve">, </w:t>
      </w:r>
      <w:r>
        <w:rPr>
          <w:i/>
        </w:rPr>
        <w:t>173</w:t>
      </w:r>
      <w:r>
        <w:t>(3), 1511–1513. https://doi.org/10.4049/jimmunol.173.3.1511</w:t>
      </w:r>
    </w:p>
    <w:p w14:paraId="6143F29C" w14:textId="77777777" w:rsidR="00AD0875" w:rsidRDefault="00000000">
      <w:pPr>
        <w:ind w:left="720" w:hanging="720"/>
      </w:pPr>
      <w:r>
        <w:t xml:space="preserve">Osswald, M., Jung, E., Sahm, F., Solecki, G., Venkataramani, V., Blaes, J., Weil, S., Horstmann, H., Wiestler, B., Syed, M., Huang, L., Ratliff, M., Karimian Jazi, K., Kurz, F. T., Schmenger, T., Lemke, D., Gömmel, M., Pauli, M., Liao, Y., ... Winkler, F. (2015). Brain tumour cells interconnect to a functional and resistant network. </w:t>
      </w:r>
      <w:r>
        <w:rPr>
          <w:i/>
        </w:rPr>
        <w:t>Nature</w:t>
      </w:r>
      <w:r>
        <w:t xml:space="preserve">, </w:t>
      </w:r>
      <w:r>
        <w:rPr>
          <w:i/>
        </w:rPr>
        <w:t>528</w:t>
      </w:r>
      <w:r>
        <w:t>(7580), 93–98. https://doi.org/10.1038/nature16071</w:t>
      </w:r>
    </w:p>
    <w:p w14:paraId="06BF379F" w14:textId="77777777" w:rsidR="00AD0875" w:rsidRDefault="00000000">
      <w:pPr>
        <w:ind w:left="720" w:hanging="720"/>
      </w:pPr>
      <w:r>
        <w:t xml:space="preserve">Ottonelli, I., Caraffi, R., Tosi, G., Vandelli, M. A., Duskey, J. T., &amp; Ruozi, B. (2022). Tunneling nanotubes: A new target for nanomedicine? </w:t>
      </w:r>
      <w:r>
        <w:rPr>
          <w:i/>
        </w:rPr>
        <w:t>International Journal of Molecular Sciences</w:t>
      </w:r>
      <w:r>
        <w:t xml:space="preserve">, </w:t>
      </w:r>
      <w:r>
        <w:rPr>
          <w:i/>
        </w:rPr>
        <w:t>23</w:t>
      </w:r>
      <w:r>
        <w:t>(4), 2237. https://doi.org/10.3390/ijms23042237</w:t>
      </w:r>
    </w:p>
    <w:p w14:paraId="70C58648" w14:textId="77777777" w:rsidR="00AD0875" w:rsidRDefault="00000000">
      <w:pPr>
        <w:ind w:left="720" w:hanging="720"/>
      </w:pPr>
      <w:r>
        <w:lastRenderedPageBreak/>
        <w:t xml:space="preserve">Pasquier, J., Galas, L., Boulangé-Lecomte, C., Rioult, D., Bultelle, F., Magal, P., Webb, G., &amp; Le Foll, F. (2012). Different modalities of intercellular membrane exchanges mediate cell-to-cell P-glycoprotein transfers in MCF-7 breast cancer cells. </w:t>
      </w:r>
      <w:r>
        <w:rPr>
          <w:i/>
        </w:rPr>
        <w:t>Journal of Biological Chemistry</w:t>
      </w:r>
      <w:r>
        <w:t xml:space="preserve">, </w:t>
      </w:r>
      <w:r>
        <w:rPr>
          <w:i/>
        </w:rPr>
        <w:t>287</w:t>
      </w:r>
      <w:r>
        <w:t>(10), 7374–7387. https://doi.org/10.1074/jbc.M111.312157</w:t>
      </w:r>
    </w:p>
    <w:p w14:paraId="64BD68D9" w14:textId="77777777" w:rsidR="00AD0875" w:rsidRDefault="00000000">
      <w:pPr>
        <w:ind w:left="720" w:hanging="720"/>
      </w:pPr>
      <w:r>
        <w:t xml:space="preserve">Pasquier, J., Guerrouahen, B. S., Al Thawadi, H., Ghiabi, P., Maleki, M., Abu-Kaoud, N., Jacob, A., Mirshahi, M., Galas, L., Rafii, S., Le Foll, F., &amp; Rafii, A. (2013). Preferential transfer of mitochondria from endothelial to cancer cells through tunneling nanotubes modulates chemoresistance. </w:t>
      </w:r>
      <w:r>
        <w:rPr>
          <w:i/>
        </w:rPr>
        <w:t>Journal of Translational Medicine</w:t>
      </w:r>
      <w:r>
        <w:t xml:space="preserve">, </w:t>
      </w:r>
      <w:r>
        <w:rPr>
          <w:i/>
        </w:rPr>
        <w:t>11</w:t>
      </w:r>
      <w:r>
        <w:t>(1), 94. https://doi.org/10.1186/1479-5876-11-94</w:t>
      </w:r>
    </w:p>
    <w:p w14:paraId="516C2DDD" w14:textId="77777777" w:rsidR="00AD0875" w:rsidRDefault="00000000">
      <w:pPr>
        <w:ind w:left="720" w:hanging="720"/>
      </w:pPr>
      <w:r>
        <w:t xml:space="preserve">Peng, Y., Gao, D., Yang, Y., Du, Y., Yang, Z., Li, J., Lin, M., Zhou, Y., Li, X., &amp; Qi, X. (2025). Leveraging engineered mitochondria through intercellular communication network for accelerated transport and delivery. </w:t>
      </w:r>
      <w:r>
        <w:rPr>
          <w:i/>
        </w:rPr>
        <w:t>Nature Communications</w:t>
      </w:r>
      <w:r>
        <w:t xml:space="preserve">, </w:t>
      </w:r>
      <w:r>
        <w:rPr>
          <w:i/>
        </w:rPr>
        <w:t>17</w:t>
      </w:r>
      <w:r>
        <w:t>(1), 1078. https://doi.org/10.1038/s41467-025-67837-8</w:t>
      </w:r>
    </w:p>
    <w:p w14:paraId="3E2859BE" w14:textId="77777777" w:rsidR="00AD0875" w:rsidRDefault="00000000">
      <w:pPr>
        <w:ind w:left="720" w:hanging="720"/>
      </w:pPr>
      <w:r>
        <w:t xml:space="preserve">Pinto, G., Brou, C., &amp; Zurzolo, C. (2020). Tunneling nanotubes: The fuel of tumor progression? </w:t>
      </w:r>
      <w:r>
        <w:rPr>
          <w:i/>
        </w:rPr>
        <w:t>Trends in Cancer</w:t>
      </w:r>
      <w:r>
        <w:t xml:space="preserve">, </w:t>
      </w:r>
      <w:r>
        <w:rPr>
          <w:i/>
        </w:rPr>
        <w:t>6</w:t>
      </w:r>
      <w:r>
        <w:t>(10), 874–888. https://doi.org/10.1016/j.trecan.2020.04.012</w:t>
      </w:r>
    </w:p>
    <w:p w14:paraId="2D079B6D" w14:textId="77777777" w:rsidR="00AD0875" w:rsidRDefault="00000000">
      <w:pPr>
        <w:ind w:left="720" w:hanging="720"/>
      </w:pPr>
      <w:r>
        <w:t xml:space="preserve">Polak, R., de Rooij, B., Pieters, R., &amp; den Boer, M. L. (2015). B-cell precursor acute lymphoblastic leukemia cells use tunneling nanotubes to orchestrate their microenvironment. </w:t>
      </w:r>
      <w:r>
        <w:rPr>
          <w:i/>
        </w:rPr>
        <w:t>Blood</w:t>
      </w:r>
      <w:r>
        <w:t xml:space="preserve">, </w:t>
      </w:r>
      <w:r>
        <w:rPr>
          <w:i/>
        </w:rPr>
        <w:t>126</w:t>
      </w:r>
      <w:r>
        <w:t>(21), 2404–2414. https://doi.org/10.1182/blood-2015-03-634238</w:t>
      </w:r>
    </w:p>
    <w:p w14:paraId="17E2706E" w14:textId="77777777" w:rsidR="00AD0875" w:rsidRDefault="00000000">
      <w:pPr>
        <w:ind w:left="720" w:hanging="720"/>
      </w:pPr>
      <w:r>
        <w:t xml:space="preserve">Qiang, J., Jin, R., Sha, T., Zheng, F., Zhou, Y., Hu, Y., Zhang, S., Yang, Z., Nie, M., Luo, H., Tang, X., Guo, H., Xie, Z., Li, J., Sun, H., Liu, C., &amp; Shi, C. (2026). Tunnelling nanotube-mediated lysosome sharing promotes osteocyte survival via transcellular autophagy. </w:t>
      </w:r>
      <w:r>
        <w:rPr>
          <w:i/>
        </w:rPr>
        <w:t>Cell Proliferation</w:t>
      </w:r>
      <w:r>
        <w:t xml:space="preserve">, </w:t>
      </w:r>
      <w:r>
        <w:rPr>
          <w:i/>
        </w:rPr>
        <w:t>59</w:t>
      </w:r>
      <w:r>
        <w:t>(7), e70226. https://doi.org/10.1111/cpr.70226</w:t>
      </w:r>
    </w:p>
    <w:p w14:paraId="64FFD88B" w14:textId="77777777" w:rsidR="00AD0875" w:rsidRDefault="00000000">
      <w:pPr>
        <w:ind w:left="720" w:hanging="720"/>
      </w:pPr>
      <w:r>
        <w:lastRenderedPageBreak/>
        <w:t xml:space="preserve">Rakotobe, M., Liu, S., Virmani, G., Kaddour, G., Mendoza, N. D., Doussau, F., Livet, J., Cathala, L., &amp; Zurzolo, C. (2026). Deciphering intercellular communication in the cerebellar external granule layer: Insights into non-classical connections in neural development. </w:t>
      </w:r>
      <w:r>
        <w:rPr>
          <w:i/>
        </w:rPr>
        <w:t>PLOS ONE</w:t>
      </w:r>
      <w:r>
        <w:t xml:space="preserve">, </w:t>
      </w:r>
      <w:r>
        <w:rPr>
          <w:i/>
        </w:rPr>
        <w:t>21</w:t>
      </w:r>
      <w:r>
        <w:t>(6), e0352088. https://doi.org/10.1371/journal.pone.0352088</w:t>
      </w:r>
    </w:p>
    <w:p w14:paraId="46232942" w14:textId="77777777" w:rsidR="00AD0875" w:rsidRDefault="00000000">
      <w:pPr>
        <w:ind w:left="720" w:hanging="720"/>
      </w:pPr>
      <w:r>
        <w:t xml:space="preserve">Rustom, A., Saffrich, R., Markovic, I., Walther, P., &amp; Gerdes, H.-H. (2004). Nanotubular highways for intercellular organelle transport. </w:t>
      </w:r>
      <w:r>
        <w:rPr>
          <w:i/>
        </w:rPr>
        <w:t>Science</w:t>
      </w:r>
      <w:r>
        <w:t xml:space="preserve">, </w:t>
      </w:r>
      <w:r>
        <w:rPr>
          <w:i/>
        </w:rPr>
        <w:t>303</w:t>
      </w:r>
      <w:r>
        <w:t>(5660), 1007–1010. https://doi.org/10.1126/science.1093133</w:t>
      </w:r>
    </w:p>
    <w:p w14:paraId="4DF29DDF" w14:textId="77777777" w:rsidR="00AD0875" w:rsidRDefault="00000000">
      <w:pPr>
        <w:ind w:left="720" w:hanging="720"/>
      </w:pPr>
      <w:r>
        <w:t xml:space="preserve">Sáenz-de-Santa-María, I., Henderson, J. M., Pepe, A., &amp; Zurzolo, C. (2023). Identification and characterization of tunneling nanotubes for intercellular trafficking. </w:t>
      </w:r>
      <w:r>
        <w:rPr>
          <w:i/>
        </w:rPr>
        <w:t>Current Protocols</w:t>
      </w:r>
      <w:r>
        <w:t xml:space="preserve">, </w:t>
      </w:r>
      <w:r>
        <w:rPr>
          <w:i/>
        </w:rPr>
        <w:t>3</w:t>
      </w:r>
      <w:r>
        <w:t>(11), e939. https://doi.org/10.1002/cpz1.939</w:t>
      </w:r>
    </w:p>
    <w:p w14:paraId="6F9F4621" w14:textId="77777777" w:rsidR="00AD0875" w:rsidRDefault="00000000">
      <w:pPr>
        <w:ind w:left="720" w:hanging="720"/>
      </w:pPr>
      <w:r>
        <w:t xml:space="preserve">Sarkari, A., Korenfeld, S., Deniz, K., Ladner, K., Wong, P., Padmanabhan, S., Vogel, R. I., Sherer, L. A., Courtemanche, N., Steer, C., Wainer-Katsir, K., &amp; Lou, E. (2023). Treatment with tumor-treating fields (TTFields) suppresses intercellular tunneling nanotube formation in vitro and upregulates immuno-oncologic biomarkers in vivo in malignant mesothelioma. </w:t>
      </w:r>
      <w:r>
        <w:rPr>
          <w:i/>
        </w:rPr>
        <w:t>eLife</w:t>
      </w:r>
      <w:r>
        <w:t xml:space="preserve">, </w:t>
      </w:r>
      <w:r>
        <w:rPr>
          <w:i/>
        </w:rPr>
        <w:t>12</w:t>
      </w:r>
      <w:r>
        <w:t>, e85383. https://doi.org/10.7554/eLife.85383</w:t>
      </w:r>
    </w:p>
    <w:p w14:paraId="4C526330" w14:textId="77777777" w:rsidR="00AD0875" w:rsidRDefault="00000000">
      <w:pPr>
        <w:ind w:left="720" w:hanging="720"/>
      </w:pPr>
      <w:r>
        <w:t xml:space="preserve">Sarkari, A., &amp; Lou, E. (2024). Do tunneling nanotubes drive chemoresistance in solid tumors and other malignancies? </w:t>
      </w:r>
      <w:r>
        <w:rPr>
          <w:i/>
        </w:rPr>
        <w:t>Biochemical Society Transactions</w:t>
      </w:r>
      <w:r>
        <w:t xml:space="preserve">, </w:t>
      </w:r>
      <w:r>
        <w:rPr>
          <w:i/>
        </w:rPr>
        <w:t>52</w:t>
      </w:r>
      <w:r>
        <w:t>(4), 1757–1764. https://doi.org/10.1042/BST20231364</w:t>
      </w:r>
    </w:p>
    <w:p w14:paraId="0FB40461" w14:textId="77777777" w:rsidR="00AD0875" w:rsidRDefault="00000000">
      <w:pPr>
        <w:ind w:left="720" w:hanging="720"/>
      </w:pPr>
      <w:r>
        <w:t xml:space="preserve">Sartori-Rupp, A., Cordero Cervantes, D., Pepe, A., Gousset, K., Delage, E., Corroyer-Dulmont, S., Schmitt, C., Krijnse-Locker, J., &amp; Zurzolo, C. (2019). Correlative cryo-electron microscopy reveals the structure of TNTs in neuronal cells. </w:t>
      </w:r>
      <w:r>
        <w:rPr>
          <w:i/>
        </w:rPr>
        <w:t>Nature Communications</w:t>
      </w:r>
      <w:r>
        <w:t xml:space="preserve">, </w:t>
      </w:r>
      <w:r>
        <w:rPr>
          <w:i/>
        </w:rPr>
        <w:t>10</w:t>
      </w:r>
      <w:r>
        <w:t>(1), 342. https://doi.org/10.1038/s41467-018-08178-7</w:t>
      </w:r>
    </w:p>
    <w:p w14:paraId="0818ABD9" w14:textId="77777777" w:rsidR="00AD0875" w:rsidRDefault="00000000">
      <w:pPr>
        <w:ind w:left="720" w:hanging="720"/>
      </w:pPr>
      <w:r>
        <w:t xml:space="preserve">Sierri, G., Saenz-de-Santa-Maria, I., Renda, A., Koch, M., Sommi, P., Anselmi-Tamburini, U., Mauri, M., D'Aloia, A., Ceriani, M., Salerno, D., Mantegazza, F., Zurzolo, C., &amp; Re, F. </w:t>
      </w:r>
      <w:r>
        <w:lastRenderedPageBreak/>
        <w:t xml:space="preserve">(2025). Nanoparticle shape is the game-changer for blood–brain barrier crossing and delivery through tunneling nanotubes among glioblastoma cells. </w:t>
      </w:r>
      <w:r>
        <w:rPr>
          <w:i/>
        </w:rPr>
        <w:t>Nanoscale</w:t>
      </w:r>
      <w:r>
        <w:t xml:space="preserve">, </w:t>
      </w:r>
      <w:r>
        <w:rPr>
          <w:i/>
        </w:rPr>
        <w:t>17</w:t>
      </w:r>
      <w:r>
        <w:t>(2), 992–1006. https://doi.org/10.1039/d4nr03174a</w:t>
      </w:r>
    </w:p>
    <w:p w14:paraId="3585568F" w14:textId="77777777" w:rsidR="00AD0875" w:rsidRDefault="00000000">
      <w:pPr>
        <w:ind w:left="720" w:hanging="720"/>
      </w:pPr>
      <w:r>
        <w:t xml:space="preserve">Sisakhtnezhad, S., &amp; Khosravi, L. (2015). Emerging physiological and pathological implications of tunneling nanotubes formation between cells. </w:t>
      </w:r>
      <w:r>
        <w:rPr>
          <w:i/>
        </w:rPr>
        <w:t>European Journal of Cell Biology</w:t>
      </w:r>
      <w:r>
        <w:t xml:space="preserve">, </w:t>
      </w:r>
      <w:r>
        <w:rPr>
          <w:i/>
        </w:rPr>
        <w:t>94</w:t>
      </w:r>
      <w:r>
        <w:t>(10), 429–443. https://doi.org/10.1016/j.ejcb.2015.06.010</w:t>
      </w:r>
    </w:p>
    <w:p w14:paraId="575684AA" w14:textId="77777777" w:rsidR="00AD0875" w:rsidRDefault="00000000">
      <w:pPr>
        <w:ind w:left="720" w:hanging="720"/>
      </w:pPr>
      <w:r>
        <w:t xml:space="preserve">Taiarol, L., Formicola, B., Fagioli, S., Sierri, G., D’Aloia, A., Kravicz, M., Renda, A., Viale, F., Dal Magro, R., Ceriani, M., &amp; Re, F. (2021). The 3.0 cell communication: New insights in the usefulness of tunneling nanotubes for glioblastoma treatment. </w:t>
      </w:r>
      <w:r>
        <w:rPr>
          <w:i/>
        </w:rPr>
        <w:t>Cancers</w:t>
      </w:r>
      <w:r>
        <w:t xml:space="preserve">, </w:t>
      </w:r>
      <w:r>
        <w:rPr>
          <w:i/>
        </w:rPr>
        <w:t>13</w:t>
      </w:r>
      <w:r>
        <w:t>(16), 4001. https://doi.org/10.3390/cancers13164001</w:t>
      </w:r>
    </w:p>
    <w:p w14:paraId="2D2C49FF" w14:textId="77777777" w:rsidR="00AD0875" w:rsidRDefault="00000000">
      <w:pPr>
        <w:ind w:left="720" w:hanging="720"/>
      </w:pPr>
      <w:r>
        <w:t xml:space="preserve">Tao, J., Yao, Y., Huang, M., Wu, J., Lyu, J., Li, Q., Li, L., Huang, Y., &amp; Zhou, Z. (2024). A nano-platform combats the attack and defence of cytoskeleton to block cascading tumor metastasis. </w:t>
      </w:r>
      <w:r>
        <w:rPr>
          <w:i/>
        </w:rPr>
        <w:t>Journal of Controlled Release</w:t>
      </w:r>
      <w:r>
        <w:t xml:space="preserve">, </w:t>
      </w:r>
      <w:r>
        <w:rPr>
          <w:i/>
        </w:rPr>
        <w:t>367</w:t>
      </w:r>
      <w:r>
        <w:t>, 572–586. https://doi.org/10.1016/j.jconrel.2024.01.069</w:t>
      </w:r>
    </w:p>
    <w:p w14:paraId="171F861E" w14:textId="77777777" w:rsidR="00AD0875" w:rsidRDefault="00000000">
      <w:pPr>
        <w:ind w:left="720" w:hanging="720"/>
      </w:pPr>
      <w:r>
        <w:t xml:space="preserve">Thathapudi, N. C., Callai-Silva, N., Malhotra, K., Basu, S., Aghajanzadeh-Kiyaseh, M., Zamani-Roudbaraki, M., Groleau, M., Lombard-Vadnais, F., Lesage, S., &amp; Griffith, M. (2024). Modified host defence peptide GF19 slows TNT-mediated spread of corneal herpes simplex virus serotype I infection. </w:t>
      </w:r>
      <w:r>
        <w:rPr>
          <w:i/>
        </w:rPr>
        <w:t>Scientific Reports</w:t>
      </w:r>
      <w:r>
        <w:t xml:space="preserve">, </w:t>
      </w:r>
      <w:r>
        <w:rPr>
          <w:i/>
        </w:rPr>
        <w:t>14</w:t>
      </w:r>
      <w:r>
        <w:t>(1), 4096. https://doi.org/10.1038/s41598-024-53662-4</w:t>
      </w:r>
    </w:p>
    <w:p w14:paraId="2F68F581" w14:textId="77777777" w:rsidR="00AD0875" w:rsidRDefault="00000000">
      <w:pPr>
        <w:ind w:left="720" w:hanging="720"/>
      </w:pPr>
      <w:r>
        <w:t xml:space="preserve">Thayanithy, V., Dickson, E. L., Steer, C., Subramanian, S., &amp; Lou, E. (2014). Tumor-stromal cross talk: Direct cell-to-cell transfer of oncogenic microRNAs via tunneling nanotubes. </w:t>
      </w:r>
      <w:r>
        <w:rPr>
          <w:i/>
        </w:rPr>
        <w:t>Translational Research</w:t>
      </w:r>
      <w:r>
        <w:t xml:space="preserve">, </w:t>
      </w:r>
      <w:r>
        <w:rPr>
          <w:i/>
        </w:rPr>
        <w:t>164</w:t>
      </w:r>
      <w:r>
        <w:t>(5), 359–365. https://doi.org/10.1016/j.trsl.2014.05.011</w:t>
      </w:r>
    </w:p>
    <w:p w14:paraId="689F3013" w14:textId="77777777" w:rsidR="00AD0875" w:rsidRDefault="00000000">
      <w:pPr>
        <w:ind w:left="720" w:hanging="720"/>
      </w:pPr>
      <w:r>
        <w:t xml:space="preserve">Thayanithy, V., O’Hare, P., Wong, P., Zhao, X., Steer, C. J., Subramanian, S., &amp; Lou, E. (2017). A transwell assay that excludes exosomes for assessment of tunneling nanotube-mediated </w:t>
      </w:r>
      <w:r>
        <w:lastRenderedPageBreak/>
        <w:t xml:space="preserve">intercellular communication. </w:t>
      </w:r>
      <w:r>
        <w:rPr>
          <w:i/>
        </w:rPr>
        <w:t>Cell Communication and Signaling</w:t>
      </w:r>
      <w:r>
        <w:t xml:space="preserve">, </w:t>
      </w:r>
      <w:r>
        <w:rPr>
          <w:i/>
        </w:rPr>
        <w:t>15</w:t>
      </w:r>
      <w:r>
        <w:t>(1), 46. https://doi.org/10.1186/s12964-017-0201-2</w:t>
      </w:r>
    </w:p>
    <w:p w14:paraId="3E043D6B" w14:textId="77777777" w:rsidR="00AD0875" w:rsidRDefault="00000000">
      <w:pPr>
        <w:ind w:left="720" w:hanging="720"/>
      </w:pPr>
      <w:r>
        <w:t xml:space="preserve">Tosi, G., Vilella, A., Chhabra, R., Schmeisser, M. J., Boeckers, T. M., Ruozi, B., Vandelli, M. A., Forni, F., Zoli, M., &amp; Grabrucker, A. M. (2014). Insight on the fate of CNS-targeted nanoparticles. Part II: Intercellular neuronal cell-to-cell transport. </w:t>
      </w:r>
      <w:r>
        <w:rPr>
          <w:i/>
        </w:rPr>
        <w:t>Journal of Controlled Release</w:t>
      </w:r>
      <w:r>
        <w:t xml:space="preserve">, </w:t>
      </w:r>
      <w:r>
        <w:rPr>
          <w:i/>
        </w:rPr>
        <w:t>177</w:t>
      </w:r>
      <w:r>
        <w:t>, 96–107. https://doi.org/10.1016/j.jconrel.2014.01.004</w:t>
      </w:r>
    </w:p>
    <w:p w14:paraId="43B4F6A8" w14:textId="77777777" w:rsidR="00AD0875" w:rsidRDefault="00000000">
      <w:pPr>
        <w:ind w:left="720" w:hanging="720"/>
      </w:pPr>
      <w:r>
        <w:t xml:space="preserve">Venkataramani, V., Tanev, D. I., Strahle, C., Studier-Fischer, A., Fankhauser, L., Kessler, T., Körber, C., Kardorff, M., Ratliff, M., Xie, R., Horstmann, H., Messer, M., Paik, S. P., Knabbe, J., Sahm, F., Kurz, F. T., Acikgöz, A. A., Herrmannsdörfer, F., Agarwal, A., ... Kuner, T. (2019). Glutamatergic synaptic input to glioma cells drives brain tumour progression. </w:t>
      </w:r>
      <w:r>
        <w:rPr>
          <w:i/>
        </w:rPr>
        <w:t>Nature</w:t>
      </w:r>
      <w:r>
        <w:t xml:space="preserve">, </w:t>
      </w:r>
      <w:r>
        <w:rPr>
          <w:i/>
        </w:rPr>
        <w:t>573</w:t>
      </w:r>
      <w:r>
        <w:t>(7775), 532–538. https://doi.org/10.1038/s41586-019-1564-x</w:t>
      </w:r>
    </w:p>
    <w:p w14:paraId="10675B22" w14:textId="77777777" w:rsidR="00AD0875" w:rsidRDefault="00000000">
      <w:pPr>
        <w:ind w:left="720" w:hanging="720"/>
      </w:pPr>
      <w:r>
        <w:t xml:space="preserve">Victoria, G. S., Arkhipenko, A., Zhu, S., Syan, S., &amp; Zurzolo, C. (2016). Astrocyte-to-neuron intercellular prion transfer is mediated by cell-cell contact. </w:t>
      </w:r>
      <w:r>
        <w:rPr>
          <w:i/>
        </w:rPr>
        <w:t>Scientific Reports</w:t>
      </w:r>
      <w:r>
        <w:t xml:space="preserve">, </w:t>
      </w:r>
      <w:r>
        <w:rPr>
          <w:i/>
        </w:rPr>
        <w:t>6</w:t>
      </w:r>
      <w:r>
        <w:t>(1), 20762. https://doi.org/10.1038/srep20762</w:t>
      </w:r>
    </w:p>
    <w:p w14:paraId="681FE17E" w14:textId="77777777" w:rsidR="00AD0875" w:rsidRDefault="00000000">
      <w:pPr>
        <w:ind w:left="720" w:hanging="720"/>
      </w:pPr>
      <w:r>
        <w:t xml:space="preserve">Victoria, G. S., &amp; Zurzolo, C. (2017). The spread of prion-like proteins by lysosomes and tunneling nanotubes: Implications for neurodegenerative diseases. </w:t>
      </w:r>
      <w:r>
        <w:rPr>
          <w:i/>
        </w:rPr>
        <w:t>Journal of Cell Biology</w:t>
      </w:r>
      <w:r>
        <w:t xml:space="preserve">, </w:t>
      </w:r>
      <w:r>
        <w:rPr>
          <w:i/>
        </w:rPr>
        <w:t>216</w:t>
      </w:r>
      <w:r>
        <w:t>(9), 2633–2644. https://doi.org/10.1083/jcb.201701047</w:t>
      </w:r>
    </w:p>
    <w:p w14:paraId="2A1A9D2E" w14:textId="77777777" w:rsidR="00AD0875" w:rsidRDefault="00000000">
      <w:pPr>
        <w:ind w:left="720" w:hanging="720"/>
      </w:pPr>
      <w:r>
        <w:t xml:space="preserve">Wang, J., Liu, X., Qiu, Y., Shi, Y., Cai, J., Wang, B., Wei, X., Ke, Q., Sui, X., Wang, Y., Huang, Y., Li, H., Wang, T., Lin, R., Liu, Q., &amp; Xiang, A. P. (2018). Cell adhesion-mediated mitochondria transfer contributes to mesenchymal stem cell-induced chemoresistance on T cell acute lymphoblastic leukemia cells. </w:t>
      </w:r>
      <w:r>
        <w:rPr>
          <w:i/>
        </w:rPr>
        <w:t>Journal of Hematology &amp; Oncology</w:t>
      </w:r>
      <w:r>
        <w:t xml:space="preserve">, </w:t>
      </w:r>
      <w:r>
        <w:rPr>
          <w:i/>
        </w:rPr>
        <w:t>11</w:t>
      </w:r>
      <w:r>
        <w:t>(1), 11. https://doi.org/10.1186/s13045-018-0554-z</w:t>
      </w:r>
    </w:p>
    <w:p w14:paraId="5A0CB198" w14:textId="77777777" w:rsidR="00AD0875" w:rsidRDefault="00000000">
      <w:pPr>
        <w:ind w:left="720" w:hanging="720"/>
      </w:pPr>
      <w:r>
        <w:lastRenderedPageBreak/>
        <w:t xml:space="preserve">Wang, Y.-F., Shen, Z.-F., Xiang, F.-Y., Wang, H., Zhang, P., &amp; Zhang, Q. (2023). The direct transfer approach for transcellular drug delivery. </w:t>
      </w:r>
      <w:r>
        <w:rPr>
          <w:i/>
        </w:rPr>
        <w:t>Drug Delivery</w:t>
      </w:r>
      <w:r>
        <w:t xml:space="preserve">, </w:t>
      </w:r>
      <w:r>
        <w:rPr>
          <w:i/>
        </w:rPr>
        <w:t>30</w:t>
      </w:r>
      <w:r>
        <w:t>(1), 2288799. https://doi.org/10.1080/10717544.2023.2288799</w:t>
      </w:r>
    </w:p>
    <w:p w14:paraId="340603CA" w14:textId="77777777" w:rsidR="00AD0875" w:rsidRDefault="00000000">
      <w:pPr>
        <w:ind w:left="720" w:hanging="720"/>
      </w:pPr>
      <w:r>
        <w:t xml:space="preserve">Wang, J., Li, R., &amp; Qian, L. (2026). Intercellular mitochondrial transfer rewires redox signaling and metabolic plasticity: Mechanisms, disease relevance and therapeutic frontiers. </w:t>
      </w:r>
      <w:r>
        <w:rPr>
          <w:i/>
        </w:rPr>
        <w:t>Redox Biology</w:t>
      </w:r>
      <w:r>
        <w:t xml:space="preserve">, </w:t>
      </w:r>
      <w:r>
        <w:rPr>
          <w:i/>
        </w:rPr>
        <w:t>90</w:t>
      </w:r>
      <w:r>
        <w:t>, 104019. https://doi.org/10.1016/j.redox.2026.104019</w:t>
      </w:r>
    </w:p>
    <w:p w14:paraId="65CC219D" w14:textId="77777777" w:rsidR="00AD0875" w:rsidRDefault="00000000">
      <w:pPr>
        <w:ind w:left="720" w:hanging="720"/>
      </w:pPr>
      <w:r>
        <w:t xml:space="preserve">Yang, Y., Peng, Y., Du, Y., Lin, M., Li, J., Gao, D., Yang, Z., Wang, W., Zhou, Y., Li, X., Yan, T., &amp; Qi, X. (2024). Hierarchical self-recognition and response in CSC and non-CSC micro-niches for cancer therapy. </w:t>
      </w:r>
      <w:r>
        <w:rPr>
          <w:i/>
        </w:rPr>
        <w:t>Biomaterials</w:t>
      </w:r>
      <w:r>
        <w:t xml:space="preserve">, </w:t>
      </w:r>
      <w:r>
        <w:rPr>
          <w:i/>
        </w:rPr>
        <w:t>308</w:t>
      </w:r>
      <w:r>
        <w:t>, 122581. https://doi.org/10.1016/j.biomaterials.2024.122581</w:t>
      </w:r>
    </w:p>
    <w:p w14:paraId="63327DF1" w14:textId="77777777" w:rsidR="00AD0875" w:rsidRDefault="00000000">
      <w:pPr>
        <w:ind w:left="720" w:hanging="720"/>
      </w:pPr>
      <w:r>
        <w:t xml:space="preserve">Zhang, L., Ren, C., He, M., Chen, X., Liu, H., Liu, Y., Luo, J., Li, Z., Wang, J., Miao, W., Peng, Q., &amp; Jiang, N. (2026). Mitochondrial transfer in the HSC–HCC–macrophage network shapes hepatocellular carcinoma progression. </w:t>
      </w:r>
      <w:r>
        <w:rPr>
          <w:i/>
        </w:rPr>
        <w:t>Proceedings of the National Academy of Sciences</w:t>
      </w:r>
      <w:r>
        <w:t xml:space="preserve">, </w:t>
      </w:r>
      <w:r>
        <w:rPr>
          <w:i/>
        </w:rPr>
        <w:t>123</w:t>
      </w:r>
      <w:r>
        <w:t>(6), e2512592123. https://doi.org/10.1073/pnas.2512592123</w:t>
      </w:r>
    </w:p>
    <w:p w14:paraId="231674B3" w14:textId="77777777" w:rsidR="00AD0875" w:rsidRDefault="00000000">
      <w:pPr>
        <w:ind w:left="720" w:hanging="720"/>
      </w:pPr>
      <w:r>
        <w:t xml:space="preserve">Zheng, F., Luo, Z., Lin, X., Wang, W., Aschner, M., Cai, P., Wang, Y.-L., Shao, W., Yu, G., Guo, Z., Wu, S., &amp; Li, H. (2021). Intercellular transfer of mitochondria via tunneling nanotubes protects against cobalt nanoparticle-induced neurotoxicity and mitochondrial damage. </w:t>
      </w:r>
      <w:r>
        <w:rPr>
          <w:i/>
        </w:rPr>
        <w:t>Nanotoxicology</w:t>
      </w:r>
      <w:r>
        <w:t xml:space="preserve">, </w:t>
      </w:r>
      <w:r>
        <w:rPr>
          <w:i/>
        </w:rPr>
        <w:t>15</w:t>
      </w:r>
      <w:r>
        <w:t>(10), 1358–1379. https://doi.org/10.1080/17435390.2022.2026515</w:t>
      </w:r>
    </w:p>
    <w:p w14:paraId="2F87AAF4" w14:textId="77777777" w:rsidR="00AD0875" w:rsidRDefault="00000000">
      <w:pPr>
        <w:ind w:left="720" w:hanging="720"/>
      </w:pPr>
      <w:r>
        <w:t xml:space="preserve">Zurzolo, C. (2021). Tunneling nanotubes: Reshaping connectivity. </w:t>
      </w:r>
      <w:r>
        <w:rPr>
          <w:i/>
        </w:rPr>
        <w:t>Current Opinion in Cell Biology</w:t>
      </w:r>
      <w:r>
        <w:t xml:space="preserve">, </w:t>
      </w:r>
      <w:r>
        <w:rPr>
          <w:i/>
        </w:rPr>
        <w:t>71</w:t>
      </w:r>
      <w:r>
        <w:t>, 139–147. https://doi.org/10.1016/j.ceb.2021.03.003</w:t>
      </w:r>
    </w:p>
    <w:sectPr w:rsidR="00AD0875" w:rsidSect="00034616">
      <w:headerReference w:type="even" r:id="rId8"/>
      <w:headerReference w:type="default" r:id="rId9"/>
      <w:footerReference w:type="even" r:id="rId10"/>
      <w:footerReference w:type="default" r:id="rId11"/>
      <w:headerReference w:type="first" r:id="rId12"/>
      <w:footerReference w:type="first" r:id="rId13"/>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368CF" w14:textId="77777777" w:rsidR="00831F8F" w:rsidRDefault="00831F8F" w:rsidP="004C77FF">
      <w:pPr>
        <w:spacing w:line="240" w:lineRule="auto"/>
      </w:pPr>
      <w:r>
        <w:separator/>
      </w:r>
    </w:p>
  </w:endnote>
  <w:endnote w:type="continuationSeparator" w:id="0">
    <w:p w14:paraId="142E5CA4" w14:textId="77777777" w:rsidR="00831F8F" w:rsidRDefault="00831F8F" w:rsidP="004C77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23DFC" w14:textId="77777777" w:rsidR="004C77FF" w:rsidRDefault="004C77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5CFA2" w14:textId="77777777" w:rsidR="004C77FF" w:rsidRDefault="004C77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3CA9E" w14:textId="77777777" w:rsidR="004C77FF" w:rsidRDefault="004C77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B6E78" w14:textId="77777777" w:rsidR="00831F8F" w:rsidRDefault="00831F8F" w:rsidP="004C77FF">
      <w:pPr>
        <w:spacing w:line="240" w:lineRule="auto"/>
      </w:pPr>
      <w:r>
        <w:separator/>
      </w:r>
    </w:p>
  </w:footnote>
  <w:footnote w:type="continuationSeparator" w:id="0">
    <w:p w14:paraId="01642281" w14:textId="77777777" w:rsidR="00831F8F" w:rsidRDefault="00831F8F" w:rsidP="004C77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3CB6F" w14:textId="47A0E6FE" w:rsidR="004C77FF" w:rsidRDefault="004C77FF">
    <w:pPr>
      <w:pStyle w:val="Header"/>
    </w:pPr>
    <w:r>
      <w:rPr>
        <w:noProof/>
      </w:rPr>
      <w:pict w14:anchorId="4DAED7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1505391" o:spid="_x0000_s1026" type="#_x0000_t136" style="position:absolute;margin-left:0;margin-top:0;width:596.7pt;height:66.3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31AFD" w14:textId="48AE1FDF" w:rsidR="004C77FF" w:rsidRDefault="004C77FF">
    <w:pPr>
      <w:pStyle w:val="Header"/>
    </w:pPr>
    <w:r>
      <w:rPr>
        <w:noProof/>
      </w:rPr>
      <w:pict w14:anchorId="501174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1505392" o:spid="_x0000_s1027" type="#_x0000_t136" style="position:absolute;margin-left:0;margin-top:0;width:596.7pt;height:66.3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C7AC6" w14:textId="4F2915BA" w:rsidR="004C77FF" w:rsidRDefault="004C77FF">
    <w:pPr>
      <w:pStyle w:val="Header"/>
    </w:pPr>
    <w:r>
      <w:rPr>
        <w:noProof/>
      </w:rPr>
      <w:pict w14:anchorId="3513AE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1505390" o:spid="_x0000_s1025" type="#_x0000_t136" style="position:absolute;margin-left:0;margin-top:0;width:596.7pt;height:66.3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39668200">
    <w:abstractNumId w:val="8"/>
  </w:num>
  <w:num w:numId="2" w16cid:durableId="1184202449">
    <w:abstractNumId w:val="6"/>
  </w:num>
  <w:num w:numId="3" w16cid:durableId="771511864">
    <w:abstractNumId w:val="5"/>
  </w:num>
  <w:num w:numId="4" w16cid:durableId="2080319163">
    <w:abstractNumId w:val="4"/>
  </w:num>
  <w:num w:numId="5" w16cid:durableId="482819593">
    <w:abstractNumId w:val="7"/>
  </w:num>
  <w:num w:numId="6" w16cid:durableId="950238467">
    <w:abstractNumId w:val="3"/>
  </w:num>
  <w:num w:numId="7" w16cid:durableId="1110246386">
    <w:abstractNumId w:val="2"/>
  </w:num>
  <w:num w:numId="8" w16cid:durableId="511145614">
    <w:abstractNumId w:val="1"/>
  </w:num>
  <w:num w:numId="9" w16cid:durableId="639842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69D7"/>
    <w:rsid w:val="0015074B"/>
    <w:rsid w:val="0029639D"/>
    <w:rsid w:val="00326F90"/>
    <w:rsid w:val="004C77FF"/>
    <w:rsid w:val="00716A15"/>
    <w:rsid w:val="00831F8F"/>
    <w:rsid w:val="00923D0D"/>
    <w:rsid w:val="0096123C"/>
    <w:rsid w:val="00AA1D8D"/>
    <w:rsid w:val="00AD0875"/>
    <w:rsid w:val="00B47730"/>
    <w:rsid w:val="00B76F2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8DFC35"/>
  <w14:defaultImageDpi w14:val="300"/>
  <w15:docId w15:val="{3E265830-CC34-4363-8F6E-026359A5A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48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21579</Words>
  <Characters>123001</Characters>
  <Application>Microsoft Office Word</Application>
  <DocSecurity>0</DocSecurity>
  <Lines>1025</Lines>
  <Paragraphs>288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144292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1084</cp:lastModifiedBy>
  <cp:revision>4</cp:revision>
  <dcterms:created xsi:type="dcterms:W3CDTF">2013-12-23T23:15:00Z</dcterms:created>
  <dcterms:modified xsi:type="dcterms:W3CDTF">2026-09-22T10:10:00Z</dcterms:modified>
  <cp:category/>
</cp:coreProperties>
</file>